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RICHARDSON SAMUEL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8145 BLAZER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ASHLAND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ASH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VP, Controller and PAO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49.6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1,104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11/17/2025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49.6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1,072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11/17/2025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Payment of a tax liability by withholding securities incident to the vesting of Restricted Stock Units acquired pursuant to Ashland's incentive plan as approved by the shareholders and exempt pursuant to Rule 16b-3.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(RSU) represents a right to receive one (1) share of Ashland common stock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Grant of Restricted Stock Units pursuant to Ashland's incentive plan as approved by the shareholders and exempt pursuant to Rule 16b-3. The shares in this grant vest in three equal installments beginning one year from the date of grant, provided that the Reporting Person remains in continuous employment with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Serena S. Kenost, Attorney-in-fact for Samuel Richardson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11/19/2025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9295" TargetMode="External"/><Relationship Id="rId5" Type="http://schemas.openxmlformats.org/officeDocument/2006/relationships/hyperlink" Target="http://www.sec.gov/cgi-bin/browse-edgar?action=getcompany&amp;CIK=00016748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692</Words>
  <Characters>3713</Characters>
  <CharactersWithSpaces>4328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