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Ashland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S. Winter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Investments LLC, 9 West 57th Street, 47th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821-1600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Millstone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Standard Investments LLC, 9 West 57th Street, 47th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821-1600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Kyle A. Harris,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Cleary Gottlieb Steen &amp; Hamilton LLP, One Liberty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225-2000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 GP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Latitude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4,095,001.00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4,095,001.00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4,095,001.00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8.943 %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Standard Latitude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8.943 %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S. Winter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J. Millstone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49" w:orient="portrait"/>
          <w:cols w:equalWidth="0" w:num="1">
            <w:col w:w="11160"/>
          </w:cols>
          <w:pgMar w:left="360" w:top="189"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4,095,001.00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4,095,001.00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49" w:orient="portrait"/>
          <w:cols w:equalWidth="0" w:num="2">
            <w:col w:w="1060" w:space="60"/>
            <w:col w:w="10040"/>
          </w:cols>
          <w:pgMar w:left="360" w:top="189"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Ashland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8145 Blazer Drive, Wilmington, DELAWARE , 19808.</w:t>
      </w:r>
    </w:p>
    <w:p>
      <w:pPr>
        <w:spacing w:after="0" w:line="20"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Persons with the U.S. Securities and Exchange Commission (the "SEC") on December 1, 2025 (as amended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supplemented by that certain Amendment No. 1 filed by the Reporting Persons with the SEC on May 6, 2026 and that</w:t>
      </w:r>
    </w:p>
    <w:p>
      <w:pPr>
        <w:sectPr>
          <w:pgSz w:w="11900" w:h="16949" w:orient="portrait"/>
          <w:cols w:equalWidth="0" w:num="1">
            <w:col w:w="11160"/>
          </w:cols>
          <w:pgMar w:left="360" w:top="189" w:right="379" w:bottom="0" w:gutter="0" w:footer="0" w:header="0"/>
          <w:type w:val="continuous"/>
        </w:sectPr>
      </w:pPr>
    </w:p>
    <w:bookmarkStart w:id="6" w:name="page7"/>
    <w:bookmarkEnd w:id="6"/>
    <w:p>
      <w:pPr>
        <w:spacing w:after="0" w:line="49" w:lineRule="exact"/>
        <w:rPr>
          <w:sz w:val="20"/>
          <w:szCs w:val="20"/>
          <w:color w:val="auto"/>
        </w:rPr>
      </w:pPr>
    </w:p>
    <w:p>
      <w:pPr>
        <w:jc w:val="both"/>
        <w:ind w:left="960"/>
        <w:spacing w:after="0" w:line="235" w:lineRule="auto"/>
        <w:rPr>
          <w:sz w:val="20"/>
          <w:szCs w:val="20"/>
          <w:color w:val="auto"/>
        </w:rPr>
      </w:pPr>
      <w:r>
        <w:rPr>
          <w:rFonts w:ascii="Times New Roman" w:cs="Times New Roman" w:eastAsia="Times New Roman" w:hAnsi="Times New Roman"/>
          <w:sz w:val="22"/>
          <w:szCs w:val="22"/>
          <w:color w:val="auto"/>
        </w:rPr>
        <w:t>certain Amendment No. 2 filed by the Reporting Persons with the SEC on May 12, 2026, the "Initial 13D", and such Amendment No. 2, the "Amendment No. 2"), relating to their beneficial ownership in Ashland Inc. (the "Issuer"). Except to the extent set forth in this Amendment, all information disclosed in the Initial 13D remains unchanged. Capitalized terms not defined in this Amendment shall have the respective meanings ascribed to them in the Initial 13D. This Amendment is being filed to reflect an increase in the number of Shares that the Reporting Persons may beneficially own of greater than 1% of the total number of Shares outstanding relative to that disclosed in the Amendment No. 2. The information set forth in this Amendment is current as of 4:00 p.m., New York City time, on May 15, 2026.</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0"/>
        <w:spacing w:after="0" w:line="236" w:lineRule="auto"/>
        <w:rPr>
          <w:sz w:val="20"/>
          <w:szCs w:val="20"/>
          <w:color w:val="auto"/>
        </w:rPr>
      </w:pPr>
      <w:r>
        <w:rPr>
          <w:rFonts w:ascii="Times New Roman" w:cs="Times New Roman" w:eastAsia="Times New Roman" w:hAnsi="Times New Roman"/>
          <w:sz w:val="22"/>
          <w:szCs w:val="22"/>
          <w:color w:val="auto"/>
        </w:rPr>
        <w:t>Item 3 is amended and supplemented by adding the following: The Shares reported in this Amendment were purchased by Standard Latitude Master in open market purchases using its working capital. The total purchase price for the Shares reported herein was $212,895,232.49, including brokerage commissions. All or part of the Shares owned by the Reporting Persons may from time to time be pledged with one or more banking institutions or brokerage firms as collateral for loans made by such bank(s) or brokerage firm(s) to the Reporting Persons. Such indebtedness may be refinanced with other banks or broker dealers.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20"/>
        <w:spacing w:after="0" w:line="256" w:lineRule="auto"/>
        <w:rPr>
          <w:sz w:val="20"/>
          <w:szCs w:val="20"/>
          <w:color w:val="auto"/>
        </w:rPr>
      </w:pPr>
      <w:r>
        <w:rPr>
          <w:rFonts w:ascii="Times New Roman" w:cs="Times New Roman" w:eastAsia="Times New Roman" w:hAnsi="Times New Roman"/>
          <w:sz w:val="22"/>
          <w:szCs w:val="22"/>
          <w:color w:val="auto"/>
        </w:rPr>
        <w:t>Item 4 is amended and supplemented by adding the following: The Reporting Persons acquired additional Shares as disclosed in Item 5(c) below because they believe the Shares represent an attractive investment opportunity.</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Item 5(a) is amended and supplemented by adding the following: See rows (11) and (13) of the cover pages to this Amendment for the aggregate number of Shares and percentage of the Shares beneficially owned by each of the Reporting Persons. The aggregate percentage of Shares reported beneficially owned by each of the Reporting Persons</w:t>
      </w:r>
    </w:p>
    <w:p>
      <w:pPr>
        <w:spacing w:after="0" w:line="1" w:lineRule="exact"/>
        <w:rPr>
          <w:sz w:val="20"/>
          <w:szCs w:val="20"/>
          <w:color w:val="auto"/>
        </w:rPr>
      </w:pPr>
    </w:p>
    <w:p>
      <w:pPr>
        <w:ind w:left="920" w:right="200" w:hanging="912"/>
        <w:spacing w:after="0" w:line="203"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 based upon 45,787,777 Shares outstanding, as of March 31, 2026, as reported in the Issuer's Quarterly Report on Form 10-Q filed with the SEC on April 29, 2026. The filing of this Amendment shall not be deemed an admission that any Reporting Person is, for purposes of Section 13(d) of the Securities Exchange Act of 1934, as amended, the beneficial owner of any securities of the Issuer that he or it does not directly own. Each of the Reporting Persons specifically disclaims beneficial ownership of the securities reported herein that he or it does not directly own.</w:t>
      </w:r>
    </w:p>
    <w:p>
      <w:pPr>
        <w:spacing w:after="0" w:line="19"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Item 5(b) is amended and supplemented by adding the following: See rows (7) through (10) of the cover pages to this</w:t>
      </w:r>
    </w:p>
    <w:p>
      <w:pPr>
        <w:spacing w:after="0" w:line="25" w:lineRule="exact"/>
        <w:rPr>
          <w:rFonts w:ascii="Times New Roman" w:cs="Times New Roman" w:eastAsia="Times New Roman" w:hAnsi="Times New Roman"/>
          <w:sz w:val="42"/>
          <w:szCs w:val="42"/>
          <w:color w:val="auto"/>
          <w:vertAlign w:val="subscript"/>
        </w:rPr>
      </w:pPr>
    </w:p>
    <w:p>
      <w:pPr>
        <w:ind w:left="920" w:right="5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for the number of Shares as to which each Reporting Person has the sole or shared power to vote or direct the vote and the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5(c) is amended and supplemented by adding the following: Information concerning transactions in the Shares effected by the Reporting Persons during the past sixty (60) days or since the most recent amendment to this Schedule</w:t>
      </w:r>
    </w:p>
    <w:p>
      <w:pPr>
        <w:jc w:val="both"/>
        <w:ind w:left="920" w:right="26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13D, whichever is less, is set forth in Schedule 1 attached hereto and is incorporated herein by reference. Except as otherwise noted, all of the transactions in the Shares listed therein were effected in the open market through various brokerage entities.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5(d) is amended and supplemented by adding the following: No persons other than the Reporting Persons have</w:t>
      </w:r>
    </w:p>
    <w:p>
      <w:pPr>
        <w:spacing w:after="0" w:line="14" w:lineRule="exact"/>
        <w:rPr>
          <w:rFonts w:ascii="Times New Roman" w:cs="Times New Roman" w:eastAsia="Times New Roman" w:hAnsi="Times New Roman"/>
          <w:sz w:val="22"/>
          <w:szCs w:val="22"/>
          <w:color w:val="auto"/>
        </w:rPr>
      </w:pPr>
    </w:p>
    <w:p>
      <w:pPr>
        <w:ind w:left="920" w:right="28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receive or the power to direct the receipt of dividends from, or the proceeds from the sale of, the Shares reported in this Amendment.</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Item 6 is amended and supplemented by adding the following: Concurrently with the Share purchases disclosed in Item 5(c), Standard Latitude Master terminated early an additional portion of the Total Return Swaps, which terminated portion covered an aggregate of 490,000 Shares (representing 1.07% of the Shares of the Issuer) (the "Swap Early Terminations #3"). These Swap Early Terminations #3 have no effect on the number of shares beneficially owned by Standard Latitude Master. Following the Share purchases described in Item 5(c) above and the Swap Early Terminations #3 described herein, the Reporting Persons have economic exposure to the Issuer, when the remaining Total Return Swaps and beneficially owned Shares are combined, of approximately 9.88% of the Shares outstanding.</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20"/>
        <w:spacing w:after="0" w:line="258" w:lineRule="auto"/>
        <w:rPr>
          <w:sz w:val="20"/>
          <w:szCs w:val="20"/>
          <w:color w:val="auto"/>
        </w:rPr>
      </w:pPr>
      <w:r>
        <w:rPr>
          <w:rFonts w:ascii="Times New Roman" w:cs="Times New Roman" w:eastAsia="Times New Roman" w:hAnsi="Times New Roman"/>
          <w:sz w:val="22"/>
          <w:szCs w:val="22"/>
          <w:color w:val="auto"/>
        </w:rPr>
        <w:t>Exhibit 99.1* - Joint Filing Agreement by and among the Reporting Persons, dated December 1, 2025. * Previously filed.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Standard Investments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David S. Winter,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David J. Millstone, Managing Member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ectPr>
          <w:pgSz w:w="11900" w:h="16887" w:orient="portrait"/>
          <w:cols w:equalWidth="0" w:num="1">
            <w:col w:w="11160"/>
          </w:cols>
          <w:pgMar w:left="360" w:top="111" w:right="379" w:bottom="0"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22"/>
          <w:szCs w:val="22"/>
          <w:color w:val="auto"/>
        </w:rPr>
        <w:t>SI GP III LLC</w:t>
      </w:r>
    </w:p>
    <w:p>
      <w:pPr>
        <w:spacing w:after="0" w:line="152"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David S. Winter, Principal</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David J. Millstone, Principal</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Standard Latitude Master Fund Ltd.</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David S. Winter, Director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J. Millstone, Director</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Standard Latitude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David S. Winter, Principal of SI GP III LLC,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David J. Millstone, Principal of SI GP III LLC, its</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David S. Winter</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 Winter</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David S. Winter, Individually</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David J. Millstone</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 Millstone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J. Millstone, Individually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ectPr>
          <w:pgSz w:w="11900" w:h="16838" w:orient="portrait"/>
          <w:cols w:equalWidth="0" w:num="1">
            <w:col w:w="10000"/>
          </w:cols>
          <w:pgMar w:left="1440" w:top="261" w:right="459" w:bottom="1440" w:gutter="0" w:footer="0" w:header="0"/>
        </w:sectPr>
      </w:pPr>
    </w:p>
    <w:bookmarkStart w:id="8" w:name="page9"/>
    <w:bookmarkEnd w:id="8"/>
    <w:p>
      <w:pPr>
        <w:ind w:left="10420"/>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TRANSACTIONS IN THE SHARES OF COMMON STOCK OF THE ISSUER BY THE REPORTING PERSONS DURING THE PAST SIXTY DAYS OR SINCE THE MOST RECENT AMENDMENT TO THIS SCHEDULE 13D, WHICHEVER IS LESS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all transactions with respect to the Shares of the Issuer effected by the Reporting Persons during the past sixty (60) days or since the most recent amendment to this Schedule 13D, whichever is less, inclusive of any transactions effected through 4:00 p.m., New York City time, on May 15, 2026. Except as noted below, all such transactions were effected in the open market through brokers and the price per share excludes commissions. Where a price range is provided in the column titled “Price Range ($)”, the price reported in the column titled “Price Per Share ($)” is a weighted average price. These Shares were sold or purchased in multiple transactions at prices between the price ranges indicated in the column titled “Price Range ($)”. The Reporting Persons undertake to provide, upon request of the staff of the Securities and Exchange Commission, full information regarding the number of Shares purchased or sold at each separate price within the price ranges set forth on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9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Reporting Person Effecting Transaction</w:t>
            </w:r>
          </w:p>
        </w:tc>
        <w:tc>
          <w:tcPr>
            <w:tcW w:w="20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Price Range ($)</w:t>
            </w:r>
          </w:p>
        </w:tc>
      </w:tr>
      <w:tr>
        <w:trPr>
          <w:trHeight w:val="209"/>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05/12/2026</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122,500</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55.7642</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54.4300 – 57.6100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05/13/2026</w:t>
            </w:r>
          </w:p>
        </w:tc>
        <w:tc>
          <w:tcPr>
            <w:tcW w:w="120" w:type="dxa"/>
            <w:vAlign w:val="bottom"/>
          </w:tcPr>
          <w:p>
            <w:pPr>
              <w:spacing w:after="0"/>
              <w:rPr>
                <w:sz w:val="18"/>
                <w:szCs w:val="18"/>
                <w:color w:val="auto"/>
              </w:rPr>
            </w:pP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122,500</w:t>
            </w:r>
          </w:p>
        </w:tc>
        <w:tc>
          <w:tcPr>
            <w:tcW w:w="240" w:type="dxa"/>
            <w:vAlign w:val="bottom"/>
          </w:tcPr>
          <w:p>
            <w:pPr>
              <w:spacing w:after="0"/>
              <w:rPr>
                <w:sz w:val="18"/>
                <w:szCs w:val="18"/>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57.1543</w:t>
            </w:r>
          </w:p>
        </w:tc>
        <w:tc>
          <w:tcPr>
            <w:tcW w:w="20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56.4050 – 57.8200</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05/14/2026</w:t>
            </w:r>
          </w:p>
        </w:tc>
        <w:tc>
          <w:tcPr>
            <w:tcW w:w="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122,500</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56.4575</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55.9450 – 57.0700</w:t>
            </w: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05/15/2026</w:t>
            </w:r>
          </w:p>
        </w:tc>
        <w:tc>
          <w:tcPr>
            <w:tcW w:w="120" w:type="dxa"/>
            <w:vAlign w:val="bottom"/>
          </w:tcPr>
          <w:p>
            <w:pPr>
              <w:spacing w:after="0"/>
              <w:rPr>
                <w:sz w:val="20"/>
                <w:szCs w:val="20"/>
                <w:color w:val="auto"/>
              </w:rPr>
            </w:pP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Standard Latitude Master Fund Ltd</w:t>
            </w:r>
          </w:p>
        </w:tc>
        <w:tc>
          <w:tcPr>
            <w:tcW w:w="1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122,500</w:t>
            </w:r>
          </w:p>
        </w:tc>
        <w:tc>
          <w:tcPr>
            <w:tcW w:w="240" w:type="dxa"/>
            <w:vAlign w:val="bottom"/>
          </w:tcPr>
          <w:p>
            <w:pPr>
              <w:spacing w:after="0"/>
              <w:rPr>
                <w:sz w:val="20"/>
                <w:szCs w:val="20"/>
                <w:color w:val="auto"/>
              </w:rPr>
            </w:pPr>
          </w:p>
        </w:tc>
        <w:tc>
          <w:tcPr>
            <w:tcW w:w="17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54.7897</w:t>
            </w:r>
          </w:p>
        </w:tc>
        <w:tc>
          <w:tcPr>
            <w:tcW w:w="200" w:type="dxa"/>
            <w:vAlign w:val="bottom"/>
          </w:tcPr>
          <w:p>
            <w:pPr>
              <w:spacing w:after="0"/>
              <w:rPr>
                <w:sz w:val="20"/>
                <w:szCs w:val="20"/>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54.4300 – 55.4450</w:t>
            </w:r>
          </w:p>
        </w:tc>
      </w:tr>
      <w:tr>
        <w:trPr>
          <w:trHeight w:val="414"/>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2"/>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2026-05-18T07:16:12Z</dcterms:created>
  <dcterms:modified xsi:type="dcterms:W3CDTF">2026-05-18T07:16:12Z</dcterms:modified>
</cp:coreProperties>
</file>