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Thomas Peter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8145 BLAZER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ASHLAND INC.</w:t>
              </w:r>
            </w:hyperlink>
            <w:r>
              <w:rPr/>
              <w:t xml:space="preserve"> [ </w:t>
            </w:r>
            <w:r>
              <w:rPr>
                <w:rFonts w:ascii="Times;serif" w:hAnsi="Times;serif"/>
                <w:color w:val="0000FF"/>
                <w:sz w:val="24"/>
                <w:shd w:fill="FFFFFF" w:val="clear"/>
              </w:rPr>
              <w:t>ASH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66.38</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right to receive one (1) share of Ashland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of Restricted Stock Units granted under Ashland's Omnibus Incentive Plan. The Restricted Stock Units will vest one year after date of grant. (One (1) Restricted Stock Unit in the Deferred Compensation Plan for Non-Employee Directors is the equivalent of one (1) share of Ashland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being filed after the required filing deadline because the reporting person's EDGAR Next enrollment had not been completed prior to the filing deadline. The reporting person's EDGAR Next enrollment has since been completed, and this filing is being made promptly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Serena S. Kenost, Attorney-in-Fact for Peter T. Thomas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8620" TargetMode="External"/><Relationship Id="rId5" Type="http://schemas.openxmlformats.org/officeDocument/2006/relationships/hyperlink" Target="http://www.sec.gov/cgi-bin/browse-edgar?action=getcompany&amp;CIK=00016748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681</Words>
  <Characters>3677</Characters>
  <CharactersWithSpaces>4285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