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ASHLAND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Massachusetts Financial Services Company</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2,032,989.00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2,037,663.00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2,037,663.00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ASHLAND INC.</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8145 Blazer Drive, Wilmington, DE 19808</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Massachusetts Financial Services Company</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111 Huntington Avenue, Boston, MA 02199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Delaware</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2,037,663 shares of Common Stock consisting of shares beneficially owned by MFS and/or certain other non-reporting entities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4.5  %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2,032,989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2,037,663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912" w:type="dxa"/>
        <w:jc w:val="left"/>
        <w:tblInd w:w="0" w:type="dxa"/>
        <w:tblLayout w:type="fixed"/>
        <w:tblCellMar>
          <w:top w:w="28" w:type="dxa"/>
          <w:left w:w="28" w:type="dxa"/>
          <w:bottom w:w="28" w:type="dxa"/>
          <w:right w:w="28" w:type="dxa"/>
        </w:tblCellMar>
      </w:tblPr>
      <w:tblGrid>
        <w:gridCol w:w="4456"/>
        <w:gridCol w:w="4456"/>
      </w:tblGrid>
      <w:tr>
        <w:trPr/>
        <w:tc>
          <w:tcPr>
            <w:tcW w:w="4456" w:type="dxa"/>
            <w:tcBorders/>
            <w:vAlign w:val="center"/>
          </w:tcPr>
          <w:p>
            <w:pPr>
              <w:pStyle w:val="TableContents"/>
              <w:bidi w:val="0"/>
              <w:spacing w:before="0" w:after="0"/>
              <w:jc w:val="left"/>
              <w:rPr/>
            </w:pPr>
            <w:r>
              <w:rPr/>
              <w:t> </w:t>
            </w:r>
          </w:p>
          <w:tbl>
            <w:tblPr>
              <w:tblW w:w="4291" w:type="dxa"/>
              <w:jc w:val="left"/>
              <w:tblInd w:w="0" w:type="dxa"/>
              <w:tblLayout w:type="fixed"/>
              <w:tblCellMar>
                <w:top w:w="28" w:type="dxa"/>
                <w:left w:w="28" w:type="dxa"/>
                <w:bottom w:w="28" w:type="dxa"/>
                <w:right w:w="28" w:type="dxa"/>
              </w:tblCellMar>
            </w:tblPr>
            <w:tblGrid>
              <w:gridCol w:w="4291"/>
            </w:tblGrid>
            <w:tr>
              <w:trPr/>
              <w:tc>
                <w:tcPr>
                  <w:tcW w:w="4291" w:type="dxa"/>
                  <w:tcBorders/>
                  <w:vAlign w:val="center"/>
                </w:tcPr>
                <w:p>
                  <w:pPr>
                    <w:pStyle w:val="TableContents"/>
                    <w:bidi w:val="0"/>
                    <w:spacing w:before="0" w:after="0"/>
                    <w:jc w:val="left"/>
                    <w:rPr/>
                  </w:pPr>
                  <w:r>
                    <w:rPr/>
                    <w:t>Massachusetts Financial Services Company</w:t>
                  </w:r>
                </w:p>
              </w:tc>
            </w:tr>
          </w:tbl>
          <w:p>
            <w:pPr>
              <w:pStyle w:val="TableContents"/>
              <w:bidi w:val="0"/>
              <w:spacing w:before="0" w:after="283"/>
              <w:jc w:val="left"/>
              <w:rPr/>
            </w:pPr>
            <w:r>
              <w:rPr/>
            </w:r>
          </w:p>
        </w:tc>
        <w:tc>
          <w:tcPr>
            <w:tcW w:w="445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5"/>
        <w:gridCol w:w="4260"/>
      </w:tblGrid>
      <w:tr>
        <w:trPr/>
        <w:tc>
          <w:tcPr>
            <w:tcW w:w="59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Deepu Pylee</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Compliance Director</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07/29/2026</w:t>
                  </w:r>
                </w:p>
              </w:tc>
            </w:tr>
          </w:tbl>
          <w:p>
            <w:pPr>
              <w:pStyle w:val="TableContents"/>
              <w:bidi w:val="0"/>
              <w:spacing w:before="0" w:after="283"/>
              <w:jc w:val="left"/>
              <w:rPr/>
            </w:pPr>
            <w:r>
              <w:rPr/>
            </w:r>
          </w:p>
        </w:tc>
        <w:tc>
          <w:tcPr>
            <w:tcW w:w="42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739</Words>
  <Characters>3861</Characters>
  <CharactersWithSpaces>4596</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