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98425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127000</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059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0"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Title of each class</w:t>
            </w:r>
          </w:p>
        </w:tc>
        <w:tc>
          <w:tcPr>
            <w:tcW w:w="1720" w:type="dxa"/>
            <w:vAlign w:val="bottom"/>
          </w:tcPr>
          <w:p>
            <w:pPr>
              <w:spacing w:after="0"/>
              <w:rPr>
                <w:sz w:val="14"/>
                <w:szCs w:val="14"/>
                <w:color w:val="auto"/>
              </w:rPr>
            </w:pP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30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Common Stock, par value $.01 per share</w:t>
            </w:r>
          </w:p>
        </w:tc>
        <w:tc>
          <w:tcPr>
            <w:tcW w:w="1720" w:type="dxa"/>
            <w:vAlign w:val="bottom"/>
          </w:tcPr>
          <w:p>
            <w:pPr>
              <w:spacing w:after="0"/>
              <w:rPr>
                <w:sz w:val="21"/>
                <w:szCs w:val="21"/>
                <w:color w:val="auto"/>
              </w:rPr>
            </w:pP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6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40" w:type="dxa"/>
            <w:vAlign w:val="bottom"/>
          </w:tcPr>
          <w:p>
            <w:pPr>
              <w:spacing w:after="0"/>
              <w:rPr>
                <w:sz w:val="22"/>
                <w:szCs w:val="22"/>
                <w:color w:val="auto"/>
              </w:rPr>
            </w:pP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firstLine="48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firstLine="48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80" w:right="13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December 31, 2020, there were 60,667,388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ind w:left="3900"/>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6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47"/>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2040" w:type="dxa"/>
            <w:vAlign w:val="bottom"/>
            <w:tcBorders>
              <w:top w:val="single" w:sz="8" w:color="auto"/>
            </w:tcBorders>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552</w:t>
            </w:r>
          </w:p>
        </w:tc>
        <w:tc>
          <w:tcPr>
            <w:tcW w:w="980" w:type="dxa"/>
            <w:vAlign w:val="bottom"/>
            <w:tcBorders>
              <w:top w:val="single" w:sz="8" w:color="auto"/>
            </w:tcBorders>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Intangibles amortization expense</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income</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interest and other expense (income)</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on divestitures</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 share - Note M</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0.92</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M</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9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5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0.91</w:t>
            </w:r>
          </w:p>
        </w:tc>
        <w:tc>
          <w:tcPr>
            <w:tcW w:w="16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w:t>
            </w:r>
          </w:p>
        </w:tc>
        <w:tc>
          <w:tcPr>
            <w:tcW w:w="15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5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49" w:right="739" w:bottom="1440" w:gutter="0" w:footer="0" w:header="0"/>
        </w:sectPr>
      </w:pPr>
    </w:p>
    <w:bookmarkStart w:id="2" w:name="page3"/>
    <w:bookmarkEnd w:id="2"/>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5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December 31</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7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03"/>
        </w:trPr>
        <w:tc>
          <w:tcPr>
            <w:tcW w:w="6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7040" w:type="dxa"/>
            <w:vAlign w:val="bottom"/>
            <w:tcBorders>
              <w:bottom w:val="single" w:sz="8" w:color="CFF0FC"/>
            </w:tcBorders>
            <w:gridSpan w:val="2"/>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471</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529</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1,381</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1,547</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3,265</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1,748</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1,700</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1,565</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1,758</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397</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5,361</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5,330</w:t>
            </w:r>
          </w:p>
        </w:tc>
      </w:tr>
      <w:tr>
        <w:trPr>
          <w:trHeight w:val="263"/>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6,742</w:t>
            </w:r>
          </w:p>
        </w:tc>
        <w:tc>
          <w:tcPr>
            <w:tcW w:w="1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6,877</w:t>
            </w:r>
          </w:p>
        </w:tc>
      </w:tr>
      <w:tr>
        <w:trPr>
          <w:trHeight w:val="210"/>
        </w:trPr>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189"/>
        </w:trPr>
        <w:tc>
          <w:tcPr>
            <w:tcW w:w="77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280</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277</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operating lease obligations - Note I</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23"/>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813</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Long-term debt - Note H</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1,573</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litigation reserve - Note L</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229</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 - Note K</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obligations - Note I</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432</w:t>
            </w:r>
          </w:p>
        </w:tc>
      </w:tr>
      <w:tr>
        <w:trPr>
          <w:trHeight w:val="223"/>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Total noncurrent liabilities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3,035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3,028</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L</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3,122</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3,036</w:t>
            </w:r>
          </w:p>
        </w:tc>
      </w:tr>
      <w:tr>
        <w:trPr>
          <w:trHeight w:val="223"/>
        </w:trPr>
        <w:tc>
          <w:tcPr>
            <w:tcW w:w="6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6,742</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6,877</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credit losses of $3 million at both December 31, 2020 and September 30, 2020.</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Asbestos insurance receivable includes an allowance for credit losses of $3 million at December 31, 2020.</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2"/>
              </w:rPr>
              <w:t>Accumulated</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29"/>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w w:val="96"/>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capital</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0"/>
              </w:rPr>
              <w:t>(a)</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 xml:space="preserve">Adoption of new accounting pronouncement </w:t>
            </w:r>
            <w:r>
              <w:rPr>
                <w:rFonts w:ascii="Arial" w:cs="Arial" w:eastAsia="Arial" w:hAnsi="Arial"/>
                <w:sz w:val="14"/>
                <w:szCs w:val="14"/>
                <w:color w:val="auto"/>
              </w:rPr>
              <w:t>(b)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0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Regular dividends, $0.275 per common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 xml:space="preserve">Common shares issued under stock incentive and other plans </w:t>
            </w:r>
            <w:r>
              <w:rPr>
                <w:rFonts w:ascii="Arial" w:cs="Arial" w:eastAsia="Arial" w:hAnsi="Arial"/>
                <w:sz w:val="14"/>
                <w:szCs w:val="14"/>
                <w:color w:val="auto"/>
                <w:w w:val="92"/>
              </w:rPr>
              <w:t>(c)</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3,122</w:t>
            </w: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6"/>
        </w:trPr>
        <w:tc>
          <w:tcPr>
            <w:tcW w:w="5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360" w:hanging="352"/>
        <w:spacing w:after="0" w:line="265" w:lineRule="auto"/>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At December 31, 2020 and September 30, 2020, the after-tax accumulated other comprehensive loss of $335 million and $383 million, respectively, was each comprised of net unrealized translation losses of $333 million and $381 million, respectively, and unrecognized prior service costs as a result of certain employee benefit plan amendments of $2 million, each.</w:t>
      </w:r>
    </w:p>
    <w:p>
      <w:pPr>
        <w:ind w:left="360" w:hanging="352"/>
        <w:spacing w:after="0" w:line="183" w:lineRule="auto"/>
        <w:tabs>
          <w:tab w:leader="none" w:pos="360" w:val="left"/>
        </w:tabs>
        <w:numPr>
          <w:ilvl w:val="0"/>
          <w:numId w:val="4"/>
        </w:numPr>
        <w:rPr>
          <w:rFonts w:ascii="Arial" w:cs="Arial" w:eastAsia="Arial" w:hAnsi="Arial"/>
          <w:sz w:val="23"/>
          <w:szCs w:val="23"/>
          <w:color w:val="auto"/>
          <w:vertAlign w:val="superscript"/>
        </w:rPr>
      </w:pPr>
      <w:r>
        <w:rPr>
          <w:rFonts w:ascii="Arial" w:cs="Arial" w:eastAsia="Arial" w:hAnsi="Arial"/>
          <w:sz w:val="12"/>
          <w:szCs w:val="12"/>
          <w:color w:val="auto"/>
        </w:rPr>
        <w:t>Represents the cumulative-effect adjustment, net of tax, for the adoption of the new accounting pronouncement related to the measurement of credit losses on financial instruments.</w:t>
      </w:r>
    </w:p>
    <w:p>
      <w:pPr>
        <w:spacing w:after="0" w:line="6"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99,194 for the three months ended December 31, 2020</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4" w:name="page5"/>
    <w:bookmarkEnd w:id="4"/>
    <w:p>
      <w:pPr>
        <w:ind w:right="382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104140</wp:posOffset>
            </wp:positionV>
            <wp:extent cx="6626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5"/>
                <w:szCs w:val="15"/>
                <w:color w:val="auto"/>
              </w:rPr>
              <w:t>Three months ended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gridSpan w:val="2"/>
            <w:vMerge w:val="restart"/>
          </w:tcPr>
          <w:p>
            <w:pPr>
              <w:spacing w:after="0"/>
              <w:rPr>
                <w:sz w:val="20"/>
                <w:szCs w:val="20"/>
                <w:color w:val="auto"/>
              </w:rPr>
            </w:pPr>
            <w:r>
              <w:rPr>
                <w:rFonts w:ascii="Arial" w:cs="Arial" w:eastAsia="Arial" w:hAnsi="Arial"/>
                <w:sz w:val="15"/>
                <w:szCs w:val="15"/>
                <w:color w:val="auto"/>
              </w:rPr>
              <w:t>(In millions - unaudited)</w:t>
            </w:r>
          </w:p>
        </w:tc>
        <w:tc>
          <w:tcPr>
            <w:tcW w:w="1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5"/>
                <w:szCs w:val="15"/>
                <w:color w:val="auto"/>
              </w:rPr>
              <w:t>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2020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40" w:type="dxa"/>
            <w:vAlign w:val="bottom"/>
            <w:tcBorders>
              <w:top w:val="single" w:sz="8" w:color="auto"/>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CASH FLOWS PROVIDED (USED) BY OPERATING ACTIVITIES FROM</w:t>
            </w:r>
          </w:p>
        </w:tc>
        <w:tc>
          <w:tcPr>
            <w:tcW w:w="10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shd w:val="clear" w:color="auto" w:fill="CFF0FC"/>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14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56</w:t>
            </w:r>
          </w:p>
        </w:tc>
        <w:tc>
          <w:tcPr>
            <w:tcW w:w="940" w:type="dxa"/>
            <w:vAlign w:val="bottom"/>
            <w:gridSpan w:val="2"/>
          </w:tcPr>
          <w:p>
            <w:pPr>
              <w:jc w:val="right"/>
              <w:ind w:right="70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Loss from discontinued operations (net of income taxes)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5</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Adjustments to reconcile income from continuing operations to</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flows from operating activities: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Original issue discount and debt issuance costs amortization</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Deferred income taxes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Gain from sales of property and equipment</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Stock based compensation expense</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Income from restricted investments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Net income on divestitures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Impairments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9</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Pension contributions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Change in operating assets and liabilities (a)</w:t>
            </w:r>
          </w:p>
        </w:tc>
        <w:tc>
          <w:tcPr>
            <w:tcW w:w="102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Pr>
          <w:p>
            <w:pPr>
              <w:ind w:left="240"/>
              <w:spacing w:after="0" w:line="169" w:lineRule="exact"/>
              <w:rPr>
                <w:sz w:val="20"/>
                <w:szCs w:val="20"/>
                <w:color w:val="auto"/>
              </w:rPr>
            </w:pPr>
            <w:r>
              <w:rPr>
                <w:rFonts w:ascii="Arial" w:cs="Arial" w:eastAsia="Arial" w:hAnsi="Arial"/>
                <w:sz w:val="15"/>
                <w:szCs w:val="15"/>
                <w:color w:val="auto"/>
              </w:rPr>
              <w:t>Total cash flows provided (used) by operating activities from continuing operations</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106</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shd w:val="clear" w:color="auto" w:fill="CFF0FC"/>
          </w:tcPr>
          <w:p>
            <w:pPr>
              <w:spacing w:after="0" w:line="159" w:lineRule="exact"/>
              <w:rPr>
                <w:sz w:val="20"/>
                <w:szCs w:val="20"/>
                <w:color w:val="auto"/>
              </w:rPr>
            </w:pPr>
            <w:r>
              <w:rPr>
                <w:rFonts w:ascii="Arial" w:cs="Arial" w:eastAsia="Arial" w:hAnsi="Arial"/>
                <w:sz w:val="15"/>
                <w:szCs w:val="15"/>
                <w:b w:val="1"/>
                <w:bCs w:val="1"/>
                <w:color w:val="auto"/>
              </w:rPr>
              <w:t>CASH FLOWS PROVIDED (USED) BY INVESTING ACTIVITIES FROM</w:t>
            </w:r>
          </w:p>
        </w:tc>
        <w:tc>
          <w:tcPr>
            <w:tcW w:w="10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shd w:val="clear" w:color="auto" w:fill="CFF0FC"/>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Additions to property, plant and equipment</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disposal of property, plant and equipment</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5</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Proceeds from sale or restructuring of operations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Net purchase of funds restricted for specific transactions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Reimbursement from restricted investments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sales of securities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Purchase of securities</w:t>
            </w: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ind w:left="240"/>
              <w:spacing w:after="0" w:line="169" w:lineRule="exact"/>
              <w:rPr>
                <w:sz w:val="20"/>
                <w:szCs w:val="20"/>
                <w:color w:val="auto"/>
              </w:rPr>
            </w:pPr>
            <w:r>
              <w:rPr>
                <w:rFonts w:ascii="Arial" w:cs="Arial" w:eastAsia="Arial" w:hAnsi="Arial"/>
                <w:sz w:val="15"/>
                <w:szCs w:val="15"/>
                <w:color w:val="auto"/>
              </w:rPr>
              <w:t>Total cash flows used by investing activities from continuing operations</w:t>
            </w: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FINANCING ACTIVITIES FROM</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(repayment of) short-term debt</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Cash dividends paid</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Stock based compensation employee withholding taxes paid in cash</w:t>
            </w:r>
          </w:p>
        </w:tc>
        <w:tc>
          <w:tcPr>
            <w:tcW w:w="102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CFF0FC"/>
            </w:tcBorders>
          </w:tcPr>
          <w:p>
            <w:pPr>
              <w:ind w:left="240"/>
              <w:spacing w:after="0" w:line="169" w:lineRule="exact"/>
              <w:rPr>
                <w:sz w:val="20"/>
                <w:szCs w:val="20"/>
                <w:color w:val="auto"/>
              </w:rPr>
            </w:pPr>
            <w:r>
              <w:rPr>
                <w:rFonts w:ascii="Arial" w:cs="Arial" w:eastAsia="Arial" w:hAnsi="Arial"/>
                <w:sz w:val="15"/>
                <w:szCs w:val="15"/>
                <w:color w:val="auto"/>
              </w:rPr>
              <w:t>Total cash flows used by financing activities from continuing operations</w:t>
            </w:r>
          </w:p>
        </w:tc>
        <w:tc>
          <w:tcPr>
            <w:tcW w:w="10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(207)</w:t>
            </w:r>
          </w:p>
        </w:tc>
        <w:tc>
          <w:tcPr>
            <w:tcW w:w="1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PROVIDED (USED) BY CONTINUING OPERATIONS</w:t>
            </w: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(105)</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Cash provided (used) by discontinued operations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Operating cash flows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480"/>
              <w:spacing w:after="0"/>
              <w:rPr>
                <w:sz w:val="20"/>
                <w:szCs w:val="20"/>
                <w:color w:val="auto"/>
              </w:rPr>
            </w:pPr>
            <w:r>
              <w:rPr>
                <w:rFonts w:ascii="Arial" w:cs="Arial" w:eastAsia="Arial" w:hAnsi="Arial"/>
                <w:sz w:val="15"/>
                <w:szCs w:val="15"/>
                <w:color w:val="auto"/>
              </w:rPr>
              <w:t>Investing cash flows</w:t>
            </w: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ind w:left="240"/>
              <w:spacing w:after="0" w:line="169" w:lineRule="exact"/>
              <w:rPr>
                <w:sz w:val="20"/>
                <w:szCs w:val="20"/>
                <w:color w:val="auto"/>
              </w:rPr>
            </w:pPr>
            <w:r>
              <w:rPr>
                <w:rFonts w:ascii="Arial" w:cs="Arial" w:eastAsia="Arial" w:hAnsi="Arial"/>
                <w:sz w:val="15"/>
                <w:szCs w:val="15"/>
                <w:color w:val="auto"/>
              </w:rPr>
              <w:t>Total cash provided (used) by discontinued operations</w:t>
            </w: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Effect of currency exchange rate changes on cash and cash equivalents</w:t>
            </w: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INCREASE (DECREASE) IN CASH AND CASH EQUIVALENTS</w:t>
            </w:r>
          </w:p>
        </w:tc>
        <w:tc>
          <w:tcPr>
            <w:tcW w:w="102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w:t>
            </w:r>
          </w:p>
        </w:tc>
        <w:tc>
          <w:tcPr>
            <w:tcW w:w="18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9"/>
        </w:trPr>
        <w:tc>
          <w:tcPr>
            <w:tcW w:w="63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AND CASH EQUIVALENTS - BEGINNING OF PERIOD</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454</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CASH AND CASH EQUIVALENTS - END OF PERIOD</w:t>
            </w:r>
          </w:p>
        </w:tc>
        <w:tc>
          <w:tcPr>
            <w:tcW w:w="10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vMerge w:val="continue"/>
            <w:shd w:val="clear" w:color="auto" w:fill="CFF0FC"/>
          </w:tcPr>
          <w:p>
            <w:pPr>
              <w:spacing w:after="0"/>
              <w:rPr>
                <w:sz w:val="14"/>
                <w:szCs w:val="14"/>
                <w:color w:val="auto"/>
              </w:rPr>
            </w:pPr>
          </w:p>
        </w:tc>
        <w:tc>
          <w:tcPr>
            <w:tcW w:w="1480" w:type="dxa"/>
            <w:vAlign w:val="bottom"/>
            <w:gridSpan w:val="2"/>
            <w:shd w:val="clear" w:color="auto" w:fill="CFF0FC"/>
          </w:tcPr>
          <w:p>
            <w:pPr>
              <w:jc w:val="right"/>
              <w:ind w:right="38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335</w:t>
            </w:r>
          </w:p>
        </w:tc>
        <w:tc>
          <w:tcPr>
            <w:tcW w:w="940" w:type="dxa"/>
            <w:vAlign w:val="bottom"/>
            <w:gridSpan w:val="2"/>
            <w:shd w:val="clear" w:color="auto" w:fill="CFF0FC"/>
          </w:tcPr>
          <w:p>
            <w:pPr>
              <w:jc w:val="right"/>
              <w:ind w:right="700"/>
              <w:spacing w:after="0" w:line="169" w:lineRule="exact"/>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137160</wp:posOffset>
            </wp:positionV>
            <wp:extent cx="6626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670" w:right="739" w:bottom="1440" w:gutter="0" w:footer="0" w:header="0"/>
        </w:sectPr>
      </w:pPr>
    </w:p>
    <w:bookmarkStart w:id="5" w:name="page6"/>
    <w:bookmarkEnd w:id="5"/>
    <w:p>
      <w:pPr>
        <w:ind w:right="386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42"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2020. Results of operations for the period ended December 31, 2020 are not necessarily indicative of the expected results for the remaining quarters in the fiscal year. All amounts are presented in millions except per-share amounts.</w:t>
      </w:r>
    </w:p>
    <w:p>
      <w:pPr>
        <w:spacing w:after="0" w:line="89"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 For additional information, see Note Q.</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7"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2020. The following standards relevant to Ashland were either issued or adopted in the current fiscal year or will become effective in a subsequent period.</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76" w:right="699" w:bottom="1440" w:gutter="0" w:footer="0" w:header="0"/>
        </w:sectPr>
      </w:pPr>
    </w:p>
    <w:bookmarkStart w:id="6" w:name="page7"/>
    <w:bookmarkEnd w:id="6"/>
    <w:p>
      <w:pPr>
        <w:jc w:val="both"/>
        <w:ind w:left="360"/>
        <w:spacing w:after="0" w:line="278" w:lineRule="auto"/>
        <w:rPr>
          <w:sz w:val="20"/>
          <w:szCs w:val="20"/>
          <w:color w:val="auto"/>
        </w:rPr>
      </w:pPr>
      <w:r>
        <w:rPr>
          <w:rFonts w:ascii="Arial" w:cs="Arial" w:eastAsia="Arial" w:hAnsi="Arial"/>
          <w:sz w:val="18"/>
          <w:szCs w:val="18"/>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became effective for Ashland on October 1, 2020. As a result, Ashland recorded a $3 million increase in its allowance for credit losses, primarily related to asbestos receivables, and a $2 million decrease to retained earnings, net of tax, reflecting the cumulative effect on retained earnings.</w:t>
      </w:r>
    </w:p>
    <w:p>
      <w:pPr>
        <w:spacing w:after="0" w:line="57" w:lineRule="exact"/>
        <w:rPr>
          <w:sz w:val="20"/>
          <w:szCs w:val="20"/>
          <w:color w:val="auto"/>
        </w:rPr>
      </w:pPr>
    </w:p>
    <w:p>
      <w:pPr>
        <w:jc w:val="both"/>
        <w:ind w:left="360"/>
        <w:spacing w:after="0" w:line="273" w:lineRule="auto"/>
        <w:rPr>
          <w:sz w:val="20"/>
          <w:szCs w:val="20"/>
          <w:color w:val="auto"/>
        </w:rPr>
      </w:pPr>
      <w:r>
        <w:rPr>
          <w:rFonts w:ascii="Arial" w:cs="Arial" w:eastAsia="Arial" w:hAnsi="Arial"/>
          <w:sz w:val="18"/>
          <w:szCs w:val="18"/>
          <w:color w:val="auto"/>
        </w:rPr>
        <w:t>Under the new expected credit loss model, Ashland records an allowance for credit losses inherent in its receivables from revenue transactions and reinsurance recoverables. The allowance for credit losses is a valuation account deducted from the amortized cost basis of the assets to present their net carrying value at the amount expected to be collected.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For the three months ending December 31, 2020, no significant credit losses were incurred within the Statements of Consolidated Comprehensive Income (Loss).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 Enterprises (INEOS).</w:t>
      </w:r>
    </w:p>
    <w:p>
      <w:pPr>
        <w:spacing w:after="0" w:line="69"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September 30, 2020, Ashland completed the sale of its Maleic business to AOC. Net proceeds from the sale were approximately $98 million.</w:t>
      </w:r>
    </w:p>
    <w:p>
      <w:pPr>
        <w:spacing w:after="0" w:line="69"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Since this disposal group signifies a strategic shift in Ashland’s business and had a major effect of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57"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Subsequent to the completion of the sale, Ashland is providing certain transition services to INEOS for a fee. While the transition services are expected to vary in duration depending upon the type of service provided, Ashland expects to reduce certain costs as the transition services are completed. Ashland recognized transition service fee income of $3 million during the three months ended December 31, 2020 and 2019.</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Other manufacturing facility sales</w:t>
      </w:r>
    </w:p>
    <w:p>
      <w:pPr>
        <w:spacing w:after="0" w:line="114"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During the three months ended December 31, 2020, Ashland completed the sale of a Specialty Additives facility, the assets and liabilities of which were classified as held for sale as of September 30, 2020. Net proceeds from the sale were approximately $14 million in the current quarter ($20 million in total including a deposit received in fiscal year 2020) and the Company recognized a pre-tax gain of $14 million recorded within the Net income on divestitures caption in the Statements of Consolidated Comprehensive Income (Loss).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83"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Components of amounts reflected in the Statements of Consolidated Comprehensive Income (Loss) related to discontinued operations are presented in the following table for the three months ended December 31, 2020 and 2019.</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60" w:right="699" w:bottom="1440" w:gutter="0" w:footer="0" w:header="0"/>
        </w:sectPr>
      </w:pPr>
    </w:p>
    <w:bookmarkStart w:id="7" w:name="page8"/>
    <w:bookmarkEnd w:id="7"/>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5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4"/>
          </w:tcPr>
          <w:p>
            <w:pPr>
              <w:jc w:val="right"/>
              <w:ind w:right="289"/>
              <w:spacing w:after="0"/>
              <w:rPr>
                <w:sz w:val="20"/>
                <w:szCs w:val="20"/>
                <w:color w:val="auto"/>
              </w:rPr>
            </w:pPr>
            <w:r>
              <w:rPr>
                <w:rFonts w:ascii="Arial" w:cs="Arial" w:eastAsia="Arial" w:hAnsi="Arial"/>
                <w:sz w:val="18"/>
                <w:szCs w:val="18"/>
                <w:color w:val="auto"/>
              </w:rPr>
              <w:t>Three months ended</w:t>
            </w:r>
          </w:p>
        </w:tc>
        <w:tc>
          <w:tcPr>
            <w:tcW w:w="8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1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17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Water Technologies</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Gain (loss) on disposal of discontinued operations (net of</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b w:val="1"/>
                <w:bCs w:val="1"/>
                <w:color w:val="auto"/>
              </w:rPr>
              <w:t>taxes)</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Composites/Marl facility</w:t>
            </w:r>
          </w:p>
        </w:tc>
        <w:tc>
          <w:tcPr>
            <w:tcW w:w="12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pacing w:after="0" w:line="213" w:lineRule="exact"/>
        <w:rPr>
          <w:sz w:val="20"/>
          <w:szCs w:val="20"/>
          <w:color w:val="auto"/>
        </w:rPr>
      </w:pPr>
    </w:p>
    <w:p>
      <w:pPr>
        <w:jc w:val="both"/>
        <w:ind w:left="360" w:right="360"/>
        <w:spacing w:after="0" w:line="263"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months ended December 31, 2019. The Maleic business, which was sold during fiscal 2020 to AOC, was operated under the Composites business and Marl facility disposal group and is therefore reported in discontinued operations.</w:t>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8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2"/>
              </w:rPr>
              <w:t>Three months ended</w:t>
            </w: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05"/>
        </w:trPr>
        <w:tc>
          <w:tcPr>
            <w:tcW w:w="20" w:type="dxa"/>
            <w:vAlign w:val="bottom"/>
          </w:tcPr>
          <w:p>
            <w:pPr>
              <w:spacing w:after="0"/>
              <w:rPr>
                <w:sz w:val="17"/>
                <w:szCs w:val="17"/>
                <w:color w:val="auto"/>
              </w:rPr>
            </w:pPr>
          </w:p>
        </w:tc>
        <w:tc>
          <w:tcPr>
            <w:tcW w:w="8240" w:type="dxa"/>
            <w:vAlign w:val="bottom"/>
            <w:tcBorders>
              <w:top w:val="single" w:sz="8" w:color="auto"/>
            </w:tcBorders>
            <w:shd w:val="clear" w:color="auto" w:fill="CFF0FC"/>
          </w:tcPr>
          <w:p>
            <w:pPr>
              <w:ind w:left="100"/>
              <w:spacing w:after="0" w:line="205" w:lineRule="exact"/>
              <w:rPr>
                <w:sz w:val="20"/>
                <w:szCs w:val="20"/>
                <w:color w:val="auto"/>
              </w:rPr>
            </w:pPr>
            <w:r>
              <w:rPr>
                <w:rFonts w:ascii="Arial" w:cs="Arial" w:eastAsia="Arial" w:hAnsi="Arial"/>
                <w:sz w:val="18"/>
                <w:szCs w:val="18"/>
                <w:b w:val="1"/>
                <w:bCs w:val="1"/>
                <w:color w:val="auto"/>
              </w:rPr>
              <w:t>Income (loss) from discontinued operations attributable</w:t>
            </w: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980" w:type="dxa"/>
            <w:vAlign w:val="bottom"/>
            <w:tcBorders>
              <w:top w:val="single" w:sz="8" w:color="auto"/>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 Composites/Marl facility</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8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Sales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8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8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8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14" w:lineRule="exact"/>
        <w:rPr>
          <w:sz w:val="20"/>
          <w:szCs w:val="20"/>
          <w:color w:val="auto"/>
        </w:rPr>
      </w:pPr>
    </w:p>
    <w:p>
      <w:pPr>
        <w:jc w:val="both"/>
        <w:ind w:left="360" w:right="36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Fiscal 2020 and 2021 restructuring costs</w:t>
      </w:r>
    </w:p>
    <w:p>
      <w:pPr>
        <w:spacing w:after="0" w:line="114"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During the three months ended December 31, 2020 and 2019, Ashland incurred severance expense of $8 million and $3 million, respectively, attributable to executive management changes and business management changes within the organization. As of December 31, 2020, the severance reserve associated with this transition was $36 million.</w:t>
      </w:r>
    </w:p>
    <w:p>
      <w:pPr>
        <w:spacing w:after="0" w:line="78"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The following table details at December 31, 2020 and 2019, the amount of restructuring severance reserves related to this program. The severance reserves were primarily recorded within accrued expenses and other liabilities in the Condensed Consolidated Balance Sheet as of December 31, 2020 and December 31,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1"/>
                <w:szCs w:val="21"/>
                <w:color w:val="auto"/>
              </w:rPr>
            </w:pPr>
          </w:p>
        </w:tc>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4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2020</w:t>
            </w:r>
          </w:p>
        </w:tc>
        <w:tc>
          <w:tcPr>
            <w:tcW w:w="34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Restructuring reserve</w:t>
            </w: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34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342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20" w:type="dxa"/>
            <w:vAlign w:val="bottom"/>
            <w:vMerge w:val="restart"/>
          </w:tcPr>
          <w:p>
            <w:pPr>
              <w:jc w:val="right"/>
              <w:ind w:right="193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 w:name="page9"/>
    <w:bookmarkEnd w:id="8"/>
    <w:tbl>
      <w:tblPr>
        <w:tblLayout w:type="fixed"/>
        <w:tblInd w:w="400" w:type="dxa"/>
        <w:tblCellMar>
          <w:top w:w="0" w:type="dxa"/>
          <w:left w:w="0" w:type="dxa"/>
          <w:bottom w:w="0" w:type="dxa"/>
          <w:right w:w="0" w:type="dxa"/>
        </w:tblCellMar>
      </w:tblPr>
      <w:tr>
        <w:trPr>
          <w:trHeight w:val="243"/>
        </w:trPr>
        <w:tc>
          <w:tcPr>
            <w:tcW w:w="7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Balance at of September 30, 2019</w:t>
            </w: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shd w:val="clear" w:color="auto" w:fill="CFF0FC"/>
          </w:tcPr>
          <w:p>
            <w:pPr>
              <w:spacing w:after="0"/>
              <w:rPr>
                <w:sz w:val="19"/>
                <w:szCs w:val="19"/>
                <w:color w:val="auto"/>
              </w:rPr>
            </w:pP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Fiscal 2018 restructuring costs</w:t>
      </w:r>
    </w:p>
    <w:p>
      <w:pPr>
        <w:spacing w:after="0" w:line="114"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During fiscal 2018, Ashland initiated a company-wide cost reduction program as a result of ongoing strategic asset plans and activities. As part of this restructuring program, Ashland announced a voluntary severance offer to certain qualifying employees that was formally approved during 2018. Additionally, during fiscal 2018, an involuntary program for employees was also initiated as part of the restructuring program. These programs resulted in additional severance expense of $1 million for the three months ended December 31, 2019 which was primarily recorded within the selling, general and administrative expense caption of the Statement of Consolidated Comprehensive Income (Loss). As of December 31, 2020, the severance reserve for the company-wide restructuring program was zero.</w:t>
      </w:r>
    </w:p>
    <w:p>
      <w:pPr>
        <w:spacing w:after="0" w:line="85"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following table details at December 31, 2019, the amount of restructuring reserves related to the programs discussed above, and the related activity in these reserves during the three months ended December 31, 2019. The severance reserve was primarily recorded within accrued expenses and other liabilities in the Condensed Consolidated Balance Sheet as of December 31, 2019.</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65" w:right="699" w:bottom="1440" w:gutter="0" w:footer="0" w:header="0"/>
        </w:sectPr>
      </w:pPr>
    </w:p>
    <w:bookmarkStart w:id="9" w:name="page10"/>
    <w:bookmarkEnd w:id="9"/>
    <w:p>
      <w:pPr>
        <w:ind w:left="1"/>
        <w:spacing w:after="0"/>
        <w:rPr>
          <w:sz w:val="20"/>
          <w:szCs w:val="20"/>
          <w:color w:val="auto"/>
        </w:rPr>
      </w:pPr>
      <w:r>
        <w:rPr>
          <w:rFonts w:ascii="Arial" w:cs="Arial" w:eastAsia="Arial" w:hAnsi="Arial"/>
          <w:sz w:val="18"/>
          <w:szCs w:val="18"/>
          <w:color w:val="auto"/>
        </w:rPr>
        <w:t>The following table summarizes financial instruments subject to recurring fair value measurements as of December 31, 2020.</w:t>
      </w:r>
    </w:p>
    <w:p>
      <w:pPr>
        <w:spacing w:after="0" w:line="141"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Quoted prices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in 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8"/>
                <w:szCs w:val="18"/>
                <w:color w:val="auto"/>
              </w:rPr>
            </w:pPr>
          </w:p>
        </w:tc>
        <w:tc>
          <w:tcPr>
            <w:tcW w:w="114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335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346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689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FF0FC"/>
          </w:tcPr>
          <w:p>
            <w:pPr>
              <w:jc w:val="right"/>
              <w:ind w:right="654"/>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61" w:hanging="361"/>
        <w:spacing w:after="0"/>
        <w:tabs>
          <w:tab w:leader="none" w:pos="36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361" w:hanging="361"/>
        <w:spacing w:after="0"/>
        <w:tabs>
          <w:tab w:leader="none" w:pos="36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2020.</w:t>
      </w:r>
    </w:p>
    <w:p>
      <w:pPr>
        <w:spacing w:after="0" w:line="141"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454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795</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85090</wp:posOffset>
            </wp:positionV>
            <wp:extent cx="6626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7" w:lineRule="exact"/>
        <w:rPr>
          <w:sz w:val="20"/>
          <w:szCs w:val="20"/>
          <w:color w:val="auto"/>
        </w:rPr>
      </w:pPr>
    </w:p>
    <w:p>
      <w:pPr>
        <w:ind w:left="361" w:hanging="361"/>
        <w:spacing w:after="0"/>
        <w:tabs>
          <w:tab w:leader="none" w:pos="36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361" w:hanging="361"/>
        <w:spacing w:after="0"/>
        <w:tabs>
          <w:tab w:leader="none" w:pos="36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1"/>
          </w:cols>
          <w:pgMar w:left="679" w:top="460" w:right="739" w:bottom="1440" w:gutter="0" w:footer="0" w:header="0"/>
        </w:sectPr>
      </w:pPr>
    </w:p>
    <w:bookmarkStart w:id="10" w:name="page11"/>
    <w:bookmarkEnd w:id="10"/>
    <w:p>
      <w:pPr>
        <w:ind w:left="1"/>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1" w:right="40"/>
        <w:spacing w:after="0" w:line="269" w:lineRule="auto"/>
        <w:rPr>
          <w:sz w:val="20"/>
          <w:szCs w:val="20"/>
          <w:color w:val="auto"/>
        </w:rPr>
      </w:pPr>
      <w:r>
        <w:rPr>
          <w:rFonts w:ascii="Arial" w:cs="Arial" w:eastAsia="Arial" w:hAnsi="Arial"/>
          <w:sz w:val="19"/>
          <w:szCs w:val="19"/>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December 31, 2020 and September 30, 2020:</w:t>
      </w:r>
    </w:p>
    <w:p>
      <w:pPr>
        <w:spacing w:after="0" w:line="72"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20" w:type="dxa"/>
            <w:vAlign w:val="bottom"/>
            <w:gridSpan w:val="2"/>
          </w:tcPr>
          <w:p>
            <w:pPr>
              <w:jc w:val="right"/>
              <w:ind w:right="278"/>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Original cost</w:t>
            </w:r>
          </w:p>
        </w:tc>
        <w:tc>
          <w:tcPr>
            <w:tcW w:w="3420" w:type="dxa"/>
            <w:vAlign w:val="bottom"/>
            <w:tcBorders>
              <w:top w:val="single" w:sz="8" w:color="auto"/>
            </w:tcBorders>
            <w:gridSpan w:val="2"/>
            <w:shd w:val="clear" w:color="auto" w:fill="CFF0FC"/>
          </w:tcPr>
          <w:p>
            <w:pPr>
              <w:jc w:val="right"/>
              <w:ind w:right="1218"/>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335</w:t>
            </w:r>
          </w:p>
        </w:tc>
        <w:tc>
          <w:tcPr>
            <w:tcW w:w="4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20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20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285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0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0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0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21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346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pacing w:after="0" w:line="102" w:lineRule="exact"/>
        <w:rPr>
          <w:sz w:val="20"/>
          <w:szCs w:val="20"/>
          <w:color w:val="auto"/>
        </w:rPr>
      </w:pPr>
    </w:p>
    <w:p>
      <w:pPr>
        <w:ind w:left="361" w:hanging="361"/>
        <w:spacing w:after="0"/>
        <w:tabs>
          <w:tab w:leader="none" w:pos="36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361" w:hanging="361"/>
        <w:spacing w:after="0" w:line="221" w:lineRule="auto"/>
        <w:tabs>
          <w:tab w:leader="none" w:pos="36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fixed income mutual funds.</w:t>
      </w:r>
    </w:p>
    <w:p>
      <w:pPr>
        <w:ind w:left="361" w:hanging="361"/>
        <w:spacing w:after="0"/>
        <w:tabs>
          <w:tab w:leader="none" w:pos="361"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December 31, 2020 and</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September 30, 2020:</w:t>
      </w:r>
    </w:p>
    <w:p>
      <w:pPr>
        <w:spacing w:after="0" w:line="102" w:lineRule="exact"/>
        <w:rPr>
          <w:sz w:val="20"/>
          <w:szCs w:val="20"/>
          <w:color w:val="auto"/>
        </w:rPr>
      </w:pPr>
    </w:p>
    <w:tbl>
      <w:tblPr>
        <w:tblLayout w:type="fixed"/>
        <w:tblInd w:w="41"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color w:val="auto"/>
                <w:w w:val="92"/>
              </w:rPr>
              <w:t>Adjusted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Unrealized Gain</w:t>
            </w:r>
          </w:p>
        </w:tc>
        <w:tc>
          <w:tcPr>
            <w:tcW w:w="14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6"/>
                <w:szCs w:val="16"/>
                <w:color w:val="auto"/>
                <w:w w:val="94"/>
              </w:rPr>
              <w:t>Unrealized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Arial" w:cs="Arial" w:eastAsia="Arial" w:hAnsi="Arial"/>
                <w:sz w:val="16"/>
                <w:szCs w:val="16"/>
                <w:color w:val="auto"/>
                <w:w w:val="98"/>
              </w:rPr>
              <w:t>Fair Value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2020</w:t>
            </w: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2020</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 w:right="40"/>
        <w:spacing w:after="0" w:line="260"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3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9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720" w:type="dxa"/>
            <w:vAlign w:val="bottom"/>
            <w:tcBorders>
              <w:top w:val="single" w:sz="8" w:color="auto"/>
            </w:tcBorders>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2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 xml:space="preserve">Net gains (losses) unrealized </w:t>
            </w:r>
            <w:r>
              <w:rPr>
                <w:rFonts w:ascii="Arial" w:cs="Arial" w:eastAsia="Arial" w:hAnsi="Arial"/>
                <w:sz w:val="14"/>
                <w:szCs w:val="14"/>
                <w:color w:val="auto"/>
              </w:rPr>
              <w:t>(a)</w:t>
            </w:r>
          </w:p>
        </w:tc>
        <w:tc>
          <w:tcPr>
            <w:tcW w:w="2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2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bl>
    <w:p>
      <w:pPr>
        <w:spacing w:after="0" w:line="130" w:lineRule="exact"/>
        <w:rPr>
          <w:sz w:val="20"/>
          <w:szCs w:val="20"/>
          <w:color w:val="auto"/>
        </w:rPr>
      </w:pPr>
    </w:p>
    <w:p>
      <w:pPr>
        <w:jc w:val="both"/>
        <w:ind w:left="361" w:hanging="361"/>
        <w:spacing w:after="0" w:line="238" w:lineRule="auto"/>
        <w:tabs>
          <w:tab w:leader="none" w:pos="361" w:val="left"/>
        </w:tabs>
        <w:numPr>
          <w:ilvl w:val="0"/>
          <w:numId w:val="9"/>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year 2019, the net unrealized gains and (losses) during the year ended September 30, 2019 and forward were recorded within the net interest and other expense caption in the Statements of Consolidated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-300355</wp:posOffset>
            </wp:positionV>
            <wp:extent cx="66262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1"/>
          </w:cols>
          <w:pgMar w:left="679" w:top="670" w:right="659" w:bottom="1440" w:gutter="0" w:footer="0" w:header="0"/>
        </w:sectPr>
      </w:pPr>
    </w:p>
    <w:bookmarkStart w:id="11" w:name="page12"/>
    <w:bookmarkEnd w:id="11"/>
    <w:p>
      <w:pPr>
        <w:ind w:left="36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36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months ended December 31, 2020 and 2019 within the Statements of Consolidated Comprehensive Income (Loss).</w:t>
      </w:r>
    </w:p>
    <w:p>
      <w:pPr>
        <w:spacing w:after="0" w:line="7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7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9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2360" w:type="dxa"/>
            <w:vAlign w:val="bottom"/>
            <w:tcBorders>
              <w:top w:val="single" w:sz="8" w:color="auto"/>
            </w:tcBorders>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124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bl>
    <w:p>
      <w:pPr>
        <w:spacing w:after="0" w:line="253"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December 31, 2020 and September 30, 2020 included in accounts receivable and accrued expenses and other liabilities of the Condensed Consolidated Balance Sheets.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4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2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260" w:type="dxa"/>
            <w:vAlign w:val="bottom"/>
            <w:tcBorders>
              <w:top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2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168</w:t>
            </w:r>
          </w:p>
        </w:tc>
        <w:tc>
          <w:tcPr>
            <w:tcW w:w="4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26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3"/>
              </w:rPr>
              <w:t>221</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color w:val="auto"/>
        </w:rPr>
        <w:t>At December 31, 2020 and September 30, 2020, Ashland's long-term debt (including the current portion and excluding debt issuance cost discounts) had a carrying value of $1,616 million and $1,588 million, respectively, compared to a fair value of $1,806 million and $1,708 million, respectively. The fair values of long-term debt are based on quoted market prices or, if market prices are not available, the present values of the underlying cash flows discounted at Ashland’s incremental borrowing rates.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36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millions)</w:t>
            </w:r>
          </w:p>
        </w:tc>
        <w:tc>
          <w:tcPr>
            <w:tcW w:w="1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93"/>
              </w:rPr>
              <w:t>December 31, 2020</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96"/>
              </w:rPr>
              <w:t>September 30, 2020</w:t>
            </w:r>
          </w:p>
        </w:tc>
      </w:tr>
      <w:tr>
        <w:trPr>
          <w:trHeight w:val="213"/>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190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341</w:t>
            </w:r>
          </w:p>
        </w:tc>
        <w:tc>
          <w:tcPr>
            <w:tcW w:w="4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w:t>
            </w: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Raw materials, supplies and work in process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193</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529</w:t>
            </w: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670" w:right="69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36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86"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Ashland’s reporting units align with its reportable segments. Ashland determined that its reporting units are Life Sciences, Personal Care &amp; Household, Specialty Additives, Performance Adhesives, and Intermediates and Solvents.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w:t>
      </w:r>
      <w:r>
        <w:rPr>
          <w:rFonts w:ascii="Arial" w:cs="Arial" w:eastAsia="Arial" w:hAnsi="Arial"/>
          <w:sz w:val="19"/>
          <w:szCs w:val="19"/>
          <w:color w:val="auto"/>
        </w:rPr>
        <w:t>o indicators of impairment were identified in the first quarter of Fiscal 2021.</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progression of goodwill by reportable segment for the three months ended December 31, 2020.</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Life</w:t>
            </w:r>
          </w:p>
        </w:tc>
        <w:tc>
          <w:tcPr>
            <w:tcW w:w="12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3"/>
              </w:rPr>
              <w:t>Personal Care</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3"/>
              </w:rPr>
              <w:t>Specialty</w:t>
            </w:r>
          </w:p>
        </w:tc>
        <w:tc>
          <w:tcPr>
            <w:tcW w:w="12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Performance</w:t>
            </w:r>
          </w:p>
        </w:tc>
        <w:tc>
          <w:tcPr>
            <w:tcW w:w="11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5"/>
              </w:rPr>
              <w:t>Intermediates</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Sciences</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3"/>
              </w:rPr>
              <w:t>&amp; Household</w:t>
            </w:r>
          </w:p>
        </w:tc>
        <w:tc>
          <w:tcPr>
            <w:tcW w:w="2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4"/>
                <w:szCs w:val="14"/>
                <w:color w:val="auto"/>
                <w:w w:val="81"/>
              </w:rPr>
              <w:t>(a)</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Additives</w:t>
            </w:r>
          </w:p>
        </w:tc>
        <w:tc>
          <w:tcPr>
            <w:tcW w:w="2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4"/>
                <w:szCs w:val="14"/>
                <w:color w:val="auto"/>
                <w:w w:val="81"/>
              </w:rPr>
              <w:t>(a)</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Adhesives</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7"/>
              </w:rPr>
              <w:t>and Solvents</w:t>
            </w:r>
          </w:p>
        </w:tc>
        <w:tc>
          <w:tcPr>
            <w:tcW w:w="3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color w:val="auto"/>
                <w:w w:val="81"/>
              </w:rPr>
              <w:t>(a)</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Balance at September 30, 2020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540" w:type="dxa"/>
            <w:vAlign w:val="bottom"/>
            <w:gridSpan w:val="2"/>
          </w:tcPr>
          <w:p>
            <w:pPr>
              <w:jc w:val="right"/>
              <w:ind w:right="27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1,758</w:t>
            </w:r>
          </w:p>
        </w:tc>
      </w:tr>
      <w:tr>
        <w:trPr>
          <w:trHeight w:val="230"/>
        </w:trPr>
        <w:tc>
          <w:tcPr>
            <w:tcW w:w="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5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5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440" w:type="dxa"/>
            <w:vAlign w:val="bottom"/>
          </w:tcPr>
          <w:p>
            <w:pPr>
              <w:jc w:val="right"/>
              <w:ind w:right="278"/>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13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626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62" w:right="699" w:bottom="1440" w:gutter="0" w:footer="0" w:header="0"/>
        </w:sectPr>
      </w:pPr>
    </w:p>
    <w:bookmarkStart w:id="13" w:name="page14"/>
    <w:bookmarkEnd w:id="13"/>
    <w:p>
      <w:pPr>
        <w:ind w:left="360"/>
        <w:spacing w:after="0" w:line="253" w:lineRule="auto"/>
        <w:rPr>
          <w:sz w:val="20"/>
          <w:szCs w:val="20"/>
          <w:color w:val="auto"/>
        </w:rPr>
      </w:pPr>
      <w:r>
        <w:rPr>
          <w:rFonts w:ascii="Arial" w:cs="Arial" w:eastAsia="Arial" w:hAnsi="Arial"/>
          <w:sz w:val="14"/>
          <w:szCs w:val="14"/>
          <w:color w:val="auto"/>
        </w:rPr>
        <w:t>As of December 31, 2020 and September 30, 2020, there were accumulated impairments of $356 million, $174 million and $90 million related to the Personal Care &amp; Household, Specialty Additives and Intermediates and Solvents reportable segments,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Trademarks and trade names are valued using a “relief-from-royalty” valuation method compared to the carrying value. No indicators of impairment were identified in the first quarter of Fiscal 2021.</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were comprised of the following as of December 31, 2020 and September 30, 2020.</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December 31, 2020</w:t>
            </w:r>
          </w:p>
        </w:tc>
        <w:tc>
          <w:tcPr>
            <w:tcW w:w="2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1,567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September 30, 2020</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40"/>
        <w:spacing w:after="0" w:line="259" w:lineRule="auto"/>
        <w:rPr>
          <w:sz w:val="20"/>
          <w:szCs w:val="20"/>
          <w:color w:val="auto"/>
        </w:rPr>
      </w:pPr>
      <w:r>
        <w:rPr>
          <w:rFonts w:ascii="Arial" w:cs="Arial" w:eastAsia="Arial" w:hAnsi="Arial"/>
          <w:sz w:val="19"/>
          <w:szCs w:val="19"/>
          <w:color w:val="auto"/>
        </w:rPr>
        <w:t>Amortization expense recognized on intangible assets was $21 million for both the three months ended December 31, 2020 and 2019, respectively, and is included in the Intangibles Amortization Expense caption of the Statements of Consolidated Comprehensive Income (Loss). Estimated amortization expense for future periods is $87 million in 2021 (includes three months actual and nine months estimated), $86 million in 2022, $86 million in 2023, $72 million in 2024 and $69 million in 2025. Actual amounts may change from such estimated amounts due to fluctuations in foreign currency exchange rates, additional intangible asset acquisitions and divestitures, potential impairment, accelerated amortization, or other events.</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680" w:top="350" w:right="6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December 31, 2020</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2020</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22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c>
          <w:tcPr>
            <w:tcW w:w="48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587</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Term loan A</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1,853</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1,601</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1,573</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720" w:hanging="361"/>
        <w:spacing w:after="0" w:line="313"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$15 million of debt issuance cost discounts as of both December 31, 2020 and September 30, 2020. Additionally, as of December 31, 2020 and September 30, 2020, Other includes a European short-term loan facility with an outstanding balance of $24 million and $23 million, respectively.</w:t>
      </w:r>
    </w:p>
    <w:p>
      <w:pPr>
        <w:spacing w:after="0" w:line="5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December 31, 2020: zero remaining in 2021, $421 million in 2022, $22 million in 2023, $44 million in 2024 and $175 million in 2025.</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borrowing capacity remaining under the 2020 $600 million Revolving Credit Facility was $580 million due to a reduction of $20 million for letters of credit outstanding as of December 31, 2020. Ashland's total borrowing capacity at December 31, 2020 was $694 million, which included $114 million of available capacity from the two accounts receivable securitization facilities.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36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2020, Ashland is in compliance with all debt agreement covenant restrictions.</w:t>
      </w:r>
    </w:p>
    <w:p>
      <w:pPr>
        <w:spacing w:after="0" w:line="6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2020 Credit Agreement) is 4.0. At December 31, 2020, Ashland’s calculation of the consolidated net leverage ratio was 2.6.</w:t>
      </w:r>
    </w:p>
    <w:p>
      <w:pPr>
        <w:spacing w:after="0" w:line="69"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December 31, 2020, Ashland’s calculation of the interest coverage ratio was 7.8.</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Ashland determines if an arrangement is or contains a lease at contract inception and determines its classification as an operating or finance lease at lease commencement. Ashland leases certain office buildings, transportation equipment, warehouses and storage facilities, and equipment. All of Ashland’s leases are operating leases. Real estate leases represent approximately 89%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46" w:right="699" w:bottom="1440" w:gutter="0" w:footer="0" w:header="0"/>
        </w:sectPr>
      </w:pPr>
    </w:p>
    <w:bookmarkStart w:id="15" w:name="page16"/>
    <w:bookmarkEnd w:id="15"/>
    <w:p>
      <w:pPr>
        <w:jc w:val="both"/>
        <w:ind w:left="360" w:right="360"/>
        <w:spacing w:after="0" w:line="250"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our Statements of Consolidated Comprehensive Income (Loss) were as follows: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39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rPr>
              <w:t>Three months ended</w:t>
            </w:r>
          </w:p>
        </w:tc>
        <w:tc>
          <w:tcPr>
            <w:tcW w:w="8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r>
      <w:tr>
        <w:trPr>
          <w:trHeight w:val="22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9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Location</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Lease cost:</w:t>
            </w:r>
          </w:p>
        </w:tc>
        <w:tc>
          <w:tcPr>
            <w:tcW w:w="3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92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Selling, General &amp; Administrative</w:t>
            </w:r>
          </w:p>
        </w:tc>
        <w:tc>
          <w:tcPr>
            <w:tcW w:w="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Operating lease cost</w:t>
            </w:r>
          </w:p>
        </w:tc>
        <w:tc>
          <w:tcPr>
            <w:tcW w:w="3920" w:type="dxa"/>
            <w:vAlign w:val="bottom"/>
          </w:tcPr>
          <w:p>
            <w:pPr>
              <w:ind w:left="116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92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leases</w:t>
            </w:r>
          </w:p>
        </w:tc>
        <w:tc>
          <w:tcPr>
            <w:tcW w:w="3920" w:type="dxa"/>
            <w:vAlign w:val="bottom"/>
            <w:tcBorders>
              <w:bottom w:val="single" w:sz="8" w:color="CFF0FC"/>
            </w:tcBorders>
          </w:tcPr>
          <w:p>
            <w:pPr>
              <w:ind w:left="116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9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Ashland’s lease assets and liabilities as presented in the Condensed Consolidated Balance Sheet:</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December 31, 2020</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4"/>
              </w:rPr>
              <w:t>September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2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1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1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16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December 31, 2020 and September 30, 2020 was approximately 15 years for each period.</w:t>
      </w:r>
    </w:p>
    <w:p>
      <w:pPr>
        <w:spacing w:after="0" w:line="57" w:lineRule="exact"/>
        <w:rPr>
          <w:sz w:val="20"/>
          <w:szCs w:val="20"/>
          <w:color w:val="auto"/>
        </w:rPr>
      </w:pPr>
    </w:p>
    <w:p>
      <w:pPr>
        <w:jc w:val="both"/>
        <w:ind w:left="360" w:right="360"/>
        <w:spacing w:after="0" w:line="256" w:lineRule="auto"/>
        <w:rPr>
          <w:sz w:val="20"/>
          <w:szCs w:val="20"/>
          <w:color w:val="auto"/>
        </w:rPr>
      </w:pPr>
      <w:r>
        <w:rPr>
          <w:rFonts w:ascii="Arial" w:cs="Arial" w:eastAsia="Arial" w:hAnsi="Arial"/>
          <w:sz w:val="19"/>
          <w:szCs w:val="19"/>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December 31, 2020 and September 30, 2020 was 2.9%. There are no leases that have not yet commenced but that create significant rights and obligations for Ashland.</w:t>
      </w:r>
    </w:p>
    <w:p>
      <w:pPr>
        <w:spacing w:after="0" w:line="76"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Right-of-use assets exchanged for new operating lease obligations were $</w:t>
      </w:r>
      <w:r>
        <w:rPr>
          <w:rFonts w:ascii="Arial" w:cs="Arial" w:eastAsia="Arial" w:hAnsi="Arial"/>
          <w:sz w:val="17"/>
          <w:szCs w:val="17"/>
          <w:color w:val="auto"/>
        </w:rPr>
        <w:t>2</w:t>
      </w:r>
      <w:r>
        <w:rPr>
          <w:rFonts w:ascii="Arial" w:cs="Arial" w:eastAsia="Arial" w:hAnsi="Arial"/>
          <w:sz w:val="20"/>
          <w:szCs w:val="20"/>
          <w:color w:val="auto"/>
        </w:rPr>
        <w:t xml:space="preserve"> million and less than $1 million for the three months ended December 31, 2020 and 2019, respectively.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2"/>
          </w:tcPr>
          <w:p>
            <w:pPr>
              <w:jc w:val="center"/>
              <w:ind w:left="1610"/>
              <w:spacing w:after="0"/>
              <w:rPr>
                <w:sz w:val="20"/>
                <w:szCs w:val="20"/>
                <w:color w:val="auto"/>
              </w:rPr>
            </w:pPr>
            <w:r>
              <w:rPr>
                <w:rFonts w:ascii="Arial" w:cs="Arial" w:eastAsia="Arial" w:hAnsi="Arial"/>
                <w:sz w:val="18"/>
                <w:szCs w:val="18"/>
                <w:color w:val="auto"/>
                <w:w w:val="87"/>
              </w:rPr>
              <w:t>Three months ended</w:t>
            </w:r>
          </w:p>
        </w:tc>
        <w:tc>
          <w:tcPr>
            <w:tcW w:w="8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center"/>
              <w:ind w:left="1590"/>
              <w:spacing w:after="0"/>
              <w:rPr>
                <w:sz w:val="20"/>
                <w:szCs w:val="20"/>
                <w:color w:val="auto"/>
              </w:rPr>
            </w:pPr>
            <w:r>
              <w:rPr>
                <w:rFonts w:ascii="Arial" w:cs="Arial" w:eastAsia="Arial" w:hAnsi="Arial"/>
                <w:sz w:val="18"/>
                <w:szCs w:val="18"/>
                <w:color w:val="auto"/>
                <w:w w:val="88"/>
              </w:rPr>
              <w:t>December 31</w:t>
            </w:r>
          </w:p>
        </w:tc>
        <w:tc>
          <w:tcPr>
            <w:tcW w:w="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3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r>
      <w:tr>
        <w:trPr>
          <w:trHeight w:val="70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jc w:val="right"/>
              <w:ind w:right="27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6" w:name="page17"/>
    <w:bookmarkEnd w:id="16"/>
    <w:p>
      <w:pPr>
        <w:ind w:left="36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Maturities of lease liabilities are shown below as of December 31, 2020 and September 30, 2020:</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4"/>
              </w:rPr>
              <w:t>September 30,</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900" w:type="dxa"/>
            <w:vAlign w:val="bottom"/>
            <w:gridSpan w:val="2"/>
          </w:tcPr>
          <w:p>
            <w:pPr>
              <w:jc w:val="right"/>
              <w:ind w:right="258"/>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900" w:type="dxa"/>
            <w:vAlign w:val="bottom"/>
            <w:tcBorders>
              <w:top w:val="single" w:sz="8" w:color="auto"/>
            </w:tcBorders>
            <w:gridSpan w:val="2"/>
            <w:shd w:val="clear" w:color="auto" w:fill="CFF0FC"/>
          </w:tcPr>
          <w:p>
            <w:pPr>
              <w:jc w:val="right"/>
              <w:ind w:right="1158"/>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2022</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2024</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gridSpan w:val="2"/>
          </w:tcPr>
          <w:p>
            <w:pPr>
              <w:jc w:val="right"/>
              <w:ind w:right="1158"/>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5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190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r>
      <w:tr>
        <w:trPr>
          <w:trHeight w:val="229"/>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of lease payment representing interest</w:t>
            </w:r>
          </w:p>
        </w:tc>
        <w:tc>
          <w:tcPr>
            <w:tcW w:w="15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15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5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147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zero for the three months ended December 31, 2020. The current quarter tax rate was impacted by jurisdictional income mix, as well as $13 million from favorable tax discrete items primarily related to the Specialty Additives facility sale.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overall effective tax rate was a benefit of 240% for the three months ended December 31, 2019. The quarter tax rate was primarily impacted by jurisdictional income mix, as well as $27 million from favorable tax discrete items primarily related to the Swiss Tax Reform.</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Changes in unrecognized tax benefits are summarized as follows for the three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2020</w:t>
            </w:r>
          </w:p>
        </w:tc>
        <w:tc>
          <w:tcPr>
            <w:tcW w:w="3140" w:type="dxa"/>
            <w:vAlign w:val="bottom"/>
            <w:tcBorders>
              <w:top w:val="single" w:sz="8" w:color="auto"/>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2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$50 million and $60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For the three months ended December 31, 2020, Ashland contributed $2 million to its non-U.S. pension plans and zero to its U.S. pension plans. Ashland expects to make additional contributions of approximately $3 million to its non-U.S. plans and $2 million to its U.S. pension plans during the remainder of fiscal 2021.</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62" w:right="699" w:bottom="1440" w:gutter="0" w:footer="0" w:header="0"/>
        </w:sectPr>
      </w:pPr>
    </w:p>
    <w:bookmarkStart w:id="17" w:name="page18"/>
    <w:bookmarkEnd w:id="17"/>
    <w:p>
      <w:pPr>
        <w:ind w:left="36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4"/>
          </w:tcPr>
          <w:p>
            <w:pPr>
              <w:jc w:val="right"/>
              <w:ind w:right="209"/>
              <w:spacing w:after="0"/>
              <w:rPr>
                <w:sz w:val="20"/>
                <w:szCs w:val="20"/>
                <w:color w:val="auto"/>
              </w:rPr>
            </w:pPr>
            <w:r>
              <w:rPr>
                <w:rFonts w:ascii="Arial" w:cs="Arial" w:eastAsia="Arial" w:hAnsi="Arial"/>
                <w:sz w:val="18"/>
                <w:szCs w:val="18"/>
                <w:color w:val="auto"/>
              </w:rPr>
              <w:t>Other postretirement</w:t>
            </w:r>
          </w:p>
        </w:tc>
        <w:tc>
          <w:tcPr>
            <w:tcW w:w="74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Pension benefits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8"/>
                <w:szCs w:val="18"/>
                <w:color w:val="auto"/>
              </w:rPr>
              <w:t>benefits</w:t>
            </w:r>
          </w:p>
        </w:tc>
        <w:tc>
          <w:tcPr>
            <w:tcW w:w="740" w:type="dxa"/>
            <w:vAlign w:val="bottom"/>
            <w:tcBorders>
              <w:bottom w:val="single" w:sz="8" w:color="auto"/>
            </w:tcBorders>
          </w:tcPr>
          <w:p>
            <w:pPr>
              <w:spacing w:after="0"/>
              <w:rPr>
                <w:sz w:val="20"/>
                <w:szCs w:val="20"/>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4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Service cost</w:t>
            </w:r>
          </w:p>
        </w:tc>
        <w:tc>
          <w:tcPr>
            <w:tcW w:w="102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Total net periodic benefit costs</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5"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54" w:right="699" w:bottom="1440" w:gutter="0" w:footer="0" w:header="0"/>
        </w:sectPr>
      </w:pPr>
    </w:p>
    <w:bookmarkStart w:id="18" w:name="page19"/>
    <w:bookmarkEnd w:id="18"/>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Borders>
              <w:top w:val="single" w:sz="8" w:color="auto"/>
            </w:tcBorders>
            <w:gridSpan w:val="3"/>
          </w:tcPr>
          <w:p>
            <w:pPr>
              <w:jc w:val="center"/>
              <w:ind w:left="270"/>
              <w:spacing w:after="0"/>
              <w:rPr>
                <w:sz w:val="20"/>
                <w:szCs w:val="20"/>
                <w:color w:val="auto"/>
              </w:rPr>
            </w:pPr>
            <w:r>
              <w:rPr>
                <w:rFonts w:ascii="Arial" w:cs="Arial" w:eastAsia="Arial" w:hAnsi="Arial"/>
                <w:sz w:val="18"/>
                <w:szCs w:val="18"/>
                <w:color w:val="auto"/>
                <w:w w:val="89"/>
              </w:rPr>
              <w:t>Three months ended</w:t>
            </w: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color w:val="auto"/>
                <w:w w:val="88"/>
              </w:rPr>
              <w:t>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w w:val="96"/>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4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New claims filed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84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Claims dismissed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most recent annual update of this estimate completed during fiscal year 2020, it was determined that the liability for Ashland asbestos-related claims should be increased by $13 million. Total reserves for asbestos claims were $325 million at December 31, 2020 compared to $335 million at September 30, 2020.</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08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76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352</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r>
      <w:tr>
        <w:trPr>
          <w:trHeight w:val="229"/>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146050</wp:posOffset>
            </wp:positionV>
            <wp:extent cx="6626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565" w:right="699" w:bottom="1440" w:gutter="0" w:footer="0" w:header="0"/>
        </w:sectPr>
      </w:pPr>
    </w:p>
    <w:bookmarkStart w:id="19" w:name="page20"/>
    <w:bookmarkEnd w:id="19"/>
    <w:p>
      <w:pPr>
        <w:ind w:left="361"/>
        <w:spacing w:after="0"/>
        <w:rPr>
          <w:sz w:val="20"/>
          <w:szCs w:val="20"/>
          <w:color w:val="auto"/>
        </w:rPr>
      </w:pPr>
      <w:r>
        <w:rPr>
          <w:rFonts w:ascii="Arial" w:cs="Arial" w:eastAsia="Arial" w:hAnsi="Arial"/>
          <w:sz w:val="12"/>
          <w:szCs w:val="12"/>
          <w:color w:val="auto"/>
        </w:rPr>
        <w:t>Included $29 million classified in accrued expenses and other liabilities on the Condensed Consolidated Balance Sheets as of both December 31, 2020 and September 30, 2020.</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At December 31, 2020, Ashland’s receivable for recoveries of litigation defense and claim settlement costs from insurers amounted to $98 million (excluding the Hercules receivable for asbestos claims) compared to $103 million at September 30, 2020. During fiscal year 2020, the annual update of the model used for purposes of valuing the asbestos reserve and its impact on valuation of future recoveries from insurers was completed. This model update resulted in a $1 million increase in the receivable for probable insurance recoveries.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4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76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58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145415</wp:posOffset>
            </wp:positionV>
            <wp:extent cx="66262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85" w:lineRule="exact"/>
        <w:rPr>
          <w:sz w:val="20"/>
          <w:szCs w:val="20"/>
          <w:color w:val="auto"/>
        </w:rPr>
      </w:pPr>
    </w:p>
    <w:p>
      <w:pPr>
        <w:ind w:left="361" w:hanging="361"/>
        <w:spacing w:after="0" w:line="246" w:lineRule="auto"/>
        <w:tabs>
          <w:tab w:leader="none" w:pos="3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three months ended December 31, 2020 includes a $2 million adjustment related to allowances for credit losses as a result of Ashland’s adoption of the new credit measurement standard described in Note A.</w:t>
      </w:r>
    </w:p>
    <w:p>
      <w:pPr>
        <w:ind w:left="361" w:hanging="361"/>
        <w:spacing w:after="0" w:line="197" w:lineRule="auto"/>
        <w:tabs>
          <w:tab w:leader="none" w:pos="361"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Included $14 million classified in accounts receivable on the Condensed Consolidated Balance Sheets as of both December 31, 2020 and September 30, 2020.</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litigation</w:t>
      </w:r>
    </w:p>
    <w:p>
      <w:pPr>
        <w:spacing w:after="0" w:line="9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3"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center"/>
              <w:ind w:left="270"/>
              <w:spacing w:after="0"/>
              <w:rPr>
                <w:sz w:val="20"/>
                <w:szCs w:val="20"/>
                <w:color w:val="auto"/>
              </w:rPr>
            </w:pPr>
            <w:r>
              <w:rPr>
                <w:rFonts w:ascii="Arial" w:cs="Arial" w:eastAsia="Arial" w:hAnsi="Arial"/>
                <w:sz w:val="18"/>
                <w:szCs w:val="18"/>
                <w:color w:val="auto"/>
                <w:w w:val="87"/>
              </w:rPr>
              <w:t>Three months ended</w:t>
            </w:r>
          </w:p>
        </w:tc>
        <w:tc>
          <w:tcPr>
            <w:tcW w:w="4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88"/>
              </w:rPr>
              <w:t>December 31</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fiscal year 2020, it was determined that the liability for Hercules asbestos-related claims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391" w:right="699" w:bottom="1440" w:gutter="0" w:footer="0" w:header="0"/>
        </w:sectPr>
      </w:pPr>
    </w:p>
    <w:bookmarkStart w:id="20" w:name="page21"/>
    <w:bookmarkEnd w:id="20"/>
    <w:p>
      <w:pPr>
        <w:ind w:left="1" w:right="40"/>
        <w:spacing w:after="0" w:line="260" w:lineRule="auto"/>
        <w:rPr>
          <w:sz w:val="20"/>
          <w:szCs w:val="20"/>
          <w:color w:val="auto"/>
        </w:rPr>
      </w:pPr>
      <w:r>
        <w:rPr>
          <w:rFonts w:ascii="Arial" w:cs="Arial" w:eastAsia="Arial" w:hAnsi="Arial"/>
          <w:sz w:val="20"/>
          <w:szCs w:val="20"/>
          <w:color w:val="auto"/>
        </w:rPr>
        <w:t>should be decreased by $3 million. Total reserves for asbestos claims were $224 million at December 31, 2020 compared to $229 million at September 30, 2020.</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December 31</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06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229</w:t>
            </w:r>
          </w:p>
        </w:tc>
        <w:tc>
          <w:tcPr>
            <w:tcW w:w="78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6626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44" w:lineRule="exact"/>
        <w:rPr>
          <w:sz w:val="20"/>
          <w:szCs w:val="20"/>
          <w:color w:val="auto"/>
        </w:rPr>
      </w:pPr>
    </w:p>
    <w:p>
      <w:pPr>
        <w:ind w:left="361" w:hanging="361"/>
        <w:spacing w:after="0"/>
        <w:tabs>
          <w:tab w:leader="none" w:pos="361" w:val="left"/>
        </w:tabs>
        <w:numPr>
          <w:ilvl w:val="0"/>
          <w:numId w:val="12"/>
        </w:numPr>
        <w:rPr>
          <w:rFonts w:ascii="Arial" w:cs="Arial" w:eastAsia="Arial" w:hAnsi="Arial"/>
          <w:sz w:val="23"/>
          <w:szCs w:val="23"/>
          <w:color w:val="auto"/>
          <w:vertAlign w:val="superscript"/>
        </w:rPr>
      </w:pPr>
      <w:r>
        <w:rPr>
          <w:rFonts w:ascii="Arial" w:cs="Arial" w:eastAsia="Arial" w:hAnsi="Arial"/>
          <w:sz w:val="12"/>
          <w:szCs w:val="12"/>
          <w:color w:val="auto"/>
        </w:rPr>
        <w:t>Included $22 million classified in accrued expenses and other liabilities on the Condensed Consolidated Balance Sheets as of both December 31, 2020 and September 30, 2020.</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receivables</w:t>
      </w:r>
    </w:p>
    <w:p>
      <w:pPr>
        <w:spacing w:after="0" w:line="92" w:lineRule="exact"/>
        <w:rPr>
          <w:sz w:val="20"/>
          <w:szCs w:val="20"/>
          <w:color w:val="auto"/>
        </w:rPr>
      </w:pPr>
    </w:p>
    <w:p>
      <w:pPr>
        <w:jc w:val="both"/>
        <w:ind w:left="1"/>
        <w:spacing w:after="0" w:line="328" w:lineRule="auto"/>
        <w:rPr>
          <w:sz w:val="20"/>
          <w:szCs w:val="20"/>
          <w:color w:val="auto"/>
        </w:rPr>
      </w:pPr>
      <w:r>
        <w:rPr>
          <w:rFonts w:ascii="Arial" w:cs="Arial" w:eastAsia="Arial" w:hAnsi="Arial"/>
          <w:sz w:val="16"/>
          <w:szCs w:val="16"/>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20"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 of December 31, 2020, Ashland’s receivable for recoveries of litigation defense and claims costs from insurers with respect to Hercules amounted to $46 million. During fiscal year 2020, the annual update of the model used for purposes of valuing the asbestos reserve and its impact on valuation of future recoveries from insurers was completed. This model update resulted in a decrease of $2 million in the receivable for probable insurance recoveries.</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38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760" w:type="dxa"/>
            <w:vAlign w:val="bottom"/>
            <w:tcBorders>
              <w:top w:val="single" w:sz="8" w:color="auto"/>
            </w:tcBorders>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58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1" w:hanging="361"/>
        <w:spacing w:after="0" w:line="272" w:lineRule="auto"/>
        <w:tabs>
          <w:tab w:leader="none" w:pos="36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three months ended December 31, 2020 includes a $1 million adjustment related to allowances for credit losses as a result of Ashland’s adoption of the new credit measurement standard described in Note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-252730</wp:posOffset>
            </wp:positionV>
            <wp:extent cx="66262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60" w:right="699" w:bottom="1440" w:gutter="0" w:footer="0" w:header="0"/>
        </w:sectPr>
      </w:pPr>
    </w:p>
    <w:bookmarkStart w:id="21" w:name="page22"/>
    <w:bookmarkEnd w:id="21"/>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$520 million for the Ashland asbestos-related litigation (current reserve of $325 million) and approximately $350 million for the Hercules asbestos-related litigation (current reserve of $224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December 31, 2020, such locations included 82 waste treatment or disposal sites where Ashland has been identified as a potentially responsible party under Superfund or similar state laws, 113 current and former operating facilities (including certain operating facilities conveyed as part of previous divestitures) and about 1,225 service station properties, of which 24 are being actively remediated.</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$195 million at December 31, 2020 compared to $200 million at September 30, 2020, of which $145 million at December 31, 2020 and $150 million at September 30, 2020 were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three months ended December 31, 2020 and 2019.</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right"/>
              <w:ind w:right="287"/>
              <w:spacing w:after="0"/>
              <w:rPr>
                <w:sz w:val="20"/>
                <w:szCs w:val="20"/>
                <w:color w:val="auto"/>
              </w:rPr>
            </w:pPr>
            <w:r>
              <w:rPr>
                <w:rFonts w:ascii="Arial" w:cs="Arial" w:eastAsia="Arial" w:hAnsi="Arial"/>
                <w:sz w:val="18"/>
                <w:szCs w:val="18"/>
                <w:color w:val="auto"/>
              </w:rPr>
              <w:t>Three months ended</w:t>
            </w:r>
          </w:p>
        </w:tc>
        <w:tc>
          <w:tcPr>
            <w:tcW w:w="8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47"/>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2260" w:type="dxa"/>
            <w:vAlign w:val="bottom"/>
            <w:tcBorders>
              <w:top w:val="single" w:sz="8" w:color="auto"/>
            </w:tcBorders>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ind w:right="76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16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Reserve - end of period</w:t>
            </w:r>
          </w:p>
        </w:tc>
        <w:tc>
          <w:tcPr>
            <w:tcW w:w="16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798" w:right="699" w:bottom="1440" w:gutter="0" w:footer="0" w:header="0"/>
        </w:sectPr>
      </w:pPr>
    </w:p>
    <w:bookmarkStart w:id="22" w:name="page23"/>
    <w:bookmarkEnd w:id="22"/>
    <w:p>
      <w:pPr>
        <w:jc w:val="both"/>
        <w:ind w:left="1"/>
        <w:spacing w:after="0" w:line="321" w:lineRule="auto"/>
        <w:rPr>
          <w:sz w:val="20"/>
          <w:szCs w:val="20"/>
          <w:color w:val="auto"/>
        </w:rPr>
      </w:pPr>
      <w:r>
        <w:rPr>
          <w:rFonts w:ascii="Arial" w:cs="Arial" w:eastAsia="Arial" w:hAnsi="Arial"/>
          <w:sz w:val="16"/>
          <w:szCs w:val="16"/>
          <w:color w:val="auto"/>
        </w:rPr>
        <w:t>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2020 and September 30, 2020, Ashland’s recorded receivable for these probable insurance recoveries was $15 million, of which $12 million at December 31, 2020 and September 30, 2020 was classified in other noncurrent assets on the Condensed Consolidated Balance Sheets.</w:t>
      </w:r>
    </w:p>
    <w:p>
      <w:pPr>
        <w:spacing w:after="0" w:line="25"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December 31, 2020 and 2019.</w:t>
      </w:r>
    </w:p>
    <w:p>
      <w:pPr>
        <w:spacing w:after="0" w:line="8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226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160" w:type="dxa"/>
            <w:vAlign w:val="bottom"/>
            <w:tcBorders>
              <w:top w:val="single" w:sz="8" w:color="auto"/>
            </w:tcBorders>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Accretion</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16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16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expense, net of receivable activity (a)</w:t>
            </w:r>
          </w:p>
        </w:tc>
        <w:tc>
          <w:tcPr>
            <w:tcW w:w="16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145415</wp:posOffset>
            </wp:positionV>
            <wp:extent cx="6626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26" w:lineRule="exact"/>
        <w:rPr>
          <w:sz w:val="20"/>
          <w:szCs w:val="20"/>
          <w:color w:val="auto"/>
        </w:rPr>
      </w:pPr>
    </w:p>
    <w:p>
      <w:pPr>
        <w:jc w:val="both"/>
        <w:ind w:left="361" w:hanging="361"/>
        <w:spacing w:after="0" w:line="238" w:lineRule="auto"/>
        <w:tabs>
          <w:tab w:leader="none" w:pos="361"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expense of $1 million for the three months ended December 31, 2020,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76"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$470 million. The largest reserve for any site is 14% of the remediation reserve.</w:t>
      </w:r>
    </w:p>
    <w:p>
      <w:pPr>
        <w:spacing w:after="0" w:line="5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2020 and September 30, 2020. There is a reasonable possibility that a loss exceeding amounts already recognized may be incurred related to these actions; however, Ashland believes that such potential losses were immaterial as of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352" w:right="69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360" w:right="36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2 million at December 31, 2020 and 2019, respectively. Earnings per share is reported under the treasury stock method.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Three months ended</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common shares outstanding</w:t>
            </w:r>
          </w:p>
        </w:tc>
        <w:tc>
          <w:tcPr>
            <w:tcW w:w="5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 based awards convertible to common shares</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average shares and assumed conversions</w:t>
            </w:r>
          </w:p>
        </w:tc>
        <w:tc>
          <w:tcPr>
            <w:tcW w:w="5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Dividends of 27.5 cents per share were paid in the first quarter of fiscal 2021 and fiscal 2020.</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ind w:left="360" w:right="36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09"/>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Before</w:t>
            </w:r>
          </w:p>
        </w:tc>
        <w:tc>
          <w:tcPr>
            <w:tcW w:w="40" w:type="dxa"/>
            <w:vAlign w:val="bottom"/>
          </w:tcPr>
          <w:p>
            <w:pPr>
              <w:spacing w:after="0"/>
              <w:rPr>
                <w:sz w:val="18"/>
                <w:szCs w:val="18"/>
                <w:color w:val="auto"/>
              </w:rPr>
            </w:pPr>
          </w:p>
        </w:tc>
        <w:tc>
          <w:tcPr>
            <w:tcW w:w="94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99"/>
              </w:rPr>
              <w:t>Net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4"/>
              </w:rPr>
              <w:t>Before</w:t>
            </w:r>
          </w:p>
        </w:tc>
        <w:tc>
          <w:tcPr>
            <w:tcW w:w="100" w:type="dxa"/>
            <w:vAlign w:val="bottom"/>
          </w:tcPr>
          <w:p>
            <w:pPr>
              <w:spacing w:after="0"/>
              <w:rPr>
                <w:sz w:val="18"/>
                <w:szCs w:val="18"/>
                <w:color w:val="auto"/>
              </w:rPr>
            </w:pPr>
          </w:p>
        </w:tc>
        <w:tc>
          <w:tcPr>
            <w:tcW w:w="94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Net of</w:t>
            </w:r>
          </w:p>
        </w:tc>
        <w:tc>
          <w:tcPr>
            <w:tcW w:w="400" w:type="dxa"/>
            <w:vAlign w:val="bottom"/>
          </w:tcPr>
          <w:p>
            <w:pPr>
              <w:spacing w:after="0"/>
              <w:rPr>
                <w:sz w:val="18"/>
                <w:szCs w:val="18"/>
                <w:color w:val="auto"/>
              </w:rPr>
            </w:pPr>
          </w:p>
        </w:tc>
      </w:tr>
      <w:tr>
        <w:trPr>
          <w:trHeight w:val="230"/>
        </w:trPr>
        <w:tc>
          <w:tcPr>
            <w:tcW w:w="390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r>
      <w:tr>
        <w:trPr>
          <w:trHeight w:val="223"/>
        </w:trPr>
        <w:tc>
          <w:tcPr>
            <w:tcW w:w="3900" w:type="dxa"/>
            <w:vAlign w:val="bottom"/>
            <w:gridSpan w:val="2"/>
          </w:tcPr>
          <w:p>
            <w:pPr>
              <w:ind w:left="400"/>
              <w:spacing w:after="0"/>
              <w:rPr>
                <w:sz w:val="20"/>
                <w:szCs w:val="20"/>
                <w:color w:val="auto"/>
              </w:rPr>
            </w:pPr>
            <w:r>
              <w:rPr>
                <w:rFonts w:ascii="Arial" w:cs="Arial" w:eastAsia="Arial" w:hAnsi="Arial"/>
                <w:sz w:val="18"/>
                <w:szCs w:val="18"/>
                <w:color w:val="auto"/>
              </w:rPr>
              <w:t>Total other comprehensive income</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ind w:left="36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8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47"/>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7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770</w:t>
            </w:r>
          </w:p>
        </w:tc>
        <w:tc>
          <w:tcPr>
            <w:tcW w:w="98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757</w:t>
            </w: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Common shares issued under stock incentive and other plans </w:t>
            </w:r>
            <w:r>
              <w:rPr>
                <w:rFonts w:ascii="Arial" w:cs="Arial" w:eastAsia="Arial" w:hAnsi="Arial"/>
                <w:sz w:val="14"/>
                <w:szCs w:val="14"/>
                <w:color w:val="auto"/>
              </w:rPr>
              <w:t>(a)</w:t>
            </w:r>
          </w:p>
        </w:tc>
        <w:tc>
          <w:tcPr>
            <w:tcW w:w="1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758</w:t>
            </w: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2,649</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3,224</w:t>
            </w: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Adoption of new accounting pronouncements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Regular dividends</w:t>
            </w:r>
          </w:p>
        </w:tc>
        <w:tc>
          <w:tcPr>
            <w:tcW w:w="1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2,686</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3,239</w:t>
            </w: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translation gain</w:t>
            </w:r>
          </w:p>
        </w:tc>
        <w:tc>
          <w:tcPr>
            <w:tcW w:w="1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300" w:type="dxa"/>
            <w:vAlign w:val="bottom"/>
          </w:tcPr>
          <w:p>
            <w:pPr>
              <w:spacing w:after="0"/>
              <w:rPr>
                <w:sz w:val="22"/>
                <w:szCs w:val="22"/>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22"/>
                <w:szCs w:val="22"/>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3,625</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13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0.275</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626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Common shares issued were 99,194 shares and 70,461 shares for the three months ended December 31, 2020 and 2019, respectively.</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4"/>
          </w:tcPr>
          <w:p>
            <w:pPr>
              <w:jc w:val="right"/>
              <w:ind w:right="387"/>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(a)</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r>
      <w:tr>
        <w:trPr>
          <w:trHeight w:val="223"/>
        </w:trPr>
        <w:tc>
          <w:tcPr>
            <w:tcW w:w="20" w:type="dxa"/>
            <w:vAlign w:val="bottom"/>
          </w:tcPr>
          <w:p>
            <w:pPr>
              <w:spacing w:after="0"/>
              <w:rPr>
                <w:sz w:val="19"/>
                <w:szCs w:val="19"/>
                <w:color w:val="auto"/>
              </w:rPr>
            </w:pPr>
          </w:p>
        </w:tc>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2780" w:type="dxa"/>
            <w:vAlign w:val="bottom"/>
            <w:tcBorders>
              <w:top w:val="single" w:sz="8" w:color="auto"/>
            </w:tcBorders>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Nonvested stock awards</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20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720" w:hanging="361"/>
        <w:spacing w:after="0" w:line="230"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and zero related to cash-settled performance units during the three months ended December 31, 2020.</w:t>
      </w:r>
    </w:p>
    <w:p>
      <w:pPr>
        <w:ind w:left="720" w:hanging="361"/>
        <w:spacing w:after="0" w:line="237"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and zero related to cash-settled performance units during the 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-394335</wp:posOffset>
            </wp:positionV>
            <wp:extent cx="6626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83"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805" w:right="69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8"/>
          <w:szCs w:val="18"/>
          <w:color w:val="auto"/>
        </w:rPr>
        <w:t>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records bad debt expense in specific situations when it is determined that the customer is unable to meet its financial obligation.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$383 million and $441 million as of December 31, 2020 and September 30,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(intersegment sales eliminations have been excluded).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60325</wp:posOffset>
            </wp:positionV>
            <wp:extent cx="6626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7"/>
              </w:rPr>
              <w:t>Three months ended</w:t>
            </w:r>
          </w:p>
        </w:tc>
        <w:tc>
          <w:tcPr>
            <w:tcW w:w="9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8"/>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2"/>
          </w:tcPr>
          <w:p>
            <w:pPr>
              <w:jc w:val="center"/>
              <w:ind w:left="395"/>
              <w:spacing w:after="0"/>
              <w:rPr>
                <w:sz w:val="20"/>
                <w:szCs w:val="20"/>
                <w:color w:val="auto"/>
              </w:rPr>
            </w:pPr>
            <w:r>
              <w:rPr>
                <w:rFonts w:ascii="Arial" w:cs="Arial" w:eastAsia="Arial" w:hAnsi="Arial"/>
                <w:sz w:val="17"/>
                <w:szCs w:val="17"/>
                <w:color w:val="auto"/>
                <w:w w:val="90"/>
              </w:rPr>
              <w:t>Life Sciences</w:t>
            </w:r>
          </w:p>
        </w:tc>
        <w:tc>
          <w:tcPr>
            <w:tcW w:w="1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396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18"/>
                <w:szCs w:val="18"/>
                <w:color w:val="auto"/>
              </w:rPr>
            </w:pPr>
          </w:p>
        </w:tc>
        <w:tc>
          <w:tcPr>
            <w:tcW w:w="1060" w:type="dxa"/>
            <w:vAlign w:val="bottom"/>
            <w:gridSpan w:val="2"/>
          </w:tcPr>
          <w:p>
            <w:pPr>
              <w:jc w:val="right"/>
              <w:ind w:right="93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49</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49</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42</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3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15</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gridSpan w:val="4"/>
          </w:tcPr>
          <w:p>
            <w:pPr>
              <w:jc w:val="center"/>
              <w:ind w:left="55"/>
              <w:spacing w:after="0"/>
              <w:rPr>
                <w:sz w:val="20"/>
                <w:szCs w:val="20"/>
                <w:color w:val="auto"/>
              </w:rPr>
            </w:pPr>
            <w:r>
              <w:rPr>
                <w:rFonts w:ascii="Arial" w:cs="Arial" w:eastAsia="Arial" w:hAnsi="Arial"/>
                <w:sz w:val="17"/>
                <w:szCs w:val="17"/>
                <w:color w:val="auto"/>
                <w:w w:val="87"/>
              </w:rPr>
              <w:t>Three months ended</w:t>
            </w: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8"/>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2"/>
          </w:tcPr>
          <w:p>
            <w:pPr>
              <w:jc w:val="center"/>
              <w:ind w:left="395"/>
              <w:spacing w:after="0"/>
              <w:rPr>
                <w:sz w:val="20"/>
                <w:szCs w:val="20"/>
                <w:color w:val="auto"/>
              </w:rPr>
            </w:pPr>
            <w:r>
              <w:rPr>
                <w:rFonts w:ascii="Arial" w:cs="Arial" w:eastAsia="Arial" w:hAnsi="Arial"/>
                <w:sz w:val="17"/>
                <w:szCs w:val="17"/>
                <w:color w:val="auto"/>
                <w:w w:val="91"/>
              </w:rPr>
              <w:t>Personal Care &amp; Household</w:t>
            </w:r>
          </w:p>
        </w:tc>
        <w:tc>
          <w:tcPr>
            <w:tcW w:w="1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396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200" w:type="dxa"/>
            <w:vAlign w:val="bottom"/>
          </w:tcPr>
          <w:p>
            <w:pPr>
              <w:spacing w:after="0"/>
              <w:rPr>
                <w:sz w:val="18"/>
                <w:szCs w:val="18"/>
                <w:color w:val="auto"/>
              </w:rPr>
            </w:pPr>
          </w:p>
        </w:tc>
        <w:tc>
          <w:tcPr>
            <w:tcW w:w="1060" w:type="dxa"/>
            <w:vAlign w:val="bottom"/>
            <w:gridSpan w:val="2"/>
          </w:tcPr>
          <w:p>
            <w:pPr>
              <w:jc w:val="right"/>
              <w:ind w:right="93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41</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55</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24</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3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17</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137</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gridSpan w:val="4"/>
          </w:tcPr>
          <w:p>
            <w:pPr>
              <w:jc w:val="center"/>
              <w:ind w:left="55"/>
              <w:spacing w:after="0"/>
              <w:rPr>
                <w:sz w:val="20"/>
                <w:szCs w:val="20"/>
                <w:color w:val="auto"/>
              </w:rPr>
            </w:pPr>
            <w:r>
              <w:rPr>
                <w:rFonts w:ascii="Arial" w:cs="Arial" w:eastAsia="Arial" w:hAnsi="Arial"/>
                <w:sz w:val="17"/>
                <w:szCs w:val="17"/>
                <w:color w:val="auto"/>
                <w:w w:val="87"/>
              </w:rPr>
              <w:t>Three months ended</w:t>
            </w: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8"/>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2"/>
          </w:tcPr>
          <w:p>
            <w:pPr>
              <w:jc w:val="center"/>
              <w:ind w:left="415"/>
              <w:spacing w:after="0"/>
              <w:rPr>
                <w:sz w:val="20"/>
                <w:szCs w:val="20"/>
                <w:color w:val="auto"/>
              </w:rPr>
            </w:pPr>
            <w:r>
              <w:rPr>
                <w:rFonts w:ascii="Arial" w:cs="Arial" w:eastAsia="Arial" w:hAnsi="Arial"/>
                <w:sz w:val="17"/>
                <w:szCs w:val="17"/>
                <w:color w:val="auto"/>
                <w:w w:val="93"/>
              </w:rPr>
              <w:t>Specialty Additives</w:t>
            </w:r>
          </w:p>
        </w:tc>
        <w:tc>
          <w:tcPr>
            <w:tcW w:w="1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396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45</w:t>
            </w:r>
          </w:p>
        </w:tc>
        <w:tc>
          <w:tcPr>
            <w:tcW w:w="200" w:type="dxa"/>
            <w:vAlign w:val="bottom"/>
          </w:tcPr>
          <w:p>
            <w:pPr>
              <w:spacing w:after="0"/>
              <w:rPr>
                <w:sz w:val="18"/>
                <w:szCs w:val="18"/>
                <w:color w:val="auto"/>
              </w:rPr>
            </w:pPr>
          </w:p>
        </w:tc>
        <w:tc>
          <w:tcPr>
            <w:tcW w:w="1060" w:type="dxa"/>
            <w:vAlign w:val="bottom"/>
            <w:gridSpan w:val="2"/>
          </w:tcPr>
          <w:p>
            <w:pPr>
              <w:jc w:val="right"/>
              <w:ind w:right="93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50</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3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9</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139</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gridSpan w:val="4"/>
          </w:tcPr>
          <w:p>
            <w:pPr>
              <w:jc w:val="center"/>
              <w:ind w:left="55"/>
              <w:spacing w:after="0"/>
              <w:rPr>
                <w:sz w:val="20"/>
                <w:szCs w:val="20"/>
                <w:color w:val="auto"/>
              </w:rPr>
            </w:pPr>
            <w:r>
              <w:rPr>
                <w:rFonts w:ascii="Arial" w:cs="Arial" w:eastAsia="Arial" w:hAnsi="Arial"/>
                <w:sz w:val="17"/>
                <w:szCs w:val="17"/>
                <w:color w:val="auto"/>
                <w:w w:val="87"/>
              </w:rPr>
              <w:t>Three months ended</w:t>
            </w: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8"/>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2"/>
          </w:tcPr>
          <w:p>
            <w:pPr>
              <w:jc w:val="center"/>
              <w:ind w:left="395"/>
              <w:spacing w:after="0"/>
              <w:rPr>
                <w:sz w:val="20"/>
                <w:szCs w:val="20"/>
                <w:color w:val="auto"/>
              </w:rPr>
            </w:pPr>
            <w:r>
              <w:rPr>
                <w:rFonts w:ascii="Arial" w:cs="Arial" w:eastAsia="Arial" w:hAnsi="Arial"/>
                <w:sz w:val="17"/>
                <w:szCs w:val="17"/>
                <w:color w:val="auto"/>
                <w:w w:val="90"/>
              </w:rPr>
              <w:t>Performance Adhesives</w:t>
            </w:r>
          </w:p>
        </w:tc>
        <w:tc>
          <w:tcPr>
            <w:tcW w:w="1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396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8"/>
                <w:szCs w:val="18"/>
                <w:color w:val="auto"/>
              </w:rPr>
            </w:pPr>
          </w:p>
        </w:tc>
        <w:tc>
          <w:tcPr>
            <w:tcW w:w="1060" w:type="dxa"/>
            <w:vAlign w:val="bottom"/>
            <w:gridSpan w:val="2"/>
          </w:tcPr>
          <w:p>
            <w:pPr>
              <w:jc w:val="right"/>
              <w:ind w:right="93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64</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3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74</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gridSpan w:val="4"/>
          </w:tcPr>
          <w:p>
            <w:pPr>
              <w:jc w:val="center"/>
              <w:ind w:left="55"/>
              <w:spacing w:after="0"/>
              <w:rPr>
                <w:sz w:val="20"/>
                <w:szCs w:val="20"/>
                <w:color w:val="auto"/>
              </w:rPr>
            </w:pPr>
            <w:r>
              <w:rPr>
                <w:rFonts w:ascii="Arial" w:cs="Arial" w:eastAsia="Arial" w:hAnsi="Arial"/>
                <w:sz w:val="17"/>
                <w:szCs w:val="17"/>
                <w:color w:val="auto"/>
                <w:w w:val="87"/>
              </w:rPr>
              <w:t>Three months ended</w:t>
            </w: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8"/>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2"/>
          </w:tcPr>
          <w:p>
            <w:pPr>
              <w:jc w:val="center"/>
              <w:ind w:left="395"/>
              <w:spacing w:after="0"/>
              <w:rPr>
                <w:sz w:val="20"/>
                <w:szCs w:val="20"/>
                <w:color w:val="auto"/>
              </w:rPr>
            </w:pPr>
            <w:r>
              <w:rPr>
                <w:rFonts w:ascii="Arial" w:cs="Arial" w:eastAsia="Arial" w:hAnsi="Arial"/>
                <w:sz w:val="17"/>
                <w:szCs w:val="17"/>
                <w:color w:val="auto"/>
                <w:w w:val="89"/>
              </w:rPr>
              <w:t>Intermediates and Solvents</w:t>
            </w:r>
          </w:p>
        </w:tc>
        <w:tc>
          <w:tcPr>
            <w:tcW w:w="1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396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8"/>
                <w:szCs w:val="18"/>
                <w:color w:val="auto"/>
              </w:rPr>
            </w:pPr>
          </w:p>
        </w:tc>
        <w:tc>
          <w:tcPr>
            <w:tcW w:w="1060" w:type="dxa"/>
            <w:vAlign w:val="bottom"/>
            <w:gridSpan w:val="2"/>
          </w:tcPr>
          <w:p>
            <w:pPr>
              <w:jc w:val="right"/>
              <w:ind w:right="93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7</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3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54" w:right="69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360"/>
        <w:spacing w:after="0" w:line="342"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Consumer Specialties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108"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jc w:val="both"/>
        <w:ind w:left="360"/>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Industrial Specialties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Industrial Specialties business is comprised of the following reportable segments:</w:t>
      </w:r>
    </w:p>
    <w:p>
      <w:pPr>
        <w:spacing w:after="0" w:line="108"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684" w:right="699" w:bottom="1440" w:gutter="0" w:footer="0" w:header="0"/>
        </w:sectPr>
      </w:pPr>
    </w:p>
    <w:bookmarkStart w:id="28" w:name="page29"/>
    <w:bookmarkEnd w:id="28"/>
    <w:p>
      <w:pPr>
        <w:jc w:val="both"/>
        <w:spacing w:after="0" w:line="243" w:lineRule="auto"/>
        <w:rPr>
          <w:sz w:val="20"/>
          <w:szCs w:val="20"/>
          <w:color w:val="auto"/>
        </w:rPr>
      </w:pPr>
      <w:r>
        <w:rPr>
          <w:rFonts w:ascii="Arial" w:cs="Arial" w:eastAsia="Arial" w:hAnsi="Arial"/>
          <w:sz w:val="20"/>
          <w:szCs w:val="20"/>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0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in the first quarter of fiscal 2020. These costs are now reflected in Unallocated and Other for all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29" w:name="page30"/>
    <w:bookmarkEnd w:id="29"/>
    <w:p>
      <w:pPr>
        <w:ind w:left="360" w:right="36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months ended December 31,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8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3"/>
          </w:tcPr>
          <w:p>
            <w:pPr>
              <w:jc w:val="right"/>
              <w:ind w:right="607"/>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4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400"/>
              <w:spacing w:after="0"/>
              <w:rPr>
                <w:sz w:val="20"/>
                <w:szCs w:val="20"/>
                <w:color w:val="auto"/>
              </w:rPr>
            </w:pPr>
            <w:r>
              <w:rPr>
                <w:rFonts w:ascii="Arial" w:cs="Arial" w:eastAsia="Arial" w:hAnsi="Arial"/>
                <w:sz w:val="18"/>
                <w:szCs w:val="18"/>
                <w:color w:val="auto"/>
              </w:rPr>
              <w:t>(In millions - unaudited)</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6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5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480" w:type="dxa"/>
            <w:vAlign w:val="bottom"/>
            <w:gridSpan w:val="2"/>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1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552</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OPERATING INCOME (LOSS)</w:t>
            </w:r>
          </w:p>
        </w:tc>
        <w:tc>
          <w:tcPr>
            <w:tcW w:w="1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5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DEPRECIATION EXPENSE</w:t>
            </w:r>
          </w:p>
        </w:tc>
        <w:tc>
          <w:tcPr>
            <w:tcW w:w="1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5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800" w:type="dxa"/>
            <w:vAlign w:val="bottom"/>
            <w:tcBorders>
              <w:bottom w:val="single" w:sz="8" w:color="CFF0FC"/>
            </w:tcBorders>
          </w:tcPr>
          <w:p>
            <w:pPr>
              <w:spacing w:after="0"/>
              <w:rPr>
                <w:sz w:val="22"/>
                <w:szCs w:val="22"/>
                <w:color w:val="auto"/>
              </w:rPr>
            </w:pPr>
          </w:p>
        </w:tc>
        <w:tc>
          <w:tcPr>
            <w:tcW w:w="16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tcPr>
          <w:p>
            <w:pPr>
              <w:spacing w:after="0"/>
              <w:rPr>
                <w:sz w:val="22"/>
                <w:szCs w:val="22"/>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16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5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1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5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6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6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40" w:type="dxa"/>
            <w:vAlign w:val="bottom"/>
            <w:vMerge w:val="restart"/>
          </w:tcPr>
          <w:p>
            <w:pPr>
              <w:jc w:val="right"/>
              <w:ind w:right="5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0" w:name="page31"/>
    <w:bookmarkEnd w:id="30"/>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40" w:type="dxa"/>
            <w:vAlign w:val="bottom"/>
            <w:gridSpan w:val="2"/>
          </w:tcPr>
          <w:p>
            <w:pPr>
              <w:ind w:left="62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September 30</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 - unaudited)</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26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260" w:type="dxa"/>
            <w:vAlign w:val="bottom"/>
          </w:tcPr>
          <w:p>
            <w:pPr>
              <w:spacing w:after="0"/>
              <w:rPr>
                <w:sz w:val="19"/>
                <w:szCs w:val="19"/>
                <w:color w:val="auto"/>
              </w:rPr>
            </w:pP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29"/>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939</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1,666</w:t>
            </w:r>
          </w:p>
        </w:tc>
      </w:tr>
      <w:tr>
        <w:trPr>
          <w:trHeight w:val="229"/>
        </w:trPr>
        <w:tc>
          <w:tcPr>
            <w:tcW w:w="20" w:type="dxa"/>
            <w:vAlign w:val="bottom"/>
          </w:tcPr>
          <w:p>
            <w:pPr>
              <w:spacing w:after="0"/>
              <w:rPr>
                <w:sz w:val="19"/>
                <w:szCs w:val="19"/>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2,257</w:t>
            </w:r>
          </w:p>
        </w:tc>
      </w:tr>
      <w:tr>
        <w:trPr>
          <w:trHeight w:val="223"/>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55" w:lineRule="exact"/>
        <w:rPr>
          <w:rFonts w:ascii="Arial" w:cs="Arial" w:eastAsia="Arial" w:hAnsi="Arial"/>
          <w:sz w:val="14"/>
          <w:szCs w:val="14"/>
          <w:color w:val="auto"/>
        </w:rPr>
      </w:pPr>
    </w:p>
    <w:p>
      <w:pPr>
        <w:ind w:left="720" w:hanging="361"/>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a capital project impairment of $9 million for the three months ended December 31, 2020 relating to a long-term capital project plan change at a plant facility.</w:t>
      </w:r>
    </w:p>
    <w:p>
      <w:pPr>
        <w:spacing w:after="0" w:line="55" w:lineRule="exact"/>
        <w:rPr>
          <w:rFonts w:ascii="Arial" w:cs="Arial" w:eastAsia="Arial" w:hAnsi="Arial"/>
          <w:sz w:val="14"/>
          <w:szCs w:val="14"/>
          <w:color w:val="auto"/>
        </w:rPr>
      </w:pPr>
    </w:p>
    <w:p>
      <w:pPr>
        <w:ind w:left="720" w:hanging="361"/>
        <w:spacing w:after="0" w:line="253"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-485775</wp:posOffset>
            </wp:positionV>
            <wp:extent cx="6626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 – SUBSEQUENT EVENTS</w:t>
      </w:r>
    </w:p>
    <w:p>
      <w:pPr>
        <w:spacing w:after="0" w:line="114" w:lineRule="exact"/>
        <w:rPr>
          <w:sz w:val="20"/>
          <w:szCs w:val="20"/>
          <w:color w:val="auto"/>
        </w:rPr>
      </w:pPr>
    </w:p>
    <w:p>
      <w:pPr>
        <w:ind w:left="360" w:right="340"/>
        <w:spacing w:after="0" w:line="260" w:lineRule="auto"/>
        <w:rPr>
          <w:sz w:val="20"/>
          <w:szCs w:val="20"/>
          <w:color w:val="auto"/>
        </w:rPr>
      </w:pPr>
      <w:r>
        <w:rPr>
          <w:rFonts w:ascii="Arial" w:cs="Arial" w:eastAsia="Arial" w:hAnsi="Arial"/>
          <w:sz w:val="20"/>
          <w:szCs w:val="20"/>
          <w:color w:val="auto"/>
        </w:rPr>
        <w:t>On January 19, 2021 Ashland announced it had signed a definitive agreement to acquire the personal care business from Schülke &amp; Mayr GmbH, a portfolio company of the global investment organization EQT.</w:t>
      </w:r>
    </w:p>
    <w:p>
      <w:pPr>
        <w:spacing w:after="0" w:line="69" w:lineRule="exact"/>
        <w:rPr>
          <w:sz w:val="20"/>
          <w:szCs w:val="20"/>
          <w:color w:val="auto"/>
        </w:rPr>
      </w:pPr>
    </w:p>
    <w:p>
      <w:pPr>
        <w:ind w:left="360" w:right="340"/>
        <w:spacing w:after="0" w:line="316" w:lineRule="auto"/>
        <w:rPr>
          <w:sz w:val="20"/>
          <w:szCs w:val="20"/>
          <w:color w:val="auto"/>
        </w:rPr>
      </w:pPr>
      <w:r>
        <w:rPr>
          <w:rFonts w:ascii="Arial" w:cs="Arial" w:eastAsia="Arial" w:hAnsi="Arial"/>
          <w:sz w:val="18"/>
          <w:szCs w:val="18"/>
          <w:color w:val="auto"/>
        </w:rPr>
        <w:t>Under the terms of the agreement, Ashland will pay €262.5 million in an all cash transaction, which is expected to be completed before the end of the June 30, 2021 quarter subject to customary closing conditions and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360"/>
        <w:spacing w:after="0" w:line="268"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proposed acquisition of Schülke &amp; Mayr’s personal care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40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60" w:right="12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360" w:right="140"/>
        <w:spacing w:after="0" w:line="246" w:lineRule="auto"/>
        <w:rPr>
          <w:sz w:val="20"/>
          <w:szCs w:val="20"/>
          <w:color w:val="auto"/>
        </w:rPr>
      </w:pPr>
      <w:r>
        <w:rPr>
          <w:rFonts w:ascii="Arial" w:cs="Arial" w:eastAsia="Arial" w:hAnsi="Arial"/>
          <w:sz w:val="20"/>
          <w:szCs w:val="20"/>
          <w:color w:val="auto"/>
        </w:rPr>
        <w:t>Ashland is a premier specialty materials company with a conscious and proactive mindset for sustainability. The Company serves customers in a wide range of consumer and industrial markets, including adhesives, architectural coatings, automotive, construction, energy, food and beverage, nutraceuticals, personal care and pharmaceutical. With approximately 4,200 employees worldwide, Ashland serves customers in more than 100 countries.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Ashland’s sales generated outside of North America were 61% and 60% for the three months ended December 31, 2020 and 2019.</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by region expressed as a percentage of total consolidated sales for the three months ended December 31 were as follows: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6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7"/>
              </w:rPr>
              <w:t>Three months ended</w:t>
            </w:r>
          </w:p>
        </w:tc>
        <w:tc>
          <w:tcPr>
            <w:tcW w:w="9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8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0"/>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Sales by Geography</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Europe</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0" w:type="dxa"/>
            <w:vAlign w:val="bottom"/>
          </w:tcPr>
          <w:p>
            <w:pPr>
              <w:spacing w:after="0"/>
              <w:rPr>
                <w:sz w:val="19"/>
                <w:szCs w:val="19"/>
                <w:color w:val="auto"/>
              </w:rPr>
            </w:pPr>
          </w:p>
        </w:tc>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6262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37" w:lineRule="exact"/>
        <w:rPr>
          <w:sz w:val="20"/>
          <w:szCs w:val="20"/>
          <w:color w:val="auto"/>
        </w:rPr>
      </w:pPr>
    </w:p>
    <w:p>
      <w:pPr>
        <w:ind w:left="720" w:hanging="361"/>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left="360" w:right="140"/>
        <w:spacing w:after="0" w:line="244" w:lineRule="auto"/>
        <w:rPr>
          <w:sz w:val="20"/>
          <w:szCs w:val="20"/>
          <w:color w:val="auto"/>
        </w:rPr>
      </w:pPr>
      <w:r>
        <w:rPr>
          <w:rFonts w:ascii="Arial" w:cs="Arial" w:eastAsia="Arial" w:hAnsi="Arial"/>
          <w:sz w:val="20"/>
          <w:szCs w:val="20"/>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 The contribution to sales by each reportable segment expressed as a percentage of total consolidated sales for the three month ended December 31 were as follows:</w:t>
      </w:r>
    </w:p>
    <w:p>
      <w:pPr>
        <w:spacing w:after="0" w:line="97"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6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9"/>
              </w:rPr>
              <w:t>Three months ended</w:t>
            </w:r>
          </w:p>
        </w:tc>
        <w:tc>
          <w:tcPr>
            <w:tcW w:w="9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8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Sales by Reportable Segment</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Life Sciences</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Personal Care &amp; Household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Consumer Specialties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i w:val="1"/>
                <w:iCs w:val="1"/>
                <w:color w:val="auto"/>
              </w:rPr>
              <w:t>Specialty Additives</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Performance Adhesives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Industrial Specialties</w:t>
            </w:r>
          </w:p>
        </w:tc>
        <w:tc>
          <w:tcPr>
            <w:tcW w:w="18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Intermediates and Solvents</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71" w:right="55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360"/>
        <w:spacing w:after="0" w:line="276" w:lineRule="auto"/>
        <w:rPr>
          <w:sz w:val="20"/>
          <w:szCs w:val="20"/>
          <w:color w:val="auto"/>
        </w:rPr>
      </w:pPr>
      <w:r>
        <w:rPr>
          <w:rFonts w:ascii="Arial" w:cs="Arial" w:eastAsia="Arial" w:hAnsi="Arial"/>
          <w:sz w:val="18"/>
          <w:szCs w:val="18"/>
          <w:color w:val="auto"/>
        </w:rPr>
        <w:t>Ashland recorded net income of $56 million (income of $61 million in continuing operations and loss of $5 million in discontinued operations) and $32 million (income of $34 million in continuing operations and loss of $2 million in discontinued operations) in the current and prior year quarters, respectively. Ashland’s EBITDA of $112 million increased by $33 million, while Ashland’s Adjusted EBITDA was $124 million for the current quarter compared to $88 million in the prior year quarter. (see U.S. GAAP reconciliation below under consolidated review). The improvement in results was primarily due to higher volumes, improved pricing/mix, lower costs and favorable foreign currency exchange, partially offset by a capital project impairment.</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6"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Ashland continues to successfully navigate the uncertain environment associated with the COVID-19 pandemic. This includes the execution of shelter in place, social distancing and deep cleaning process requirements. Through the first quarter of fiscal year 2021, Ashland has not experienced any additional major operating surprises, related to the COVID-19 pandemic, and continues to maintain a robust supply chain in a challenging environment, had strong safety performance in the face of unprecedented pressures and improved operating discipline across each of its businesses. The consumer specialties businesses continued to show resiliency in the face of difficult economic circumstances. The industrial specialties businesses and the Intermediates and Solvents business experienced downward pressure on demand as a result of the COVID-19 pandemic’s impact on those businesses’ end markets in 2020, with improved conditions through the first quarter of 2021. However, Ashland’s overall liquidity remains strong and Ashland is able to meet its operating cash needs and other investing and financing cash requirements at this time, including those necessary to grow the business as economic conditions continue to improve.</w:t>
      </w:r>
    </w:p>
    <w:p>
      <w:pPr>
        <w:spacing w:after="0" w:line="66"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Other items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Operational business model changes and restructurings</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is currently targeting the following savings:</w:t>
      </w:r>
    </w:p>
    <w:p>
      <w:pPr>
        <w:spacing w:after="0" w:line="72" w:lineRule="exact"/>
        <w:rPr>
          <w:sz w:val="20"/>
          <w:szCs w:val="20"/>
          <w:color w:val="auto"/>
        </w:rPr>
      </w:pPr>
    </w:p>
    <w:p>
      <w:pPr>
        <w:ind w:left="1060" w:hanging="350"/>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$50 million of incremental SARD cost savings</w:t>
      </w:r>
    </w:p>
    <w:p>
      <w:pPr>
        <w:spacing w:after="0" w:line="15" w:lineRule="exact"/>
        <w:rPr>
          <w:rFonts w:ascii="Arial" w:cs="Arial" w:eastAsia="Arial" w:hAnsi="Arial"/>
          <w:sz w:val="20"/>
          <w:szCs w:val="20"/>
          <w:color w:val="auto"/>
        </w:rPr>
      </w:pPr>
    </w:p>
    <w:p>
      <w:pPr>
        <w:ind w:left="1060" w:hanging="350"/>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$50 million of incremental COGS productivity savings</w:t>
      </w:r>
    </w:p>
    <w:p>
      <w:pPr>
        <w:spacing w:after="0" w:line="92"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Ashland achieved over 80% of its target run-rate SARD cost savings and about 70% of its COGS productivity savings, in total representing about $78 million in annualized run-rate savings under these initiatives as of December 31, 2020. Ashland expects to be substantially complete with these initiatives by the end of fiscal year 2021.</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49" w:right="699" w:bottom="1440" w:gutter="0" w:footer="0" w:header="0"/>
        </w:sectPr>
      </w:pPr>
    </w:p>
    <w:bookmarkStart w:id="34" w:name="page35"/>
    <w:bookmarkEnd w:id="34"/>
    <w:p>
      <w:pPr>
        <w:ind w:left="360"/>
        <w:spacing w:after="0"/>
        <w:rPr>
          <w:sz w:val="20"/>
          <w:szCs w:val="20"/>
          <w:color w:val="auto"/>
        </w:rPr>
      </w:pPr>
      <w:r>
        <w:rPr>
          <w:rFonts w:ascii="Arial" w:cs="Arial" w:eastAsia="Arial" w:hAnsi="Arial"/>
          <w:sz w:val="20"/>
          <w:szCs w:val="20"/>
          <w:i w:val="1"/>
          <w:iCs w:val="1"/>
          <w:color w:val="auto"/>
        </w:rPr>
        <w:t>Pending acquisition</w:t>
      </w:r>
    </w:p>
    <w:p>
      <w:pPr>
        <w:spacing w:after="0" w:line="108"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On January 19, 2021 Ashland announced it had signed a definitive agreement to acquire the personal care business from Schülke &amp; Mayr GmbH, a portfolio company of the global investment organization EQT.</w:t>
      </w:r>
    </w:p>
    <w:p>
      <w:pPr>
        <w:spacing w:after="0" w:line="69" w:lineRule="exact"/>
        <w:rPr>
          <w:sz w:val="20"/>
          <w:szCs w:val="20"/>
          <w:color w:val="auto"/>
        </w:rPr>
      </w:pPr>
    </w:p>
    <w:p>
      <w:pPr>
        <w:ind w:left="360"/>
        <w:spacing w:after="0" w:line="316" w:lineRule="auto"/>
        <w:rPr>
          <w:sz w:val="20"/>
          <w:szCs w:val="20"/>
          <w:color w:val="auto"/>
        </w:rPr>
      </w:pPr>
      <w:r>
        <w:rPr>
          <w:rFonts w:ascii="Arial" w:cs="Arial" w:eastAsia="Arial" w:hAnsi="Arial"/>
          <w:sz w:val="18"/>
          <w:szCs w:val="18"/>
          <w:color w:val="auto"/>
        </w:rPr>
        <w:t>Under the terms of the agreement, Ashland will pay €262.5 million in an all cash transaction, which is expected to be completed before the end of the June 30, 2021 quarter subject to customary closing conditions and required regulatory approvals.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Key financial results for the three months ended December 31, 2020 and 2019 included the following:</w:t>
      </w:r>
    </w:p>
    <w:p>
      <w:pPr>
        <w:spacing w:after="0" w:line="108" w:lineRule="exact"/>
        <w:rPr>
          <w:sz w:val="20"/>
          <w:szCs w:val="20"/>
          <w:color w:val="auto"/>
        </w:rPr>
      </w:pPr>
    </w:p>
    <w:p>
      <w:pPr>
        <w:ind w:left="720" w:hanging="361"/>
        <w:spacing w:after="0" w:line="26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Ashland’s net income amounted to $56 million compared to $32 million for the three months ended December 31, 2020 and 2019, respectively, or income of $0.91 and $0.53 diluted earnings per share, respectively.</w:t>
      </w:r>
    </w:p>
    <w:p>
      <w:pPr>
        <w:spacing w:after="0" w:line="68"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$5 million and $2 million during the three months ended December 31, 2020 and 2019, respectively.</w:t>
      </w:r>
    </w:p>
    <w:p>
      <w:pPr>
        <w:spacing w:after="0" w:line="68"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$61 million and $34 million for the three months ended December 31, 2020 and 2019, respectively.</w:t>
      </w:r>
    </w:p>
    <w:p>
      <w:pPr>
        <w:spacing w:after="0" w:line="68" w:lineRule="exact"/>
        <w:rPr>
          <w:rFonts w:ascii="Arial" w:cs="Arial" w:eastAsia="Arial" w:hAnsi="Arial"/>
          <w:sz w:val="20"/>
          <w:szCs w:val="20"/>
          <w:color w:val="auto"/>
        </w:rPr>
      </w:pPr>
    </w:p>
    <w:p>
      <w:pPr>
        <w:ind w:left="720" w:hanging="361"/>
        <w:spacing w:after="0" w:line="31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income tax rates were an expense of zero and a benefit of 240% for the three months ended December 31, 2020 and 2019, respectively, and were significantly impacted by certain tax discrete items in both the current and prior year quarters.</w:t>
      </w:r>
    </w:p>
    <w:p>
      <w:pPr>
        <w:spacing w:after="0" w:line="21" w:lineRule="exact"/>
        <w:rPr>
          <w:rFonts w:ascii="Arial" w:cs="Arial" w:eastAsia="Arial" w:hAnsi="Arial"/>
          <w:sz w:val="18"/>
          <w:szCs w:val="18"/>
          <w:color w:val="auto"/>
        </w:rPr>
      </w:pPr>
    </w:p>
    <w:p>
      <w:pPr>
        <w:ind w:left="720" w:hanging="361"/>
        <w:spacing w:after="0" w:line="31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Ashland incurred pretax net interest and other income of $6 million compared to expense of $10 million for the three months ended December 31, 2020 and 2019, respectively. This includes gains of $18 million and $9 million on restricted investments.</w:t>
      </w:r>
    </w:p>
    <w:p>
      <w:pPr>
        <w:spacing w:after="0" w:line="21" w:lineRule="exact"/>
        <w:rPr>
          <w:rFonts w:ascii="Arial" w:cs="Arial" w:eastAsia="Arial" w:hAnsi="Arial"/>
          <w:sz w:val="18"/>
          <w:szCs w:val="18"/>
          <w:color w:val="auto"/>
        </w:rPr>
      </w:pPr>
    </w:p>
    <w:p>
      <w:pPr>
        <w:ind w:left="720" w:hanging="361"/>
        <w:spacing w:after="0" w:line="26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Net income on divestitures totaled income of $14 million and $3 million for the three months ended December 31, 2020 and 2019, respectively.</w:t>
      </w:r>
    </w:p>
    <w:p>
      <w:pPr>
        <w:spacing w:after="0" w:line="68" w:lineRule="exact"/>
        <w:rPr>
          <w:rFonts w:ascii="Arial" w:cs="Arial" w:eastAsia="Arial" w:hAnsi="Arial"/>
          <w:sz w:val="20"/>
          <w:szCs w:val="20"/>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was $41 million and $17 million for the three months ended December 31, 2020 and 2019, respectively.</w:t>
      </w:r>
    </w:p>
    <w:p>
      <w:pPr>
        <w:spacing w:after="0" w:line="131"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Operating income/loss amounted to income of $41 million and $17 million for the three months ended December 31, 2020 and 2019,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720" w:hanging="361"/>
        <w:spacing w:after="0" w:line="24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During the three months ended December 31, 2020, Ashland incurred an impairment charge associated with a long-term capital project plan change at a plant facility.</w:t>
      </w:r>
    </w:p>
    <w:p>
      <w:pPr>
        <w:spacing w:after="0" w:line="69"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Operating income/loss for the three months ended December 31, 2020 and 2019 included depreciation and amortization of $62 million and $61 million, respectively.</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47" w:right="699" w:bottom="1440" w:gutter="0" w:footer="0" w:header="0"/>
        </w:sectPr>
      </w:pPr>
    </w:p>
    <w:bookmarkStart w:id="35" w:name="page36"/>
    <w:bookmarkEnd w:id="35"/>
    <w:p>
      <w:pPr>
        <w:ind w:left="360"/>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ind w:left="720" w:right="360" w:hanging="361"/>
        <w:spacing w:after="0" w:line="260"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Net gain on divestitures – Ashland recorded a gain of $14 million during the three months ended December 31, 2020 related to the sale of a Specialty Additives facility.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months ended December 31,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8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Three months ended December 31</w:t>
            </w: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600" w:type="dxa"/>
            <w:vAlign w:val="bottom"/>
            <w:tcBorders>
              <w:top w:val="single" w:sz="8" w:color="auto"/>
            </w:tcBorders>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552</w:t>
            </w:r>
          </w:p>
        </w:tc>
        <w:tc>
          <w:tcPr>
            <w:tcW w:w="86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533</w:t>
            </w:r>
          </w:p>
        </w:tc>
        <w:tc>
          <w:tcPr>
            <w:tcW w:w="76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the change in sales for the three months ended December 31, 2020 and 2019.</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7"/>
              </w:rPr>
              <w:t>Three months ended</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December 31, 2020</w:t>
            </w:r>
          </w:p>
        </w:tc>
      </w:tr>
      <w:tr>
        <w:trPr>
          <w:trHeight w:val="223"/>
        </w:trPr>
        <w:tc>
          <w:tcPr>
            <w:tcW w:w="20" w:type="dxa"/>
            <w:vAlign w:val="bottom"/>
          </w:tcPr>
          <w:p>
            <w:pPr>
              <w:spacing w:after="0"/>
              <w:rPr>
                <w:sz w:val="19"/>
                <w:szCs w:val="19"/>
                <w:color w:val="auto"/>
              </w:rPr>
            </w:pPr>
          </w:p>
        </w:tc>
        <w:tc>
          <w:tcPr>
            <w:tcW w:w="7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Volume</w:t>
            </w:r>
          </w:p>
        </w:tc>
        <w:tc>
          <w:tcPr>
            <w:tcW w:w="26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Pricing</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Change in sales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Sales for the current quarter increased $19 million compared to the prior year quarter. Favorable volume and foreign currency exchange increased sales by $14 million and $11 million, respectively. These increases were partially offset by product pricing which decreased sales $6 million.</w:t>
      </w:r>
    </w:p>
    <w:p>
      <w:pPr>
        <w:spacing w:after="0" w:line="318"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 December 31</w:t>
            </w:r>
          </w:p>
        </w:tc>
        <w:tc>
          <w:tcPr>
            <w:tcW w:w="840" w:type="dxa"/>
            <w:vAlign w:val="bottom"/>
            <w:tcBorders>
              <w:top w:val="single" w:sz="8" w:color="auto"/>
              <w:bottom w:val="single" w:sz="8" w:color="auto"/>
            </w:tcBorders>
          </w:tcPr>
          <w:p>
            <w:pPr>
              <w:spacing w:after="0"/>
              <w:rPr>
                <w:sz w:val="21"/>
                <w:szCs w:val="2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2240" w:type="dxa"/>
            <w:vAlign w:val="bottom"/>
            <w:tcBorders>
              <w:top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374</w:t>
            </w:r>
          </w:p>
        </w:tc>
        <w:tc>
          <w:tcPr>
            <w:tcW w:w="56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380</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1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following table provides a reconciliation of the change in cost of sales between the three months ended December 31,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7"/>
              </w:rPr>
              <w:t>Three months ended</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December 31, 2020</w:t>
            </w:r>
          </w:p>
        </w:tc>
      </w:tr>
      <w:tr>
        <w:trPr>
          <w:trHeight w:val="223"/>
        </w:trPr>
        <w:tc>
          <w:tcPr>
            <w:tcW w:w="20" w:type="dxa"/>
            <w:vAlign w:val="bottom"/>
          </w:tcPr>
          <w:p>
            <w:pPr>
              <w:spacing w:after="0"/>
              <w:rPr>
                <w:sz w:val="19"/>
                <w:szCs w:val="19"/>
                <w:color w:val="auto"/>
              </w:rPr>
            </w:pPr>
          </w:p>
        </w:tc>
        <w:tc>
          <w:tcPr>
            <w:tcW w:w="7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Changes in:</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Volume</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Price/mix</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costs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Change in cost of sales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Cost of sales for the current quarter decreased $6 million compared to the prior year quarter. Price/mix, and operating costs decreased cost of sales by $12 million and $9 million, respectively. These decreases were partially offset by higher volume and foreign currency exchange which increased cost of sales by $11 million and $4 million, respectively.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 December 31</w:t>
            </w:r>
          </w:p>
        </w:tc>
        <w:tc>
          <w:tcPr>
            <w:tcW w:w="8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260" w:type="dxa"/>
            <w:vAlign w:val="bottom"/>
            <w:tcBorders>
              <w:top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106</w:t>
            </w:r>
          </w:p>
        </w:tc>
        <w:tc>
          <w:tcPr>
            <w:tcW w:w="56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99</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r>
      <w:tr>
        <w:trPr>
          <w:trHeight w:val="243"/>
        </w:trPr>
        <w:tc>
          <w:tcPr>
            <w:tcW w:w="4640" w:type="dxa"/>
            <w:vAlign w:val="bottom"/>
            <w:gridSpan w:val="2"/>
          </w:tcPr>
          <w:p>
            <w:pPr>
              <w:ind w:left="400"/>
              <w:spacing w:after="0"/>
              <w:rPr>
                <w:sz w:val="20"/>
                <w:szCs w:val="20"/>
                <w:color w:val="auto"/>
              </w:rPr>
            </w:pPr>
            <w:r>
              <w:rPr>
                <w:rFonts w:ascii="Arial" w:cs="Arial" w:eastAsia="Arial" w:hAnsi="Arial"/>
                <w:sz w:val="18"/>
                <w:szCs w:val="18"/>
                <w:b w:val="1"/>
                <w:bCs w:val="1"/>
                <w:color w:val="auto"/>
              </w:rPr>
              <w:t>As a percent of sales</w:t>
            </w:r>
          </w:p>
        </w:tc>
        <w:tc>
          <w:tcPr>
            <w:tcW w:w="1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32"/>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6" w:name="page37"/>
    <w:bookmarkEnd w:id="36"/>
    <w:p>
      <w:pPr>
        <w:jc w:val="both"/>
        <w:ind w:left="360" w:right="360"/>
        <w:spacing w:after="0" w:line="250" w:lineRule="auto"/>
        <w:rPr>
          <w:sz w:val="20"/>
          <w:szCs w:val="20"/>
          <w:color w:val="auto"/>
        </w:rPr>
      </w:pPr>
      <w:r>
        <w:rPr>
          <w:rFonts w:ascii="Arial" w:cs="Arial" w:eastAsia="Arial" w:hAnsi="Arial"/>
          <w:sz w:val="20"/>
          <w:szCs w:val="20"/>
          <w:color w:val="auto"/>
        </w:rPr>
        <w:t>Selling, general and administrative expense for the current quarter increased $7 million compared to the prior year quarter with expenses as a percent of sales increasing 0.6 percentage points. Key drivers of the fluctuation in selling, general and administrative expense compared to the prior year quarter were:</w:t>
      </w:r>
    </w:p>
    <w:p>
      <w:pPr>
        <w:spacing w:after="0" w:line="78" w:lineRule="exact"/>
        <w:rPr>
          <w:sz w:val="20"/>
          <w:szCs w:val="20"/>
          <w:color w:val="auto"/>
        </w:rPr>
      </w:pPr>
    </w:p>
    <w:p>
      <w:pPr>
        <w:ind w:left="720" w:right="360" w:hanging="361"/>
        <w:spacing w:after="0" w:line="260"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$12 million and $7 million of key items for severance, lease abandonment and other restructuring costs during the three months ended December 31, 2020 and 2019, respectively;</w:t>
      </w:r>
    </w:p>
    <w:p>
      <w:pPr>
        <w:spacing w:after="0" w:line="68" w:lineRule="exact"/>
        <w:rPr>
          <w:rFonts w:ascii="Arial" w:cs="Arial" w:eastAsia="Arial" w:hAnsi="Arial"/>
          <w:sz w:val="20"/>
          <w:szCs w:val="20"/>
          <w:color w:val="auto"/>
        </w:rPr>
      </w:pP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$9 million related to a capital project impairment during the three months ended December 31, 2020; and</w:t>
      </w:r>
    </w:p>
    <w:p>
      <w:pPr>
        <w:spacing w:after="0" w:line="107" w:lineRule="exact"/>
        <w:rPr>
          <w:rFonts w:ascii="Arial" w:cs="Arial" w:eastAsia="Arial" w:hAnsi="Arial"/>
          <w:sz w:val="20"/>
          <w:szCs w:val="20"/>
          <w:color w:val="auto"/>
        </w:rPr>
      </w:pP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Unfavorable currency exchange of $1 million during the three months ended December 31, 2020.</w:t>
      </w:r>
    </w:p>
    <w:p>
      <w:pPr>
        <w:spacing w:after="0" w:line="1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above increases were partially offset by achieved cost savings during the three months ended December 31, 2020 from restructuring programs initiated in fiscal year 2020.</w:t>
      </w:r>
    </w:p>
    <w:p>
      <w:pPr>
        <w:spacing w:after="0" w:line="30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2180" w:type="dxa"/>
            <w:vAlign w:val="bottom"/>
            <w:tcBorders>
              <w:top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6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6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Research and development expense is relatively consistent with the prior year quarter.</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Intangibles amortization expense</w:t>
            </w:r>
          </w:p>
        </w:tc>
        <w:tc>
          <w:tcPr>
            <w:tcW w:w="2260" w:type="dxa"/>
            <w:vAlign w:val="bottom"/>
            <w:tcBorders>
              <w:top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6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6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Amortization expense is consistent with the prior year quarter.</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6"/>
          </w:tcPr>
          <w:p>
            <w:pPr>
              <w:jc w:val="right"/>
              <w:ind w:right="87"/>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2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25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Other income for the current year quarter was primarily due to a gain on sale of excess corporate property of roughly $4 million.</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7"/>
          </w:tcPr>
          <w:p>
            <w:pPr>
              <w:jc w:val="right"/>
              <w:ind w:right="9"/>
              <w:spacing w:after="0"/>
              <w:rPr>
                <w:sz w:val="20"/>
                <w:szCs w:val="20"/>
                <w:color w:val="auto"/>
              </w:rPr>
            </w:pPr>
            <w:r>
              <w:rPr>
                <w:rFonts w:ascii="Arial" w:cs="Arial" w:eastAsia="Arial" w:hAnsi="Arial"/>
                <w:sz w:val="18"/>
                <w:szCs w:val="18"/>
                <w:color w:val="auto"/>
                <w:w w:val="98"/>
              </w:rPr>
              <w:t>Three months ended December 31</w:t>
            </w:r>
          </w:p>
        </w:tc>
        <w:tc>
          <w:tcPr>
            <w:tcW w:w="740" w:type="dxa"/>
            <w:vAlign w:val="bottom"/>
            <w:tcBorders>
              <w:top w:val="single" w:sz="8" w:color="auto"/>
              <w:bottom w:val="single" w:sz="8" w:color="auto"/>
            </w:tcBorders>
          </w:tcPr>
          <w:p>
            <w:pPr>
              <w:spacing w:after="0"/>
              <w:rPr>
                <w:sz w:val="21"/>
                <w:szCs w:val="2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16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costs</w:t>
            </w:r>
          </w:p>
        </w:tc>
        <w:tc>
          <w:tcPr>
            <w:tcW w:w="16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Net interest and other expense (income) decreased by $16 million during the current quarter compared to the prior year quarter. Interest expense decreased $7 million due to lower cost of debt and lower debt levels compared to the prior year quarter. Restricted investments included gains of $18 million and $9 million for the three months ended December 31, 2020 and 2019, respectively. See Note E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71755</wp:posOffset>
            </wp:positionV>
            <wp:extent cx="6626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Three months ended December 31</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on divestitures</w:t>
            </w:r>
          </w:p>
        </w:tc>
        <w:tc>
          <w:tcPr>
            <w:tcW w:w="23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6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bl>
    <w:p>
      <w:pPr>
        <w:spacing w:after="0" w:line="91"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activity in the current year quarter was related to the sale of a Specialty Additives facility, while activity in the prior year quarter related to post-closing adjustments for certain divestitures.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0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2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2760" w:type="dxa"/>
            <w:vAlign w:val="bottom"/>
            <w:tcBorders>
              <w:top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(24)</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2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27"/>
        </w:trPr>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80" w:type="dxa"/>
            <w:vAlign w:val="bottom"/>
          </w:tcPr>
          <w:p>
            <w:pPr>
              <w:jc w:val="right"/>
              <w:ind w:right="53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7" w:name="page38"/>
    <w:bookmarkEnd w:id="37"/>
    <w:p>
      <w:pPr>
        <w:jc w:val="both"/>
        <w:ind w:left="1"/>
        <w:spacing w:after="0" w:line="246"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zero for the three months ended December 31, 2020. The current quarter tax rate was impacted by jurisdictional income mix, as well as favorable discrete items of $13 million primarily related to the sale of a Specialty Additives facility.</w:t>
      </w:r>
    </w:p>
    <w:p>
      <w:pPr>
        <w:spacing w:after="0" w:line="83"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overall effective tax rate was a benefit of 240% for the three months ended December 31, 2019 and was primarily impacted by jurisdictional income mix, certain nondeductible restructuring costs as well as $27 million from favorable tax discrete items primarily from the tax benefit related to the Swiss Tax Reform enacted in the prior year quarter.</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2"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effective tax rate during the three months ended December 31, 2020 and 2019 was significantly impacted by the following tax specific key items:</w:t>
      </w:r>
    </w:p>
    <w:p>
      <w:pPr>
        <w:spacing w:after="0" w:line="190" w:lineRule="exact"/>
        <w:rPr>
          <w:sz w:val="20"/>
          <w:szCs w:val="20"/>
          <w:color w:val="auto"/>
        </w:rPr>
      </w:pPr>
    </w:p>
    <w:p>
      <w:pPr>
        <w:ind w:left="361" w:hanging="361"/>
        <w:spacing w:after="0" w:line="247" w:lineRule="auto"/>
        <w:tabs>
          <w:tab w:leader="none" w:pos="361"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 the impact of the sale of a Specialty Additives facility; and</w:t>
      </w:r>
    </w:p>
    <w:p>
      <w:pPr>
        <w:spacing w:after="0" w:line="1" w:lineRule="exact"/>
        <w:rPr>
          <w:rFonts w:ascii="Arial" w:cs="Arial" w:eastAsia="Arial" w:hAnsi="Arial"/>
          <w:sz w:val="20"/>
          <w:szCs w:val="20"/>
          <w:color w:val="auto"/>
        </w:rPr>
      </w:pPr>
    </w:p>
    <w:p>
      <w:pPr>
        <w:jc w:val="both"/>
        <w:ind w:left="361" w:hanging="361"/>
        <w:spacing w:after="0" w:line="276" w:lineRule="auto"/>
        <w:tabs>
          <w:tab w:leader="none" w:pos="3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tax reform – Includes the impact from other items related to the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58"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5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Three months ended</w:t>
            </w: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66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1080" w:type="dxa"/>
            <w:vAlign w:val="bottom"/>
            <w:tcBorders>
              <w:top w:val="single" w:sz="8" w:color="auto"/>
            </w:tcBorders>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10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tcPr>
          <w:p>
            <w:pPr>
              <w:ind w:left="100"/>
              <w:spacing w:after="0"/>
              <w:rPr>
                <w:sz w:val="20"/>
                <w:szCs w:val="20"/>
                <w:color w:val="auto"/>
              </w:rPr>
            </w:pPr>
            <w:r>
              <w:rPr>
                <w:rFonts w:ascii="Arial" w:cs="Arial" w:eastAsia="Arial" w:hAnsi="Arial"/>
                <w:sz w:val="18"/>
                <w:szCs w:val="18"/>
                <w:b w:val="1"/>
                <w:bCs w:val="1"/>
                <w:color w:val="auto"/>
              </w:rPr>
              <w:t>before income taxes</w:t>
            </w:r>
          </w:p>
        </w:tc>
        <w:tc>
          <w:tcPr>
            <w:tcW w:w="166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10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Tax effect of key items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 reform</w:t>
            </w:r>
          </w:p>
        </w:tc>
        <w:tc>
          <w:tcPr>
            <w:tcW w:w="10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income tax rate adjustments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85725</wp:posOffset>
            </wp:positionV>
            <wp:extent cx="66262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50" w:lineRule="exact"/>
        <w:rPr>
          <w:sz w:val="20"/>
          <w:szCs w:val="20"/>
          <w:color w:val="auto"/>
        </w:rPr>
      </w:pPr>
    </w:p>
    <w:p>
      <w:pPr>
        <w:ind w:left="361" w:hanging="361"/>
        <w:spacing w:after="0"/>
        <w:tabs>
          <w:tab w:leader="none" w:pos="361"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784" w:right="699" w:bottom="1440" w:gutter="0" w:footer="0" w:header="0"/>
        </w:sectPr>
      </w:pPr>
    </w:p>
    <w:bookmarkStart w:id="38" w:name="page39"/>
    <w:bookmarkEnd w:id="38"/>
    <w:tbl>
      <w:tblPr>
        <w:tblLayout w:type="fixed"/>
        <w:tblInd w:w="4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6"/>
          </w:tcPr>
          <w:p>
            <w:pPr>
              <w:jc w:val="right"/>
              <w:ind w:right="87"/>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 (net of taxes)</w:t>
            </w:r>
          </w:p>
        </w:tc>
        <w:tc>
          <w:tcPr>
            <w:tcW w:w="6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40" w:type="dxa"/>
            <w:vAlign w:val="bottom"/>
          </w:tcPr>
          <w:p>
            <w:pPr>
              <w:ind w:left="360"/>
              <w:spacing w:after="0"/>
              <w:rPr>
                <w:sz w:val="20"/>
                <w:szCs w:val="20"/>
                <w:color w:val="auto"/>
              </w:rPr>
            </w:pPr>
            <w:r>
              <w:rPr>
                <w:rFonts w:ascii="Arial" w:cs="Arial" w:eastAsia="Arial" w:hAnsi="Arial"/>
                <w:sz w:val="18"/>
                <w:szCs w:val="18"/>
                <w:color w:val="auto"/>
              </w:rPr>
              <w:t>Valvoline</w:t>
            </w:r>
          </w:p>
        </w:tc>
        <w:tc>
          <w:tcPr>
            <w:tcW w:w="11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Water Technologies</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54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Gain (loss) on disposal of discontinued operations (net of taxes)</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Composites/Marl facility</w:t>
            </w:r>
          </w:p>
        </w:tc>
        <w:tc>
          <w:tcPr>
            <w:tcW w:w="6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pacing w:after="0" w:line="91"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activity for Composites/Marl facility during the current quarter was related to post-closing purchase price adjustment disputes. The activity for Valvoline, Water Technologies and Distribution during the current and prior year quarters was related to post-closing adjustments.</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7"/>
              </w:rPr>
              <w:t>Three months ended December 31</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8"/>
              </w:rPr>
              <w:t>Change</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14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Unrealized translation gain</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Total other comprehensive income, net of tax, for the current quarter increased $10 million compared to the prior year quarter primarily as a result of the following:</w:t>
      </w:r>
    </w:p>
    <w:p>
      <w:pPr>
        <w:spacing w:after="0" w:line="69" w:lineRule="exact"/>
        <w:rPr>
          <w:sz w:val="20"/>
          <w:szCs w:val="20"/>
          <w:color w:val="auto"/>
        </w:rPr>
      </w:pPr>
    </w:p>
    <w:p>
      <w:pPr>
        <w:jc w:val="both"/>
        <w:ind w:left="701" w:hanging="350"/>
        <w:spacing w:after="0" w:line="246" w:lineRule="auto"/>
        <w:tabs>
          <w:tab w:leader="none" w:pos="7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 the three months ended December 31, 2020, the change in unrealized gain (loss) from foreign currency translation adjustments resulted in a gain of $48 million compared to $38 million for the three months ended December 31, 2019. The fluctuations in unrealized translation gains and losses are primarily due to translating foreign subsidiary financial statements from local currencies to U.S. Dollars.</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361" w:hanging="361"/>
        <w:spacing w:after="0" w:line="260" w:lineRule="auto"/>
        <w:tabs>
          <w:tab w:leader="none" w:pos="3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361" w:hanging="361"/>
        <w:spacing w:after="0" w:line="250" w:lineRule="auto"/>
        <w:tabs>
          <w:tab w:leader="none" w:pos="3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7" w:lineRule="exact"/>
        <w:rPr>
          <w:rFonts w:ascii="Arial" w:cs="Arial" w:eastAsia="Arial" w:hAnsi="Arial"/>
          <w:sz w:val="20"/>
          <w:szCs w:val="20"/>
          <w:color w:val="auto"/>
        </w:rPr>
      </w:pPr>
    </w:p>
    <w:p>
      <w:pPr>
        <w:ind w:left="361" w:hanging="361"/>
        <w:spacing w:after="0"/>
        <w:tabs>
          <w:tab w:leader="none" w:pos="3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361" w:hanging="361"/>
        <w:spacing w:after="0" w:line="316" w:lineRule="auto"/>
        <w:tabs>
          <w:tab w:leader="none" w:pos="3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1" w:lineRule="exact"/>
        <w:rPr>
          <w:rFonts w:ascii="Arial" w:cs="Arial" w:eastAsia="Arial" w:hAnsi="Arial"/>
          <w:sz w:val="18"/>
          <w:szCs w:val="18"/>
          <w:color w:val="auto"/>
        </w:rPr>
      </w:pPr>
    </w:p>
    <w:p>
      <w:pPr>
        <w:ind w:left="361" w:hanging="361"/>
        <w:spacing w:after="0"/>
        <w:tabs>
          <w:tab w:leader="none" w:pos="3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57" w:right="699" w:bottom="1440" w:gutter="0" w:footer="0" w:header="0"/>
        </w:sectPr>
      </w:pPr>
    </w:p>
    <w:bookmarkStart w:id="39" w:name="page40"/>
    <w:bookmarkEnd w:id="39"/>
    <w:p>
      <w:pPr>
        <w:jc w:val="both"/>
        <w:spacing w:after="0" w:line="243" w:lineRule="auto"/>
        <w:rPr>
          <w:sz w:val="20"/>
          <w:szCs w:val="20"/>
          <w:color w:val="auto"/>
        </w:rPr>
      </w:pPr>
      <w:r>
        <w:rPr>
          <w:rFonts w:ascii="Arial" w:cs="Arial" w:eastAsia="Arial" w:hAnsi="Arial"/>
          <w:sz w:val="20"/>
          <w:szCs w:val="20"/>
          <w:color w:val="auto"/>
        </w:rPr>
        <w:t>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40" w:name="page41"/>
    <w:bookmarkEnd w:id="40"/>
    <w:p>
      <w:pPr>
        <w:ind w:left="360"/>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360" w:right="360"/>
        <w:spacing w:after="0" w:line="244" w:lineRule="auto"/>
        <w:rPr>
          <w:sz w:val="20"/>
          <w:szCs w:val="20"/>
          <w:color w:val="auto"/>
        </w:rPr>
      </w:pPr>
      <w:r>
        <w:rPr>
          <w:rFonts w:ascii="Arial" w:cs="Arial" w:eastAsia="Arial" w:hAnsi="Arial"/>
          <w:sz w:val="20"/>
          <w:szCs w:val="20"/>
          <w:color w:val="auto"/>
        </w:rPr>
        <w:t>EBITDA totaled income of $112 million and $79 million for the three months ended December 31, 2020 and 2019,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340" w:type="dxa"/>
            <w:vAlign w:val="bottom"/>
            <w:tcBorders>
              <w:top w:val="single" w:sz="8" w:color="auto"/>
            </w:tcBorders>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92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820" w:type="dxa"/>
            <w:vAlign w:val="bottom"/>
            <w:tcBorders>
              <w:top w:val="single" w:sz="8" w:color="auto"/>
            </w:tcBorders>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 (income)</w:t>
            </w:r>
          </w:p>
        </w:tc>
        <w:tc>
          <w:tcPr>
            <w:tcW w:w="3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3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tax)</w:t>
            </w: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3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Capital project impairment</w:t>
            </w:r>
          </w:p>
        </w:tc>
        <w:tc>
          <w:tcPr>
            <w:tcW w:w="3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gain on divestitures</w:t>
            </w:r>
          </w:p>
        </w:tc>
        <w:tc>
          <w:tcPr>
            <w:tcW w:w="3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3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3680" w:type="dxa"/>
            <w:vAlign w:val="bottom"/>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39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securities</w:t>
            </w:r>
          </w:p>
        </w:tc>
        <w:tc>
          <w:tcPr>
            <w:tcW w:w="3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400"/>
              <w:spacing w:after="0"/>
              <w:rPr>
                <w:sz w:val="20"/>
                <w:szCs w:val="20"/>
                <w:color w:val="auto"/>
              </w:rPr>
            </w:pPr>
            <w:r>
              <w:rPr>
                <w:rFonts w:ascii="Arial" w:cs="Arial" w:eastAsia="Arial" w:hAnsi="Arial"/>
                <w:sz w:val="18"/>
                <w:szCs w:val="18"/>
                <w:color w:val="auto"/>
              </w:rPr>
              <w:t>Total key items, before tax</w:t>
            </w:r>
          </w:p>
        </w:tc>
        <w:tc>
          <w:tcPr>
            <w:tcW w:w="36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680" w:type="dxa"/>
            <w:vAlign w:val="bottom"/>
          </w:tcPr>
          <w:p>
            <w:pPr>
              <w:jc w:val="right"/>
              <w:ind w:right="263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1" w:name="page42"/>
    <w:bookmarkEnd w:id="41"/>
    <w:p>
      <w:pPr>
        <w:ind w:left="1"/>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1"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0.99</w:t>
            </w:r>
          </w:p>
        </w:tc>
        <w:tc>
          <w:tcPr>
            <w:tcW w:w="8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Capital project impairment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on securities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gain on divestitures</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Tax specific key items: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tax reform</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(0.42)</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key items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adjustment (net of tax) (c)</w:t>
            </w: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Adjusted diluted EPS from continuing operations (non-GAAP) excluding intangibles amortization expense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7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1" w:hanging="361"/>
        <w:spacing w:after="0"/>
        <w:tabs>
          <w:tab w:leader="none" w:pos="361"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55" w:lineRule="exact"/>
        <w:rPr>
          <w:rFonts w:ascii="Arial" w:cs="Arial" w:eastAsia="Arial" w:hAnsi="Arial"/>
          <w:sz w:val="14"/>
          <w:szCs w:val="14"/>
          <w:color w:val="auto"/>
        </w:rPr>
      </w:pPr>
    </w:p>
    <w:p>
      <w:pPr>
        <w:jc w:val="both"/>
        <w:ind w:left="361" w:hanging="361"/>
        <w:spacing w:after="0" w:line="227" w:lineRule="auto"/>
        <w:tabs>
          <w:tab w:leader="none" w:pos="361"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ind w:left="361" w:hanging="361"/>
        <w:spacing w:after="0"/>
        <w:tabs>
          <w:tab w:leader="none" w:pos="361"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21% and 20% for the three months ended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663" w:right="69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360"/>
        <w:spacing w:after="0" w:line="342"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10" w:lineRule="exact"/>
        <w:rPr>
          <w:sz w:val="20"/>
          <w:szCs w:val="20"/>
          <w:color w:val="auto"/>
        </w:rPr>
      </w:pPr>
    </w:p>
    <w:p>
      <w:pPr>
        <w:jc w:val="both"/>
        <w:ind w:left="360"/>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in the first quarter of fiscal 2020. These costs are now reflected in Unallocated and Other for all periods presented.</w:t>
      </w:r>
    </w:p>
    <w:p>
      <w:pPr>
        <w:spacing w:after="0" w:line="6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months ended December 31, 2020 and 2019.</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41" w:right="699" w:bottom="1440" w:gutter="0" w:footer="0" w:header="0"/>
        </w:sectPr>
      </w:pPr>
    </w:p>
    <w:bookmarkStart w:id="43" w:name="page44"/>
    <w:bookmarkEnd w:id="43"/>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3"/>
          </w:tcPr>
          <w:p>
            <w:pPr>
              <w:jc w:val="right"/>
              <w:ind w:right="607"/>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4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(In millions - unaudited)</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4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36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480" w:type="dxa"/>
            <w:vAlign w:val="bottom"/>
            <w:gridSpan w:val="2"/>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1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552</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36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EXPENSE</w:t>
            </w: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36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Borders>
              <w:bottom w:val="single" w:sz="8" w:color="CFF0FC"/>
            </w:tcBorders>
          </w:tcPr>
          <w:p>
            <w:pPr>
              <w:spacing w:after="0"/>
              <w:rPr>
                <w:sz w:val="22"/>
                <w:szCs w:val="22"/>
                <w:color w:val="auto"/>
              </w:rPr>
            </w:pPr>
          </w:p>
        </w:tc>
        <w:tc>
          <w:tcPr>
            <w:tcW w:w="148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tcPr>
          <w:p>
            <w:pPr>
              <w:spacing w:after="0"/>
              <w:rPr>
                <w:sz w:val="22"/>
                <w:szCs w:val="22"/>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36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236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c>
          <w:tcPr>
            <w:tcW w:w="1480" w:type="dxa"/>
            <w:vAlign w:val="bottom"/>
            <w:gridSpan w:val="2"/>
            <w:shd w:val="clear" w:color="auto" w:fill="CFF0FC"/>
          </w:tcPr>
          <w:p>
            <w:pPr>
              <w:jc w:val="right"/>
              <w:ind w:right="10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4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4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1" w:hanging="361"/>
        <w:spacing w:after="0"/>
        <w:tabs>
          <w:tab w:leader="none" w:pos="361"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Intersegment sales are accounted for at prices that approximate fair value.</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a capital project impairment of $9 million for the three months ended December 31, 2020 relating to a long-term capital project plan change at a plant facility.</w:t>
      </w:r>
    </w:p>
    <w:p>
      <w:pPr>
        <w:spacing w:after="0" w:line="66" w:lineRule="exact"/>
        <w:rPr>
          <w:rFonts w:ascii="Arial" w:cs="Arial" w:eastAsia="Arial" w:hAnsi="Arial"/>
          <w:sz w:val="13"/>
          <w:szCs w:val="13"/>
          <w:color w:val="auto"/>
        </w:rPr>
      </w:pPr>
    </w:p>
    <w:p>
      <w:pPr>
        <w:ind w:left="361" w:right="280" w:hanging="361"/>
        <w:spacing w:after="0" w:line="253" w:lineRule="auto"/>
        <w:tabs>
          <w:tab w:leader="none" w:pos="361"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1"/>
          </w:cols>
          <w:pgMar w:left="679" w:top="336" w:right="7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Consumer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Life Sciences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Personal Care &amp; Household</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2020 quarter compared to December 2019 quarter</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Consumer Specialties’ sales increased $4 million to $296 million in the current quarter. Life Sciences represented an increase of $15 million, offset by a decrease of $11 million for Personal Care &amp; Household. Favorable currency exchange increased sales by $5 million for the Consumer Specialties business. This increase was partially offset by product pricing which decreased sales by $1 million.</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income increased $11 million to income of $44 million for the current quarter. Life Sciences and Personal Care &amp; Household recorded income of $29 million and $15 million, respectively. Favorable price/mix, favorable foreign currency exchange, lower costs and a legal settlement related to Personal Care &amp; Household increased operating income by $4 million, $4 million, $2 million and $2 million, respectively. These increases were partially offset by lower volume which decreased operating income by $1 million. Current quarter EBITDA increased $12 million to $79 million, of which $45 million was in Life Sciences and $34 million in Personal Care &amp; Household. EBITDA margin increased 3.7 percentage points in the current quarter to 26.7%.</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54" w:right="699" w:bottom="1440" w:gutter="0" w:footer="0" w:header="0"/>
        </w:sectPr>
      </w:pPr>
    </w:p>
    <w:bookmarkStart w:id="45" w:name="page46"/>
    <w:bookmarkEnd w:id="45"/>
    <w:p>
      <w:pPr>
        <w:jc w:val="both"/>
        <w:spacing w:after="0" w:line="250" w:lineRule="auto"/>
        <w:rPr>
          <w:sz w:val="20"/>
          <w:szCs w:val="20"/>
          <w:color w:val="auto"/>
        </w:rPr>
      </w:pPr>
      <w:r>
        <w:rPr>
          <w:rFonts w:ascii="Arial" w:cs="Arial" w:eastAsia="Arial" w:hAnsi="Arial"/>
          <w:sz w:val="20"/>
          <w:szCs w:val="20"/>
          <w:color w:val="auto"/>
        </w:rPr>
        <w:t>The following EBITDA presentation for the three months ended December 31, 2020 and 2019 is provided as a means to enhance the understanding of financial measurements that Ashland has internally determined to be relevant measures of comparison for the results of Consumer Specialties.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Life Sciences</w:t>
            </w:r>
          </w:p>
        </w:tc>
        <w:tc>
          <w:tcPr>
            <w:tcW w:w="5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w w:val="91"/>
              </w:rPr>
              <w:t>Personal Care &amp; Household</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1"/>
              </w:rPr>
              <w:t>Consumer Specialties</w:t>
            </w: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 December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580" w:type="dxa"/>
            <w:vAlign w:val="bottom"/>
            <w:tcBorders>
              <w:top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4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4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Industrial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Industrial Specialties business is comprised of the below 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Specialty Additives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Adhesives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2020 quarter compared to December 2019 quarter</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Industrial Specialties’ sales increased $18 million to $231 million in the current quarter. Specialty Additives and Performance Adhesives represented $8 million and $10 million of the increase, respectively. Higher volume and favorable currency exchange increased sales by $16 million and $5 million, respectively. These increases were partially offset by product pricing which decreased sales by $3 million.</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Operating income increased $3 million to $22 million for the current quarter. Specialty Additives and Performance Adhesives recorded income of $2 million and $20 million, respectively, down $7 million and up $10 million from the prior year quarter, respectively. Higher volume, favorable price/mix, foreign currency exchange and production costs increased operating income by $4 million, $5 million, $1 million and $2 million, respectively. Those increases were partially offset by a capital project impairment of $9 million. Current quarter EBITDA increased $3 million to $46 million, $23 million income in Specialty Additives and $23 million income in Performance Adhesives. Adjusted EBITDA increased $12 million to $55 million, of which $32 million and $23 million originated from Specialty Additives and Performance Adhesives, respectively. Adjusted EBITDA margin increased 3.6 percentage points in the current quarter to 23.8%.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46" w:name="page47"/>
    <w:bookmarkEnd w:id="46"/>
    <w:p>
      <w:pPr>
        <w:ind w:left="36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The following EBITDA and Adjusted EBITDA presentation (as defined and described in the section above) for the three months ended December 31, 2020 and 2019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 The key items during the three months ended December 31, 2020 related to a capital project impairment within Specialty Additives.</w:t>
      </w: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Specialty Additives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1"/>
              </w:rPr>
              <w:t>Performance Adhesives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 December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Capital project impairment</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FF0FC"/>
            </w:tcBorders>
            <w:vMerge w:val="continue"/>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360" w:right="360"/>
        <w:spacing w:after="0" w:line="328" w:lineRule="auto"/>
        <w:rPr>
          <w:sz w:val="20"/>
          <w:szCs w:val="20"/>
          <w:color w:val="auto"/>
        </w:rPr>
      </w:pPr>
      <w:r>
        <w:rPr>
          <w:rFonts w:ascii="Arial" w:cs="Arial" w:eastAsia="Arial" w:hAnsi="Arial"/>
          <w:sz w:val="16"/>
          <w:szCs w:val="16"/>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December 2020 quarter compared to December 2019 quarter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Intermediates and Solvents’ sales increased $5 million to $33 million in the current quarter primarily due to higher volume.</w:t>
      </w:r>
    </w:p>
    <w:p>
      <w:pPr>
        <w:spacing w:after="0" w:line="108"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Operating income/loss increased $14 million to $2 million for the current quarter. Lower production costs and higher volume increased operating income by $17 million and $1 million, respectively. This increase was partially offset by price/mix and foreign currency exchange which decreased operating income by $3 million and $1 million respectively. Current quarter EBITDA increased $14 million to $5 million. EBITDA margin for the current quarter was 15.2%.</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60" w:right="360"/>
        <w:spacing w:after="0" w:line="269" w:lineRule="auto"/>
        <w:rPr>
          <w:sz w:val="20"/>
          <w:szCs w:val="20"/>
          <w:color w:val="auto"/>
        </w:rPr>
      </w:pPr>
      <w:r>
        <w:rPr>
          <w:rFonts w:ascii="Arial" w:cs="Arial" w:eastAsia="Arial" w:hAnsi="Arial"/>
          <w:sz w:val="19"/>
          <w:szCs w:val="19"/>
          <w:color w:val="auto"/>
        </w:rPr>
        <w:t>The following EBITDA presentation (as defined and described in the section above) for the three months ended December 31, 2020 and 2019 is provided as a means to enhance the understanding of financial measurements that Ashland has internally determined to be relevant measures of comparison for the results of Intermediates and Solvents.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8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w:t>
            </w: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2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80" w:type="dxa"/>
            <w:vAlign w:val="bottom"/>
            <w:tcBorders>
              <w:top w:val="single" w:sz="8" w:color="auto"/>
            </w:tcBorders>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8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28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60" w:type="dxa"/>
            <w:vAlign w:val="bottom"/>
            <w:vMerge w:val="restart"/>
          </w:tcPr>
          <w:p>
            <w:pPr>
              <w:jc w:val="right"/>
              <w:ind w:right="1110"/>
              <w:spacing w:after="0"/>
              <w:rPr>
                <w:sz w:val="20"/>
                <w:szCs w:val="20"/>
                <w:color w:val="auto"/>
              </w:rPr>
            </w:pPr>
            <w:r>
              <w:rPr>
                <w:rFonts w:ascii="Arial" w:cs="Arial" w:eastAsia="Arial" w:hAnsi="Arial"/>
                <w:sz w:val="18"/>
                <w:szCs w:val="18"/>
                <w:color w:val="auto"/>
              </w:rPr>
              <w:t>47</w:t>
            </w: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7" w:name="page48"/>
    <w:bookmarkEnd w:id="47"/>
    <w:p>
      <w:pPr>
        <w:ind w:left="36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months ended December 31,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4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87"/>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activities</w:t>
            </w:r>
          </w:p>
        </w:tc>
        <w:tc>
          <w:tcPr>
            <w:tcW w:w="1720" w:type="dxa"/>
            <w:vAlign w:val="bottom"/>
            <w:tcBorders>
              <w:top w:val="single" w:sz="8" w:color="auto"/>
            </w:tcBorders>
            <w:gridSpan w:val="2"/>
          </w:tcPr>
          <w:p>
            <w:pPr>
              <w:jc w:val="right"/>
              <w:ind w:right="467"/>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 (primarily governance and legacy expenses)</w:t>
            </w:r>
          </w:p>
        </w:tc>
        <w:tc>
          <w:tcPr>
            <w:tcW w:w="1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1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December 2020 quarter compared to December 2019 quarter</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Unallocated and other recorded expense of $27 million and $23 million for the three months ended December 31, 2020 and 2019, respectively. The current and prior year quarters included charges for restructuring activities of $12 million and $7 million, respectively, which were comprised of the following:</w:t>
      </w:r>
    </w:p>
    <w:p>
      <w:pPr>
        <w:spacing w:after="0" w:line="78" w:lineRule="exact"/>
        <w:rPr>
          <w:sz w:val="20"/>
          <w:szCs w:val="20"/>
          <w:color w:val="auto"/>
        </w:rPr>
      </w:pPr>
    </w:p>
    <w:p>
      <w:pPr>
        <w:ind w:left="720" w:hanging="361"/>
        <w:spacing w:after="0" w:line="260"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$12 million and $7 million of severance, lease abandonment and other restructuring costs related to company-wide cost reduction programs during the current and prior quarters, respectively.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current quarter and prior quarter included $4 million and $3 million for environmental expenses,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Ashland had $335 million in cash and cash equivalents as of December 31, 2020, of which $263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6"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Ashland has taken actions and may continue to take actions intended to increase its cash position and preserve financial flexibility in light of current uncertainty in the global markets. In January 2020, Ashland renewed and extended its Revolving Credit Agreement through 2025 and issued new 2.00% senior notes in Europe for €500 million which mature in 2028. During the three months ended December 31, 2020, Ashland elected not to access funds on its Revolving Credit Facility. As of December 31, 2020, Ashland has total remaining borrowing capacity of $694 million, comprised of amounts remaining available under the Revolving Credit Facility and two accounts receivable securitization facilities. Ashland has no significant maturities related to our term loans, revolving credit facilities or bonds until August 2022.</w:t>
      </w:r>
    </w:p>
    <w:p>
      <w:pPr>
        <w:spacing w:after="0" w:line="77"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1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68" w:right="699" w:bottom="1440" w:gutter="0" w:footer="0" w:header="0"/>
        </w:sectPr>
      </w:pPr>
    </w:p>
    <w:bookmarkStart w:id="48" w:name="page49"/>
    <w:bookmarkEnd w:id="48"/>
    <w:p>
      <w:pPr>
        <w:ind w:left="1"/>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4"/>
          </w:tcPr>
          <w:p>
            <w:pPr>
              <w:jc w:val="right"/>
              <w:ind w:right="95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11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6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tcPr>
          <w:p>
            <w:pPr>
              <w:spacing w:after="0"/>
              <w:rPr>
                <w:sz w:val="19"/>
                <w:szCs w:val="19"/>
                <w:color w:val="auto"/>
              </w:rPr>
            </w:pPr>
          </w:p>
        </w:tc>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8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5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7"/>
              </w:rPr>
              <w:t>Cash flows provided (used) by operating activities from continuing operations</w:t>
            </w: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tcPr>
          <w:p>
            <w:pPr>
              <w:spacing w:after="0"/>
              <w:rPr>
                <w:sz w:val="19"/>
                <w:szCs w:val="19"/>
                <w:color w:val="auto"/>
              </w:rPr>
            </w:pPr>
          </w:p>
        </w:tc>
        <w:tc>
          <w:tcPr>
            <w:tcW w:w="65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Gain from sales of property and equipment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Stock based compensation expense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Income from restricted investments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Net income on divestitures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Impairments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Pension contributions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w w:val="99"/>
              </w:rPr>
              <w:t>Total cash flows provided (used) by operating activities from continuing operations</w:t>
            </w:r>
          </w:p>
        </w:tc>
        <w:tc>
          <w:tcPr>
            <w:tcW w:w="5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361" w:hanging="361"/>
        <w:spacing w:after="0"/>
        <w:tabs>
          <w:tab w:leader="none" w:pos="361"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7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Cash flows provided (used) from operating activities from continuing operations amounted to inflows of $106 million and outflows of $(34) million in the current and prior year periods, respectively.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The cash results during each period are primarily driven by net income,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6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Changes in operating assets and liabilities accounted for inflows of $17 million for the current quarter compared to outflows of $109 million for the three months ended December 31, 2020 and 2019, respectively, and were primarily driven by the following net working capital accounts:</w:t>
      </w:r>
    </w:p>
    <w:p>
      <w:pPr>
        <w:spacing w:after="0" w:line="78" w:lineRule="exact"/>
        <w:rPr>
          <w:sz w:val="20"/>
          <w:szCs w:val="20"/>
          <w:color w:val="auto"/>
        </w:rPr>
      </w:pPr>
    </w:p>
    <w:p>
      <w:pPr>
        <w:ind w:left="361" w:hanging="361"/>
        <w:spacing w:after="0" w:line="260" w:lineRule="auto"/>
        <w:tabs>
          <w:tab w:leader="none" w:pos="36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Accounts receivable – There were cash inflows of $59 million and $40 million during the current and prior year quarters,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49" w:name="page50"/>
    <w:bookmarkEnd w:id="49"/>
    <w:p>
      <w:pPr>
        <w:ind w:left="361" w:hanging="361"/>
        <w:spacing w:after="0"/>
        <w:tabs>
          <w:tab w:leader="none" w:pos="3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Inventory – There were cash outflows of $12 million and $38 million during the current and prior year quarters, respectively.</w:t>
      </w:r>
    </w:p>
    <w:p>
      <w:pPr>
        <w:spacing w:after="0" w:line="130" w:lineRule="exact"/>
        <w:rPr>
          <w:rFonts w:ascii="Arial" w:cs="Arial" w:eastAsia="Arial" w:hAnsi="Arial"/>
          <w:sz w:val="18"/>
          <w:szCs w:val="18"/>
          <w:color w:val="auto"/>
        </w:rPr>
      </w:pPr>
    </w:p>
    <w:p>
      <w:pPr>
        <w:ind w:left="361" w:hanging="361"/>
        <w:spacing w:after="0" w:line="316" w:lineRule="auto"/>
        <w:tabs>
          <w:tab w:leader="none" w:pos="3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and other payables – There were cash outflows of $34 million and $96 million during the current and prior year quarters, respectively, and primarily related to the timing of certain payments and management of supplier/vendor payment terms.</w:t>
      </w:r>
    </w:p>
    <w:p>
      <w:pPr>
        <w:spacing w:after="0" w:line="2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remaining changes to operating assets and liabilities resulted in inflows of $4 million and outflows of $15 million in the current and prior year quarters, respectively, and were primarily due to income taxes paid or income tax refunds, interest paid, and adjustments to certain accruals and other long-term assets and liabilities.</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Operating cash flows for the current year quarter included income from continuing operations of $61 million. Additionally, the current quarter included non-cash adjustments of $62 million for depreciation and amortization, $4 million for stock-based compensation expense, $23 million income from restricted investments, $14 million net income on divestitures and $9 million for impairments.</w:t>
      </w:r>
    </w:p>
    <w:p>
      <w:pPr>
        <w:spacing w:after="0" w:line="83"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Operating cash flows for the prior year quarter included income from continuing operations of $34 million. Additionally, the prior year quarter included non-cash adjustments of $61 million for depreciation and amortization, $13 million income from restricted investments and $4 million for stock-based compensation expense.</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6"/>
              </w:rPr>
              <w:t>Cash flows provided (used) by investing activities from continuing operations</w:t>
            </w:r>
          </w:p>
        </w:tc>
        <w:tc>
          <w:tcPr>
            <w:tcW w:w="6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Proceeds from sale or restructuring of operations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Purchase of securities</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Cash used by investing activities was $4 million and $20 million for the current and prior year quarters, respectively. The significant cash investing activities for the current quarter primarily related to cash outflows of $30 million for property additions compared to $29 million in the prior year quarter. Additionally, there were reimbursements from the restricted renewable annual asbestos trust of $8 million during the current quarter compared to $10 million in the prior year quarter, proceeds from disposal of property, plant and equipment of $5 million in the current quarter and proceeds from sale or restructuring of operations of $14 million in the current quarter. The current quarter also included a rebalancing within the asbestos trust, which resulted in $42 million of proceeds from the sale of securities offset by $42 million of purchases of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50" w:name="page51"/>
    <w:bookmarkEnd w:id="50"/>
    <w:p>
      <w:pPr>
        <w:ind w:left="1"/>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6"/>
              </w:rPr>
              <w:t>Cash flows provided (used) by financing activities from continuing operations</w:t>
            </w:r>
          </w:p>
        </w:tc>
        <w:tc>
          <w:tcPr>
            <w:tcW w:w="5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9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6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Pr>
          <w:p>
            <w:pPr>
              <w:spacing w:after="0"/>
              <w:rPr>
                <w:sz w:val="19"/>
                <w:szCs w:val="19"/>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Cash flows used by financing activities resulted in an outflow of $207 million for the current quarter compared to an outflow of $7 million for the prior year quarter.</w:t>
      </w:r>
    </w:p>
    <w:p>
      <w:pPr>
        <w:spacing w:after="0" w:line="69"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Significant cash financing activities for the current quarter included short-term debt repayments of $187 million, primarily related to the 2020 Revolving Credit Facility and accounts receivable securitization facilities. The current quarter included cash dividends paid of $0.275 per share, for a total of $17 million.</w:t>
      </w:r>
    </w:p>
    <w:p>
      <w:pPr>
        <w:spacing w:after="0" w:line="7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Significant cash financing activities for the prior year quarter included short-term cash inflows of $14 million, primarily related to draws on the 2017 Revolving Credit Facility. The prior year quarter included cash dividends paid of $0.275 per share, for a total of $16 million.</w:t>
      </w:r>
    </w:p>
    <w:p>
      <w:pPr>
        <w:spacing w:after="0" w:line="7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three months ended December 31, 2020 and 2019.</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Three months ended</w:t>
            </w:r>
          </w:p>
        </w:tc>
        <w:tc>
          <w:tcPr>
            <w:tcW w:w="13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8"/>
                <w:szCs w:val="18"/>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1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700" w:type="dxa"/>
            <w:vAlign w:val="bottom"/>
            <w:gridSpan w:val="2"/>
          </w:tcPr>
          <w:p>
            <w:pPr>
              <w:jc w:val="right"/>
              <w:ind w:right="52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1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cash provided (used) by discontinued operations</w:t>
            </w:r>
          </w:p>
        </w:tc>
        <w:tc>
          <w:tcPr>
            <w:tcW w:w="114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Cash flows for discontinued operations in the current quarter primarily related to previously divested businesses, including net payments of asbestos, environmental liabilities and tax payments during the period.</w:t>
      </w:r>
    </w:p>
    <w:p>
      <w:pPr>
        <w:spacing w:after="0" w:line="6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Cash flows for discontinued operations in the prior year quarter related to previously divested businesses, including net payments of asbestos and environmental liabilities.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6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ind w:right="427"/>
              <w:spacing w:after="0"/>
              <w:rPr>
                <w:sz w:val="20"/>
                <w:szCs w:val="20"/>
                <w:color w:val="auto"/>
              </w:rPr>
            </w:pPr>
            <w:r>
              <w:rPr>
                <w:rFonts w:ascii="Arial" w:cs="Arial" w:eastAsia="Arial" w:hAnsi="Arial"/>
                <w:sz w:val="18"/>
                <w:szCs w:val="18"/>
                <w:color w:val="auto"/>
              </w:rPr>
              <w:t>Three months ended</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cash flows provided (used) by operating activities from continuing</w:t>
            </w:r>
          </w:p>
        </w:tc>
        <w:tc>
          <w:tcPr>
            <w:tcW w:w="1200" w:type="dxa"/>
            <w:vAlign w:val="bottom"/>
            <w:tcBorders>
              <w:top w:val="single" w:sz="8" w:color="auto"/>
            </w:tcBorders>
            <w:gridSpan w:val="2"/>
            <w:vMerge w:val="restart"/>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vMerge w:val="restart"/>
            <w:shd w:val="clear" w:color="auto" w:fill="CFF0FC"/>
          </w:tcPr>
          <w:p>
            <w:pPr>
              <w:jc w:val="right"/>
              <w:ind w:right="927"/>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operations</w:t>
            </w:r>
          </w:p>
        </w:tc>
        <w:tc>
          <w:tcPr>
            <w:tcW w:w="1200" w:type="dxa"/>
            <w:vAlign w:val="bottom"/>
            <w:gridSpan w:val="2"/>
            <w:vMerge w:val="continue"/>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00" w:type="dxa"/>
            <w:vAlign w:val="bottom"/>
            <w:gridSpan w:val="2"/>
            <w:vMerge w:val="continue"/>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vMerge w:val="continue"/>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4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4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1" w:hanging="361"/>
        <w:spacing w:after="0"/>
        <w:tabs>
          <w:tab w:leader="none" w:pos="361"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$14 million and $6 million of restructuring payments for the three months ended December 31, 2020 and 2019, respectively.</w:t>
      </w:r>
    </w:p>
    <w:p>
      <w:pPr>
        <w:spacing w:after="0" w:line="165"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$802 million and $734 million as of December 31, 2020 and September 30, 2020, respectively. Liquid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51" w:name="page52"/>
    <w:bookmarkEnd w:id="51"/>
    <w:p>
      <w:pPr>
        <w:jc w:val="both"/>
        <w:ind w:left="1"/>
        <w:spacing w:after="0" w:line="260" w:lineRule="auto"/>
        <w:rPr>
          <w:sz w:val="20"/>
          <w:szCs w:val="20"/>
          <w:color w:val="auto"/>
        </w:rPr>
      </w:pPr>
      <w:r>
        <w:rPr>
          <w:rFonts w:ascii="Arial" w:cs="Arial" w:eastAsia="Arial" w:hAnsi="Arial"/>
          <w:sz w:val="20"/>
          <w:szCs w:val="20"/>
          <w:color w:val="auto"/>
        </w:rPr>
        <w:t>(cash, cash equivalents and accounts receivable) amounted to 127% and 114% of current liabilities (excluding current liabilities held for sale) as of December 31, 2020 and September 30, 2020, respectively.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summary reflects Ashland’s cash and unused borrowing capacity as of December 31, 2020 and September 30, 2020.</w:t>
      </w:r>
    </w:p>
    <w:p>
      <w:pPr>
        <w:spacing w:after="0" w:line="141"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3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c>
          <w:tcPr>
            <w:tcW w:w="5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6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33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3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360" w:type="dxa"/>
            <w:vAlign w:val="bottom"/>
            <w:shd w:val="clear" w:color="auto" w:fill="CFF0FC"/>
          </w:tcPr>
          <w:p>
            <w:pPr>
              <w:jc w:val="right"/>
              <w:ind w:right="13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33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borrowing capacity remaining under the $600 million revolving credit facility was $580 million due to a reduction of $20 million for letters of credit outstanding at December 31, 2020. In total, Ashland’s available liquidity position, which includes cash, the revolving credit facility and the accounts receivable securitization facilities, was $1,029 million at December 31, 2020, compared to $954 million at September 30, 2020.</w:t>
      </w:r>
    </w:p>
    <w:p>
      <w:pPr>
        <w:spacing w:after="0" w:line="9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summary reflects Ashland’s debt as of December 31, 2020 and September 30, 2020.</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5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gridSpan w:val="2"/>
          </w:tcPr>
          <w:p>
            <w:pPr>
              <w:jc w:val="right"/>
              <w:ind w:right="258"/>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920" w:type="dxa"/>
            <w:vAlign w:val="bottom"/>
            <w:tcBorders>
              <w:top w:val="single" w:sz="8" w:color="auto"/>
            </w:tcBorders>
            <w:gridSpan w:val="2"/>
            <w:shd w:val="clear" w:color="auto" w:fill="CFF0FC"/>
          </w:tcPr>
          <w:p>
            <w:pPr>
              <w:jc w:val="right"/>
              <w:ind w:right="1318"/>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46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Long-term debt (less current portion and debt issuance cost discounts) (a)</w:t>
            </w:r>
          </w:p>
        </w:tc>
        <w:tc>
          <w:tcPr>
            <w:tcW w:w="4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1,601</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3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1,694</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1,853</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361" w:hanging="361"/>
        <w:spacing w:after="0"/>
        <w:tabs>
          <w:tab w:leader="none" w:pos="361"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$15 million of debt issuance cost discounts as of both December 31, 2020 and September 30, 2020.</w:t>
      </w:r>
    </w:p>
    <w:p>
      <w:pPr>
        <w:spacing w:after="0" w:line="286"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Debt as a percent of capital employed was 35% and 38% at December 31, 2020 and at September 30, 2020, respectively. At December 31, 2020, Ashland’s total debt had an outstanding principal balance of $1,751 million, discounts of $42 million, and debt issuance costs of $15 million. The scheduled aggregate maturities of long-term debt by year (including the current portion and excluding debt issuance costs) are as follows: zero remaining in 2021, $421 million in 2022, $22 million in 2023, $44 million in 2024 and $175 million in 2025.</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Ashland’s corporate credit ratings remained unchanged at BB+ by Standard &amp; Poor’s and Ba1 by Moody’s Investor Services. As of December 31, 2020, Moody’s Investor Services outlook remained at stable, while Standard &amp; Poor's outlook remained at negative. Subsequent changes to these ratings or outlook may have an effect on Ashland’s borrowing rate or ability to access capital markets in the future.</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Ashland's most recent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2020, Ashland is in compliance with all debt agreement covenant restrictions under the 2020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52" w:name="page53"/>
    <w:bookmarkEnd w:id="52"/>
    <w:p>
      <w:pPr>
        <w:jc w:val="both"/>
        <w:ind w:left="360"/>
        <w:spacing w:after="0" w:line="271" w:lineRule="auto"/>
        <w:rPr>
          <w:sz w:val="20"/>
          <w:szCs w:val="20"/>
          <w:color w:val="auto"/>
        </w:rPr>
      </w:pPr>
      <w:r>
        <w:rPr>
          <w:rFonts w:ascii="Arial" w:cs="Arial" w:eastAsia="Arial" w:hAnsi="Arial"/>
          <w:sz w:val="18"/>
          <w:szCs w:val="18"/>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December 31, 2020, Ashland’s calculation of the consolidated net leverage ratio was 2.6.</w:t>
      </w:r>
    </w:p>
    <w:p>
      <w:pPr>
        <w:spacing w:after="0" w:line="62"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December 31, 2020, Ashland’s calculation of the consolidated interest coverage ratio was 7.8.</w:t>
      </w:r>
    </w:p>
    <w:p>
      <w:pPr>
        <w:spacing w:after="0" w:line="4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0.4x effect on the consolidated net leverage ratio and a 1.5x effect on the consolidated interest coverage ratio. The change in consolidated indebtedness of $100 million would affect the consolidated leverage ratio by approximately 0.2x.</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Total equity increased $86 million since September 30, 2020 to $3,122 million at December 31, 2020. The increase of $86 million was due to net income of $56 million, deferred translation gain of $48 million and $1 million of common shares issued under stock incentive plans, offset by $17 million of dividends and $2 million related to the adoption of new accounting guidance around the measurement of credit losses.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at record. This dividend was paid in the first quarter of fiscal 2021, each quarter of fiscal 2020 and the third and fourth quarters of fiscal 2019.</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Capital expenditures were $30 million for the three months ended December 31, 2020 compared to $29 million for the three months ended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2020. Although management bases its estimates on historical experience and various other assumptions that are believed to be reasonable under the circumstances, actual results could differ significantly</w:t>
      </w:r>
    </w:p>
    <w:p>
      <w:pPr>
        <w:spacing w:after="0" w:line="1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47" w:right="699" w:bottom="1440" w:gutter="0" w:footer="0" w:header="0"/>
        </w:sectPr>
      </w:pPr>
    </w:p>
    <w:bookmarkStart w:id="53" w:name="page54"/>
    <w:bookmarkEnd w:id="53"/>
    <w:p>
      <w:pPr>
        <w:jc w:val="both"/>
        <w:spacing w:after="0" w:line="250" w:lineRule="auto"/>
        <w:rPr>
          <w:sz w:val="20"/>
          <w:szCs w:val="20"/>
          <w:color w:val="auto"/>
        </w:rPr>
      </w:pPr>
      <w:r>
        <w:rPr>
          <w:rFonts w:ascii="Arial" w:cs="Arial" w:eastAsia="Arial" w:hAnsi="Arial"/>
          <w:sz w:val="20"/>
          <w:szCs w:val="20"/>
          <w:color w:val="auto"/>
        </w:rPr>
        <w:t>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Ashland’s market risk exposure at December 31, 2020 is generally consistent with the types of market risk exposures presented in Ashland’s Annual Report on Form 10-K for the fiscal year ended September 30, 2020.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2020.</w:t>
      </w:r>
    </w:p>
    <w:p>
      <w:pPr>
        <w:spacing w:after="0" w:line="57"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December 31, 2020, there were no</w:t>
      </w:r>
      <w:r>
        <w:rPr>
          <w:rFonts w:ascii="Arial" w:cs="Arial" w:eastAsia="Arial" w:hAnsi="Arial"/>
          <w:sz w:val="20"/>
          <w:szCs w:val="20"/>
          <w:i w:val="1"/>
          <w:iCs w:val="1"/>
          <w:color w:val="auto"/>
        </w:rPr>
        <w:t xml:space="preserve"> </w:t>
      </w:r>
      <w:r>
        <w:rPr>
          <w:rFonts w:ascii="Arial" w:cs="Arial" w:eastAsia="Arial" w:hAnsi="Arial"/>
          <w:sz w:val="20"/>
          <w:szCs w:val="20"/>
          <w:color w:val="auto"/>
        </w:rPr>
        <w:t>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55" w:name="page56"/>
    <w:bookmarkEnd w:id="55"/>
    <w:p>
      <w:pPr>
        <w:jc w:val="center"/>
        <w:ind w:right="-359"/>
        <w:spacing w:after="0"/>
        <w:rPr>
          <w:sz w:val="20"/>
          <w:szCs w:val="20"/>
          <w:color w:val="auto"/>
        </w:rPr>
      </w:pPr>
      <w:r>
        <w:rPr>
          <w:rFonts w:ascii="Arial" w:cs="Arial" w:eastAsia="Arial" w:hAnsi="Arial"/>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jc w:val="both"/>
        <w:ind w:left="360"/>
        <w:spacing w:after="0" w:line="316"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360" w:firstLine="2"/>
        <w:spacing w:after="0" w:line="271" w:lineRule="auto"/>
        <w:tabs>
          <w:tab w:leader="none" w:pos="648"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CERCLA and Similar State Law Sites - </w:t>
      </w:r>
      <w:r>
        <w:rPr>
          <w:rFonts w:ascii="Arial" w:cs="Arial" w:eastAsia="Arial" w:hAnsi="Arial"/>
          <w:sz w:val="18"/>
          <w:szCs w:val="18"/>
          <w:color w:val="auto"/>
        </w:rPr>
        <w:t>Under the Comprehensive Environmental Response, Compensation and Liability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December 31, 2020, Ashland and its subsidiaries have been identified as a PRP by U.S. federal and state authorities, or by private parties seeking contribution, for the cost of environmental investigation and/or cleanup at 82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5" w:lineRule="exact"/>
        <w:rPr>
          <w:rFonts w:ascii="Arial" w:cs="Arial" w:eastAsia="Arial" w:hAnsi="Arial"/>
          <w:sz w:val="18"/>
          <w:szCs w:val="18"/>
          <w:i w:val="1"/>
          <w:iCs w:val="1"/>
          <w:color w:val="auto"/>
        </w:rPr>
      </w:pPr>
    </w:p>
    <w:p>
      <w:pPr>
        <w:jc w:val="both"/>
        <w:ind w:left="360" w:firstLine="2"/>
        <w:spacing w:after="0" w:line="270" w:lineRule="auto"/>
        <w:tabs>
          <w:tab w:leader="none" w:pos="667"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549" w:right="69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2020. There is a reasonable possibility that a loss exceeding amounts already recognized may be incurred related to these actions; however, Ashland believes that such potential losses were immaterial as of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ind w:left="360" w:right="36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was no share repurchase activity during the three months ended December 31, 2020.</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80" w:type="dxa"/>
            <w:vAlign w:val="bottom"/>
            <w:gridSpan w:val="3"/>
          </w:tcPr>
          <w:p>
            <w:pPr>
              <w:ind w:left="120"/>
              <w:spacing w:after="0"/>
              <w:rPr>
                <w:sz w:val="20"/>
                <w:szCs w:val="20"/>
                <w:color w:val="auto"/>
              </w:rPr>
            </w:pPr>
            <w:r>
              <w:rPr>
                <w:rFonts w:ascii="Arial" w:cs="Arial" w:eastAsia="Arial" w:hAnsi="Arial"/>
                <w:sz w:val="18"/>
                <w:szCs w:val="18"/>
                <w:color w:val="auto"/>
              </w:rPr>
              <w:t>Issuer Purchases of Equity Securities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Dollar Value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8"/>
              </w:rPr>
              <w:t>Average Price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Shares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6"/>
              </w:rPr>
              <w:t>Paid Per Share,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as Part of 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5"/>
              </w:rPr>
              <w:t>including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Announced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Q1 Fiscal Periods</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Shares Purchased</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commission</w:t>
            </w: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or Programs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(in millions)(a)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October 1, 2020 to October 31,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 2020 to November 30, 2020</w:t>
            </w:r>
          </w:p>
        </w:tc>
        <w:tc>
          <w:tcPr>
            <w:tcW w:w="160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December 1, 2020 to December 31,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720" w:hanging="361"/>
        <w:spacing w:after="0" w:line="233" w:lineRule="auto"/>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December 31, 2020, $800 million remains available for repurchase under this authorization.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 Exhibits</w:t>
      </w:r>
    </w:p>
    <w:p>
      <w:pPr>
        <w:spacing w:after="0" w:line="121" w:lineRule="exact"/>
        <w:rPr>
          <w:sz w:val="20"/>
          <w:szCs w:val="20"/>
          <w:color w:val="auto"/>
        </w:rPr>
      </w:pPr>
    </w:p>
    <w:p>
      <w:pPr>
        <w:spacing w:after="0"/>
        <w:tabs>
          <w:tab w:leader="none" w:pos="1320" w:val="left"/>
        </w:tabs>
        <w:rPr>
          <w:rFonts w:ascii="Arial" w:cs="Arial" w:eastAsia="Arial" w:hAnsi="Arial"/>
          <w:sz w:val="18"/>
          <w:szCs w:val="18"/>
          <w:u w:val="single" w:color="auto"/>
          <w:color w:val="0000EE"/>
        </w:rPr>
      </w:pPr>
      <w:r>
        <w:rPr>
          <w:rFonts w:ascii="Arial" w:cs="Arial" w:eastAsia="Arial" w:hAnsi="Arial"/>
          <w:sz w:val="20"/>
          <w:szCs w:val="20"/>
          <w:color w:val="auto"/>
        </w:rPr>
        <w:t>10.1</w:t>
      </w:r>
      <w:r>
        <w:rPr>
          <w:sz w:val="20"/>
          <w:szCs w:val="20"/>
          <w:color w:val="auto"/>
        </w:rPr>
        <w:tab/>
      </w:r>
      <w:hyperlink r:id="rId107">
        <w:r>
          <w:rPr>
            <w:rFonts w:ascii="Arial" w:cs="Arial" w:eastAsia="Arial" w:hAnsi="Arial"/>
            <w:sz w:val="18"/>
            <w:szCs w:val="18"/>
            <w:u w:val="single" w:color="auto"/>
            <w:color w:val="0000EE"/>
          </w:rPr>
          <w:t>Letter Agreement by and between Ashland Global Holdings Inc. and Peter J. Ganz, dated May 19, 2020 (filed as Exhibit</w:t>
        </w:r>
      </w:hyperlink>
    </w:p>
    <w:p>
      <w:pPr>
        <w:spacing w:after="0" w:line="16" w:lineRule="exact"/>
        <w:rPr>
          <w:sz w:val="20"/>
          <w:szCs w:val="20"/>
          <w:color w:val="auto"/>
        </w:rPr>
      </w:pPr>
    </w:p>
    <w:p>
      <w:pPr>
        <w:ind w:left="1340"/>
        <w:spacing w:after="0"/>
        <w:rPr>
          <w:rFonts w:ascii="Arial" w:cs="Arial" w:eastAsia="Arial" w:hAnsi="Arial"/>
          <w:sz w:val="19"/>
          <w:szCs w:val="19"/>
          <w:u w:val="single" w:color="auto"/>
          <w:color w:val="0000EE"/>
        </w:rPr>
      </w:pPr>
      <w:hyperlink r:id="rId107">
        <w:r>
          <w:rPr>
            <w:rFonts w:ascii="Arial" w:cs="Arial" w:eastAsia="Arial" w:hAnsi="Arial"/>
            <w:sz w:val="19"/>
            <w:szCs w:val="19"/>
            <w:u w:val="single" w:color="auto"/>
            <w:color w:val="0000EE"/>
          </w:rPr>
          <w:t>10.1 to Ashland’s Form 8-K filed on May 22, 2020, (SEC File No. 333-211719) and incorporated herein by reference).</w:t>
        </w:r>
      </w:hyperlink>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10.2</w:t>
            </w:r>
          </w:p>
        </w:tc>
        <w:tc>
          <w:tcPr>
            <w:tcW w:w="9840" w:type="dxa"/>
            <w:vAlign w:val="bottom"/>
            <w:tcBorders>
              <w:bottom w:val="single" w:sz="8" w:color="0000EE"/>
            </w:tcBorders>
            <w:gridSpan w:val="4"/>
          </w:tcPr>
          <w:p>
            <w:pPr>
              <w:spacing w:after="0"/>
              <w:rPr>
                <w:rFonts w:ascii="Arial" w:cs="Arial" w:eastAsia="Arial" w:hAnsi="Arial"/>
                <w:sz w:val="20"/>
                <w:szCs w:val="20"/>
                <w:color w:val="0000EE"/>
                <w:w w:val="94"/>
              </w:rPr>
            </w:pPr>
            <w:hyperlink r:id="rId108">
              <w:r>
                <w:rPr>
                  <w:rFonts w:ascii="Arial" w:cs="Arial" w:eastAsia="Arial" w:hAnsi="Arial"/>
                  <w:sz w:val="20"/>
                  <w:szCs w:val="20"/>
                  <w:color w:val="0000EE"/>
                  <w:w w:val="94"/>
                </w:rPr>
                <w:t>Consulting Agreement by and between Ashland Global Holdings Inc. and Peter J. Ganz, dated May 19, 2020 (filed as</w:t>
              </w:r>
            </w:hyperlink>
          </w:p>
        </w:tc>
        <w:tc>
          <w:tcPr>
            <w:tcW w:w="40" w:type="dxa"/>
            <w:vAlign w:val="bottom"/>
          </w:tcPr>
          <w:p>
            <w:pPr>
              <w:spacing w:after="0"/>
              <w:rPr>
                <w:sz w:val="19"/>
                <w:szCs w:val="19"/>
                <w:color w:val="auto"/>
              </w:rPr>
            </w:pPr>
          </w:p>
        </w:tc>
      </w:tr>
      <w:tr>
        <w:trPr>
          <w:trHeight w:val="210"/>
        </w:trPr>
        <w:tc>
          <w:tcPr>
            <w:tcW w:w="1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w w:val="98"/>
              </w:rPr>
            </w:pPr>
            <w:hyperlink r:id="rId108">
              <w:r>
                <w:rPr>
                  <w:rFonts w:ascii="Arial" w:cs="Arial" w:eastAsia="Arial" w:hAnsi="Arial"/>
                  <w:sz w:val="20"/>
                  <w:szCs w:val="20"/>
                  <w:color w:val="0000EE"/>
                  <w:w w:val="98"/>
                </w:rPr>
                <w:t>Exhibit 10.2 to Ashland’s Form 8-K filed on May 22, 2020, (SEC File No. 333-211719) and incorporated herein by</w:t>
              </w:r>
            </w:hyperlink>
          </w:p>
        </w:tc>
      </w:tr>
      <w:tr>
        <w:trPr>
          <w:trHeight w:val="210"/>
        </w:trPr>
        <w:tc>
          <w:tcPr>
            <w:tcW w:w="1340" w:type="dxa"/>
            <w:vAlign w:val="bottom"/>
          </w:tcPr>
          <w:p>
            <w:pPr>
              <w:spacing w:after="0"/>
              <w:rPr>
                <w:sz w:val="18"/>
                <w:szCs w:val="18"/>
                <w:color w:val="auto"/>
              </w:rPr>
            </w:pPr>
          </w:p>
        </w:tc>
        <w:tc>
          <w:tcPr>
            <w:tcW w:w="984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r:id="rId108">
              <w:r>
                <w:rPr>
                  <w:rFonts w:ascii="Arial" w:cs="Arial" w:eastAsia="Arial" w:hAnsi="Arial"/>
                  <w:sz w:val="20"/>
                  <w:szCs w:val="20"/>
                  <w:color w:val="0000EE"/>
                </w:rPr>
                <w:t>reference).</w:t>
              </w:r>
            </w:hyperlink>
          </w:p>
        </w:tc>
        <w:tc>
          <w:tcPr>
            <w:tcW w:w="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9"/>
        </w:trPr>
        <w:tc>
          <w:tcPr>
            <w:tcW w:w="1340" w:type="dxa"/>
            <w:vAlign w:val="bottom"/>
          </w:tcPr>
          <w:p>
            <w:pPr>
              <w:spacing w:after="0"/>
              <w:rPr>
                <w:sz w:val="20"/>
                <w:szCs w:val="20"/>
                <w:color w:val="auto"/>
              </w:rPr>
            </w:pPr>
            <w:r>
              <w:rPr>
                <w:rFonts w:ascii="Arial" w:cs="Arial" w:eastAsia="Arial" w:hAnsi="Arial"/>
                <w:sz w:val="20"/>
                <w:szCs w:val="20"/>
                <w:color w:val="auto"/>
              </w:rPr>
              <w:t>10.3*</w:t>
            </w:r>
          </w:p>
        </w:tc>
        <w:tc>
          <w:tcPr>
            <w:tcW w:w="9880" w:type="dxa"/>
            <w:vAlign w:val="bottom"/>
            <w:gridSpan w:val="5"/>
          </w:tcPr>
          <w:p>
            <w:pPr>
              <w:spacing w:after="0"/>
              <w:rPr>
                <w:rFonts w:ascii="Arial" w:cs="Arial" w:eastAsia="Arial" w:hAnsi="Arial"/>
                <w:sz w:val="20"/>
                <w:szCs w:val="20"/>
                <w:u w:val="single" w:color="auto"/>
                <w:color w:val="0000EE"/>
                <w:w w:val="90"/>
              </w:rPr>
            </w:pPr>
            <w:hyperlink w:anchor="page61">
              <w:r>
                <w:rPr>
                  <w:rFonts w:ascii="Arial" w:cs="Arial" w:eastAsia="Arial" w:hAnsi="Arial"/>
                  <w:sz w:val="20"/>
                  <w:szCs w:val="20"/>
                  <w:u w:val="single" w:color="auto"/>
                  <w:color w:val="0000EE"/>
                  <w:w w:val="90"/>
                </w:rPr>
                <w:t>Separation Agreement and General Release between Peter S. Ganz and Ashland LLC, effective as of December 31, 2020.</w:t>
              </w:r>
            </w:hyperlink>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10.4*</w:t>
            </w:r>
          </w:p>
        </w:tc>
        <w:tc>
          <w:tcPr>
            <w:tcW w:w="9880" w:type="dxa"/>
            <w:vAlign w:val="bottom"/>
            <w:gridSpan w:val="5"/>
          </w:tcPr>
          <w:p>
            <w:pPr>
              <w:spacing w:after="0"/>
              <w:rPr>
                <w:rFonts w:ascii="Arial" w:cs="Arial" w:eastAsia="Arial" w:hAnsi="Arial"/>
                <w:sz w:val="20"/>
                <w:szCs w:val="20"/>
                <w:u w:val="single" w:color="auto"/>
                <w:color w:val="0000EE"/>
                <w:w w:val="91"/>
              </w:rPr>
            </w:pPr>
            <w:hyperlink w:anchor="page75">
              <w:r>
                <w:rPr>
                  <w:rFonts w:ascii="Arial" w:cs="Arial" w:eastAsia="Arial" w:hAnsi="Arial"/>
                  <w:sz w:val="20"/>
                  <w:szCs w:val="20"/>
                  <w:u w:val="single" w:color="auto"/>
                  <w:color w:val="0000EE"/>
                  <w:w w:val="91"/>
                </w:rPr>
                <w:t>Separation Agreement and General Release between K</w:t>
              </w:r>
              <w:r>
                <w:rPr>
                  <w:rFonts w:ascii="Arial" w:cs="Arial" w:eastAsia="Arial" w:hAnsi="Arial"/>
                  <w:sz w:val="17"/>
                  <w:szCs w:val="17"/>
                  <w:u w:val="single" w:color="auto"/>
                  <w:color w:val="0000EE"/>
                  <w:w w:val="91"/>
                </w:rPr>
                <w:t>eith Silverman</w:t>
              </w:r>
              <w:r>
                <w:rPr>
                  <w:rFonts w:ascii="Arial" w:cs="Arial" w:eastAsia="Arial" w:hAnsi="Arial"/>
                  <w:sz w:val="20"/>
                  <w:szCs w:val="20"/>
                  <w:u w:val="single" w:color="auto"/>
                  <w:color w:val="0000EE"/>
                  <w:w w:val="91"/>
                </w:rPr>
                <w:t xml:space="preserve"> and Ashland LLC, effective as of N</w:t>
              </w:r>
              <w:r>
                <w:rPr>
                  <w:rFonts w:ascii="Arial" w:cs="Arial" w:eastAsia="Arial" w:hAnsi="Arial"/>
                  <w:sz w:val="17"/>
                  <w:szCs w:val="17"/>
                  <w:u w:val="single" w:color="auto"/>
                  <w:color w:val="0000EE"/>
                  <w:w w:val="91"/>
                </w:rPr>
                <w:t>ove</w:t>
              </w:r>
              <w:r>
                <w:rPr>
                  <w:rFonts w:ascii="Arial" w:cs="Arial" w:eastAsia="Arial" w:hAnsi="Arial"/>
                  <w:sz w:val="20"/>
                  <w:szCs w:val="20"/>
                  <w:u w:val="single" w:color="auto"/>
                  <w:color w:val="0000EE"/>
                  <w:w w:val="91"/>
                </w:rPr>
                <w:t>mber 30, 2020.</w:t>
              </w:r>
            </w:hyperlink>
          </w:p>
        </w:tc>
      </w:tr>
      <w:tr>
        <w:trPr>
          <w:trHeight w:val="414"/>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80" w:type="dxa"/>
            <w:vAlign w:val="bottom"/>
            <w:gridSpan w:val="5"/>
          </w:tcPr>
          <w:p>
            <w:pPr>
              <w:spacing w:after="0"/>
              <w:rPr>
                <w:rFonts w:ascii="Arial" w:cs="Arial" w:eastAsia="Arial" w:hAnsi="Arial"/>
                <w:sz w:val="20"/>
                <w:szCs w:val="20"/>
                <w:color w:val="0000EE"/>
                <w:w w:val="94"/>
              </w:rPr>
            </w:pPr>
            <w:hyperlink w:anchor="page90">
              <w:r>
                <w:rPr>
                  <w:rFonts w:ascii="Arial" w:cs="Arial" w:eastAsia="Arial" w:hAnsi="Arial"/>
                  <w:sz w:val="20"/>
                  <w:szCs w:val="20"/>
                  <w:color w:val="0000EE"/>
                  <w:w w:val="94"/>
                </w:rPr>
                <w:t>Certificate of Guillermo Novo,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3"/>
              </w:rPr>
            </w:pPr>
            <w:hyperlink w:anchor="page90">
              <w:r>
                <w:rPr>
                  <w:rFonts w:ascii="Arial" w:cs="Arial" w:eastAsia="Arial" w:hAnsi="Arial"/>
                  <w:sz w:val="20"/>
                  <w:szCs w:val="20"/>
                  <w:color w:val="0000EE"/>
                  <w:w w:val="83"/>
                </w:rPr>
                <w:t>2002.</w:t>
              </w:r>
            </w:hyperlink>
          </w:p>
        </w:tc>
        <w:tc>
          <w:tcPr>
            <w:tcW w:w="400" w:type="dxa"/>
            <w:vAlign w:val="bottom"/>
            <w:tcBorders>
              <w:top w:val="single" w:sz="8" w:color="0000EE"/>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51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5"/>
              </w:rPr>
            </w:pPr>
            <w:hyperlink w:anchor="page91">
              <w:r>
                <w:rPr>
                  <w:rFonts w:ascii="Arial" w:cs="Arial" w:eastAsia="Arial" w:hAnsi="Arial"/>
                  <w:sz w:val="20"/>
                  <w:szCs w:val="20"/>
                  <w:color w:val="0000EE"/>
                  <w:w w:val="95"/>
                </w:rPr>
                <w:t>Certificate of J. Kevin Willis, Chief Financial Officer of Ashland pursuant to Section 302 of the Sarbanes-Oxley Act of</w:t>
              </w:r>
            </w:hyperlink>
          </w:p>
        </w:tc>
      </w:tr>
      <w:tr>
        <w:trPr>
          <w:trHeight w:val="209"/>
        </w:trPr>
        <w:tc>
          <w:tcPr>
            <w:tcW w:w="1340" w:type="dxa"/>
            <w:vAlign w:val="bottom"/>
          </w:tcPr>
          <w:p>
            <w:pPr>
              <w:spacing w:after="0"/>
              <w:rPr>
                <w:sz w:val="18"/>
                <w:szCs w:val="18"/>
                <w:color w:val="auto"/>
              </w:rPr>
            </w:pPr>
          </w:p>
        </w:tc>
        <w:tc>
          <w:tcPr>
            <w:tcW w:w="440" w:type="dxa"/>
            <w:vAlign w:val="bottom"/>
            <w:tcBorders>
              <w:bottom w:val="single" w:sz="8" w:color="0000EE"/>
            </w:tcBorders>
          </w:tcPr>
          <w:p>
            <w:pPr>
              <w:spacing w:after="0" w:line="209" w:lineRule="exact"/>
              <w:rPr>
                <w:rFonts w:ascii="Arial" w:cs="Arial" w:eastAsia="Arial" w:hAnsi="Arial"/>
                <w:sz w:val="20"/>
                <w:szCs w:val="20"/>
                <w:color w:val="0000EE"/>
                <w:w w:val="83"/>
              </w:rPr>
            </w:pPr>
            <w:hyperlink w:anchor="page91">
              <w:r>
                <w:rPr>
                  <w:rFonts w:ascii="Arial" w:cs="Arial" w:eastAsia="Arial" w:hAnsi="Arial"/>
                  <w:sz w:val="20"/>
                  <w:szCs w:val="20"/>
                  <w:color w:val="0000EE"/>
                  <w:w w:val="83"/>
                </w:rPr>
                <w:t>2002.</w:t>
              </w:r>
            </w:hyperlink>
          </w:p>
        </w:tc>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3"/>
              </w:rPr>
            </w:pPr>
            <w:hyperlink w:anchor="page92">
              <w:r>
                <w:rPr>
                  <w:rFonts w:ascii="Arial" w:cs="Arial" w:eastAsia="Arial" w:hAnsi="Arial"/>
                  <w:sz w:val="20"/>
                  <w:szCs w:val="20"/>
                  <w:color w:val="0000EE"/>
                  <w:w w:val="93"/>
                </w:rPr>
                <w:t>Certificate of Guillermo Novo, Chief Executive Officer of Ashland, and J. Kevin Willis, Chief Financial Officer of Ashland</w:t>
              </w:r>
            </w:hyperlink>
          </w:p>
        </w:tc>
      </w:tr>
      <w:tr>
        <w:trPr>
          <w:trHeight w:val="209"/>
        </w:trPr>
        <w:tc>
          <w:tcPr>
            <w:tcW w:w="1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rPr>
            </w:pPr>
            <w:hyperlink w:anchor="page92">
              <w:r>
                <w:rPr>
                  <w:rFonts w:ascii="Arial" w:cs="Arial" w:eastAsia="Arial" w:hAnsi="Arial"/>
                  <w:sz w:val="20"/>
                  <w:szCs w:val="20"/>
                  <w:color w:val="0000EE"/>
                </w:rPr>
                <w:t>pursuant to Section 906 of the Sarbanes-Oxley Act of 2002.</w:t>
              </w:r>
            </w:hyperlink>
          </w:p>
        </w:tc>
      </w:tr>
      <w:tr>
        <w:trPr>
          <w:trHeight w:val="484"/>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20" w:type="dxa"/>
            <w:vAlign w:val="bottom"/>
            <w:tcBorders>
              <w:top w:val="single" w:sz="8" w:color="0000EE"/>
            </w:tcBorders>
            <w:gridSpan w:val="3"/>
          </w:tcPr>
          <w:p>
            <w:pPr>
              <w:spacing w:after="0"/>
              <w:rPr>
                <w:sz w:val="20"/>
                <w:szCs w:val="20"/>
                <w:color w:val="auto"/>
              </w:rPr>
            </w:pPr>
            <w:r>
              <w:rPr>
                <w:rFonts w:ascii="Arial" w:cs="Arial" w:eastAsia="Arial" w:hAnsi="Arial"/>
                <w:sz w:val="20"/>
                <w:szCs w:val="20"/>
                <w:color w:val="auto"/>
              </w:rPr>
              <w:t>Inline XBRL Instance Document.</w:t>
            </w:r>
          </w:p>
        </w:tc>
        <w:tc>
          <w:tcPr>
            <w:tcW w:w="5160" w:type="dxa"/>
            <w:vAlign w:val="bottom"/>
            <w:gridSpan w:val="2"/>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09" w:lineRule="exact"/>
        <w:rPr>
          <w:sz w:val="20"/>
          <w:szCs w:val="20"/>
          <w:color w:val="auto"/>
        </w:rPr>
      </w:pPr>
    </w:p>
    <w:p>
      <w:pPr>
        <w:ind w:left="1340" w:hanging="1332"/>
        <w:spacing w:after="0"/>
        <w:tabs>
          <w:tab w:leader="none" w:pos="1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20"/>
          <w:szCs w:val="20"/>
          <w:color w:val="auto"/>
        </w:rPr>
      </w:pPr>
    </w:p>
    <w:p>
      <w:pPr>
        <w:jc w:val="both"/>
        <w:ind w:left="720" w:hanging="361"/>
        <w:spacing w:after="0" w:line="233" w:lineRule="auto"/>
        <w:tabs>
          <w:tab w:leader="none" w:pos="7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months ended December 31, 2020 and December 31, 2019; (ii) Condensed Consolidated Balance Sheets at December 31, 2020 and September 30, 2020; (iii) Statements of Consolidated Equity at December 31, 2020; (iv) Statements of Condensed Consolidated Cash Flows for the three months ended December 31, 2020 and December 31, 2019; and (v) Notes to Condensed Consolidated Financial Statements.</w:t>
      </w:r>
    </w:p>
    <w:p>
      <w:pPr>
        <w:spacing w:after="0" w:line="7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720" w:hanging="361"/>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53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5400" w:type="dxa"/>
            <w:vAlign w:val="bottom"/>
          </w:tcPr>
          <w:p>
            <w:pPr>
              <w:spacing w:after="0"/>
              <w:rPr>
                <w:sz w:val="16"/>
                <w:szCs w:val="16"/>
                <w:color w:val="auto"/>
              </w:rPr>
            </w:pPr>
          </w:p>
        </w:tc>
        <w:tc>
          <w:tcPr>
            <w:tcW w:w="5380" w:type="dxa"/>
            <w:vAlign w:val="bottom"/>
          </w:tcPr>
          <w:p>
            <w:pPr>
              <w:ind w:left="226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February 4, 2021</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540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5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540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20"/>
          </w:cols>
          <w:pgMar w:left="320" w:top="549"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1"/>
          <w:szCs w:val="21"/>
          <w:color w:val="auto"/>
        </w:rPr>
        <w:t>Exhibit 10.3</w:t>
      </w:r>
    </w:p>
    <w:p>
      <w:pPr>
        <w:spacing w:after="0" w:line="219" w:lineRule="exact"/>
        <w:rPr>
          <w:sz w:val="20"/>
          <w:szCs w:val="20"/>
          <w:color w:val="auto"/>
        </w:rPr>
      </w:pPr>
    </w:p>
    <w:p>
      <w:pPr>
        <w:ind w:left="2960"/>
        <w:spacing w:after="0"/>
        <w:rPr>
          <w:sz w:val="20"/>
          <w:szCs w:val="20"/>
          <w:color w:val="auto"/>
        </w:rPr>
      </w:pPr>
      <w:r>
        <w:rPr>
          <w:rFonts w:ascii="Arial" w:cs="Arial" w:eastAsia="Arial" w:hAnsi="Arial"/>
          <w:sz w:val="21"/>
          <w:szCs w:val="21"/>
          <w:b w:val="1"/>
          <w:bCs w:val="1"/>
          <w:u w:val="single" w:color="auto"/>
          <w:color w:val="auto"/>
        </w:rPr>
        <w:t>SEPARATION AGREEMENT AND GENERAL RELEASE</w:t>
      </w:r>
    </w:p>
    <w:p>
      <w:pPr>
        <w:spacing w:after="0" w:line="245"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SPECIAL SEVERANCE BENEFITS</w:t>
      </w:r>
    </w:p>
    <w:p>
      <w:pPr>
        <w:spacing w:after="0" w:line="245"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color w:val="auto"/>
        </w:rPr>
        <w:t xml:space="preserve">I, Peter Ganz (EE#A408943), understand that on </w:t>
      </w:r>
      <w:r>
        <w:rPr>
          <w:rFonts w:ascii="Arial" w:cs="Arial" w:eastAsia="Arial" w:hAnsi="Arial"/>
          <w:sz w:val="21"/>
          <w:szCs w:val="21"/>
          <w:b w:val="1"/>
          <w:bCs w:val="1"/>
          <w:color w:val="auto"/>
        </w:rPr>
        <w:t>December 31, 2020</w:t>
      </w:r>
      <w:r>
        <w:rPr>
          <w:rFonts w:ascii="Arial" w:cs="Arial" w:eastAsia="Arial" w:hAnsi="Arial"/>
          <w:sz w:val="21"/>
          <w:szCs w:val="21"/>
          <w:color w:val="auto"/>
        </w:rPr>
        <w:t xml:space="preserve"> (“Termination Date”), my employment with Ashland LLC (the “Company” or “Ashland”) ended. I am signing this Separation Agreement and General Release (the “Separation Agreement”) in return for the special severance benefits offered to me by Ashland, which are more than would otherwise be provided to me upon termination. Specifically, I understand that I will receive the severance benefits more fully described in </w:t>
      </w:r>
      <w:r>
        <w:rPr>
          <w:rFonts w:ascii="Arial" w:cs="Arial" w:eastAsia="Arial" w:hAnsi="Arial"/>
          <w:sz w:val="21"/>
          <w:szCs w:val="21"/>
          <w:b w:val="1"/>
          <w:bCs w:val="1"/>
          <w:color w:val="auto"/>
        </w:rPr>
        <w:t>Attachment I</w:t>
      </w:r>
      <w:r>
        <w:rPr>
          <w:rFonts w:ascii="Arial" w:cs="Arial" w:eastAsia="Arial" w:hAnsi="Arial"/>
          <w:sz w:val="21"/>
          <w:szCs w:val="21"/>
          <w:color w:val="auto"/>
        </w:rPr>
        <w:t xml:space="preserve"> (Summary of Benefits), which is hereby incorporated by reference.</w:t>
      </w:r>
    </w:p>
    <w:p>
      <w:pPr>
        <w:spacing w:after="0" w:line="205"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2.</w:t>
      </w:r>
      <w:r>
        <w:rPr>
          <w:sz w:val="20"/>
          <w:szCs w:val="20"/>
          <w:color w:val="auto"/>
        </w:rPr>
        <w:tab/>
      </w:r>
      <w:r>
        <w:rPr>
          <w:rFonts w:ascii="Arial" w:cs="Arial" w:eastAsia="Arial" w:hAnsi="Arial"/>
          <w:sz w:val="20"/>
          <w:szCs w:val="20"/>
          <w:b w:val="1"/>
          <w:bCs w:val="1"/>
          <w:u w:val="single" w:color="auto"/>
          <w:color w:val="auto"/>
        </w:rPr>
        <w:t>COMPLETE RELEASE OF LIABILITY</w:t>
      </w:r>
    </w:p>
    <w:p>
      <w:pPr>
        <w:spacing w:after="0" w:line="245" w:lineRule="exact"/>
        <w:rPr>
          <w:sz w:val="20"/>
          <w:szCs w:val="20"/>
          <w:color w:val="auto"/>
        </w:rPr>
      </w:pPr>
    </w:p>
    <w:p>
      <w:pPr>
        <w:jc w:val="both"/>
        <w:ind w:left="800" w:hanging="792"/>
        <w:spacing w:after="0" w:line="246" w:lineRule="auto"/>
        <w:tabs>
          <w:tab w:leader="none" w:pos="80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In exchange for these special severance benefits offered by Ashland, I completely release any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claims I may have at this time, whether known or unknown, against Ashland, its parents, divisions, subsidiaries, insurers and affiliates, their predecessors, successors and assigns, and their officers, directors or employees (collectively referred to hereafter as “Releasees”). This Release is intended to be a broad release and shall apply to any relief from Releasees, no matter how denominated, including, but not limited to, claims for future employment, rights or causes of action for wages, backpay, front pay, compensatory damages, punitive damages, or attorney’s fees. I also agree that I will not file any such claim and I hereby agree to indemnify and hold Releasees harmless from any such claim.</w:t>
      </w:r>
    </w:p>
    <w:p>
      <w:pPr>
        <w:spacing w:after="0" w:line="206" w:lineRule="exact"/>
        <w:rPr>
          <w:rFonts w:ascii="Arial" w:cs="Arial" w:eastAsia="Arial" w:hAnsi="Arial"/>
          <w:sz w:val="21"/>
          <w:szCs w:val="21"/>
          <w:b w:val="1"/>
          <w:bCs w:val="1"/>
          <w:color w:val="auto"/>
        </w:rPr>
      </w:pPr>
    </w:p>
    <w:p>
      <w:pPr>
        <w:jc w:val="both"/>
        <w:ind w:left="800" w:hanging="792"/>
        <w:spacing w:after="0" w:line="252" w:lineRule="auto"/>
        <w:tabs>
          <w:tab w:leader="none" w:pos="80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Extent of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This Release includes all claims I may have against Releasees which relate either to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of my employment or to my termination, except the claims mentioned in Section 2(c) below. Some of the types of claims that I am releasing, although there also may be others not listed here, are claims under local, state or federal law relating to:</w:t>
      </w:r>
    </w:p>
    <w:p>
      <w:pPr>
        <w:spacing w:after="0" w:line="226" w:lineRule="exact"/>
        <w:rPr>
          <w:rFonts w:ascii="Arial" w:cs="Arial" w:eastAsia="Arial" w:hAnsi="Arial"/>
          <w:sz w:val="21"/>
          <w:szCs w:val="21"/>
          <w:b w:val="1"/>
          <w:bCs w:val="1"/>
          <w:color w:val="auto"/>
        </w:rPr>
      </w:pPr>
    </w:p>
    <w:p>
      <w:pPr>
        <w:ind w:left="1600" w:hanging="796"/>
        <w:spacing w:after="0" w:line="249" w:lineRule="auto"/>
        <w:tabs>
          <w:tab w:leader="none" w:pos="16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Discrimination on the basis of age, sex, race, color, national origin, religion, disability, veteran status, or any other category protected under applicable law;</w:t>
      </w:r>
    </w:p>
    <w:p>
      <w:pPr>
        <w:spacing w:after="0" w:line="227" w:lineRule="exact"/>
        <w:rPr>
          <w:rFonts w:ascii="Arial" w:cs="Arial" w:eastAsia="Arial" w:hAnsi="Arial"/>
          <w:sz w:val="21"/>
          <w:szCs w:val="21"/>
          <w:color w:val="auto"/>
        </w:rPr>
      </w:pPr>
    </w:p>
    <w:p>
      <w:pPr>
        <w:jc w:val="both"/>
        <w:ind w:left="1600" w:hanging="796"/>
        <w:spacing w:after="0" w:line="245" w:lineRule="auto"/>
        <w:tabs>
          <w:tab w:leader="none" w:pos="16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Restrictions, if any, upon the rights of Ashland to terminate its employees at will, including (i) violation of public policy, (ii) breach of any express or implied covenant of the employment contract, and (iii) breach of any covenant of good faith and fair dealing;</w:t>
      </w:r>
    </w:p>
    <w:p>
      <w:pPr>
        <w:spacing w:after="0" w:line="232" w:lineRule="exact"/>
        <w:rPr>
          <w:rFonts w:ascii="Arial" w:cs="Arial" w:eastAsia="Arial" w:hAnsi="Arial"/>
          <w:sz w:val="21"/>
          <w:szCs w:val="21"/>
          <w:color w:val="auto"/>
        </w:rPr>
      </w:pPr>
    </w:p>
    <w:p>
      <w:pPr>
        <w:ind w:left="1600" w:hanging="796"/>
        <w:spacing w:after="0" w:line="249" w:lineRule="auto"/>
        <w:tabs>
          <w:tab w:leader="none" w:pos="16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Discrimination on the basis of age, including claims under the Age Discrimination in Employment Act (the “ADEA”), which is located at 29 United States Code, Sections 621 through 634;</w:t>
      </w:r>
    </w:p>
    <w:p>
      <w:pPr>
        <w:spacing w:after="0" w:line="227" w:lineRule="exact"/>
        <w:rPr>
          <w:rFonts w:ascii="Arial" w:cs="Arial" w:eastAsia="Arial" w:hAnsi="Arial"/>
          <w:sz w:val="21"/>
          <w:szCs w:val="21"/>
          <w:color w:val="auto"/>
        </w:rPr>
      </w:pPr>
    </w:p>
    <w:p>
      <w:pPr>
        <w:ind w:left="1600" w:hanging="796"/>
        <w:spacing w:after="0" w:line="241" w:lineRule="auto"/>
        <w:tabs>
          <w:tab w:leader="none" w:pos="16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Payments, if any, that might otherwise be owed and payable to me pursuant to the Workers’ Adjustment and Retraining Notification (WARN) Act; and</w:t>
      </w:r>
    </w:p>
    <w:p>
      <w:pPr>
        <w:spacing w:after="0" w:line="1" w:lineRule="exact"/>
        <w:rPr>
          <w:rFonts w:ascii="Arial" w:cs="Arial" w:eastAsia="Arial" w:hAnsi="Arial"/>
          <w:sz w:val="21"/>
          <w:szCs w:val="21"/>
          <w:color w:val="auto"/>
        </w:rPr>
      </w:pPr>
    </w:p>
    <w:p>
      <w:pPr>
        <w:ind w:left="1600" w:right="20" w:hanging="796"/>
        <w:spacing w:after="0" w:line="249" w:lineRule="auto"/>
        <w:tabs>
          <w:tab w:leader="none" w:pos="16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Civil actions relating to negligence, defamation, invasion of privacy, fraud, misrepresentation, or infliction of emotional or mental distress.</w:t>
      </w:r>
    </w:p>
    <w:p>
      <w:pPr>
        <w:spacing w:after="0" w:line="200" w:lineRule="exact"/>
        <w:rPr>
          <w:sz w:val="20"/>
          <w:szCs w:val="20"/>
          <w:color w:val="auto"/>
        </w:rPr>
      </w:pPr>
    </w:p>
    <w:p>
      <w:pPr>
        <w:spacing w:after="0" w:line="236"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ind w:left="800" w:hanging="792"/>
        <w:spacing w:after="0" w:line="275" w:lineRule="auto"/>
        <w:tabs>
          <w:tab w:leader="none" w:pos="80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only claims against Releasees that this release does not include are claims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w:t>
      </w:r>
    </w:p>
    <w:p>
      <w:pPr>
        <w:spacing w:after="0" w:line="201" w:lineRule="exact"/>
        <w:rPr>
          <w:rFonts w:ascii="Arial" w:cs="Arial" w:eastAsia="Arial" w:hAnsi="Arial"/>
          <w:sz w:val="21"/>
          <w:szCs w:val="21"/>
          <w:b w:val="1"/>
          <w:bCs w:val="1"/>
          <w:color w:val="auto"/>
        </w:rPr>
      </w:pPr>
    </w:p>
    <w:p>
      <w:pPr>
        <w:ind w:left="1600" w:hanging="796"/>
        <w:spacing w:after="0" w:line="249" w:lineRule="auto"/>
        <w:tabs>
          <w:tab w:leader="none" w:pos="16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Benefits to which I am entitled under this special severance offer and enforcement of the terms of this Separation Agreement;</w:t>
      </w:r>
    </w:p>
    <w:p>
      <w:pPr>
        <w:spacing w:after="0" w:line="227" w:lineRule="exact"/>
        <w:rPr>
          <w:rFonts w:ascii="Arial" w:cs="Arial" w:eastAsia="Arial" w:hAnsi="Arial"/>
          <w:sz w:val="21"/>
          <w:szCs w:val="21"/>
          <w:color w:val="auto"/>
        </w:rPr>
      </w:pPr>
    </w:p>
    <w:p>
      <w:pPr>
        <w:ind w:left="1600" w:hanging="796"/>
        <w:spacing w:after="0"/>
        <w:tabs>
          <w:tab w:leader="none" w:pos="16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Any applicable workers’ compensation or unemployment compensation laws;</w:t>
      </w:r>
    </w:p>
    <w:p>
      <w:pPr>
        <w:spacing w:after="0" w:line="244" w:lineRule="exact"/>
        <w:rPr>
          <w:rFonts w:ascii="Arial" w:cs="Arial" w:eastAsia="Arial" w:hAnsi="Arial"/>
          <w:sz w:val="21"/>
          <w:szCs w:val="21"/>
          <w:color w:val="auto"/>
        </w:rPr>
      </w:pPr>
    </w:p>
    <w:p>
      <w:pPr>
        <w:jc w:val="both"/>
        <w:ind w:left="1600" w:hanging="796"/>
        <w:spacing w:after="0" w:line="245" w:lineRule="auto"/>
        <w:tabs>
          <w:tab w:leader="none" w:pos="16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My rights under those benefit plans offered to employees of the Company that are governed by the Employee Retirement Income Security Act of 1974, as amended (ERISA), in effect as of my Termination Date; and</w:t>
      </w:r>
    </w:p>
    <w:p>
      <w:pPr>
        <w:spacing w:after="0" w:line="232" w:lineRule="exact"/>
        <w:rPr>
          <w:rFonts w:ascii="Arial" w:cs="Arial" w:eastAsia="Arial" w:hAnsi="Arial"/>
          <w:sz w:val="21"/>
          <w:szCs w:val="21"/>
          <w:color w:val="auto"/>
        </w:rPr>
      </w:pPr>
    </w:p>
    <w:p>
      <w:pPr>
        <w:ind w:left="1600" w:hanging="796"/>
        <w:spacing w:after="0"/>
        <w:tabs>
          <w:tab w:leader="none" w:pos="16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Any claims that the law states may not be waived.</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 further understand that nothing in this Separation Agreement is intended to or shall prevent, impede, or interfere with my non-waivable right, without prior notice to Releasees, to provide information to the government, participate in investigations, file a complaint, testify in proceedings regarding Releasees’ past or future conduct, or engage in any future activities protected under the whistleblower statutes of other government agency, or the right to receive payment from a government agency for information provided directly to the government agency pursuant to a government-administered whistleblower award program.</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21"/>
          <w:szCs w:val="21"/>
          <w:b w:val="1"/>
          <w:bCs w:val="1"/>
          <w:u w:val="single" w:color="auto"/>
          <w:color w:val="auto"/>
        </w:rPr>
        <w:t>Section 3. CONSEQUENCES OF BREACHING MY PROMISES IN SECTION 2</w:t>
      </w:r>
    </w:p>
    <w:p>
      <w:pPr>
        <w:spacing w:after="0" w:line="271"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If I breach my promise in Section 2 of this General Release and file a claim or lawsuit based on what I released in this General Release, I agree to pay for all liabilities and costs incurred by Releasees, including reasonable attorneys’ fees, in defending against my claim or lawsuit. Provided, however, that this provision shall not apply to any alleged breach due to a challenge of the validity of the ADEA waiver contained herein.</w:t>
      </w:r>
    </w:p>
    <w:p>
      <w:pPr>
        <w:spacing w:after="0" w:line="207"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4.</w:t>
      </w:r>
      <w:r>
        <w:rPr>
          <w:sz w:val="20"/>
          <w:szCs w:val="20"/>
          <w:color w:val="auto"/>
        </w:rPr>
        <w:tab/>
      </w:r>
      <w:r>
        <w:rPr>
          <w:rFonts w:ascii="Arial" w:cs="Arial" w:eastAsia="Arial" w:hAnsi="Arial"/>
          <w:sz w:val="20"/>
          <w:szCs w:val="20"/>
          <w:b w:val="1"/>
          <w:bCs w:val="1"/>
          <w:u w:val="single" w:color="auto"/>
          <w:color w:val="auto"/>
        </w:rPr>
        <w:t>CONFIDENTIALITY</w:t>
      </w:r>
    </w:p>
    <w:p>
      <w:pPr>
        <w:spacing w:after="0" w:line="271"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understand and agree that as a result of my employment with Ashland, I have come into contact with, had access to and learned various technical and non-technical Confidential Information relating to the Ashland’s operations, including the operations of parents, subsidiaries and affiliates of Ashland (collectively, the “Company”). “Confidential Information” includes financial and business information such as information with respect to costs, commissions, fees, profits, sales, markets, mailing lists, strategies, customer information, customer identities, names and addresses, customer services and customer products, methods, procedures, devices and other means used by the Company, or any of its subsidiaries and affiliates, in the conduct of its business; marketing plans and strategies; innovative programs and services; acquisition or divestiture plans and strategies; data processing computer programs, databases, formulae, software codes, secret processes, financial products and adaptations thereto; inventions, research projects, and all other matters of a technical nature; names and addresses of the vendors and suppliers used by the Company, or any of its subsidiaries and affiliates; financial arrangements with the vendors and suppliers, and vendor and supplier representatives responsible for entering into contracts with the Company, or any of its subsidiaries and affiliates; information with respect to the finances, budgets, funding, investments, costs, and similar financial information of the Company, or any of its subsidiaries and affiliates; information regarding clients of Company, or any of its subsidiaries and affiliates, including but not</w:t>
      </w:r>
    </w:p>
    <w:p>
      <w:pPr>
        <w:spacing w:after="0" w:line="200"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2" w:name="page63"/>
    <w:bookmarkEnd w:id="62"/>
    <w:p>
      <w:pPr>
        <w:jc w:val="both"/>
        <w:spacing w:after="0" w:line="242" w:lineRule="auto"/>
        <w:rPr>
          <w:sz w:val="20"/>
          <w:szCs w:val="20"/>
          <w:color w:val="auto"/>
        </w:rPr>
      </w:pPr>
      <w:r>
        <w:rPr>
          <w:rFonts w:ascii="Arial" w:cs="Arial" w:eastAsia="Arial" w:hAnsi="Arial"/>
          <w:sz w:val="21"/>
          <w:szCs w:val="21"/>
          <w:color w:val="auto"/>
        </w:rPr>
        <w:t>limited to their names, service and product histories, and addresses, and referrals to prospective clients; and information with respect to the experience, qualifications, abilities and job performance of employees of the Company, or any of its subsidiaries and affiliates. Confidential Information can be in any form including but not limited to, oral, written or machine readable, including electronic files. Notwithstanding the above, except with respect to personally identifiable information (“PII”) about individuals obtained in the course of my employment with the Company, which shall always be treated as Confidential Information, Confidential Information shall not include any information that is in the public domain, through no unauthorized act on my part; or which was rightfully in my possession free of any obligation of confidence at or subsequent to the time it was communicated to me by the Company.</w:t>
      </w:r>
    </w:p>
    <w:p>
      <w:pPr>
        <w:spacing w:after="0" w:line="239"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acknowledge and agree that disclosing, divulging, revealing or otherwise using any of the aforesaid Confidential Information, other than as specifically authorized by the Company, will be highly detrimental to the business of the Company and serious loss of business and pecuniary damage may result therefrom. Accordingly, I specifically covenant and agree to hold all such Confidential Information in the strictest confidence, and I will not, without the Company’s prior written consent, disclose, divulge or reveal it to any person whomsoever, or use it for any purpose other than the exclusive benefit of the Company, whether such Confidential Information is contained in my memory or embodied in writing or other physical form. I specifically agree that this obligation of Confidentiality shall continue for so long as I have knowledge of such Confidential Information.</w:t>
      </w:r>
    </w:p>
    <w:p>
      <w:pPr>
        <w:spacing w:after="0" w:line="239"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20"/>
          <w:szCs w:val="20"/>
          <w:color w:val="auto"/>
        </w:rPr>
        <w:t>Notwithstanding the foregoing, the Confidentiality provisions of this Separation Agreement will not be breached in the event I disclose Confidential Information to the U.S. Securities and Exchange Commission (the “SEC”), to the extent necessary to report suspected or actual violations of U.S. securities laws, or where my disclosure of Confidential Information is protected under the whistleblower statutes administered by the Occupational Safety and Health Administration, the SEC, the Equal Opportunity Employment Commission, the National Labor Relations Board, or any other government agency. I also understand that I am not required to inform Releasees, in advance or otherwise, that such disclosure(s) has been made. In addition, I understand that nothing in or about this Separation Agreement prohibits me from: (i) filing and, as provided for under Section 21F of the Securities Exchange Act of 1934, as amended (the “Exchange Act”), maintaining the confidentiality of a claim with the SEC; (ii) providing confidential information about this Separation Agreement or the Company or any of its affiliates to the SEC, or providing the SEC with information that would otherwise violate any section of this Separation Agreement, to the extent permitted by Section 21F of the Exchange Act;</w:t>
      </w:r>
    </w:p>
    <w:p>
      <w:pPr>
        <w:spacing w:after="0" w:line="6" w:lineRule="exact"/>
        <w:rPr>
          <w:sz w:val="20"/>
          <w:szCs w:val="20"/>
          <w:color w:val="auto"/>
        </w:rPr>
      </w:pPr>
    </w:p>
    <w:p>
      <w:pPr>
        <w:jc w:val="both"/>
        <w:ind w:firstLine="8"/>
        <w:spacing w:after="0" w:line="242" w:lineRule="auto"/>
        <w:tabs>
          <w:tab w:leader="none" w:pos="364"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the Company; or (iv) receiving a monetary award as set forth in Section 21F of the Exchange Act. I am further advised that if I disclose Confidential Information that constitutes a trade secret to which the Defend Trade Secrets Act (18 USC Section 1833(b)) applies, then I will not be held criminally or civilly liable under any federal or state trade secret law, or considered to be in violation of the confidentiality provisions of this Separation Agreement if my disclosure is made solely for the purpose of reporting or investigating a suspected violation of law and in confidence to a federal, state, or local government official, whether directly or indirectly, or to an attorney; or where my disclosure is made in a complaint or other document filed in a lawsuit or other proceeding against Releasees, and such filing is made under seal. However, except as otherwise provided above, I understand and agree that if I am served with or otherwise presented with a court order or lawful subpoena to testify or produce information to a third party or public entity, including but not limited to a state of the U.S. or the United States government, which might require me to disclose Confidential Information, then within 24 hours of my receipt of such court order or lawful subpoena, and prior to responding to the same, I will notify Ashland’s General Counsel that I have been ordered or</w:t>
      </w:r>
    </w:p>
    <w:p>
      <w:pPr>
        <w:spacing w:after="0" w:line="201"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3" w:name="page64"/>
    <w:bookmarkEnd w:id="63"/>
    <w:p>
      <w:pPr>
        <w:spacing w:after="0" w:line="249" w:lineRule="auto"/>
        <w:rPr>
          <w:sz w:val="20"/>
          <w:szCs w:val="20"/>
          <w:color w:val="auto"/>
        </w:rPr>
      </w:pPr>
      <w:r>
        <w:rPr>
          <w:rFonts w:ascii="Arial" w:cs="Arial" w:eastAsia="Arial" w:hAnsi="Arial"/>
          <w:sz w:val="21"/>
          <w:szCs w:val="21"/>
          <w:color w:val="auto"/>
        </w:rPr>
        <w:t>subpoenaed to provide information that might include Confidential Information, and I will provide a copy of the court order or lawful subpoena to Ashland’s General Counsel.</w:t>
      </w:r>
    </w:p>
    <w:p>
      <w:pPr>
        <w:spacing w:after="0" w:line="22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21"/>
          <w:szCs w:val="21"/>
          <w:color w:val="auto"/>
        </w:rPr>
        <w:t>I further agree that during the period of eighteen (18) months following my Separation Date, I will not, without the express written permission of the then Chief Executive Officer of the Company, in consultation with the General Counsel,</w:t>
      </w:r>
    </w:p>
    <w:p>
      <w:pPr>
        <w:spacing w:after="0" w:line="1" w:lineRule="exact"/>
        <w:rPr>
          <w:sz w:val="20"/>
          <w:szCs w:val="20"/>
          <w:color w:val="auto"/>
        </w:rPr>
      </w:pPr>
    </w:p>
    <w:p>
      <w:pPr>
        <w:jc w:val="both"/>
        <w:ind w:firstLine="8"/>
        <w:spacing w:after="0" w:line="242" w:lineRule="auto"/>
        <w:tabs>
          <w:tab w:leader="none" w:pos="355" w:val="left"/>
        </w:tabs>
        <w:numPr>
          <w:ilvl w:val="0"/>
          <w:numId w:val="44"/>
        </w:numPr>
        <w:rPr>
          <w:rFonts w:ascii="Arial" w:cs="Arial" w:eastAsia="Arial" w:hAnsi="Arial"/>
          <w:sz w:val="21"/>
          <w:szCs w:val="21"/>
          <w:color w:val="auto"/>
        </w:rPr>
      </w:pPr>
      <w:r>
        <w:rPr>
          <w:rFonts w:ascii="Arial" w:cs="Arial" w:eastAsia="Arial" w:hAnsi="Arial"/>
          <w:sz w:val="21"/>
          <w:szCs w:val="21"/>
          <w:color w:val="auto"/>
        </w:rPr>
        <w:t>engage directly or indirectly in any manner or capacity as principal, agent, partner, officer, director, employee or otherwise in any business or activity that is competitive with the business conducted by the Company or any of its subsidiaries or affiliates; or (2) solicit or encourage any existing or former employee, director, contractor, consultant, customer or supplier of the Company to terminate an existing relationship with the Company for any reason, or otherwise violate any contracts or covenants existing between them and the Company; or (3) make disparaging or defamatory statements (including but not limited to statements that amount to libel or slander) about the Company, its businesses, officers, directors, or employees. .</w:t>
      </w:r>
    </w:p>
    <w:p>
      <w:pPr>
        <w:spacing w:after="0" w:line="240"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also understand that my eligibility to receive benefits under certain executive compensation plans and programs of the Company may also be subject to additional restrictive covenants, and my eligibility to receive those benefits continue to be governed by the terms and conditions of the relevant plans and programs, the terms and conditions of which are also incorporated herein by reference, and nothing contained in this Separation Agreement shall be construed to relieve me of my obligations thereunder. I further agree that I will continue to be bound by the terms of any non-competition, non-solicitation, non-disclosure and/or confidentiality agreements in effect on my Separation Date, the terms and conditions of which are incorporated herein by reference.</w:t>
      </w:r>
    </w:p>
    <w:p>
      <w:pPr>
        <w:spacing w:after="0" w:line="240"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acknowledge and agree that compliance with the covenants set forth in this Separation Agreement is necessary to protect the business and goodwill of the Company and that any breach of these covenants will result in irreparable and continuing harm to the Company, for which money damages may not provide adequate relief. Accordingly, in the event of any breach or anticipatory breach of these covenants by me, I agree that the Company shall be entitled to the following particular forms of relief as a result of such breach, in addition to any liquidated damages or other remedies available to it at law or equity: (1) injunctions, both preliminary and permanent, enjoining or restraining such breach or anticipatory breach, and I hereby consent to the issuance thereof forthwith and without bond by any court of competent jurisdiction; and (2) recovery of all reasonable sums and costs, including attorney’s fees, incurred by the Company if it successfully enforces the covenants.</w:t>
      </w:r>
    </w:p>
    <w:p>
      <w:pPr>
        <w:spacing w:after="0" w:line="213" w:lineRule="exact"/>
        <w:rPr>
          <w:sz w:val="20"/>
          <w:szCs w:val="20"/>
          <w:color w:val="auto"/>
        </w:rPr>
      </w:pPr>
    </w:p>
    <w:p>
      <w:pPr>
        <w:spacing w:after="0"/>
        <w:tabs>
          <w:tab w:leader="none" w:pos="1580" w:val="left"/>
        </w:tabs>
        <w:rPr>
          <w:sz w:val="20"/>
          <w:szCs w:val="20"/>
          <w:color w:val="auto"/>
        </w:rPr>
      </w:pPr>
      <w:r>
        <w:rPr>
          <w:rFonts w:ascii="Arial" w:cs="Arial" w:eastAsia="Arial" w:hAnsi="Arial"/>
          <w:sz w:val="21"/>
          <w:szCs w:val="21"/>
          <w:b w:val="1"/>
          <w:bCs w:val="1"/>
          <w:u w:val="single" w:color="auto"/>
          <w:color w:val="auto"/>
        </w:rPr>
        <w:t>Section 5.</w:t>
      </w:r>
      <w:r>
        <w:rPr>
          <w:sz w:val="20"/>
          <w:szCs w:val="20"/>
          <w:color w:val="auto"/>
        </w:rPr>
        <w:tab/>
      </w:r>
      <w:r>
        <w:rPr>
          <w:rFonts w:ascii="Arial" w:cs="Arial" w:eastAsia="Arial" w:hAnsi="Arial"/>
          <w:sz w:val="20"/>
          <w:szCs w:val="20"/>
          <w:b w:val="1"/>
          <w:bCs w:val="1"/>
          <w:u w:val="single" w:color="auto"/>
          <w:color w:val="auto"/>
        </w:rPr>
        <w:t>RETURN OF COMPANY INFORMATION AND PROPERTY</w:t>
      </w:r>
    </w:p>
    <w:p>
      <w:pPr>
        <w:spacing w:after="0" w:line="27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20"/>
          <w:szCs w:val="20"/>
          <w:color w:val="auto"/>
        </w:rPr>
        <w:t>I agree that on or prior to my Termination Date I returned to Ashland all Company Information and related reports, maps, files, memoranda, and records; credit cards, cardkey passes; door and file keys; computer access codes; software; and other physical or personal property which I received or prepared or helped prepare in connection with my employment.</w:t>
      </w:r>
    </w:p>
    <w:p>
      <w:pPr>
        <w:spacing w:after="0" w:line="216"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1"/>
          <w:szCs w:val="21"/>
          <w:color w:val="auto"/>
        </w:rPr>
        <w:t>I further represent that I have not retained and will not retain any copies, duplicates, reproductions, or excerpts thereof, except as otherwise provided above in Section 4. I understand that the term “Company Information” as used in this Separation Agreement refers to information obtained during my employment with ASI or any other Releasees, and includes (a) confidential information including, without limitation, information received from third parties under confidential conditions; and (b) other technical, business, or financial information, the use or disclosure of which might reasonably be construed to be contrary to the interests of Ashland.</w:t>
      </w:r>
    </w:p>
    <w:p>
      <w:pPr>
        <w:spacing w:after="0" w:line="199"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4" w:name="page65"/>
    <w:bookmarkEnd w:id="64"/>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ADVICE TO CONSULT WITH ATTORNEY</w:t>
      </w:r>
    </w:p>
    <w:p>
      <w:pPr>
        <w:spacing w:after="0" w:line="27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 understand that I am advised to consult with an attorney before signing this General Release.</w:t>
      </w:r>
    </w:p>
    <w:p>
      <w:pPr>
        <w:spacing w:after="0" w:line="219"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7.</w:t>
      </w:r>
      <w:r>
        <w:rPr>
          <w:sz w:val="20"/>
          <w:szCs w:val="20"/>
          <w:color w:val="auto"/>
        </w:rPr>
        <w:tab/>
      </w:r>
      <w:r>
        <w:rPr>
          <w:rFonts w:ascii="Arial" w:cs="Arial" w:eastAsia="Arial" w:hAnsi="Arial"/>
          <w:sz w:val="20"/>
          <w:szCs w:val="20"/>
          <w:b w:val="1"/>
          <w:bCs w:val="1"/>
          <w:u w:val="single" w:color="auto"/>
          <w:color w:val="auto"/>
        </w:rPr>
        <w:t>PERIOD FOR REVIEW AND COVERAGE OF OFFER</w:t>
      </w:r>
    </w:p>
    <w:p>
      <w:pPr>
        <w:spacing w:after="0" w:line="271"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 xml:space="preserve">I understand and agree that I have been given at least 55 days to review and consider this General Release. I understand that I may use as much or as little of this period of time as I wish to prior to reaching a decision regarding the signing of this General Release. I understand that if I sign this General Release prior to my Termination Date or if I do not sign, date, and return this General Release by hand, or by a mailing postmarked on or before by </w:t>
      </w:r>
      <w:r>
        <w:rPr>
          <w:rFonts w:ascii="Arial" w:cs="Arial" w:eastAsia="Arial" w:hAnsi="Arial"/>
          <w:sz w:val="21"/>
          <w:szCs w:val="21"/>
          <w:b w:val="1"/>
          <w:bCs w:val="1"/>
          <w:color w:val="auto"/>
        </w:rPr>
        <w:t>February 24, 2021</w:t>
      </w:r>
      <w:r>
        <w:rPr>
          <w:rFonts w:ascii="Arial" w:cs="Arial" w:eastAsia="Arial" w:hAnsi="Arial"/>
          <w:sz w:val="21"/>
          <w:szCs w:val="21"/>
          <w:color w:val="auto"/>
        </w:rPr>
        <w:t xml:space="preserve"> the General Release will not be valid and I will not be eligible to receive the special severance benefits under the terms of this special severance offer, and I will not be eligible for any benefits under Ashland’s Severance Pay Plan, or under any other severance pay plan or program of Releasees.</w:t>
      </w:r>
    </w:p>
    <w:p>
      <w:pPr>
        <w:spacing w:after="0" w:line="214" w:lineRule="exact"/>
        <w:rPr>
          <w:sz w:val="20"/>
          <w:szCs w:val="20"/>
          <w:color w:val="auto"/>
        </w:rPr>
      </w:pPr>
    </w:p>
    <w:p>
      <w:pPr>
        <w:spacing w:after="0"/>
        <w:tabs>
          <w:tab w:leader="none" w:pos="1580" w:val="left"/>
        </w:tabs>
        <w:rPr>
          <w:sz w:val="20"/>
          <w:szCs w:val="20"/>
          <w:color w:val="auto"/>
        </w:rPr>
      </w:pPr>
      <w:r>
        <w:rPr>
          <w:rFonts w:ascii="Arial" w:cs="Arial" w:eastAsia="Arial" w:hAnsi="Arial"/>
          <w:sz w:val="21"/>
          <w:szCs w:val="21"/>
          <w:b w:val="1"/>
          <w:bCs w:val="1"/>
          <w:u w:val="single" w:color="auto"/>
          <w:color w:val="auto"/>
        </w:rPr>
        <w:t>Section 8.</w:t>
      </w:r>
      <w:r>
        <w:rPr>
          <w:sz w:val="20"/>
          <w:szCs w:val="20"/>
          <w:color w:val="auto"/>
        </w:rPr>
        <w:tab/>
      </w:r>
      <w:r>
        <w:rPr>
          <w:rFonts w:ascii="Arial" w:cs="Arial" w:eastAsia="Arial" w:hAnsi="Arial"/>
          <w:sz w:val="20"/>
          <w:szCs w:val="20"/>
          <w:b w:val="1"/>
          <w:bCs w:val="1"/>
          <w:u w:val="single" w:color="auto"/>
          <w:color w:val="auto"/>
        </w:rPr>
        <w:t>EFFECTIVE DATE AND MY RIGHT TO REVOKE GENERAL RELEASE</w:t>
      </w:r>
    </w:p>
    <w:p>
      <w:pPr>
        <w:spacing w:after="0" w:line="271"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 xml:space="preserve">In accordance with federal law, I understand that this General Release may be revoked by me at any time within seven (7) calendar days after the date of execution noted below. To be effective, the revocation must be in writing and delivered to Steve Spalding, Assistant General Counsel, </w:t>
      </w:r>
      <w:r>
        <w:rPr>
          <w:rFonts w:ascii="Arial" w:cs="Arial" w:eastAsia="Arial" w:hAnsi="Arial"/>
          <w:sz w:val="21"/>
          <w:szCs w:val="21"/>
          <w:color w:val="222222"/>
        </w:rPr>
        <w:t>5475 Rings Rd, Dublin, OH 43017</w:t>
      </w:r>
      <w:r>
        <w:rPr>
          <w:rFonts w:ascii="Arial" w:cs="Arial" w:eastAsia="Arial" w:hAnsi="Arial"/>
          <w:sz w:val="21"/>
          <w:szCs w:val="21"/>
          <w:color w:val="auto"/>
        </w:rPr>
        <w:t>, either by hand or mail within a seven (7) day period following my execution of this General Release. If delivered by mail, the recision must be:</w:t>
      </w:r>
    </w:p>
    <w:p>
      <w:pPr>
        <w:spacing w:after="0" w:line="233" w:lineRule="exact"/>
        <w:rPr>
          <w:sz w:val="20"/>
          <w:szCs w:val="20"/>
          <w:color w:val="auto"/>
        </w:rPr>
      </w:pPr>
    </w:p>
    <w:p>
      <w:pPr>
        <w:ind w:left="1600" w:hanging="391"/>
        <w:spacing w:after="0"/>
        <w:tabs>
          <w:tab w:leader="none" w:pos="16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Postmarked within the seven (7) day period;</w:t>
      </w:r>
    </w:p>
    <w:p>
      <w:pPr>
        <w:spacing w:after="0" w:line="1" w:lineRule="exact"/>
        <w:rPr>
          <w:rFonts w:ascii="Arial" w:cs="Arial" w:eastAsia="Arial" w:hAnsi="Arial"/>
          <w:sz w:val="21"/>
          <w:szCs w:val="21"/>
          <w:color w:val="auto"/>
        </w:rPr>
      </w:pPr>
    </w:p>
    <w:p>
      <w:pPr>
        <w:ind w:left="1600" w:hanging="391"/>
        <w:spacing w:after="0"/>
        <w:tabs>
          <w:tab w:leader="none" w:pos="16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Properly addressed as noted above; and</w:t>
      </w:r>
    </w:p>
    <w:p>
      <w:pPr>
        <w:spacing w:after="0" w:line="1" w:lineRule="exact"/>
        <w:rPr>
          <w:rFonts w:ascii="Arial" w:cs="Arial" w:eastAsia="Arial" w:hAnsi="Arial"/>
          <w:sz w:val="21"/>
          <w:szCs w:val="21"/>
          <w:color w:val="auto"/>
        </w:rPr>
      </w:pPr>
    </w:p>
    <w:p>
      <w:pPr>
        <w:ind w:left="1600" w:hanging="391"/>
        <w:spacing w:after="0"/>
        <w:tabs>
          <w:tab w:leader="none" w:pos="16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Sent by Certified Mail, Return Receipt Requested.</w:t>
      </w:r>
    </w:p>
    <w:p>
      <w:pPr>
        <w:spacing w:after="0" w:line="245"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understand that this Separation Agreement and the General Release contained herein, and my acceptance of it shall not become effective or enforceable until the first day immediately following the last day of the seven (7) day revocation period (the “Effective Date”).</w:t>
      </w:r>
    </w:p>
    <w:p>
      <w:pPr>
        <w:spacing w:after="0" w:line="206"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9.</w:t>
      </w:r>
      <w:r>
        <w:rPr>
          <w:sz w:val="20"/>
          <w:szCs w:val="20"/>
          <w:color w:val="auto"/>
        </w:rPr>
        <w:tab/>
      </w:r>
      <w:r>
        <w:rPr>
          <w:rFonts w:ascii="Arial" w:cs="Arial" w:eastAsia="Arial" w:hAnsi="Arial"/>
          <w:sz w:val="20"/>
          <w:szCs w:val="20"/>
          <w:b w:val="1"/>
          <w:bCs w:val="1"/>
          <w:u w:val="single" w:color="auto"/>
          <w:color w:val="auto"/>
        </w:rPr>
        <w:t>GOVERNING LAW</w:t>
      </w:r>
    </w:p>
    <w:p>
      <w:pPr>
        <w:spacing w:after="0" w:line="27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It is agreed that this General Release shall be interpreted in accordance with the laws of the State of Delaware.</w:t>
      </w:r>
    </w:p>
    <w:p>
      <w:pPr>
        <w:spacing w:after="0" w:line="219"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10.</w:t>
      </w:r>
      <w:r>
        <w:rPr>
          <w:sz w:val="20"/>
          <w:szCs w:val="20"/>
          <w:color w:val="auto"/>
        </w:rPr>
        <w:tab/>
      </w:r>
      <w:r>
        <w:rPr>
          <w:rFonts w:ascii="Arial" w:cs="Arial" w:eastAsia="Arial" w:hAnsi="Arial"/>
          <w:sz w:val="20"/>
          <w:szCs w:val="20"/>
          <w:b w:val="1"/>
          <w:bCs w:val="1"/>
          <w:u w:val="single" w:color="auto"/>
          <w:color w:val="auto"/>
        </w:rPr>
        <w:t>PARTIAL INVALIDITY OF THE GENERAL RELEASE</w:t>
      </w:r>
    </w:p>
    <w:p>
      <w:pPr>
        <w:spacing w:after="0" w:line="271"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agree that if any term or provision of this General Release is determined by a court or other appropriate authority to be invalid, void, or unenforceable for any reason, the remainder of the terms and provisions of this General Release shall remain in full force and effect and shall in no way be affected, impaired or invalidated.</w:t>
      </w:r>
    </w:p>
    <w:p>
      <w:pPr>
        <w:spacing w:after="0" w:line="206"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11.</w:t>
      </w:r>
      <w:r>
        <w:rPr>
          <w:sz w:val="20"/>
          <w:szCs w:val="20"/>
          <w:color w:val="auto"/>
        </w:rPr>
        <w:tab/>
      </w:r>
      <w:r>
        <w:rPr>
          <w:rFonts w:ascii="Arial" w:cs="Arial" w:eastAsia="Arial" w:hAnsi="Arial"/>
          <w:sz w:val="20"/>
          <w:szCs w:val="20"/>
          <w:b w:val="1"/>
          <w:bCs w:val="1"/>
          <w:u w:val="single" w:color="auto"/>
          <w:color w:val="auto"/>
        </w:rPr>
        <w:t>MMSEA REPORTING REQUIREMENTS</w:t>
      </w:r>
    </w:p>
    <w:p>
      <w:pPr>
        <w:spacing w:after="0" w:line="271"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color w:val="auto"/>
        </w:rPr>
        <w:t>I understand that pursuant to Section 111 of the Medicare, Medicaid, and SCHIP Extension Act of 2007 (MMSEA), if I have applied for Medicare prior to the execution of this Separation</w:t>
      </w:r>
    </w:p>
    <w:p>
      <w:pPr>
        <w:spacing w:after="0" w:line="193"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5" w:name="page66"/>
    <w:bookmarkEnd w:id="65"/>
    <w:p>
      <w:pPr>
        <w:jc w:val="both"/>
        <w:ind w:right="20"/>
        <w:spacing w:after="0" w:line="249" w:lineRule="auto"/>
        <w:rPr>
          <w:sz w:val="20"/>
          <w:szCs w:val="20"/>
          <w:color w:val="auto"/>
        </w:rPr>
      </w:pPr>
      <w:r>
        <w:rPr>
          <w:rFonts w:ascii="Arial" w:cs="Arial" w:eastAsia="Arial" w:hAnsi="Arial"/>
          <w:sz w:val="21"/>
          <w:szCs w:val="21"/>
          <w:color w:val="auto"/>
        </w:rPr>
        <w:t>Agreement, or if I am likely to become eligible for Medicare within twelve (12) months thereafter, the Centers for Medicare Services will be notified of this Separation Agreement.</w:t>
      </w:r>
    </w:p>
    <w:p>
      <w:pPr>
        <w:spacing w:after="0" w:line="202"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12.</w:t>
      </w:r>
      <w:r>
        <w:rPr>
          <w:sz w:val="20"/>
          <w:szCs w:val="20"/>
          <w:color w:val="auto"/>
        </w:rPr>
        <w:tab/>
      </w:r>
      <w:r>
        <w:rPr>
          <w:rFonts w:ascii="Arial" w:cs="Arial" w:eastAsia="Arial" w:hAnsi="Arial"/>
          <w:sz w:val="20"/>
          <w:szCs w:val="20"/>
          <w:b w:val="1"/>
          <w:bCs w:val="1"/>
          <w:u w:val="single" w:color="auto"/>
          <w:color w:val="auto"/>
        </w:rPr>
        <w:t>COMPLETE AGREEMENT</w:t>
      </w:r>
    </w:p>
    <w:p>
      <w:pPr>
        <w:spacing w:after="0" w:line="271"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1"/>
          <w:szCs w:val="21"/>
          <w:color w:val="auto"/>
        </w:rPr>
        <w:t>It is agreed that the foregoing constitutes the entire agreement between the Employee and Releasees, and that except for those written agreements specifically incorporated herein by reference, there are no other agreements, oral or written, express or implied, relating to any matters covered by this Separation Agreement, or any other agreement in effect and relating to any other matter whatsoever, whether or not within the knowledge or contemplation of either of the Parties at the time of execution of this Separation Agreement.</w:t>
      </w:r>
    </w:p>
    <w:p>
      <w:pPr>
        <w:spacing w:after="0" w:line="200" w:lineRule="exact"/>
        <w:rPr>
          <w:sz w:val="20"/>
          <w:szCs w:val="20"/>
          <w:color w:val="auto"/>
        </w:rPr>
      </w:pPr>
    </w:p>
    <w:p>
      <w:pPr>
        <w:spacing w:after="0" w:line="25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1"/>
          <w:szCs w:val="21"/>
          <w:b w:val="1"/>
          <w:bCs w:val="1"/>
          <w:u w:val="single" w:color="auto"/>
          <w:color w:val="auto"/>
        </w:rPr>
        <w:t>IMPORTANT</w:t>
        <w:tab/>
        <w:t>NOTICE</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I acknowledge that:</w:t>
      </w:r>
    </w:p>
    <w:p>
      <w:pPr>
        <w:spacing w:after="0" w:line="24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20"/>
          <w:szCs w:val="20"/>
          <w:color w:val="auto"/>
        </w:rPr>
      </w:pPr>
      <w:r>
        <w:rPr>
          <w:rFonts w:ascii="Arial" w:cs="Arial" w:eastAsia="Arial" w:hAnsi="Arial"/>
          <w:sz w:val="21"/>
          <w:szCs w:val="21"/>
          <w:b w:val="1"/>
          <w:bCs w:val="1"/>
          <w:color w:val="auto"/>
        </w:rPr>
        <w:t>I have read this General Release and I understand fully its final and binding effect;</w:t>
      </w:r>
    </w:p>
    <w:p>
      <w:pPr>
        <w:spacing w:after="0" w:line="244" w:lineRule="exact"/>
        <w:rPr>
          <w:rFonts w:ascii="Arial" w:cs="Arial" w:eastAsia="Arial" w:hAnsi="Arial"/>
          <w:sz w:val="20"/>
          <w:szCs w:val="20"/>
          <w:color w:val="auto"/>
        </w:rPr>
      </w:pPr>
    </w:p>
    <w:p>
      <w:pPr>
        <w:ind w:left="400" w:hanging="392"/>
        <w:spacing w:after="0"/>
        <w:tabs>
          <w:tab w:leader="none" w:pos="400" w:val="left"/>
        </w:tabs>
        <w:numPr>
          <w:ilvl w:val="0"/>
          <w:numId w:val="46"/>
        </w:numPr>
        <w:rPr>
          <w:rFonts w:ascii="Arial" w:cs="Arial" w:eastAsia="Arial" w:hAnsi="Arial"/>
          <w:sz w:val="20"/>
          <w:szCs w:val="20"/>
          <w:color w:val="auto"/>
        </w:rPr>
      </w:pPr>
      <w:r>
        <w:rPr>
          <w:rFonts w:ascii="Arial" w:cs="Arial" w:eastAsia="Arial" w:hAnsi="Arial"/>
          <w:sz w:val="21"/>
          <w:szCs w:val="21"/>
          <w:b w:val="1"/>
          <w:bCs w:val="1"/>
          <w:color w:val="auto"/>
        </w:rPr>
        <w:t>The only promises made to me to sign this General Release are those stated herein;</w:t>
      </w:r>
    </w:p>
    <w:p>
      <w:pPr>
        <w:spacing w:after="0" w:line="244" w:lineRule="exact"/>
        <w:rPr>
          <w:rFonts w:ascii="Arial" w:cs="Arial" w:eastAsia="Arial" w:hAnsi="Arial"/>
          <w:sz w:val="20"/>
          <w:szCs w:val="20"/>
          <w:color w:val="auto"/>
        </w:rPr>
      </w:pPr>
    </w:p>
    <w:p>
      <w:pPr>
        <w:ind w:left="400" w:hanging="392"/>
        <w:spacing w:after="0"/>
        <w:tabs>
          <w:tab w:leader="none" w:pos="400" w:val="left"/>
        </w:tabs>
        <w:numPr>
          <w:ilvl w:val="0"/>
          <w:numId w:val="46"/>
        </w:numPr>
        <w:rPr>
          <w:rFonts w:ascii="Arial" w:cs="Arial" w:eastAsia="Arial" w:hAnsi="Arial"/>
          <w:sz w:val="20"/>
          <w:szCs w:val="20"/>
          <w:color w:val="auto"/>
        </w:rPr>
      </w:pPr>
      <w:r>
        <w:rPr>
          <w:rFonts w:ascii="Arial" w:cs="Arial" w:eastAsia="Arial" w:hAnsi="Arial"/>
          <w:sz w:val="21"/>
          <w:szCs w:val="21"/>
          <w:b w:val="1"/>
          <w:bCs w:val="1"/>
          <w:color w:val="auto"/>
        </w:rPr>
        <w:t>I am signing this General Release knowingly and voluntarily; and</w:t>
      </w:r>
    </w:p>
    <w:p>
      <w:pPr>
        <w:spacing w:after="0" w:line="244" w:lineRule="exact"/>
        <w:rPr>
          <w:rFonts w:ascii="Arial" w:cs="Arial" w:eastAsia="Arial" w:hAnsi="Arial"/>
          <w:sz w:val="20"/>
          <w:szCs w:val="20"/>
          <w:color w:val="auto"/>
        </w:rPr>
      </w:pPr>
    </w:p>
    <w:p>
      <w:pPr>
        <w:jc w:val="both"/>
        <w:ind w:left="400" w:right="20" w:hanging="392"/>
        <w:spacing w:after="0" w:line="258" w:lineRule="auto"/>
        <w:tabs>
          <w:tab w:leader="none" w:pos="400" w:val="left"/>
        </w:tabs>
        <w:numPr>
          <w:ilvl w:val="0"/>
          <w:numId w:val="46"/>
        </w:numPr>
        <w:rPr>
          <w:rFonts w:ascii="Arial" w:cs="Arial" w:eastAsia="Arial" w:hAnsi="Arial"/>
          <w:sz w:val="20"/>
          <w:szCs w:val="20"/>
          <w:color w:val="auto"/>
        </w:rPr>
      </w:pPr>
      <w:r>
        <w:rPr>
          <w:rFonts w:ascii="Arial" w:cs="Arial" w:eastAsia="Arial" w:hAnsi="Arial"/>
          <w:sz w:val="21"/>
          <w:szCs w:val="21"/>
          <w:b w:val="1"/>
          <w:bCs w:val="1"/>
          <w:color w:val="auto"/>
        </w:rPr>
        <w:t>I have no other claim or expectation of any additional pay or benefits incident to my Employment. The benefits I am receiving for this General Release are in lieu of, and fully satisfy, all monetary amounts, if any, to which I might otherwise be entitled under federal or state statute or common law.</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ASHLAND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gridSpan w:val="3"/>
          </w:tcPr>
          <w:p>
            <w:pPr>
              <w:spacing w:after="0"/>
              <w:rPr>
                <w:sz w:val="20"/>
                <w:szCs w:val="20"/>
                <w:color w:val="auto"/>
              </w:rPr>
            </w:pPr>
            <w:r>
              <w:rPr>
                <w:rFonts w:ascii="Arial" w:cs="Arial" w:eastAsia="Arial" w:hAnsi="Arial"/>
                <w:sz w:val="21"/>
                <w:szCs w:val="21"/>
                <w:color w:val="auto"/>
              </w:rPr>
              <w:t>/s/ Peter Ganz_____________</w:t>
            </w:r>
          </w:p>
        </w:tc>
        <w:tc>
          <w:tcPr>
            <w:tcW w:w="3500" w:type="dxa"/>
            <w:vAlign w:val="bottom"/>
            <w:gridSpan w:val="3"/>
          </w:tcPr>
          <w:p>
            <w:pPr>
              <w:spacing w:after="0"/>
              <w:rPr>
                <w:sz w:val="20"/>
                <w:szCs w:val="20"/>
                <w:color w:val="auto"/>
              </w:rPr>
            </w:pPr>
            <w:r>
              <w:rPr>
                <w:rFonts w:ascii="Arial" w:cs="Arial" w:eastAsia="Arial" w:hAnsi="Arial"/>
                <w:sz w:val="21"/>
                <w:szCs w:val="21"/>
                <w:color w:val="auto"/>
              </w:rPr>
              <w:t>/s/ Eileen Drury______________</w:t>
            </w:r>
          </w:p>
        </w:tc>
      </w:tr>
      <w:tr>
        <w:trPr>
          <w:trHeight w:val="20"/>
        </w:trPr>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5"/>
        </w:trPr>
        <w:tc>
          <w:tcPr>
            <w:tcW w:w="1340" w:type="dxa"/>
            <w:vAlign w:val="bottom"/>
          </w:tcPr>
          <w:p>
            <w:pPr>
              <w:spacing w:after="0"/>
              <w:rPr>
                <w:sz w:val="20"/>
                <w:szCs w:val="20"/>
                <w:color w:val="auto"/>
              </w:rPr>
            </w:pPr>
            <w:r>
              <w:rPr>
                <w:rFonts w:ascii="Arial" w:cs="Arial" w:eastAsia="Arial" w:hAnsi="Arial"/>
                <w:sz w:val="21"/>
                <w:szCs w:val="21"/>
                <w:color w:val="auto"/>
                <w:w w:val="98"/>
              </w:rPr>
              <w:t>PETER GANZ</w:t>
            </w:r>
          </w:p>
        </w:tc>
        <w:tc>
          <w:tcPr>
            <w:tcW w:w="2780" w:type="dxa"/>
            <w:vAlign w:val="bottom"/>
            <w:gridSpan w:val="2"/>
          </w:tcPr>
          <w:p>
            <w:pPr>
              <w:spacing w:after="0"/>
              <w:rPr>
                <w:sz w:val="23"/>
                <w:szCs w:val="23"/>
                <w:color w:val="auto"/>
              </w:rPr>
            </w:pPr>
          </w:p>
        </w:tc>
        <w:tc>
          <w:tcPr>
            <w:tcW w:w="3500" w:type="dxa"/>
            <w:vAlign w:val="bottom"/>
            <w:gridSpan w:val="3"/>
          </w:tcPr>
          <w:p>
            <w:pPr>
              <w:spacing w:after="0"/>
              <w:rPr>
                <w:sz w:val="20"/>
                <w:szCs w:val="20"/>
                <w:color w:val="auto"/>
              </w:rPr>
            </w:pPr>
            <w:r>
              <w:rPr>
                <w:rFonts w:ascii="Arial" w:cs="Arial" w:eastAsia="Arial" w:hAnsi="Arial"/>
                <w:sz w:val="21"/>
                <w:szCs w:val="21"/>
                <w:color w:val="auto"/>
                <w:w w:val="97"/>
              </w:rPr>
              <w:t>Signature of Company Representative</w:t>
            </w:r>
          </w:p>
        </w:tc>
      </w:tr>
      <w:tr>
        <w:trPr>
          <w:trHeight w:val="249"/>
        </w:trPr>
        <w:tc>
          <w:tcPr>
            <w:tcW w:w="4120" w:type="dxa"/>
            <w:vAlign w:val="bottom"/>
            <w:gridSpan w:val="3"/>
          </w:tcPr>
          <w:p>
            <w:pPr>
              <w:spacing w:after="0"/>
              <w:rPr>
                <w:sz w:val="20"/>
                <w:szCs w:val="20"/>
                <w:color w:val="auto"/>
              </w:rPr>
            </w:pPr>
            <w:r>
              <w:rPr>
                <w:rFonts w:ascii="Arial" w:cs="Arial" w:eastAsia="Arial" w:hAnsi="Arial"/>
                <w:sz w:val="21"/>
                <w:szCs w:val="21"/>
                <w:color w:val="auto"/>
              </w:rPr>
              <w:t>Employee #A408943</w:t>
            </w:r>
          </w:p>
        </w:tc>
        <w:tc>
          <w:tcPr>
            <w:tcW w:w="1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38"/>
        </w:trPr>
        <w:tc>
          <w:tcPr>
            <w:tcW w:w="4120" w:type="dxa"/>
            <w:vAlign w:val="bottom"/>
            <w:gridSpan w:val="3"/>
          </w:tcPr>
          <w:p>
            <w:pPr>
              <w:spacing w:after="0"/>
              <w:rPr>
                <w:sz w:val="20"/>
                <w:szCs w:val="20"/>
                <w:color w:val="auto"/>
              </w:rPr>
            </w:pPr>
            <w:r>
              <w:rPr>
                <w:rFonts w:ascii="Arial" w:cs="Arial" w:eastAsia="Arial" w:hAnsi="Arial"/>
                <w:sz w:val="21"/>
                <w:szCs w:val="21"/>
                <w:color w:val="auto"/>
              </w:rPr>
              <w:t>January 4, 2021____________</w:t>
            </w:r>
          </w:p>
        </w:tc>
        <w:tc>
          <w:tcPr>
            <w:tcW w:w="3500" w:type="dxa"/>
            <w:vAlign w:val="bottom"/>
            <w:gridSpan w:val="3"/>
          </w:tcPr>
          <w:p>
            <w:pPr>
              <w:spacing w:after="0"/>
              <w:rPr>
                <w:sz w:val="20"/>
                <w:szCs w:val="20"/>
                <w:color w:val="auto"/>
              </w:rPr>
            </w:pPr>
            <w:r>
              <w:rPr>
                <w:rFonts w:ascii="Arial" w:cs="Arial" w:eastAsia="Arial" w:hAnsi="Arial"/>
                <w:sz w:val="21"/>
                <w:szCs w:val="21"/>
                <w:color w:val="auto"/>
              </w:rPr>
              <w:t>VP Human Resources________</w:t>
            </w: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2"/>
        </w:trPr>
        <w:tc>
          <w:tcPr>
            <w:tcW w:w="4120" w:type="dxa"/>
            <w:vAlign w:val="bottom"/>
            <w:gridSpan w:val="3"/>
          </w:tcPr>
          <w:p>
            <w:pPr>
              <w:spacing w:after="0"/>
              <w:rPr>
                <w:sz w:val="20"/>
                <w:szCs w:val="20"/>
                <w:color w:val="auto"/>
              </w:rPr>
            </w:pPr>
            <w:r>
              <w:rPr>
                <w:rFonts w:ascii="Arial" w:cs="Arial" w:eastAsia="Arial" w:hAnsi="Arial"/>
                <w:sz w:val="21"/>
                <w:szCs w:val="21"/>
                <w:color w:val="auto"/>
              </w:rPr>
              <w:t>Date of Execution by Employee</w:t>
            </w:r>
          </w:p>
        </w:tc>
        <w:tc>
          <w:tcPr>
            <w:tcW w:w="3500" w:type="dxa"/>
            <w:vAlign w:val="bottom"/>
            <w:gridSpan w:val="3"/>
          </w:tcPr>
          <w:p>
            <w:pPr>
              <w:spacing w:after="0"/>
              <w:rPr>
                <w:sz w:val="20"/>
                <w:szCs w:val="20"/>
                <w:color w:val="auto"/>
              </w:rPr>
            </w:pPr>
            <w:r>
              <w:rPr>
                <w:rFonts w:ascii="Arial" w:cs="Arial" w:eastAsia="Arial" w:hAnsi="Arial"/>
                <w:sz w:val="21"/>
                <w:szCs w:val="21"/>
                <w:color w:val="auto"/>
              </w:rPr>
              <w:t>Title of Company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6" w:name="page67"/>
    <w:bookmarkEnd w:id="66"/>
    <w:p>
      <w:pPr>
        <w:spacing w:after="0"/>
        <w:rPr>
          <w:sz w:val="20"/>
          <w:szCs w:val="20"/>
          <w:color w:val="auto"/>
        </w:rPr>
      </w:pPr>
      <w:r>
        <w:rPr>
          <w:rFonts w:ascii="Arial" w:cs="Arial" w:eastAsia="Arial" w:hAnsi="Arial"/>
          <w:sz w:val="21"/>
          <w:szCs w:val="21"/>
          <w:color w:val="auto"/>
        </w:rPr>
        <w:t>Attachment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OF SPECIAL SEVERANCE BENEFITS,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EMPLOYEE BENEFITS AND MISCELLANEOUS PROVISIONS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On December 31, 2020 (your “Termination Date”), your employment with Ashland ended. After your Termination Date, you will receive severance benefits equal to </w:t>
      </w:r>
      <w:r>
        <w:rPr>
          <w:rFonts w:ascii="Arial" w:cs="Arial" w:eastAsia="Arial" w:hAnsi="Arial"/>
          <w:sz w:val="21"/>
          <w:szCs w:val="21"/>
          <w:b w:val="1"/>
          <w:bCs w:val="1"/>
          <w:color w:val="auto"/>
        </w:rPr>
        <w:t>78 weeks</w:t>
      </w:r>
      <w:r>
        <w:rPr>
          <w:rFonts w:ascii="Arial" w:cs="Arial" w:eastAsia="Arial" w:hAnsi="Arial"/>
          <w:sz w:val="21"/>
          <w:szCs w:val="21"/>
          <w:color w:val="auto"/>
        </w:rPr>
        <w:t xml:space="preserve"> of base pay, calculated based on your salary band and your rate of base pay in effect as of your Termination Date.</w:t>
      </w: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Your severance benefit is payable to you by Ashland in a lump sum, less applicable withholding of taxes, etc. Any portion of the severance benefit which is exempt from Section 409A of the Internal Revenue Code of 1986, as amended (“Section 409A”) will be paid to you by Ashland in a lump sum, less applicable withholding of taxes, etc., as soon as is practicable, but not more than 15 days, following the Effective Date of this Separation Agreement, as defined in Section 8 of this Separation Agreement. Any remaining portion of the severance benefit will be paid within five days following the first day of the seventh calendar month following the month in which the Termination Date occurs.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You are being offered the special severance benefits, described in this Attachment I, in exchange for your promises and covenants contained in this Separation Agreement. You understand and agree that if you fail to properly execute and return this Separation Agreement within the time period specified in Section 7 of this Separation Agreement, or you revoke your acceptance of it within the 7-day window provided in Section 8 of this Separation Agreement, then the Separation Agreement will not become effective, and you will not be eligible for any of the special severance benefits described in this Attachment I, or any benefits under Ashland’s Severance Pay Plan or any other severance pay plan or program of Releasees.</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addition, with respect to those special severance benefits relating to favorable treatment under certain employee benefit plans and programs, you understand that in the event this Separation Agreement does not become effect as provided above, then you will not receive this favorable treatment, and instead you will only be eligible to receive those benefits that are required to be paid to you under the relevant plans or programs in the event of your termination.</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following summarizes selected terms and conditions from some of the employee benefit plans in which you may have participated. The actual terms of these plans are in their plan documents. You should refer to the relevant summary plan description for more information on a particular plan and the effect that your severance has with regard to that plan.</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general, you cannot continue participation in any employee benefit plan after your Termination Date. If you were enrolled in a group health plan, you may be able to continue coverage by making what is called a COBRA election. You cannot elect to have any premiums you may have to pay for COBRA coverage deducted from any payments you are receiving under the terms of this Separation Agreement.</w:t>
      </w:r>
    </w:p>
    <w:p>
      <w:pPr>
        <w:spacing w:after="0" w:line="200" w:lineRule="exact"/>
        <w:rPr>
          <w:sz w:val="20"/>
          <w:szCs w:val="20"/>
          <w:color w:val="auto"/>
        </w:rPr>
      </w:pPr>
    </w:p>
    <w:p>
      <w:pPr>
        <w:spacing w:after="0" w:line="241"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7" w:name="page68"/>
    <w:bookmarkEnd w:id="67"/>
    <w:p>
      <w:pPr>
        <w:spacing w:after="0"/>
        <w:rPr>
          <w:sz w:val="20"/>
          <w:szCs w:val="20"/>
          <w:color w:val="auto"/>
        </w:rPr>
      </w:pPr>
      <w:r>
        <w:rPr>
          <w:rFonts w:ascii="Arial" w:cs="Arial" w:eastAsia="Arial" w:hAnsi="Arial"/>
          <w:sz w:val="21"/>
          <w:szCs w:val="21"/>
          <w:b w:val="1"/>
          <w:bCs w:val="1"/>
          <w:u w:val="single" w:color="auto"/>
          <w:color w:val="auto"/>
        </w:rPr>
        <w:t>PENSION PLAN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eligible to receive a benefit under a Company sponsored pension plan, your benefit will be based on the plan terms and the Company’s records of your employment and plan benefit. If you have a vested benefit, then you will be eligible to elect to begin your pension benefit as of the date specified within the applicable plan.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MEDICAL AND DENTAL</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If you are enrolled in the Medical or Dental Plan on your Termination Date, you will be eligible for COBRA continuation coverage at no cost to you, for a period equal to three (3) weeks for each completed year of service, provided that there is a minimum free coverage period of 20 weeks, and a maximum free coverage period of 52 weeks. Your free COBRA coverage period is </w:t>
      </w:r>
      <w:r>
        <w:rPr>
          <w:rFonts w:ascii="Arial" w:cs="Arial" w:eastAsia="Arial" w:hAnsi="Arial"/>
          <w:sz w:val="21"/>
          <w:szCs w:val="21"/>
          <w:b w:val="1"/>
          <w:bCs w:val="1"/>
          <w:color w:val="auto"/>
        </w:rPr>
        <w:t>27 weeks</w:t>
      </w:r>
      <w:r>
        <w:rPr>
          <w:rFonts w:ascii="Arial" w:cs="Arial" w:eastAsia="Arial" w:hAnsi="Arial"/>
          <w:sz w:val="21"/>
          <w:szCs w:val="21"/>
          <w:color w:val="auto"/>
        </w:rPr>
        <w:t>. Additionally, if your free COBRA continuation coverage period extends only partially into a month, your COBRA continuation coverage will be at no cost for that entire month. After your free COBRA continuation coverage ends, you may be eligible to continue coverage at the rates that apply to terminated employees. Generally, the maximum COBRA continuation coverage period is 18 months. The free COBRA continuation coverage period counts toward this 18-month limit. COBRA continuation coverage is not automatic; to be eligible for COBRA continuation coverage, including the initial period during which coverage is provided at no cost to you, you must first make a timely election of COBRA coverage. You make a timely election by completing and returning the COBRA election form that will be sent to you by the Ashland Benefits Service Center. If you have any questions please contact the Ashland Benefits Service Center at (855) 889-6519 (Monday-Friday 8:00 am – 5:00 pm EST).</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HEALTH SAVINGS ACCOUNT</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are enrolled in a Health Savings Plan on your Termination Date, then thereafter you can continue to make contributions to your HSA so long as you continue to participate in a medical plan that qualifies as a High Deductible Health Plan (HDHP). This could occur as a result of electing COBRA continuation coverage under your current Company-provided medical plan or as a result of your enrollment in a medical plan offered by a third-party that qualifies as a HDHP. Once your coverage under a HDHP ends, your ability to contribute to the HSA for future periods ends. You may be able to make retroactive contributions to the plan if there were prior periods when you could have made contributions but did not do so. Generally, your ability to contribute for periods in a calendar year when you were covered by a HDHP ends on April 15</w:t>
      </w:r>
      <w:r>
        <w:rPr>
          <w:rFonts w:ascii="Arial" w:cs="Arial" w:eastAsia="Arial" w:hAnsi="Arial"/>
          <w:sz w:val="17"/>
          <w:szCs w:val="17"/>
          <w:color w:val="auto"/>
        </w:rPr>
        <w:t>th</w:t>
      </w:r>
      <w:r>
        <w:rPr>
          <w:rFonts w:ascii="Arial" w:cs="Arial" w:eastAsia="Arial" w:hAnsi="Arial"/>
          <w:sz w:val="21"/>
          <w:szCs w:val="21"/>
          <w:color w:val="auto"/>
        </w:rPr>
        <w:t xml:space="preserve"> of the subsequent calendar year. Regardless of whether you make any further contributions to your HSA after your Termination Date, the funds in your HSA are yours to keep, and can be used to pay for eligible medical expenses for you and your tax dependents in accordance with all applicable withdrawal rules. For more information, refer to IRS Publication 969 (</w:t>
      </w:r>
      <w:r>
        <w:rPr>
          <w:rFonts w:ascii="Arial" w:cs="Arial" w:eastAsia="Arial" w:hAnsi="Arial"/>
          <w:sz w:val="21"/>
          <w:szCs w:val="21"/>
          <w:u w:val="single" w:color="auto"/>
          <w:color w:val="auto"/>
        </w:rPr>
        <w:t>www.irs.gov/pub/irs-pdf/p969.pdf</w:t>
      </w:r>
      <w:r>
        <w:rPr>
          <w:rFonts w:ascii="Arial" w:cs="Arial" w:eastAsia="Arial" w:hAnsi="Arial"/>
          <w:sz w:val="21"/>
          <w:szCs w:val="21"/>
          <w:color w:val="auto"/>
        </w:rPr>
        <w:t>) or contact your tax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LIFE INSURANCE</w:t>
      </w:r>
    </w:p>
    <w:p>
      <w:pPr>
        <w:spacing w:after="0" w:line="200" w:lineRule="exact"/>
        <w:rPr>
          <w:sz w:val="20"/>
          <w:szCs w:val="20"/>
          <w:color w:val="auto"/>
        </w:rPr>
      </w:pPr>
    </w:p>
    <w:p>
      <w:pPr>
        <w:spacing w:after="0" w:line="278"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ind w:left="10340"/>
        <w:spacing w:after="0"/>
        <w:rPr>
          <w:sz w:val="20"/>
          <w:szCs w:val="20"/>
          <w:color w:val="auto"/>
        </w:rPr>
      </w:pPr>
      <w:r>
        <w:rPr>
          <w:rFonts w:ascii="Arial" w:cs="Arial" w:eastAsia="Arial" w:hAnsi="Arial"/>
          <w:sz w:val="22"/>
          <w:szCs w:val="22"/>
          <w:color w:val="auto"/>
        </w:rPr>
        <w:t>P a g 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8" w:name="page69"/>
    <w:bookmarkEnd w:id="68"/>
    <w:p>
      <w:pPr>
        <w:jc w:val="both"/>
        <w:spacing w:after="0" w:line="249" w:lineRule="auto"/>
        <w:rPr>
          <w:sz w:val="20"/>
          <w:szCs w:val="20"/>
          <w:color w:val="auto"/>
        </w:rPr>
      </w:pPr>
      <w:r>
        <w:rPr>
          <w:rFonts w:ascii="Arial" w:cs="Arial" w:eastAsia="Arial" w:hAnsi="Arial"/>
          <w:sz w:val="21"/>
          <w:szCs w:val="21"/>
          <w:color w:val="auto"/>
        </w:rPr>
        <w:t>Your Company provided noncontributory life insurance coverage, contributory life coverage, spouse and dependent child life coverage, and group accidental death and dismemberment coverage will end on your Termination Date.</w:t>
      </w: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You may be eligible to continue your noncontributory and/or contributory life insurance coverage, spouse and dependent child life coverages after your Termination Date. Continuing these coverages, though, is strictly between you and the applicable insurance companies that provide this coverage. You have a 31-day window following your Termination Date to arrange to continue these coverages. To find out more about your ability to continue these coverages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A conversion privilege is not available for the group life accidental death and dismemberment portion of your coverage.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FLEXIBLE SPENDING ACCOUNTS PLAN</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were a participant in the Flexible Spending Accounts Plan on your Termination Date, then any amount you have remaining in the Dependent Day Care Account and/or the Health Care Account is available to reimburse you for covered services incurred before your Termination Date. Thereafter, you may have rights to continue your Health Care Account coverage by making a COBRA election. Ashland's Employee Benefits Department will provide you with a summary of your COBRA rights that will tell you how to elect to continue coverage under the Health Care Account. A COBRA election can only continue your participation in the Health Care Account through the end of the calendar year in which your Termination Date occurs.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amount you have remaining in the Dependent Care Account and/or the Health Care Account is available to reimburse you for covered services incurred before the date your coverage under the particular account ends. Claims for services performed after your coverage ends are not eligible for reimbursement. Claims for reimbursement must be filed by June 30 in the calendar year following the year in which the covered expenses were incurred. Any amounts in your accounts that are not used will be forfeited according to IRS rules.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SAVINGS PLAN</w:t>
      </w: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Upon your Termination Date, you have a number of withdrawal options. If your account is valued at more than $1,000 on your Termination Date, you have the option of leaving your account in the plan. If your account is valued at $1,000 or less, it will be paid to you as a mandatory lump sum cash-out. If you have an unpaid loan, you may continue to make monthly payments after your Termination Date. Fidelity will send you payment instructions approximately 4 weeks following your Termination Date. To receive Savings Plan information, call Fidelity Investments at (800) 827-4526. You may also access Savings Plan information on the internet by clicking “Access My Account” under NetBenefits at www.401k .com.</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u w:val="single" w:color="auto"/>
          <w:color w:val="auto"/>
        </w:rPr>
        <w:t>LONG TERM DISABILITY, SUPPLEMENTAL LONG TERM DISABILITY</w:t>
      </w: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 xml:space="preserve"> VOLUNTARY ACCIDENTAL DEATH AND DISMEMBERMENT; OCCUPATIONAL ACCIDENTAL DEATH AND DISMEMBERMENT; TRAVEL ACCIDENT INSURANCE AND ADOPTION ASSISTANCE PROGRAM</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you are enrolled in one or more of these plans on your Termination Date, your eligibility for coverage under the applicable plan(s) ends on your Termination Date.</w:t>
      </w:r>
    </w:p>
    <w:p>
      <w:pPr>
        <w:spacing w:after="0" w:line="200" w:lineRule="exact"/>
        <w:rPr>
          <w:sz w:val="20"/>
          <w:szCs w:val="20"/>
          <w:color w:val="auto"/>
        </w:rPr>
      </w:pPr>
    </w:p>
    <w:p>
      <w:pPr>
        <w:spacing w:after="0" w:line="236"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ind w:left="10340"/>
        <w:spacing w:after="0"/>
        <w:rPr>
          <w:sz w:val="20"/>
          <w:szCs w:val="20"/>
          <w:color w:val="auto"/>
        </w:rPr>
      </w:pPr>
      <w:r>
        <w:rPr>
          <w:rFonts w:ascii="Arial" w:cs="Arial" w:eastAsia="Arial" w:hAnsi="Arial"/>
          <w:sz w:val="22"/>
          <w:szCs w:val="22"/>
          <w:color w:val="auto"/>
        </w:rPr>
        <w:t>P a g 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9" w:name="page70"/>
    <w:bookmarkEnd w:id="69"/>
    <w:p>
      <w:pPr>
        <w:jc w:val="both"/>
        <w:spacing w:after="0" w:line="244" w:lineRule="auto"/>
        <w:rPr>
          <w:sz w:val="20"/>
          <w:szCs w:val="20"/>
          <w:color w:val="auto"/>
        </w:rPr>
      </w:pPr>
      <w:r>
        <w:rPr>
          <w:rFonts w:ascii="Arial" w:cs="Arial" w:eastAsia="Arial" w:hAnsi="Arial"/>
          <w:sz w:val="21"/>
          <w:szCs w:val="21"/>
          <w:color w:val="auto"/>
        </w:rPr>
        <w:t xml:space="preserve">If you were covered by the voluntary accidental death and dismemberment plan you may be eligible for conversion privileges within 31 days of your Termination Date. To find out if this applies to you, or to obtain contact information for the applicable insurance company, please contact If you have any questions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VISION COST ASSISTANCE PLAN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enrolled for this coverage, it will end on your Termination Date, although you may be able to elect COBRA continuation of coverage at that time. After your Termination Date Ashland’s Vision Plan COBRA administrator will provide you with a summary of your COBRA rights that will tell you how to elect to continue coverage.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MISCELLANEOUS PROVISIONS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UNUSED VACATION/SICK PAY</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accordance with Ashland’s Vacation policy, you will be paid in a lump sum for up to 40 hours of unused 2020 vacation. Based on your December 31, 2020 release date you will receive a payout of the full amount of vacation that would have been available for your use during the next calendar year. You will not be paid for any unused sick pay.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INCENTIVE PAY PLAN</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you were a participant in an incentive pay plan during FY2020 and/or FY2021, then if and when payments are made, you will be eligible to receive a payment under the applicable plan for that portion of the applicable plan year during which you were actively employed. Any payment will be made in accordance with all other terms and conditions of the applicable plan.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AWARDS</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With respect to your existing unvested equity awards, you will receive accelerated, prorata vesting of the outstanding portion of those RSU and SAR awards, calculated from the date of the applicable grant(s) through your Termination Date, and using the stock price at the close of the market on your Termination Date. The non-accelerated portions of your current unvested equity awards will be forfeited.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PERFORMANCE UNIT AWARDS (LTIP)</w:t>
      </w:r>
    </w:p>
    <w:p>
      <w:pPr>
        <w:spacing w:after="0" w:line="27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and when payments are made to active employees, if eligible, you will receive a pro-rata payment under Ashland's Long Term Incentive Plan (LTIP) for each outstanding grant made to you under the LTIP. All payments under the LTIP will be pro-rated through your Termination Date, in accordance with the Company’s customary pro-rata practices, calculated based on actual plan measures through the entire applicable plan cycle (including adjustments for unusual items), and made consistent with all other terms and conditions specified in the LTIP and the applicable award agreement.</w:t>
      </w:r>
    </w:p>
    <w:p>
      <w:pPr>
        <w:spacing w:after="0" w:line="187"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0" w:name="page71"/>
    <w:bookmarkEnd w:id="70"/>
    <w:p>
      <w:pPr>
        <w:spacing w:after="0"/>
        <w:rPr>
          <w:sz w:val="20"/>
          <w:szCs w:val="20"/>
          <w:color w:val="auto"/>
        </w:rPr>
      </w:pPr>
      <w:r>
        <w:rPr>
          <w:rFonts w:ascii="Arial" w:cs="Arial" w:eastAsia="Arial" w:hAnsi="Arial"/>
          <w:sz w:val="21"/>
          <w:szCs w:val="21"/>
          <w:b w:val="1"/>
          <w:bCs w:val="1"/>
          <w:u w:val="single" w:color="auto"/>
          <w:color w:val="auto"/>
        </w:rPr>
        <w:t>OTHER EXECUTIVE COMPENSATION PLANS OR PROGRAMS</w:t>
      </w:r>
    </w:p>
    <w:p>
      <w:pPr>
        <w:spacing w:after="0" w:line="271"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Your eligibility to receive benefits under any other executive compensation plans or programs offered by Ashland is governed exclusively by the terms and conditions of such plans, and nothing in this Separation Agreement impairs any rights you may otherwise have under those plans or programs. As part of the executive compensation plans, Ashland will fully pay your AYCO financial counseling services for up to one year after your exit.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CREDIT UNION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a member of the Credit Union at the time of your Termination Date, you will be able to participate in the Credit Union after your Termination Date. You will need to contact the Credit Union directly to discuss handling of Credit Union business.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EDUCATIONAL REIMBURSEMENT</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the course has been approved for reimbursement prior to your Termination Date and will be completed within six (6) months of your Termination Date, you will be reimbursed for approved costs provided you complete the course within policy guidelines.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auto"/>
        </w:rPr>
        <w:t>Once the course has been successfully completed and you have received your “final” grade showing you have met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qualifications for reimbursement, you must log back into the Tuition Reimbursement System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https://ashland.tuitionmanager.com</w:t>
      </w:r>
      <w:r>
        <w:rPr>
          <w:rFonts w:ascii="Arial" w:cs="Arial" w:eastAsia="Arial" w:hAnsi="Arial"/>
          <w:sz w:val="20"/>
          <w:szCs w:val="20"/>
          <w:color w:val="auto"/>
        </w:rPr>
        <w:t>) and submit a reimbursement request for each course. You will be required to upload</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a copy of your final grade and an itemized invoice.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If you have any questions, please contact the Education Assistance Administrator at </w:t>
      </w:r>
      <w:r>
        <w:rPr>
          <w:rFonts w:ascii="Arial" w:cs="Arial" w:eastAsia="Arial" w:hAnsi="Arial"/>
          <w:sz w:val="21"/>
          <w:szCs w:val="21"/>
          <w:u w:val="single" w:color="auto"/>
          <w:color w:val="auto"/>
        </w:rPr>
        <w:t>educationassistance@ashland.com</w:t>
      </w:r>
      <w:r>
        <w:rPr>
          <w:rFonts w:ascii="Arial" w:cs="Arial" w:eastAsia="Arial" w:hAnsi="Arial"/>
          <w:sz w:val="21"/>
          <w:szCs w:val="2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MATCHING GIFTS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Participation in the Matching Gifts Program will cease upon your Termination Date.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ASSISTANCE PROGRAM</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Your participation in the Employee Assistance Program will end on your Termination Date.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EXPENSES</w:t>
      </w:r>
    </w:p>
    <w:p>
      <w:pPr>
        <w:spacing w:after="0" w:line="27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If you have incurred any expenses that are reimbursable by ASHLAND, you should submit an approved Expense Report to your supervisor, along with required receipts immediately. In the event there is an outstanding balance owed to Ashland for any charges on your corporate credit card or purchasing card account(s) that are not properly reimbursable under the Company’s reimbursement policies, you understand and agree that ASHLAND will make deductions from your severance benefits in order to cover such balance(s).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OUTPLACEMENT ASSISTANCE</w:t>
      </w:r>
    </w:p>
    <w:p>
      <w:pPr>
        <w:spacing w:after="0" w:line="200" w:lineRule="exact"/>
        <w:rPr>
          <w:sz w:val="20"/>
          <w:szCs w:val="20"/>
          <w:color w:val="auto"/>
        </w:rPr>
      </w:pPr>
    </w:p>
    <w:p>
      <w:pPr>
        <w:spacing w:after="0" w:line="278"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1" w:name="page72"/>
    <w:bookmarkEnd w:id="71"/>
    <w:p>
      <w:pPr>
        <w:jc w:val="both"/>
        <w:spacing w:after="0" w:line="244" w:lineRule="auto"/>
        <w:rPr>
          <w:sz w:val="20"/>
          <w:szCs w:val="20"/>
          <w:color w:val="auto"/>
        </w:rPr>
      </w:pPr>
      <w:r>
        <w:rPr>
          <w:rFonts w:ascii="Arial" w:cs="Arial" w:eastAsia="Arial" w:hAnsi="Arial"/>
          <w:sz w:val="21"/>
          <w:szCs w:val="21"/>
          <w:color w:val="auto"/>
        </w:rPr>
        <w:t>You will be provided with outplacement assistance services following your Termination Date to assist you in your search and transition into other employment. This assistance will be provided to you through a third-party selected by the Company, and will be provided at no expense to you. Please contact your Human Resources Representative for more information about this benefit.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UNEMPLOYMENT COMPENSATION</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State laws control whether you are eligible to receive unemployment compensation. If you decide to file for unemployment compensation, Ashland is obligated to inform the state’s unemployment commission of the nature of your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VERIFICATION OF EMPLOYMENT</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Ashland will only verify dates of employment and last job title, department and work location. Ashland will only release other information concerning your employment as required by law, or at your request and with your written consent.</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SECTION 409A</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on the Termination Date, you were a “specified employee” within the meaning of Section 409A, then certain of the special severance benefits described in this Attachment 1 may be delayed to comply with Section 409A.</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However it is intended that the special severance benefits described in this Attachment 1 shall be exempt from the requirements of Section 409A. With regard to any provision herein that provides for reimbursement costs and expenses or in-kind benefits, except as permitted by Section 409A: (1) the right to reimbursement or in-kind benefits shall not be subject to liquidation or exchange for another benefit; (2) the amount of expenses eligible for reimbursement, or in-kind benefits, provided during any taxable year shall not affect the expenses eligible for reimbursement, or in-kind benefits to be provided, in any other taxable year; and (3) such payments shall be made on or before the last day of you taxable year following the taxable year in which the expense occurred, or such earlier date as required hereunder.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FUTURE CORRESPONDENCE</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Any future information from the Company will be sent to the address you currently have on file (i.e. employee benefit information, W-2’s, etc.). Should your address change in the near future you should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If you have an account established with one of the Company’s benefits vendors, you should also contact that vendor to advise of any changes to your physical or e-mail addresses.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IMPORTANT NOTE ABOUT THIS SUMMARY</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Details on the benefits from the employee benefit plans discussed above are provided in the summary plan description booklet for each plan. In all events, the rights and obligations of Ashland, and all covered employees, beneficiaries or other claimants are governed solely by</w:t>
      </w:r>
    </w:p>
    <w:p>
      <w:pPr>
        <w:spacing w:after="0" w:line="184"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2" w:name="page73"/>
    <w:bookmarkEnd w:id="72"/>
    <w:p>
      <w:pPr>
        <w:spacing w:after="0"/>
        <w:rPr>
          <w:sz w:val="20"/>
          <w:szCs w:val="20"/>
          <w:color w:val="auto"/>
        </w:rPr>
      </w:pPr>
      <w:r>
        <w:rPr>
          <w:rFonts w:ascii="Arial" w:cs="Arial" w:eastAsia="Arial" w:hAnsi="Arial"/>
          <w:sz w:val="21"/>
          <w:szCs w:val="21"/>
          <w:b w:val="1"/>
          <w:bCs w:val="1"/>
          <w:color w:val="auto"/>
        </w:rPr>
        <w:t>the terms of the official documents under which each particular plan, policy or program is 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3" w:name="page74"/>
    <w:bookmarkEnd w:id="73"/>
    <w:p>
      <w:pPr>
        <w:ind w:left="3660"/>
        <w:spacing w:after="0"/>
        <w:rPr>
          <w:sz w:val="20"/>
          <w:szCs w:val="20"/>
          <w:color w:val="auto"/>
        </w:rPr>
      </w:pPr>
      <w:r>
        <w:rPr>
          <w:rFonts w:ascii="Arial" w:cs="Arial" w:eastAsia="Arial" w:hAnsi="Arial"/>
          <w:sz w:val="29"/>
          <w:szCs w:val="29"/>
          <w:b w:val="1"/>
          <w:bCs w:val="1"/>
          <w:color w:val="auto"/>
        </w:rPr>
        <w:t>REMINDER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36830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53975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Once You Have Signed Both Originals of This</w:t>
      </w:r>
    </w:p>
    <w:p>
      <w:pPr>
        <w:spacing w:after="0" w:line="40" w:lineRule="exact"/>
        <w:rPr>
          <w:sz w:val="20"/>
          <w:szCs w:val="20"/>
          <w:color w:val="auto"/>
        </w:rPr>
      </w:pPr>
    </w:p>
    <w:p>
      <w:pPr>
        <w:jc w:val="center"/>
        <w:ind w:right="3900"/>
        <w:spacing w:after="0"/>
        <w:rPr>
          <w:sz w:val="20"/>
          <w:szCs w:val="20"/>
          <w:color w:val="auto"/>
        </w:rPr>
      </w:pPr>
      <w:r>
        <w:rPr>
          <w:rFonts w:ascii="Arial" w:cs="Arial" w:eastAsia="Arial" w:hAnsi="Arial"/>
          <w:sz w:val="28"/>
          <w:szCs w:val="28"/>
          <w:b w:val="1"/>
          <w:bCs w:val="1"/>
          <w:color w:val="auto"/>
        </w:rPr>
        <w:t>Document, Please Return Both Original Signed</w:t>
      </w:r>
    </w:p>
    <w:p>
      <w:pPr>
        <w:spacing w:after="0" w:line="16"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Agreements to:</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Betty Lange</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Human Resources</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Ashland LLC</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500 Hercules Road</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Building 8134</w:t>
      </w:r>
    </w:p>
    <w:p>
      <w:pPr>
        <w:spacing w:after="0" w:line="4"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Wilmington, Delaware 19808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A Fully Executed Original Agreement will be</w:t>
      </w:r>
    </w:p>
    <w:p>
      <w:pPr>
        <w:spacing w:after="0" w:line="40" w:lineRule="exact"/>
        <w:rPr>
          <w:sz w:val="20"/>
          <w:szCs w:val="20"/>
          <w:color w:val="auto"/>
        </w:rPr>
      </w:pPr>
    </w:p>
    <w:p>
      <w:pPr>
        <w:jc w:val="center"/>
        <w:ind w:right="3900"/>
        <w:spacing w:after="0"/>
        <w:rPr>
          <w:sz w:val="20"/>
          <w:szCs w:val="20"/>
          <w:color w:val="auto"/>
        </w:rPr>
      </w:pPr>
      <w:r>
        <w:rPr>
          <w:rFonts w:ascii="Arial" w:cs="Arial" w:eastAsia="Arial" w:hAnsi="Arial"/>
          <w:sz w:val="29"/>
          <w:szCs w:val="29"/>
          <w:b w:val="1"/>
          <w:bCs w:val="1"/>
          <w:color w:val="auto"/>
        </w:rPr>
        <w:t>returned to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330835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347980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96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 a g e 14</w:t>
      </w:r>
    </w:p>
    <w:p>
      <w:pPr>
        <w:sectPr>
          <w:pgSz w:w="11900" w:h="16838" w:orient="portrait"/>
          <w:cols w:equalWidth="0" w:num="1">
            <w:col w:w="10320"/>
          </w:cols>
          <w:pgMar w:left="1240" w:top="31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1"/>
          <w:szCs w:val="21"/>
          <w:color w:val="auto"/>
        </w:rPr>
        <w:t>Exhibit 10.4</w:t>
      </w:r>
    </w:p>
    <w:p>
      <w:pPr>
        <w:spacing w:after="0" w:line="219" w:lineRule="exact"/>
        <w:rPr>
          <w:sz w:val="20"/>
          <w:szCs w:val="20"/>
          <w:color w:val="auto"/>
        </w:rPr>
      </w:pPr>
    </w:p>
    <w:p>
      <w:pPr>
        <w:ind w:left="2960"/>
        <w:spacing w:after="0"/>
        <w:rPr>
          <w:sz w:val="20"/>
          <w:szCs w:val="20"/>
          <w:color w:val="auto"/>
        </w:rPr>
      </w:pPr>
      <w:r>
        <w:rPr>
          <w:rFonts w:ascii="Arial" w:cs="Arial" w:eastAsia="Arial" w:hAnsi="Arial"/>
          <w:sz w:val="21"/>
          <w:szCs w:val="21"/>
          <w:b w:val="1"/>
          <w:bCs w:val="1"/>
          <w:u w:val="single" w:color="auto"/>
          <w:color w:val="auto"/>
        </w:rPr>
        <w:t>SEPARATION AGREEMENT AND GENERAL RELEASE</w:t>
      </w:r>
    </w:p>
    <w:p>
      <w:pPr>
        <w:spacing w:after="0" w:line="245"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SPECIAL SEVERANCE BENEFITS</w:t>
      </w:r>
    </w:p>
    <w:p>
      <w:pPr>
        <w:spacing w:after="0" w:line="245"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color w:val="auto"/>
        </w:rPr>
        <w:t xml:space="preserve">I, Keith Silverman (EE# 412140), understand that on </w:t>
      </w:r>
      <w:r>
        <w:rPr>
          <w:rFonts w:ascii="Arial" w:cs="Arial" w:eastAsia="Arial" w:hAnsi="Arial"/>
          <w:sz w:val="21"/>
          <w:szCs w:val="21"/>
          <w:b w:val="1"/>
          <w:bCs w:val="1"/>
          <w:color w:val="auto"/>
        </w:rPr>
        <w:t>November 20, 2020</w:t>
      </w:r>
      <w:r>
        <w:rPr>
          <w:rFonts w:ascii="Arial" w:cs="Arial" w:eastAsia="Arial" w:hAnsi="Arial"/>
          <w:sz w:val="21"/>
          <w:szCs w:val="21"/>
          <w:color w:val="auto"/>
        </w:rPr>
        <w:t xml:space="preserve"> (“Termination Date”), my employment with Ashland LLC (the “Company” or “Ashland”) ended. I am signing this Separation Agreement and General Release (the “Separation Agreement”) in return for the special severance benefits offered to me by Ashland, which are more than would otherwise be provided to me upon termination. Specifically, I understand that I will receive the severance benefits more fully described in </w:t>
      </w:r>
      <w:r>
        <w:rPr>
          <w:rFonts w:ascii="Arial" w:cs="Arial" w:eastAsia="Arial" w:hAnsi="Arial"/>
          <w:sz w:val="21"/>
          <w:szCs w:val="21"/>
          <w:b w:val="1"/>
          <w:bCs w:val="1"/>
          <w:color w:val="auto"/>
        </w:rPr>
        <w:t>Attachment I</w:t>
      </w:r>
      <w:r>
        <w:rPr>
          <w:rFonts w:ascii="Arial" w:cs="Arial" w:eastAsia="Arial" w:hAnsi="Arial"/>
          <w:sz w:val="21"/>
          <w:szCs w:val="21"/>
          <w:color w:val="auto"/>
        </w:rPr>
        <w:t xml:space="preserve"> (Summary of Benefits), which is hereby incorporated by reference.</w:t>
      </w:r>
    </w:p>
    <w:p>
      <w:pPr>
        <w:spacing w:after="0" w:line="205"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2.</w:t>
      </w:r>
      <w:r>
        <w:rPr>
          <w:sz w:val="20"/>
          <w:szCs w:val="20"/>
          <w:color w:val="auto"/>
        </w:rPr>
        <w:tab/>
      </w:r>
      <w:r>
        <w:rPr>
          <w:rFonts w:ascii="Arial" w:cs="Arial" w:eastAsia="Arial" w:hAnsi="Arial"/>
          <w:sz w:val="20"/>
          <w:szCs w:val="20"/>
          <w:b w:val="1"/>
          <w:bCs w:val="1"/>
          <w:u w:val="single" w:color="auto"/>
          <w:color w:val="auto"/>
        </w:rPr>
        <w:t>COMPLETE RELEASE OF LIABILITY</w:t>
      </w:r>
    </w:p>
    <w:p>
      <w:pPr>
        <w:spacing w:after="0" w:line="245" w:lineRule="exact"/>
        <w:rPr>
          <w:sz w:val="20"/>
          <w:szCs w:val="20"/>
          <w:color w:val="auto"/>
        </w:rPr>
      </w:pPr>
    </w:p>
    <w:p>
      <w:pPr>
        <w:jc w:val="both"/>
        <w:ind w:left="800" w:hanging="792"/>
        <w:spacing w:after="0" w:line="246" w:lineRule="auto"/>
        <w:tabs>
          <w:tab w:leader="none" w:pos="80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In exchange for these special severance benefits offered by Ashland, I completely release any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claims I may have at this time, whether known or unknown, against Ashland, its parents, divisions, subsidiaries, insurers and affiliates, their predecessors, successors and assigns, and their officers, directors or employees (collectively referred to hereafter as “Releasees”). This Release is intended to be a broad release and shall apply to any relief from Releasees, no matter how denominated, including, but not limited to, claims for future employment, rights or causes of action for wages, backpay, front pay, compensatory damages, punitive damages, or attorney’s fees. I also agree that I will not file any such claim and I hereby agree to indemnify and hold Releasees harmless from any such claim.</w:t>
      </w:r>
    </w:p>
    <w:p>
      <w:pPr>
        <w:spacing w:after="0" w:line="206" w:lineRule="exact"/>
        <w:rPr>
          <w:rFonts w:ascii="Arial" w:cs="Arial" w:eastAsia="Arial" w:hAnsi="Arial"/>
          <w:sz w:val="21"/>
          <w:szCs w:val="21"/>
          <w:b w:val="1"/>
          <w:bCs w:val="1"/>
          <w:color w:val="auto"/>
        </w:rPr>
      </w:pPr>
    </w:p>
    <w:p>
      <w:pPr>
        <w:jc w:val="both"/>
        <w:ind w:left="800" w:hanging="792"/>
        <w:spacing w:after="0" w:line="252" w:lineRule="auto"/>
        <w:tabs>
          <w:tab w:leader="none" w:pos="80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Extent of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This Release includes all claims I may have against Releasees which relate either to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of my employment or to my termination, except the claims mentioned in Section 2(c) below. Some of the types of claims that I am releasing, although there also may be others not listed here, are claims under local, state or federal law relating to:</w:t>
      </w:r>
    </w:p>
    <w:p>
      <w:pPr>
        <w:spacing w:after="0" w:line="226" w:lineRule="exact"/>
        <w:rPr>
          <w:rFonts w:ascii="Arial" w:cs="Arial" w:eastAsia="Arial" w:hAnsi="Arial"/>
          <w:sz w:val="21"/>
          <w:szCs w:val="21"/>
          <w:b w:val="1"/>
          <w:bCs w:val="1"/>
          <w:color w:val="auto"/>
        </w:rPr>
      </w:pPr>
    </w:p>
    <w:p>
      <w:pPr>
        <w:ind w:left="1600" w:hanging="796"/>
        <w:spacing w:after="0" w:line="249"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Discrimination on the basis of age, sex, race, color, national origin, religion, disability, veteran status, or any other category protected under applicable law;</w:t>
      </w:r>
    </w:p>
    <w:p>
      <w:pPr>
        <w:spacing w:after="0" w:line="227" w:lineRule="exact"/>
        <w:rPr>
          <w:rFonts w:ascii="Arial" w:cs="Arial" w:eastAsia="Arial" w:hAnsi="Arial"/>
          <w:sz w:val="21"/>
          <w:szCs w:val="21"/>
          <w:color w:val="auto"/>
        </w:rPr>
      </w:pPr>
    </w:p>
    <w:p>
      <w:pPr>
        <w:jc w:val="both"/>
        <w:ind w:left="1600" w:hanging="796"/>
        <w:spacing w:after="0" w:line="245"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Restrictions, if any, upon the rights of Ashland to terminate its employees at will, including (i) violation of public policy, (ii) breach of any express or implied covenant of the employment contract, and (iii) breach of any covenant of good faith and fair dealing;</w:t>
      </w:r>
    </w:p>
    <w:p>
      <w:pPr>
        <w:spacing w:after="0" w:line="232" w:lineRule="exact"/>
        <w:rPr>
          <w:rFonts w:ascii="Arial" w:cs="Arial" w:eastAsia="Arial" w:hAnsi="Arial"/>
          <w:sz w:val="21"/>
          <w:szCs w:val="21"/>
          <w:color w:val="auto"/>
        </w:rPr>
      </w:pPr>
    </w:p>
    <w:p>
      <w:pPr>
        <w:ind w:left="1600" w:hanging="796"/>
        <w:spacing w:after="0" w:line="249"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Discrimination on the basis of age, including claims under the Age Discrimination in Employment Act (the “ADEA”), which is located at 29 United States Code, Sections 621 through 634;</w:t>
      </w:r>
    </w:p>
    <w:p>
      <w:pPr>
        <w:spacing w:after="0" w:line="227" w:lineRule="exact"/>
        <w:rPr>
          <w:rFonts w:ascii="Arial" w:cs="Arial" w:eastAsia="Arial" w:hAnsi="Arial"/>
          <w:sz w:val="21"/>
          <w:szCs w:val="21"/>
          <w:color w:val="auto"/>
        </w:rPr>
      </w:pPr>
    </w:p>
    <w:p>
      <w:pPr>
        <w:ind w:left="1600" w:hanging="796"/>
        <w:spacing w:after="0" w:line="241"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Payments, if any, that might otherwise be owed and payable to me pursuant to the Workers’ Adjustment and Retraining Notification (WARN) Act; and</w:t>
      </w:r>
    </w:p>
    <w:p>
      <w:pPr>
        <w:spacing w:after="0" w:line="1" w:lineRule="exact"/>
        <w:rPr>
          <w:rFonts w:ascii="Arial" w:cs="Arial" w:eastAsia="Arial" w:hAnsi="Arial"/>
          <w:sz w:val="21"/>
          <w:szCs w:val="21"/>
          <w:color w:val="auto"/>
        </w:rPr>
      </w:pPr>
    </w:p>
    <w:p>
      <w:pPr>
        <w:ind w:left="1600" w:right="20" w:hanging="796"/>
        <w:spacing w:after="0" w:line="249"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Civil actions relating to negligence, defamation, invasion of privacy, fraud, misrepresentation, or infliction of emotional or mental distress.</w:t>
      </w:r>
    </w:p>
    <w:p>
      <w:pPr>
        <w:spacing w:after="0" w:line="200" w:lineRule="exact"/>
        <w:rPr>
          <w:sz w:val="20"/>
          <w:szCs w:val="20"/>
          <w:color w:val="auto"/>
        </w:rPr>
      </w:pPr>
    </w:p>
    <w:p>
      <w:pPr>
        <w:spacing w:after="0" w:line="236"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5" w:name="page76"/>
    <w:bookmarkEnd w:id="75"/>
    <w:p>
      <w:pPr>
        <w:ind w:left="800" w:hanging="792"/>
        <w:spacing w:after="0" w:line="275" w:lineRule="auto"/>
        <w:tabs>
          <w:tab w:leader="none" w:pos="80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only claims against Releasees that this release does not include are claims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w:t>
      </w:r>
    </w:p>
    <w:p>
      <w:pPr>
        <w:spacing w:after="0" w:line="201" w:lineRule="exact"/>
        <w:rPr>
          <w:rFonts w:ascii="Arial" w:cs="Arial" w:eastAsia="Arial" w:hAnsi="Arial"/>
          <w:sz w:val="21"/>
          <w:szCs w:val="21"/>
          <w:b w:val="1"/>
          <w:bCs w:val="1"/>
          <w:color w:val="auto"/>
        </w:rPr>
      </w:pPr>
    </w:p>
    <w:p>
      <w:pPr>
        <w:ind w:left="1600" w:hanging="796"/>
        <w:spacing w:after="0" w:line="249" w:lineRule="auto"/>
        <w:tabs>
          <w:tab w:leader="none" w:pos="16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Benefits to which I am entitled under this special severance offer and enforcement of the terms of this Separation Agreement;</w:t>
      </w:r>
    </w:p>
    <w:p>
      <w:pPr>
        <w:spacing w:after="0" w:line="227" w:lineRule="exact"/>
        <w:rPr>
          <w:rFonts w:ascii="Arial" w:cs="Arial" w:eastAsia="Arial" w:hAnsi="Arial"/>
          <w:sz w:val="21"/>
          <w:szCs w:val="21"/>
          <w:color w:val="auto"/>
        </w:rPr>
      </w:pPr>
    </w:p>
    <w:p>
      <w:pPr>
        <w:ind w:left="1600" w:hanging="796"/>
        <w:spacing w:after="0"/>
        <w:tabs>
          <w:tab w:leader="none" w:pos="16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applicable workers’ compensation or unemployment compensation laws;</w:t>
      </w:r>
    </w:p>
    <w:p>
      <w:pPr>
        <w:spacing w:after="0" w:line="244" w:lineRule="exact"/>
        <w:rPr>
          <w:rFonts w:ascii="Arial" w:cs="Arial" w:eastAsia="Arial" w:hAnsi="Arial"/>
          <w:sz w:val="21"/>
          <w:szCs w:val="21"/>
          <w:color w:val="auto"/>
        </w:rPr>
      </w:pPr>
    </w:p>
    <w:p>
      <w:pPr>
        <w:jc w:val="both"/>
        <w:ind w:left="1600" w:hanging="796"/>
        <w:spacing w:after="0" w:line="245" w:lineRule="auto"/>
        <w:tabs>
          <w:tab w:leader="none" w:pos="16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My rights under those benefit plans offered to employees of the Company that are governed by the Employee Retirement Income Security Act of 1974, as amended (ERISA), in effect as of my Termination Date; and</w:t>
      </w:r>
    </w:p>
    <w:p>
      <w:pPr>
        <w:spacing w:after="0" w:line="232" w:lineRule="exact"/>
        <w:rPr>
          <w:rFonts w:ascii="Arial" w:cs="Arial" w:eastAsia="Arial" w:hAnsi="Arial"/>
          <w:sz w:val="21"/>
          <w:szCs w:val="21"/>
          <w:color w:val="auto"/>
        </w:rPr>
      </w:pPr>
    </w:p>
    <w:p>
      <w:pPr>
        <w:ind w:left="1600" w:hanging="796"/>
        <w:spacing w:after="0"/>
        <w:tabs>
          <w:tab w:leader="none" w:pos="16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claims that the law states may not be waived.</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 further understand that nothing in this Separation Agreement is intended to or shall prevent, impede, or interfere with my non-waivable right, without prior notice to Releasees, to provide information to the government, participate in investigations, file a complaint, testify in proceedings regarding Releasees’ past or future conduct, or engage in any future activities protected under the whistleblower statutes of other government agency, or the right to receive payment from a government agency for information provided directly to the government agency pursuant to a government-administered whistleblower award program.</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21"/>
          <w:szCs w:val="21"/>
          <w:b w:val="1"/>
          <w:bCs w:val="1"/>
          <w:u w:val="single" w:color="auto"/>
          <w:color w:val="auto"/>
        </w:rPr>
        <w:t>Section 3. CONSEQUENCES OF BREACHING MY PROMISES IN SECTION 2</w:t>
      </w:r>
    </w:p>
    <w:p>
      <w:pPr>
        <w:spacing w:after="0" w:line="271"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If I breach my promise in Section 2 of this General Release and file a claim or lawsuit based on what I released in this General Release, I agree to pay for all liabilities and costs incurred by Releasees, including reasonable attorneys’ fees, in defending against my claim or lawsuit. Provided, however, that this provision shall not apply to any alleged breach due to a challenge of the validity of the ADEA waiver contained herein.</w:t>
      </w:r>
    </w:p>
    <w:p>
      <w:pPr>
        <w:spacing w:after="0" w:line="207"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4.</w:t>
      </w:r>
      <w:r>
        <w:rPr>
          <w:sz w:val="20"/>
          <w:szCs w:val="20"/>
          <w:color w:val="auto"/>
        </w:rPr>
        <w:tab/>
      </w:r>
      <w:r>
        <w:rPr>
          <w:rFonts w:ascii="Arial" w:cs="Arial" w:eastAsia="Arial" w:hAnsi="Arial"/>
          <w:sz w:val="20"/>
          <w:szCs w:val="20"/>
          <w:b w:val="1"/>
          <w:bCs w:val="1"/>
          <w:u w:val="single" w:color="auto"/>
          <w:color w:val="auto"/>
        </w:rPr>
        <w:t>CONFIDENTIALITY</w:t>
      </w:r>
    </w:p>
    <w:p>
      <w:pPr>
        <w:spacing w:after="0" w:line="271"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understand and agree that as a result of my employment with Ashland, I have come into contact with, had access to and learned various technical and non-technical Confidential Information relating to the Ashland’s operations, including the operations of parents, subsidiaries and affiliates of Ashland (collectively, the “Company”). “Confidential Information” includes financial and business information such as information with respect to costs, commissions, fees, profits, sales, markets, mailing lists, strategies, customer information, customer identities, names and addresses, customer services and customer products, methods, procedures, devices and other means used by the Company, or any of its subsidiaries and affiliates, in the conduct of its business; marketing plans and strategies; innovative programs and services; acquisition or divestiture plans and strategies; data processing computer programs, databases, formulae, software codes, secret processes, financial products and adaptations thereto; inventions, research projects, and all other matters of a technical nature; names and addresses of the vendors and suppliers used by the Company, or any of its subsidiaries and affiliates; financial arrangements with the vendors and suppliers, and vendor and supplier representatives responsible for entering into contracts with the Company, or any of its subsidiaries and affiliates; information with respect to the finances, budgets, funding, investments, costs, and similar financial information of the Company, or any of its subsidiaries and affiliates; information regarding clients of Company, or any of its subsidiaries and affiliates, including but not</w:t>
      </w:r>
    </w:p>
    <w:p>
      <w:pPr>
        <w:spacing w:after="0" w:line="200"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6" w:name="page77"/>
    <w:bookmarkEnd w:id="76"/>
    <w:p>
      <w:pPr>
        <w:jc w:val="both"/>
        <w:spacing w:after="0" w:line="242" w:lineRule="auto"/>
        <w:rPr>
          <w:sz w:val="20"/>
          <w:szCs w:val="20"/>
          <w:color w:val="auto"/>
        </w:rPr>
      </w:pPr>
      <w:r>
        <w:rPr>
          <w:rFonts w:ascii="Arial" w:cs="Arial" w:eastAsia="Arial" w:hAnsi="Arial"/>
          <w:sz w:val="21"/>
          <w:szCs w:val="21"/>
          <w:color w:val="auto"/>
        </w:rPr>
        <w:t>limited to their names, service and product histories, and addresses, and referrals to prospective clients; and information with respect to the experience, qualifications, abilities and job performance of employees of the Company, or any of its subsidiaries and affiliates. Confidential Information can be in any form including but not limited to, oral, written or machine readable, including electronic files. Notwithstanding the above, except with respect to personally identifiable information (“PII”) about individuals obtained in the course of my employment with the Company, which shall always be treated as Confidential Information, Confidential Information shall not include any information that is in the public domain, through no unauthorized act on my part; or which was rightfully in my possession free of any obligation of confidence at or subsequent to the time it was communicated to me by the Company.</w:t>
      </w:r>
    </w:p>
    <w:p>
      <w:pPr>
        <w:spacing w:after="0" w:line="239"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acknowledge and agree that disclosing, divulging, revealing or otherwise using any of the aforesaid Confidential Information, other than as specifically authorized by the Company, will be highly detrimental to the business of the Company and serious loss of business and pecuniary damage may result therefrom. Accordingly, I specifically covenant and agree to hold all such Confidential Information in the strictest confidence, and I will not, without the Company’s prior written consent, disclose, divulge or reveal it to any person whomsoever, or use it for any purpose other than the exclusive benefit of the Company, whether such Confidential Information is contained in my memory or embodied in writing or other physical form. I specifically agree that this obligation of Confidentiality shall continue for so long as I have knowledge of such Confidential Information.</w:t>
      </w:r>
    </w:p>
    <w:p>
      <w:pPr>
        <w:spacing w:after="0" w:line="239"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20"/>
          <w:szCs w:val="20"/>
          <w:color w:val="auto"/>
        </w:rPr>
        <w:t>Notwithstanding the foregoing, the Confidentiality provisions of this Separation Agreement will not be breached in the event I disclose Confidential Information to the U.S. Securities and Exchange Commission (the “SEC”), to the extent necessary to report suspected or actual violations of U.S. securities laws, or where my disclosure of Confidential Information is protected under the whistleblower statutes administered by the Occupational Safety and Health Administration, the SEC, the Equal Opportunity Employment Commission, the National Labor Relations Board, or any other government agency. I also understand that I am not required to inform Releasees, in advance or otherwise, that such disclosure(s) has been made. In addition, I understand that nothing in or about this Separation Agreement prohibits me from: (i) filing and, as provided for under Section 21F of the Securities Exchange Act of 1934, as amended (the “Exchange Act”), maintaining the confidentiality of a claim with the SEC; (ii) providing confidential information about this Separation Agreement or the Company or any of its affiliates to the SEC, or providing the SEC with information that would otherwise violate any section of this Separation Agreement, to the extent permitted by Section 21F of the Exchange Act;</w:t>
      </w:r>
    </w:p>
    <w:p>
      <w:pPr>
        <w:spacing w:after="0" w:line="6" w:lineRule="exact"/>
        <w:rPr>
          <w:sz w:val="20"/>
          <w:szCs w:val="20"/>
          <w:color w:val="auto"/>
        </w:rPr>
      </w:pPr>
    </w:p>
    <w:p>
      <w:pPr>
        <w:jc w:val="both"/>
        <w:ind w:firstLine="8"/>
        <w:spacing w:after="0" w:line="242" w:lineRule="auto"/>
        <w:tabs>
          <w:tab w:leader="none" w:pos="364" w:val="left"/>
        </w:tabs>
        <w:numPr>
          <w:ilvl w:val="0"/>
          <w:numId w:val="49"/>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the Company; or (iv) receiving a monetary award as set forth in Section 21F of the Exchange Act. I am further advised that if I disclose Confidential Information that constitutes a trade secret to which the Defend Trade Secrets Act (18 USC Section 1833(b)) applies, then I will not be held criminally or civilly liable under any federal or state trade secret law, or considered to be in violation of the confidentiality provisions of this Separation Agreement if my disclosure is made solely for the purpose of reporting or investigating a suspected violation of law and in confidence to a federal, state, or local government official, whether directly or indirectly, or to an attorney; or where my disclosure is made in a complaint or other document filed in a lawsuit or other proceeding against Releasees, and such filing is made under seal. However, except as otherwise provided above, I understand and agree that if I am served with or otherwise presented with a court order or lawful subpoena to testify or produce information to a third party or public entity, including but not limited to a state of the U.S. or the United States government, which might require me to disclose Confidential Information, then within 24 hours of my receipt of such court order or lawful subpoena, and prior to responding to the same, I will notify Ashland’s General Counsel that I have been ordered or</w:t>
      </w:r>
    </w:p>
    <w:p>
      <w:pPr>
        <w:spacing w:after="0" w:line="201"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7" w:name="page78"/>
    <w:bookmarkEnd w:id="77"/>
    <w:p>
      <w:pPr>
        <w:spacing w:after="0" w:line="249" w:lineRule="auto"/>
        <w:rPr>
          <w:sz w:val="20"/>
          <w:szCs w:val="20"/>
          <w:color w:val="auto"/>
        </w:rPr>
      </w:pPr>
      <w:r>
        <w:rPr>
          <w:rFonts w:ascii="Arial" w:cs="Arial" w:eastAsia="Arial" w:hAnsi="Arial"/>
          <w:sz w:val="21"/>
          <w:szCs w:val="21"/>
          <w:color w:val="auto"/>
        </w:rPr>
        <w:t>subpoenaed to provide information that might include Confidential Information, and I will provide a copy of the court order or lawful subpoena to Ashland’s General Counsel.</w:t>
      </w:r>
    </w:p>
    <w:p>
      <w:pPr>
        <w:spacing w:after="0" w:line="22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21"/>
          <w:szCs w:val="21"/>
          <w:color w:val="auto"/>
        </w:rPr>
        <w:t>I further agree that during the period of eighteen (18) months following my Separation Date, I will not, without the express written permission of the then Chief Executive Officer of the Company, in consultation with the General Counsel,</w:t>
      </w:r>
    </w:p>
    <w:p>
      <w:pPr>
        <w:spacing w:after="0" w:line="1" w:lineRule="exact"/>
        <w:rPr>
          <w:sz w:val="20"/>
          <w:szCs w:val="20"/>
          <w:color w:val="auto"/>
        </w:rPr>
      </w:pPr>
    </w:p>
    <w:p>
      <w:pPr>
        <w:jc w:val="both"/>
        <w:ind w:firstLine="8"/>
        <w:spacing w:after="0" w:line="242" w:lineRule="auto"/>
        <w:tabs>
          <w:tab w:leader="none" w:pos="355" w:val="left"/>
        </w:tabs>
        <w:numPr>
          <w:ilvl w:val="0"/>
          <w:numId w:val="50"/>
        </w:numPr>
        <w:rPr>
          <w:rFonts w:ascii="Arial" w:cs="Arial" w:eastAsia="Arial" w:hAnsi="Arial"/>
          <w:sz w:val="21"/>
          <w:szCs w:val="21"/>
          <w:color w:val="auto"/>
        </w:rPr>
      </w:pPr>
      <w:r>
        <w:rPr>
          <w:rFonts w:ascii="Arial" w:cs="Arial" w:eastAsia="Arial" w:hAnsi="Arial"/>
          <w:sz w:val="21"/>
          <w:szCs w:val="21"/>
          <w:color w:val="auto"/>
        </w:rPr>
        <w:t>engage directly or indirectly in any manner or capacity as principal, agent, partner, officer, director, employee or otherwise in any business or activity that is competitive with the business conducted by the Company or any of its subsidiaries or affiliates; or (2) solicit or encourage any existing or former employee, director, contractor, consultant, customer or supplier of the Company to terminate an existing relationship with the Company for any reason, or otherwise violate any contracts or covenants existing between them and the Company; or (3) make disparaging or defamatory statements (including but not limited to statements that amount to libel or slander) about the Company, its businesses, officers, directors, or employees. .</w:t>
      </w:r>
    </w:p>
    <w:p>
      <w:pPr>
        <w:spacing w:after="0" w:line="240"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21"/>
          <w:szCs w:val="21"/>
          <w:color w:val="auto"/>
        </w:rPr>
        <w:t>I also understand that my eligibility to receive benefits under certain executive compensation plans and programs of the Company may also be subject to additional restrictive covenants, and my eligibility to receive those benefits continue to be governed by the terms and conditions of the relevant plans and programs, the terms and conditions of which are also incorporated herein by reference, and nothing contained in this Separation Agreement shall be construed to relieve me of my obligations thereunder. I further agree that I will continue to be bound by the terms of any non-competition, non-solicitation, non-disclosure and/or confidentiality agreements in effect on my Separation Date, the terms and conditions of which are incorporated herein by reference.</w:t>
      </w:r>
    </w:p>
    <w:p>
      <w:pPr>
        <w:spacing w:after="0" w:line="4"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21"/>
          <w:szCs w:val="21"/>
          <w:color w:val="auto"/>
        </w:rPr>
        <w:t>I acknowledge and agree that compliance with the covenants set forth in this Separation Agreement is necessary to protect the business and goodwill of the Company and that any breach of these covenants will result in irreparable and continuing harm to the Company, for which money damages may not provide adequate relief. Accordingly, in the event of any breach or anticipatory breach of these covenants by me, I agree that the Company shall be entitled to the following particular forms of relief as a result of such breach, in addition to any liquidated damages or other remedies available to it at law or equity: (1) injunctions, both preliminary and permanent, enjoining or restraining such breach or anticipatory breach, and I hereby consent to the issuance thereof forthwith and without bond by any court of competent jurisdiction; and (2) recovery of all reasonable sums and costs, including attorney’s fees, incurred by the Company if it successfully enforces the covenants.</w:t>
      </w:r>
    </w:p>
    <w:p>
      <w:pPr>
        <w:spacing w:after="0" w:line="213" w:lineRule="exact"/>
        <w:rPr>
          <w:sz w:val="20"/>
          <w:szCs w:val="20"/>
          <w:color w:val="auto"/>
        </w:rPr>
      </w:pPr>
    </w:p>
    <w:p>
      <w:pPr>
        <w:spacing w:after="0"/>
        <w:tabs>
          <w:tab w:leader="none" w:pos="1580" w:val="left"/>
        </w:tabs>
        <w:rPr>
          <w:sz w:val="20"/>
          <w:szCs w:val="20"/>
          <w:color w:val="auto"/>
        </w:rPr>
      </w:pPr>
      <w:r>
        <w:rPr>
          <w:rFonts w:ascii="Arial" w:cs="Arial" w:eastAsia="Arial" w:hAnsi="Arial"/>
          <w:sz w:val="21"/>
          <w:szCs w:val="21"/>
          <w:b w:val="1"/>
          <w:bCs w:val="1"/>
          <w:u w:val="single" w:color="auto"/>
          <w:color w:val="auto"/>
        </w:rPr>
        <w:t>Section 5.</w:t>
      </w:r>
      <w:r>
        <w:rPr>
          <w:sz w:val="20"/>
          <w:szCs w:val="20"/>
          <w:color w:val="auto"/>
        </w:rPr>
        <w:tab/>
      </w:r>
      <w:r>
        <w:rPr>
          <w:rFonts w:ascii="Arial" w:cs="Arial" w:eastAsia="Arial" w:hAnsi="Arial"/>
          <w:sz w:val="20"/>
          <w:szCs w:val="20"/>
          <w:b w:val="1"/>
          <w:bCs w:val="1"/>
          <w:u w:val="single" w:color="auto"/>
          <w:color w:val="auto"/>
        </w:rPr>
        <w:t>RETURN OF COMPANY INFORMATION AND PROPERTY</w:t>
      </w:r>
    </w:p>
    <w:p>
      <w:pPr>
        <w:spacing w:after="0" w:line="27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20"/>
          <w:szCs w:val="20"/>
          <w:color w:val="auto"/>
        </w:rPr>
        <w:t>I agree that on or prior to my Termination Date I returned to Ashland all Company Information and related reports, maps, files, memoranda, and records; credit cards, cardkey passes; door and file keys; computer access codes; software; and other physical or personal property which I received or prepared or helped prepare in connection with my employment.</w:t>
      </w:r>
    </w:p>
    <w:p>
      <w:pPr>
        <w:spacing w:after="0" w:line="216"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1"/>
          <w:szCs w:val="21"/>
          <w:color w:val="auto"/>
        </w:rPr>
        <w:t>I further represent that I have not retained and will not retain any copies, duplicates, reproductions, or excerpts thereof, except as otherwise provided above in Section 4. I understand that the term “Company Information” as used in this Separation Agreement refers to information obtained during my employment with ASI or any other Releasees, and includes (a) confidential information including, without limitation, information received from third parties under confidential conditions; and (b) other technical, business, or financial information, the use or disclosure of which might reasonably be construed to be contrary to the interests of Ashland.</w:t>
      </w:r>
    </w:p>
    <w:p>
      <w:pPr>
        <w:spacing w:after="0" w:line="200" w:lineRule="exact"/>
        <w:rPr>
          <w:sz w:val="20"/>
          <w:szCs w:val="20"/>
          <w:color w:val="auto"/>
        </w:rPr>
      </w:pPr>
    </w:p>
    <w:p>
      <w:pPr>
        <w:spacing w:after="0" w:line="242"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8" w:name="page79"/>
    <w:bookmarkEnd w:id="78"/>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ADVICE TO CONSULT WITH ATTORNEY</w:t>
      </w:r>
    </w:p>
    <w:p>
      <w:pPr>
        <w:spacing w:after="0" w:line="27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 understand that I am advised to consult with an attorney before signing this General Release.</w:t>
      </w:r>
    </w:p>
    <w:p>
      <w:pPr>
        <w:spacing w:after="0" w:line="219"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7.</w:t>
      </w:r>
      <w:r>
        <w:rPr>
          <w:sz w:val="20"/>
          <w:szCs w:val="20"/>
          <w:color w:val="auto"/>
        </w:rPr>
        <w:tab/>
      </w:r>
      <w:r>
        <w:rPr>
          <w:rFonts w:ascii="Arial" w:cs="Arial" w:eastAsia="Arial" w:hAnsi="Arial"/>
          <w:sz w:val="20"/>
          <w:szCs w:val="20"/>
          <w:b w:val="1"/>
          <w:bCs w:val="1"/>
          <w:u w:val="single" w:color="auto"/>
          <w:color w:val="auto"/>
        </w:rPr>
        <w:t>PERIOD FOR REVIEW AND COVERAGE OF OFFER</w:t>
      </w:r>
    </w:p>
    <w:p>
      <w:pPr>
        <w:spacing w:after="0" w:line="24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color w:val="auto"/>
        </w:rPr>
        <w:t xml:space="preserve">I understand and agree that I have been given at least </w:t>
      </w:r>
      <w:r>
        <w:rPr>
          <w:rFonts w:ascii="Arial" w:cs="Arial" w:eastAsia="Arial" w:hAnsi="Arial"/>
          <w:sz w:val="21"/>
          <w:szCs w:val="21"/>
          <w:b w:val="1"/>
          <w:bCs w:val="1"/>
          <w:color w:val="auto"/>
        </w:rPr>
        <w:t>45 days</w:t>
      </w:r>
      <w:r>
        <w:rPr>
          <w:rFonts w:ascii="Arial" w:cs="Arial" w:eastAsia="Arial" w:hAnsi="Arial"/>
          <w:sz w:val="21"/>
          <w:szCs w:val="21"/>
          <w:color w:val="auto"/>
        </w:rPr>
        <w:t xml:space="preserve"> to review and consider this General Release. I understand that I may use as much or as little of this period of time as I wish to prior to reaching a decision regarding the signing of this General Release. I understand that if I sign this General Release prior to my Termination Date or if I do not sign, date, and return this General Release by hand, or by a mailing postmarked on or before by </w:t>
      </w:r>
      <w:r>
        <w:rPr>
          <w:rFonts w:ascii="Arial" w:cs="Arial" w:eastAsia="Arial" w:hAnsi="Arial"/>
          <w:sz w:val="21"/>
          <w:szCs w:val="21"/>
          <w:b w:val="1"/>
          <w:bCs w:val="1"/>
          <w:color w:val="auto"/>
        </w:rPr>
        <w:t>January 4, 2020</w:t>
      </w:r>
      <w:r>
        <w:rPr>
          <w:rFonts w:ascii="Arial" w:cs="Arial" w:eastAsia="Arial" w:hAnsi="Arial"/>
          <w:sz w:val="21"/>
          <w:szCs w:val="21"/>
          <w:color w:val="auto"/>
        </w:rPr>
        <w:t xml:space="preserve"> the General Release will not be valid and I will not be eligible to receive the special severance benefits under the terms of this special severance offer, and I will not be eligible for any benefits under Ashland’s Severance Pay Plan, or under any other severance pay plan or program of Releasees.</w:t>
      </w:r>
    </w:p>
    <w:p>
      <w:pPr>
        <w:spacing w:after="0" w:line="230"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I further acknowledge that I have been advised that the offer has been made to all employees in my department whose service is being terminated, as set out in Attachment II, hereto, and has not been offered to those so noted on Attachment II. I understand that additional information can be obtained upon request from my Human Resources representative.</w:t>
      </w:r>
    </w:p>
    <w:p>
      <w:pPr>
        <w:spacing w:after="0" w:line="207" w:lineRule="exact"/>
        <w:rPr>
          <w:sz w:val="20"/>
          <w:szCs w:val="20"/>
          <w:color w:val="auto"/>
        </w:rPr>
      </w:pPr>
    </w:p>
    <w:p>
      <w:pPr>
        <w:spacing w:after="0"/>
        <w:tabs>
          <w:tab w:leader="none" w:pos="1580" w:val="left"/>
        </w:tabs>
        <w:rPr>
          <w:sz w:val="20"/>
          <w:szCs w:val="20"/>
          <w:color w:val="auto"/>
        </w:rPr>
      </w:pPr>
      <w:r>
        <w:rPr>
          <w:rFonts w:ascii="Arial" w:cs="Arial" w:eastAsia="Arial" w:hAnsi="Arial"/>
          <w:sz w:val="21"/>
          <w:szCs w:val="21"/>
          <w:b w:val="1"/>
          <w:bCs w:val="1"/>
          <w:u w:val="single" w:color="auto"/>
          <w:color w:val="auto"/>
        </w:rPr>
        <w:t>Section 8.</w:t>
      </w:r>
      <w:r>
        <w:rPr>
          <w:sz w:val="20"/>
          <w:szCs w:val="20"/>
          <w:color w:val="auto"/>
        </w:rPr>
        <w:tab/>
      </w:r>
      <w:r>
        <w:rPr>
          <w:rFonts w:ascii="Arial" w:cs="Arial" w:eastAsia="Arial" w:hAnsi="Arial"/>
          <w:sz w:val="20"/>
          <w:szCs w:val="20"/>
          <w:b w:val="1"/>
          <w:bCs w:val="1"/>
          <w:u w:val="single" w:color="auto"/>
          <w:color w:val="auto"/>
        </w:rPr>
        <w:t>EFFECTIVE DATE AND MY RIGHT TO REVOKE GENERAL RELEASE</w:t>
      </w:r>
    </w:p>
    <w:p>
      <w:pPr>
        <w:spacing w:after="0" w:line="271"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 xml:space="preserve">In accordance with federal law, I understand that this General Release may be revoked by me at any time within seven (7) calendar days after the date of execution noted below. To be effective, the revocation must be in writing and delivered to Steve Spalding, Assistant General Counsel, </w:t>
      </w:r>
      <w:r>
        <w:rPr>
          <w:rFonts w:ascii="Arial" w:cs="Arial" w:eastAsia="Arial" w:hAnsi="Arial"/>
          <w:sz w:val="21"/>
          <w:szCs w:val="21"/>
          <w:color w:val="222222"/>
        </w:rPr>
        <w:t>5475 Rings Rd, Dublin, OH 43017</w:t>
      </w:r>
      <w:r>
        <w:rPr>
          <w:rFonts w:ascii="Arial" w:cs="Arial" w:eastAsia="Arial" w:hAnsi="Arial"/>
          <w:sz w:val="21"/>
          <w:szCs w:val="21"/>
          <w:color w:val="auto"/>
        </w:rPr>
        <w:t>, either by hand or mail within a seven (7) day period following my execution of this General Release. If delivered by mail, the recision must be:</w:t>
      </w:r>
    </w:p>
    <w:p>
      <w:pPr>
        <w:spacing w:after="0" w:line="233" w:lineRule="exact"/>
        <w:rPr>
          <w:sz w:val="20"/>
          <w:szCs w:val="20"/>
          <w:color w:val="auto"/>
        </w:rPr>
      </w:pPr>
    </w:p>
    <w:p>
      <w:pPr>
        <w:ind w:left="1600" w:hanging="391"/>
        <w:spacing w:after="0"/>
        <w:tabs>
          <w:tab w:leader="none" w:pos="16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Postmarked within the seven (7) day period;</w:t>
      </w:r>
    </w:p>
    <w:p>
      <w:pPr>
        <w:spacing w:after="0" w:line="1" w:lineRule="exact"/>
        <w:rPr>
          <w:rFonts w:ascii="Arial" w:cs="Arial" w:eastAsia="Arial" w:hAnsi="Arial"/>
          <w:sz w:val="21"/>
          <w:szCs w:val="21"/>
          <w:color w:val="auto"/>
        </w:rPr>
      </w:pPr>
    </w:p>
    <w:p>
      <w:pPr>
        <w:ind w:left="1600" w:hanging="391"/>
        <w:spacing w:after="0"/>
        <w:tabs>
          <w:tab w:leader="none" w:pos="16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Properly addressed as noted above; and</w:t>
      </w:r>
    </w:p>
    <w:p>
      <w:pPr>
        <w:spacing w:after="0" w:line="1" w:lineRule="exact"/>
        <w:rPr>
          <w:rFonts w:ascii="Arial" w:cs="Arial" w:eastAsia="Arial" w:hAnsi="Arial"/>
          <w:sz w:val="21"/>
          <w:szCs w:val="21"/>
          <w:color w:val="auto"/>
        </w:rPr>
      </w:pPr>
    </w:p>
    <w:p>
      <w:pPr>
        <w:ind w:left="1600" w:hanging="391"/>
        <w:spacing w:after="0"/>
        <w:tabs>
          <w:tab w:leader="none" w:pos="16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Sent by Certified Mail, Return Receipt Requested.</w:t>
      </w:r>
    </w:p>
    <w:p>
      <w:pPr>
        <w:spacing w:after="0" w:line="245"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understand that this Separation Agreement and the General Release contained herein, and my acceptance of it shall not become effective or enforceable until the first day immediately following the last day of the seven (7) day revocation period (the “Effective Date”).</w:t>
      </w:r>
    </w:p>
    <w:p>
      <w:pPr>
        <w:spacing w:after="0" w:line="206"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9.</w:t>
      </w:r>
      <w:r>
        <w:rPr>
          <w:sz w:val="20"/>
          <w:szCs w:val="20"/>
          <w:color w:val="auto"/>
        </w:rPr>
        <w:tab/>
      </w:r>
      <w:r>
        <w:rPr>
          <w:rFonts w:ascii="Arial" w:cs="Arial" w:eastAsia="Arial" w:hAnsi="Arial"/>
          <w:sz w:val="20"/>
          <w:szCs w:val="20"/>
          <w:b w:val="1"/>
          <w:bCs w:val="1"/>
          <w:u w:val="single" w:color="auto"/>
          <w:color w:val="auto"/>
        </w:rPr>
        <w:t>GOVERNING LAW</w:t>
      </w:r>
    </w:p>
    <w:p>
      <w:pPr>
        <w:spacing w:after="0" w:line="27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It is agreed that this General Release shall be interpreted in accordance with the laws of the State of Delaware.</w:t>
      </w:r>
    </w:p>
    <w:p>
      <w:pPr>
        <w:spacing w:after="0" w:line="219"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10.</w:t>
      </w:r>
      <w:r>
        <w:rPr>
          <w:sz w:val="20"/>
          <w:szCs w:val="20"/>
          <w:color w:val="auto"/>
        </w:rPr>
        <w:tab/>
      </w:r>
      <w:r>
        <w:rPr>
          <w:rFonts w:ascii="Arial" w:cs="Arial" w:eastAsia="Arial" w:hAnsi="Arial"/>
          <w:sz w:val="20"/>
          <w:szCs w:val="20"/>
          <w:b w:val="1"/>
          <w:bCs w:val="1"/>
          <w:u w:val="single" w:color="auto"/>
          <w:color w:val="auto"/>
        </w:rPr>
        <w:t>PARTIAL INVALIDITY OF THE GENERAL RELEASE</w:t>
      </w:r>
    </w:p>
    <w:p>
      <w:pPr>
        <w:spacing w:after="0" w:line="271"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agree that if any term or provision of this General Release is determined by a court or other appropriate authority to be invalid, void, or unenforceable for any reason, the remainder of the terms and provisions of this General Release shall remain in full force and effect and shall in no way be affected, impaired or invalidated.</w:t>
      </w:r>
    </w:p>
    <w:p>
      <w:pPr>
        <w:spacing w:after="0" w:line="200" w:lineRule="exact"/>
        <w:rPr>
          <w:sz w:val="20"/>
          <w:szCs w:val="20"/>
          <w:color w:val="auto"/>
        </w:rPr>
      </w:pPr>
    </w:p>
    <w:p>
      <w:pPr>
        <w:spacing w:after="0" w:line="240"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9" w:name="page80"/>
    <w:bookmarkEnd w:id="79"/>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11.</w:t>
      </w:r>
      <w:r>
        <w:rPr>
          <w:sz w:val="20"/>
          <w:szCs w:val="20"/>
          <w:color w:val="auto"/>
        </w:rPr>
        <w:tab/>
      </w:r>
      <w:r>
        <w:rPr>
          <w:rFonts w:ascii="Arial" w:cs="Arial" w:eastAsia="Arial" w:hAnsi="Arial"/>
          <w:sz w:val="20"/>
          <w:szCs w:val="20"/>
          <w:b w:val="1"/>
          <w:bCs w:val="1"/>
          <w:u w:val="single" w:color="auto"/>
          <w:color w:val="auto"/>
        </w:rPr>
        <w:t>MMSEA REPORTING REQUIREMENTS</w:t>
      </w:r>
    </w:p>
    <w:p>
      <w:pPr>
        <w:spacing w:after="0" w:line="271"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I understand that pursuant to Section 111 of the Medicare, Medicaid, and SCHIP Extension Act of 2007 (MMSEA), if I have applied for Medicare prior to the execution of this Separation Agreement, or if I am likely to become eligible for Medicare within twelve (12) months thereafter, the Centers for Medicare Services will be notified of this Separation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0" w:name="page81"/>
    <w:bookmarkEnd w:id="80"/>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12.</w:t>
      </w:r>
      <w:r>
        <w:rPr>
          <w:sz w:val="20"/>
          <w:szCs w:val="20"/>
          <w:color w:val="auto"/>
        </w:rPr>
        <w:tab/>
      </w:r>
      <w:r>
        <w:rPr>
          <w:rFonts w:ascii="Arial" w:cs="Arial" w:eastAsia="Arial" w:hAnsi="Arial"/>
          <w:sz w:val="20"/>
          <w:szCs w:val="20"/>
          <w:b w:val="1"/>
          <w:bCs w:val="1"/>
          <w:u w:val="single" w:color="auto"/>
          <w:color w:val="auto"/>
        </w:rPr>
        <w:t>COMPLETE AGREEMENT</w:t>
      </w:r>
    </w:p>
    <w:p>
      <w:pPr>
        <w:spacing w:after="0" w:line="271"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1"/>
          <w:szCs w:val="21"/>
          <w:color w:val="auto"/>
        </w:rPr>
        <w:t>It is agreed that the foregoing constitutes the entire agreement between the Employee and Releasees, and that except for those written agreements specifically incorporated herein by reference, there are no other agreements, oral or written, express or implied, relating to any matters covered by this Separation Agreement, or any other agreement in effect and relating to any other matter whatsoever, whether or not within the knowledge or contemplation of either of the Parties at the time of execution of this Separation Agreement.</w:t>
      </w:r>
    </w:p>
    <w:p>
      <w:pPr>
        <w:spacing w:after="0" w:line="200" w:lineRule="exact"/>
        <w:rPr>
          <w:sz w:val="20"/>
          <w:szCs w:val="20"/>
          <w:color w:val="auto"/>
        </w:rPr>
      </w:pPr>
    </w:p>
    <w:p>
      <w:pPr>
        <w:spacing w:after="0" w:line="25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1"/>
          <w:szCs w:val="21"/>
          <w:b w:val="1"/>
          <w:bCs w:val="1"/>
          <w:u w:val="single" w:color="auto"/>
          <w:color w:val="auto"/>
        </w:rPr>
        <w:t>IMPORTANT</w:t>
        <w:tab/>
        <w:t>NOTICE</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I acknowledge that:</w:t>
      </w:r>
    </w:p>
    <w:p>
      <w:pPr>
        <w:spacing w:after="0" w:line="245"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1"/>
          <w:szCs w:val="21"/>
          <w:b w:val="1"/>
          <w:bCs w:val="1"/>
          <w:color w:val="auto"/>
        </w:rPr>
        <w:t>I have read this General Release and I understand fully its final and binding effect;</w:t>
      </w:r>
    </w:p>
    <w:p>
      <w:pPr>
        <w:spacing w:after="0" w:line="244" w:lineRule="exact"/>
        <w:rPr>
          <w:rFonts w:ascii="Arial" w:cs="Arial" w:eastAsia="Arial" w:hAnsi="Arial"/>
          <w:sz w:val="20"/>
          <w:szCs w:val="20"/>
          <w:color w:val="auto"/>
        </w:rPr>
      </w:pPr>
    </w:p>
    <w:p>
      <w:pPr>
        <w:ind w:left="400" w:hanging="392"/>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1"/>
          <w:szCs w:val="21"/>
          <w:b w:val="1"/>
          <w:bCs w:val="1"/>
          <w:color w:val="auto"/>
        </w:rPr>
        <w:t>The only promises made to me to sign this General Release are those stated herein;</w:t>
      </w:r>
    </w:p>
    <w:p>
      <w:pPr>
        <w:spacing w:after="0" w:line="244" w:lineRule="exact"/>
        <w:rPr>
          <w:rFonts w:ascii="Arial" w:cs="Arial" w:eastAsia="Arial" w:hAnsi="Arial"/>
          <w:sz w:val="20"/>
          <w:szCs w:val="20"/>
          <w:color w:val="auto"/>
        </w:rPr>
      </w:pPr>
    </w:p>
    <w:p>
      <w:pPr>
        <w:ind w:left="400" w:hanging="392"/>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1"/>
          <w:szCs w:val="21"/>
          <w:b w:val="1"/>
          <w:bCs w:val="1"/>
          <w:color w:val="auto"/>
        </w:rPr>
        <w:t>I am signing this General Release knowingly and voluntarily; and</w:t>
      </w:r>
    </w:p>
    <w:p>
      <w:pPr>
        <w:spacing w:after="0" w:line="244" w:lineRule="exact"/>
        <w:rPr>
          <w:rFonts w:ascii="Arial" w:cs="Arial" w:eastAsia="Arial" w:hAnsi="Arial"/>
          <w:sz w:val="20"/>
          <w:szCs w:val="20"/>
          <w:color w:val="auto"/>
        </w:rPr>
      </w:pPr>
    </w:p>
    <w:p>
      <w:pPr>
        <w:jc w:val="both"/>
        <w:ind w:left="400" w:right="20" w:hanging="392"/>
        <w:spacing w:after="0" w:line="258" w:lineRule="auto"/>
        <w:tabs>
          <w:tab w:leader="none" w:pos="400" w:val="left"/>
        </w:tabs>
        <w:numPr>
          <w:ilvl w:val="0"/>
          <w:numId w:val="52"/>
        </w:numPr>
        <w:rPr>
          <w:rFonts w:ascii="Arial" w:cs="Arial" w:eastAsia="Arial" w:hAnsi="Arial"/>
          <w:sz w:val="20"/>
          <w:szCs w:val="20"/>
          <w:color w:val="auto"/>
        </w:rPr>
      </w:pPr>
      <w:r>
        <w:rPr>
          <w:rFonts w:ascii="Arial" w:cs="Arial" w:eastAsia="Arial" w:hAnsi="Arial"/>
          <w:sz w:val="21"/>
          <w:szCs w:val="21"/>
          <w:b w:val="1"/>
          <w:bCs w:val="1"/>
          <w:color w:val="auto"/>
        </w:rPr>
        <w:t>I have no other claim or expectation of any additional pay or benefits incident to my Employment. The benefits I am receiving for this General Release are in lieu of, and fully satisfy, all monetary amounts, if any, to which I might otherwise be entitled under federal or state statute or common law.</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20" w:type="dxa"/>
            <w:vAlign w:val="bottom"/>
            <w:gridSpan w:val="3"/>
          </w:tcPr>
          <w:p>
            <w:pPr>
              <w:ind w:left="220"/>
              <w:spacing w:after="0"/>
              <w:rPr>
                <w:sz w:val="20"/>
                <w:szCs w:val="20"/>
                <w:color w:val="auto"/>
              </w:rPr>
            </w:pPr>
            <w:r>
              <w:rPr>
                <w:rFonts w:ascii="Arial" w:cs="Arial" w:eastAsia="Arial" w:hAnsi="Arial"/>
                <w:sz w:val="21"/>
                <w:szCs w:val="21"/>
                <w:color w:val="auto"/>
              </w:rPr>
              <w:t>ASHLAND LLC</w:t>
            </w:r>
          </w:p>
        </w:tc>
      </w:tr>
      <w:tr>
        <w:trPr>
          <w:trHeight w:val="438"/>
        </w:trPr>
        <w:tc>
          <w:tcPr>
            <w:tcW w:w="3560" w:type="dxa"/>
            <w:vAlign w:val="bottom"/>
            <w:gridSpan w:val="3"/>
          </w:tcPr>
          <w:p>
            <w:pPr>
              <w:spacing w:after="0"/>
              <w:rPr>
                <w:sz w:val="20"/>
                <w:szCs w:val="20"/>
                <w:color w:val="auto"/>
              </w:rPr>
            </w:pPr>
            <w:r>
              <w:rPr>
                <w:rFonts w:ascii="Arial" w:cs="Arial" w:eastAsia="Arial" w:hAnsi="Arial"/>
                <w:sz w:val="21"/>
                <w:szCs w:val="21"/>
                <w:color w:val="auto"/>
              </w:rPr>
              <w:t>/s/ Keith Silverman__________</w:t>
            </w:r>
          </w:p>
        </w:tc>
        <w:tc>
          <w:tcPr>
            <w:tcW w:w="4160" w:type="dxa"/>
            <w:vAlign w:val="bottom"/>
            <w:gridSpan w:val="4"/>
          </w:tcPr>
          <w:p>
            <w:pPr>
              <w:ind w:left="640"/>
              <w:spacing w:after="0"/>
              <w:rPr>
                <w:sz w:val="20"/>
                <w:szCs w:val="20"/>
                <w:color w:val="auto"/>
              </w:rPr>
            </w:pPr>
            <w:r>
              <w:rPr>
                <w:rFonts w:ascii="Arial" w:cs="Arial" w:eastAsia="Arial" w:hAnsi="Arial"/>
                <w:sz w:val="21"/>
                <w:szCs w:val="21"/>
                <w:color w:val="auto"/>
                <w:w w:val="98"/>
              </w:rPr>
              <w:t>/s/ Eileen Drury__________________</w:t>
            </w:r>
          </w:p>
        </w:tc>
      </w:tr>
      <w:tr>
        <w:trPr>
          <w:trHeight w:val="20"/>
        </w:trPr>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3560" w:type="dxa"/>
            <w:vAlign w:val="bottom"/>
            <w:gridSpan w:val="3"/>
          </w:tcPr>
          <w:p>
            <w:pPr>
              <w:spacing w:after="0"/>
              <w:rPr>
                <w:sz w:val="20"/>
                <w:szCs w:val="20"/>
                <w:color w:val="auto"/>
              </w:rPr>
            </w:pPr>
            <w:r>
              <w:rPr>
                <w:rFonts w:ascii="Arial" w:cs="Arial" w:eastAsia="Arial" w:hAnsi="Arial"/>
                <w:sz w:val="21"/>
                <w:szCs w:val="21"/>
                <w:color w:val="auto"/>
              </w:rPr>
              <w:t>KEITH SILVERMAN</w:t>
            </w:r>
          </w:p>
        </w:tc>
        <w:tc>
          <w:tcPr>
            <w:tcW w:w="4160" w:type="dxa"/>
            <w:vAlign w:val="bottom"/>
            <w:gridSpan w:val="4"/>
          </w:tcPr>
          <w:p>
            <w:pPr>
              <w:ind w:left="640"/>
              <w:spacing w:after="0"/>
              <w:rPr>
                <w:sz w:val="20"/>
                <w:szCs w:val="20"/>
                <w:color w:val="auto"/>
              </w:rPr>
            </w:pPr>
            <w:r>
              <w:rPr>
                <w:rFonts w:ascii="Arial" w:cs="Arial" w:eastAsia="Arial" w:hAnsi="Arial"/>
                <w:sz w:val="21"/>
                <w:szCs w:val="21"/>
                <w:color w:val="auto"/>
                <w:w w:val="98"/>
              </w:rPr>
              <w:t>Signature of Company Representative</w:t>
            </w:r>
          </w:p>
        </w:tc>
      </w:tr>
      <w:tr>
        <w:trPr>
          <w:trHeight w:val="249"/>
        </w:trPr>
        <w:tc>
          <w:tcPr>
            <w:tcW w:w="3560" w:type="dxa"/>
            <w:vAlign w:val="bottom"/>
            <w:gridSpan w:val="3"/>
          </w:tcPr>
          <w:p>
            <w:pPr>
              <w:spacing w:after="0"/>
              <w:rPr>
                <w:sz w:val="20"/>
                <w:szCs w:val="20"/>
                <w:color w:val="auto"/>
              </w:rPr>
            </w:pPr>
            <w:r>
              <w:rPr>
                <w:rFonts w:ascii="Arial" w:cs="Arial" w:eastAsia="Arial" w:hAnsi="Arial"/>
                <w:sz w:val="21"/>
                <w:szCs w:val="21"/>
                <w:color w:val="auto"/>
              </w:rPr>
              <w:t>Employee # 412140</w:t>
            </w:r>
          </w:p>
        </w:tc>
        <w:tc>
          <w:tcPr>
            <w:tcW w:w="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3560" w:type="dxa"/>
            <w:vAlign w:val="bottom"/>
            <w:gridSpan w:val="3"/>
          </w:tcPr>
          <w:p>
            <w:pPr>
              <w:spacing w:after="0"/>
              <w:rPr>
                <w:sz w:val="20"/>
                <w:szCs w:val="20"/>
                <w:color w:val="auto"/>
              </w:rPr>
            </w:pPr>
            <w:r>
              <w:rPr>
                <w:rFonts w:ascii="Arial" w:cs="Arial" w:eastAsia="Arial" w:hAnsi="Arial"/>
                <w:sz w:val="21"/>
                <w:szCs w:val="21"/>
                <w:color w:val="auto"/>
              </w:rPr>
              <w:t>January 1, 2021____________</w:t>
            </w:r>
          </w:p>
        </w:tc>
        <w:tc>
          <w:tcPr>
            <w:tcW w:w="4160" w:type="dxa"/>
            <w:vAlign w:val="bottom"/>
            <w:gridSpan w:val="4"/>
          </w:tcPr>
          <w:p>
            <w:pPr>
              <w:ind w:left="640"/>
              <w:spacing w:after="0"/>
              <w:rPr>
                <w:sz w:val="20"/>
                <w:szCs w:val="20"/>
                <w:color w:val="auto"/>
              </w:rPr>
            </w:pPr>
            <w:r>
              <w:rPr>
                <w:rFonts w:ascii="Arial" w:cs="Arial" w:eastAsia="Arial" w:hAnsi="Arial"/>
                <w:sz w:val="21"/>
                <w:szCs w:val="21"/>
                <w:color w:val="auto"/>
              </w:rPr>
              <w:t>VP Human Resources____________</w:t>
            </w:r>
          </w:p>
        </w:tc>
      </w:tr>
      <w:tr>
        <w:trPr>
          <w:trHeight w:val="20"/>
        </w:trPr>
        <w:tc>
          <w:tcPr>
            <w:tcW w:w="150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72"/>
        </w:trPr>
        <w:tc>
          <w:tcPr>
            <w:tcW w:w="3560" w:type="dxa"/>
            <w:vAlign w:val="bottom"/>
            <w:gridSpan w:val="3"/>
          </w:tcPr>
          <w:p>
            <w:pPr>
              <w:spacing w:after="0"/>
              <w:rPr>
                <w:sz w:val="20"/>
                <w:szCs w:val="20"/>
                <w:color w:val="auto"/>
              </w:rPr>
            </w:pPr>
            <w:r>
              <w:rPr>
                <w:rFonts w:ascii="Arial" w:cs="Arial" w:eastAsia="Arial" w:hAnsi="Arial"/>
                <w:sz w:val="21"/>
                <w:szCs w:val="21"/>
                <w:color w:val="auto"/>
              </w:rPr>
              <w:t>Date of Execution by Employee</w:t>
            </w:r>
          </w:p>
        </w:tc>
        <w:tc>
          <w:tcPr>
            <w:tcW w:w="4160" w:type="dxa"/>
            <w:vAlign w:val="bottom"/>
            <w:gridSpan w:val="4"/>
          </w:tcPr>
          <w:p>
            <w:pPr>
              <w:ind w:left="640"/>
              <w:spacing w:after="0"/>
              <w:rPr>
                <w:sz w:val="20"/>
                <w:szCs w:val="20"/>
                <w:color w:val="auto"/>
              </w:rPr>
            </w:pPr>
            <w:r>
              <w:rPr>
                <w:rFonts w:ascii="Arial" w:cs="Arial" w:eastAsia="Arial" w:hAnsi="Arial"/>
                <w:sz w:val="21"/>
                <w:szCs w:val="21"/>
                <w:color w:val="auto"/>
              </w:rPr>
              <w:t>Title of Company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1" w:name="page82"/>
    <w:bookmarkEnd w:id="81"/>
    <w:p>
      <w:pPr>
        <w:spacing w:after="0"/>
        <w:rPr>
          <w:sz w:val="20"/>
          <w:szCs w:val="20"/>
          <w:color w:val="auto"/>
        </w:rPr>
      </w:pPr>
      <w:r>
        <w:rPr>
          <w:rFonts w:ascii="Arial" w:cs="Arial" w:eastAsia="Arial" w:hAnsi="Arial"/>
          <w:sz w:val="21"/>
          <w:szCs w:val="21"/>
          <w:color w:val="auto"/>
        </w:rPr>
        <w:t>Attachment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OF SPECIAL SEVERANCE BENEFITS,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EMPLOYEE BENEFITS AND MISCELLANEOUS PROVISIONS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On November 20, 2020 (your “Termination Date”), your employment with Ashland ended. After your Termination Date, you will receive severance benefits equal to </w:t>
      </w:r>
      <w:r>
        <w:rPr>
          <w:rFonts w:ascii="Arial" w:cs="Arial" w:eastAsia="Arial" w:hAnsi="Arial"/>
          <w:sz w:val="21"/>
          <w:szCs w:val="21"/>
          <w:b w:val="1"/>
          <w:bCs w:val="1"/>
          <w:color w:val="auto"/>
        </w:rPr>
        <w:t>78 weeks</w:t>
      </w:r>
      <w:r>
        <w:rPr>
          <w:rFonts w:ascii="Arial" w:cs="Arial" w:eastAsia="Arial" w:hAnsi="Arial"/>
          <w:sz w:val="21"/>
          <w:szCs w:val="21"/>
          <w:color w:val="auto"/>
        </w:rPr>
        <w:t xml:space="preserve"> of base pay, calculated based on your salary band and your rate of base pay in effect as of your Termination Date.</w:t>
      </w: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Your severance benefit is payable to you by Ashland in a lump sum, less applicable withholding of taxes, etc. Any portion of the severance benefit which is exempt from Section 409A of the Internal Revenue Code of 1986, as amended (“Section 409A”) will be paid to you by Ashland in a lump sum, less applicable withholding of taxes, etc., as soon as is practicable, but not more than 15 days, following the Effective Date of this Separation Agreement, as defined in Section 8 of this Separation Agreement. Any remaining portion of the severance benefit will be paid within five days following the first day of the seventh calendar month following the month in which the Termination Date occurs.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You are being offered the special severance benefits, described in this Attachment I, in exchange for your promises and covenants contained in this Separation Agreement. You understand and agree that if you fail to properly execute and return this Separation Agreement within the time period specified in Section 7 of this Separation Agreement, or you revoke your acceptance of it within the 7-day window provided in Section 8 of this Separation Agreement, then the Separation Agreement will not become effective, and you will not be eligible for any of the special severance benefits described in this Attachment I, or any benefits under Ashland’s Severance Pay Plan or any other severance pay plan or program of Releasees.</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addition, with respect to those special severance benefits relating to favorable treatment under certain employee benefit plans and programs, you understand that in the event this Separation Agreement does not become effect as provided above, then you will not receive this favorable treatment, and instead you will only be eligible to receive those benefits that are required to be paid to you under the relevant plans or programs in the event of your termination.</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following summarizes selected terms and conditions from some of the employee benefit plans in which you may have participated. The actual terms of these plans are in their plan documents. You should refer to the relevant summary plan description for more information on a particular plan and the effect that your severance has with regard to that plan.</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general, you cannot continue participation in any employee benefit plan after your Termination Date. If you were enrolled in a group health plan, you may be able to continue coverage by making what is called a COBRA election. You cannot elect to have any premiums you may have to pay for COBRA coverage deducted from any payments you are receiving under the terms of this Separation Agreement.</w:t>
      </w:r>
    </w:p>
    <w:p>
      <w:pPr>
        <w:spacing w:after="0" w:line="200" w:lineRule="exact"/>
        <w:rPr>
          <w:sz w:val="20"/>
          <w:szCs w:val="20"/>
          <w:color w:val="auto"/>
        </w:rPr>
      </w:pPr>
    </w:p>
    <w:p>
      <w:pPr>
        <w:spacing w:after="0" w:line="241"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2" w:name="page83"/>
    <w:bookmarkEnd w:id="82"/>
    <w:p>
      <w:pPr>
        <w:spacing w:after="0"/>
        <w:rPr>
          <w:sz w:val="20"/>
          <w:szCs w:val="20"/>
          <w:color w:val="auto"/>
        </w:rPr>
      </w:pPr>
      <w:r>
        <w:rPr>
          <w:rFonts w:ascii="Arial" w:cs="Arial" w:eastAsia="Arial" w:hAnsi="Arial"/>
          <w:sz w:val="21"/>
          <w:szCs w:val="21"/>
          <w:b w:val="1"/>
          <w:bCs w:val="1"/>
          <w:u w:val="single" w:color="auto"/>
          <w:color w:val="auto"/>
        </w:rPr>
        <w:t>RECOGNITION BONUS</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consideration of your extremely strong EH&amp;S leadership during Covid and a record year in overall EH&amp;S, you will receive an additional lump sum payment of $150,000, less applicable withholdings, which will be made within 15 days of the Effective Date of this Separation Agreement.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PENSION PLAN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eligible to receive a benefit under a Company sponsored pension plan, your benefit will be based on the plan terms and the Company’s records of your employment and plan benefit. If you have a vested benefit, then you will be eligible to elect to begin your pension benefit as of the date specified within the applicable plan.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MEDICAL AND DENTAL</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If you are enrolled in the Medical or Dental Plan on your Termination Date, you will be eligible for COBRA continuation coverage at no cost to you, for a period equal to three (3) weeks for each completed year of service, provided that there is a minimum free coverage period of 20 weeks, and a maximum free coverage period of 52 weeks. Your free COBRA coverage period is </w:t>
      </w:r>
      <w:r>
        <w:rPr>
          <w:rFonts w:ascii="Arial" w:cs="Arial" w:eastAsia="Arial" w:hAnsi="Arial"/>
          <w:sz w:val="21"/>
          <w:szCs w:val="21"/>
          <w:b w:val="1"/>
          <w:bCs w:val="1"/>
          <w:color w:val="auto"/>
        </w:rPr>
        <w:t>24 weeks</w:t>
      </w:r>
      <w:r>
        <w:rPr>
          <w:rFonts w:ascii="Arial" w:cs="Arial" w:eastAsia="Arial" w:hAnsi="Arial"/>
          <w:sz w:val="21"/>
          <w:szCs w:val="21"/>
          <w:color w:val="auto"/>
        </w:rPr>
        <w:t>. Additionally, if your free COBRA continuation coverage period extends only partially into a month, your COBRA continuation coverage will be at no cost for that entire month. After your free COBRA continuation coverage ends, you may be eligible to continue coverage at the rates that apply to terminated employees. Generally, the maximum COBRA continuation coverage period is 18 months. The free COBRA continuation coverage period counts toward this 18-month limit. COBRA continuation coverage is not automatic; to be eligible for COBRA continuation coverage, including the initial period during which coverage is provided at no cost to you, you must first make a timely election of COBRA coverage. You make a timely election by completing and returning the COBRA election form that will be sent to you by the Ashland Benefits Service Center. If you have any questions, please contact the Ashland Benefits Service Center at (855) 889-6519 (Monday-Friday 8:00 am – 5:00 pm EST).</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HEALTH SAVINGS ACCOUNT</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are enrolled in a Health Savings Plan on your Termination Date, then thereafter you can continue to make contributions to your HSA so long as you continue to participate in a medical plan that qualifies as a High Deductible Health Plan (HDHP). This could occur as a result of electing COBRA continuation coverage under your current Company-provided medical plan or as a result of your enrollment in a medical plan offered by a third-party that qualifies as a HDHP. Once your coverage under a HDHP ends, your ability to contribute to the HSA for future periods ends. You may be able to make retroactive contributions to the plan if there were prior periods when you could have made contributions but did not do so. Generally, your ability to contribute for periods in a calendar year when you were covered by a HDHP ends on April 15</w:t>
      </w:r>
      <w:r>
        <w:rPr>
          <w:rFonts w:ascii="Arial" w:cs="Arial" w:eastAsia="Arial" w:hAnsi="Arial"/>
          <w:sz w:val="17"/>
          <w:szCs w:val="17"/>
          <w:color w:val="auto"/>
        </w:rPr>
        <w:t>th</w:t>
      </w:r>
      <w:r>
        <w:rPr>
          <w:rFonts w:ascii="Arial" w:cs="Arial" w:eastAsia="Arial" w:hAnsi="Arial"/>
          <w:sz w:val="21"/>
          <w:szCs w:val="21"/>
          <w:color w:val="auto"/>
        </w:rPr>
        <w:t xml:space="preserve"> of the subsequent calendar year. Regardless of whether you make any further contributions to your HSA after your Termination Date, the funds in your HSA are yours to keep, and can be used to pay for eligible medical expenses for you and your tax dependents in accordance with all applicable withdrawal rules. For more information, refer to IRS Publication 969 (</w:t>
      </w:r>
      <w:r>
        <w:rPr>
          <w:rFonts w:ascii="Arial" w:cs="Arial" w:eastAsia="Arial" w:hAnsi="Arial"/>
          <w:sz w:val="21"/>
          <w:szCs w:val="21"/>
          <w:u w:val="single" w:color="auto"/>
          <w:color w:val="auto"/>
        </w:rPr>
        <w:t>www.irs.gov/pub/irs-pdf/p969.pdf</w:t>
      </w:r>
      <w:r>
        <w:rPr>
          <w:rFonts w:ascii="Arial" w:cs="Arial" w:eastAsia="Arial" w:hAnsi="Arial"/>
          <w:sz w:val="21"/>
          <w:szCs w:val="21"/>
          <w:color w:val="auto"/>
        </w:rPr>
        <w:t>) or contact your tax advisor.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LIFE INSURANCE</w:t>
      </w:r>
    </w:p>
    <w:p>
      <w:pPr>
        <w:spacing w:after="0" w:line="235"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ind w:left="10560"/>
        <w:spacing w:after="0"/>
        <w:rPr>
          <w:sz w:val="20"/>
          <w:szCs w:val="20"/>
          <w:color w:val="auto"/>
        </w:rPr>
      </w:pPr>
      <w:r>
        <w:rPr>
          <w:rFonts w:ascii="Arial" w:cs="Arial" w:eastAsia="Arial" w:hAnsi="Arial"/>
          <w:sz w:val="21"/>
          <w:szCs w:val="2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3" w:name="page84"/>
    <w:bookmarkEnd w:id="83"/>
    <w:p>
      <w:pPr>
        <w:jc w:val="both"/>
        <w:spacing w:after="0" w:line="249" w:lineRule="auto"/>
        <w:rPr>
          <w:sz w:val="20"/>
          <w:szCs w:val="20"/>
          <w:color w:val="auto"/>
        </w:rPr>
      </w:pPr>
      <w:r>
        <w:rPr>
          <w:rFonts w:ascii="Arial" w:cs="Arial" w:eastAsia="Arial" w:hAnsi="Arial"/>
          <w:sz w:val="21"/>
          <w:szCs w:val="21"/>
          <w:color w:val="auto"/>
        </w:rPr>
        <w:t>Your Company provided noncontributory life insurance coverage, contributory life coverage, spouse and dependent child life coverage, and group accidental death and dismemberment coverage will end on your Termination Date.</w:t>
      </w: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You may be eligible to continue your noncontributory and/or contributory life insurance coverage, spouse and dependent child life coverages after your Termination Date. Continuing these coverages, though, is strictly between you and the applicable insurance companies that provide this coverage. You have a 31-day window following your Termination Date to arrange to continue these coverages. To find out more about your ability to continue these coverages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A conversion privilege is not available for the group life accidental death and dismemberment portion of your coverage.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FLEXIBLE SPENDING ACCOUNTS PLAN</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were a participant in the Flexible Spending Accounts Plan on your Termination Date, then any amount you have remaining in the Dependent Day Care Account and/or the Health Care Account is available to reimburse you for covered services incurred before your Termination Date. Thereafter, you may have rights to continue your Health Care Account coverage by making a COBRA election. Ashland's Employee Benefits Department will provide you with a summary of your COBRA rights that will tell you how to elect to continue coverage under the Health Care Account. A COBRA election can only continue your participation in the Health Care Account through the end of the calendar year in which your Termination Date occurs.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amount you have remaining in the Dependent Care Account and/or the Health Care Account is available to reimburse you for covered services incurred before the date your coverage under the particular account ends. Claims for services performed after your coverage ends are not eligible for reimbursement. Claims for reimbursement must be filed by June 30 in the calendar year following the year in which the covered expenses were incurred. Any amounts in your accounts that are not used will be forfeited according to IRS rules.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SAVINGS PLAN</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Upon your Termination Date, you have a number of withdrawal options. If your account is valued at more than $1,000 on your Termination Date, you have the option of leaving your account in the plan. If your account is valued at $1,000 or less, it will be paid to you as a mandatory lump sum cash-out. If you have an unpaid loan, you may continue to make monthly payments after your Termination Date. Fidelity will</w:t>
      </w:r>
    </w:p>
    <w:p>
      <w:pPr>
        <w:spacing w:after="0" w:line="198"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84" w:name="page85"/>
    <w:bookmarkEnd w:id="84"/>
    <w:p>
      <w:pPr>
        <w:jc w:val="both"/>
        <w:spacing w:after="0" w:line="245" w:lineRule="auto"/>
        <w:rPr>
          <w:sz w:val="20"/>
          <w:szCs w:val="20"/>
          <w:color w:val="auto"/>
        </w:rPr>
      </w:pPr>
      <w:r>
        <w:rPr>
          <w:rFonts w:ascii="Arial" w:cs="Arial" w:eastAsia="Arial" w:hAnsi="Arial"/>
          <w:sz w:val="21"/>
          <w:szCs w:val="21"/>
          <w:color w:val="auto"/>
        </w:rPr>
        <w:t>send you payment instructions approximately 4 weeks following your Termination Date. To receive Savings Plan information, call Fidelity Investments at (800) 827-4526. You may also access Savings Plan information on the internet by clicking “Access My Account” under NetBenefits at www.401k .com.</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u w:val="single" w:color="auto"/>
          <w:color w:val="auto"/>
        </w:rPr>
        <w:t>LONG TERM DISABILITY, SUPPLEMENTAL LONG TERM DISABILITY</w:t>
      </w: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 xml:space="preserve"> VOLUNTARY ACCIDENTAL DEATH AND DISMEMBERMENT; OCCUPATIONAL ACCIDENTAL DEATH AND DISMEMBERMENT; TRAVEL ACCIDENT INSURANCE AND ADOPTION ASSISTANCE PROGRAM</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you are enrolled in one or more of these plans on your Termination Date, your eligibility for coverage under the applicable plan(s) ends on your Termination Date.</w:t>
      </w:r>
    </w:p>
    <w:p>
      <w:pPr>
        <w:spacing w:after="0" w:line="22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If you were covered by the voluntary accidental death and dismemberment plan you may be eligible for conversion privileges within 31 days of your Termination Date. To find out if this applies to you, or to obtain contact information for the applicable insurance company, please contact If you have any questions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VISION COST ASSISTANCE PLAN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enrolled for this coverage, it will end on your Termination Date, although you may be able to elect COBRA continuation of coverage at that time. After your Termination Date Ashland’s Vision Plan COBRA administrator will provide you with a summary of your COBRA rights that will tell you how to elect to continue coverage.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MISCELLANEOUS PROVISIONS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UNUSED VACATION/SICK PAY</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accordance with Ashland’s Vacation policy, you will be paid in a lump sum for your unused 2020 vacation. You will not be paid for any unused sick pay.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INCENTIVE PAY PLAN</w:t>
      </w:r>
    </w:p>
    <w:p>
      <w:pPr>
        <w:spacing w:after="0" w:line="26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you were a participant in an incentive pay plan during FY 2020 and/or FY 2021, then if and when payments are made, you will be eligible to receive a payment under the applicable plan for that portion of the relevant plan year during which you were actively employed. Any payment will be made in accordance with all other terms and conditions of the applicable plan.</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AWARDS</w:t>
      </w:r>
    </w:p>
    <w:p>
      <w:pPr>
        <w:spacing w:after="0" w:line="271"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With respect to your existing unvested equity awards, you will receive accelerated, prorata vesting of the outstanding portion of those RSU and SAR awards, calculated from the date of the applicable grant(s) through your Termination Date, and using the stock price at the close of the market on your Termination Date. The non-accelerated portions of your current unvested equity awards will be forfeited.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PERFORMANCE UNIT AWARDS (LTIP)</w:t>
      </w:r>
    </w:p>
    <w:p>
      <w:pPr>
        <w:spacing w:after="0" w:line="209"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ind w:left="10440"/>
        <w:spacing w:after="0"/>
        <w:rPr>
          <w:sz w:val="20"/>
          <w:szCs w:val="20"/>
          <w:color w:val="auto"/>
        </w:rPr>
      </w:pPr>
      <w:r>
        <w:rPr>
          <w:rFonts w:ascii="Arial" w:cs="Arial" w:eastAsia="Arial" w:hAnsi="Arial"/>
          <w:sz w:val="21"/>
          <w:szCs w:val="2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5" w:name="page86"/>
    <w:bookmarkEnd w:id="85"/>
    <w:p>
      <w:pPr>
        <w:jc w:val="both"/>
        <w:spacing w:after="0" w:line="258" w:lineRule="auto"/>
        <w:rPr>
          <w:sz w:val="20"/>
          <w:szCs w:val="20"/>
          <w:color w:val="auto"/>
        </w:rPr>
      </w:pPr>
      <w:r>
        <w:rPr>
          <w:rFonts w:ascii="Arial" w:cs="Arial" w:eastAsia="Arial" w:hAnsi="Arial"/>
          <w:sz w:val="20"/>
          <w:szCs w:val="20"/>
          <w:color w:val="auto"/>
        </w:rPr>
        <w:t>If and when payments are made to active employees, if eligible, you will receive a pro-rata payment under Ashland's Long-Term Incentive Plan (LTIP) for each outstanding grant made to you under the LTIP. All payments under the LTIP will be pro-rated through your Termination Date, in accordance with the Company’s customary pro-rata practices, calculated based on actual plan measures through the entire applicable plan cycle (including adjustments for unusual items), and made consistent with all other terms and conditions specified in the LTIP and the applicable award agreement.</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OTHER EXECUTIVE COMPENSATION PLANS OR PROGRAMS</w:t>
      </w:r>
    </w:p>
    <w:p>
      <w:pPr>
        <w:spacing w:after="0" w:line="271" w:lineRule="exact"/>
        <w:rPr>
          <w:sz w:val="20"/>
          <w:szCs w:val="20"/>
          <w:color w:val="auto"/>
        </w:rPr>
      </w:pPr>
    </w:p>
    <w:p>
      <w:pPr>
        <w:ind w:right="400"/>
        <w:spacing w:after="0" w:line="245" w:lineRule="auto"/>
        <w:rPr>
          <w:sz w:val="20"/>
          <w:szCs w:val="20"/>
          <w:color w:val="auto"/>
        </w:rPr>
      </w:pPr>
      <w:r>
        <w:rPr>
          <w:rFonts w:ascii="Arial" w:cs="Arial" w:eastAsia="Arial" w:hAnsi="Arial"/>
          <w:sz w:val="21"/>
          <w:szCs w:val="21"/>
          <w:color w:val="auto"/>
        </w:rPr>
        <w:t>Your eligibility to receive benefits under any other executive compensation plans or programs offered by Ashland is governed exclusively by the terms and conditions of such plans, and nothing in this Separation Agreement impairs any rights you may otherwise have under those plans or programs.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CREDIT UNION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a member of the Credit Union at the time of your Termination Date, you will be able to participate in the Credit Union after your Termination Date. You will need to contact the Credit Union directly to discuss handling of Credit Union business.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EDUCATIONAL REIMBURSEMENT</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the course has been approved for reimbursement prior to your Termination Date and will be completed within six (6) months of your Termination Date, you will be reimbursed for approved costs provided you complete the course within policy guidelines.</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Once the course has been successfully completed and you have received your “final” grade showing you have met the qualifications for reimbursement, you must log back into the Tuition Reimbursement System (</w:t>
      </w:r>
      <w:r>
        <w:rPr>
          <w:rFonts w:ascii="Arial" w:cs="Arial" w:eastAsia="Arial" w:hAnsi="Arial"/>
          <w:sz w:val="21"/>
          <w:szCs w:val="21"/>
          <w:u w:val="single" w:color="auto"/>
          <w:color w:val="auto"/>
        </w:rPr>
        <w:t>https://ashland.tuitionmanager.com</w:t>
      </w:r>
      <w:r>
        <w:rPr>
          <w:rFonts w:ascii="Arial" w:cs="Arial" w:eastAsia="Arial" w:hAnsi="Arial"/>
          <w:sz w:val="21"/>
          <w:szCs w:val="21"/>
          <w:color w:val="auto"/>
        </w:rPr>
        <w:t>) and submit a reimbursement request for each course. You will be required to upload a copy of your final grade and an itemized invoice.</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If you have any questions, please contact the Education Assistance Administrator at </w:t>
      </w:r>
      <w:r>
        <w:rPr>
          <w:rFonts w:ascii="Arial" w:cs="Arial" w:eastAsia="Arial" w:hAnsi="Arial"/>
          <w:sz w:val="21"/>
          <w:szCs w:val="21"/>
          <w:u w:val="single" w:color="auto"/>
          <w:color w:val="auto"/>
        </w:rPr>
        <w:t>educationassistance@ashland.com</w:t>
      </w:r>
      <w:r>
        <w:rPr>
          <w:rFonts w:ascii="Arial" w:cs="Arial" w:eastAsia="Arial" w:hAnsi="Arial"/>
          <w:sz w:val="21"/>
          <w:szCs w:val="2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MATCHING GIFTS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Participation in the Matching Gifts Program will cease upon your Termination Date.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ASSISTANCE PROGRAM</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Your participation in the Employee Assistance Program will end on your Termination Date.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EXPENSES</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have incurred any expenses that are reimbursable by ASHLAND, you should submit an approved Expense Report to your supervisor, along with required receipts immediately. In the event there is an outstanding balance owed to Ashland for any charges on your corporate credit card or</w:t>
      </w:r>
    </w:p>
    <w:p>
      <w:pPr>
        <w:spacing w:after="0" w:line="197"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86" w:name="page87"/>
    <w:bookmarkEnd w:id="86"/>
    <w:p>
      <w:pPr>
        <w:jc w:val="both"/>
        <w:spacing w:after="0" w:line="245" w:lineRule="auto"/>
        <w:rPr>
          <w:sz w:val="20"/>
          <w:szCs w:val="20"/>
          <w:color w:val="auto"/>
        </w:rPr>
      </w:pPr>
      <w:r>
        <w:rPr>
          <w:rFonts w:ascii="Arial" w:cs="Arial" w:eastAsia="Arial" w:hAnsi="Arial"/>
          <w:sz w:val="21"/>
          <w:szCs w:val="21"/>
          <w:color w:val="auto"/>
        </w:rPr>
        <w:t>purchasing card account(s) that are not properly reimbursable under the Company’s reimbursement policies, you understand and agree that ASHLAND will make deductions from your severance benefits in order to cover such balance(s).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OUTPLACEMENT ASSISTANCE</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You will be provided with outplacement assistance services following your Termination Date to assist you in your search and transition into other employment. This assistance will be provided to you through a third-party selected by the Company and will be provided at no expense to you. Please contact your Human Resources Representative for more information about this benefit.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UNEMPLOYMENT COMPENSATION</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State laws control whether you are eligible to receive unemployment compensation. If you decide to file for unemployment compensation, Ashland is obligated to inform the state’s unemployment commission of the nature of your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VERIFICATION OF EMPLOYMENT</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Ashland will only verify dates of employment and last job title, department and work location. Ashland will only release other information concerning your employment as required by law, or at your request and with your written consent.</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SECTION 409A</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on the Termination Date, you were a “specified employee” within the meaning of Section 409A, then certain of the special severance benefits described in this Attachment 1 may be delayed to comply with Section 409A.</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However, it is intended that the special severance benefits described in this Attachment 1 shall be exempt from the requirements of Section 409A. With regard to any provision herein that provides for reimbursement costs and expenses or in-kind benefits, except as permitted by Section 409A: (1) the right to reimbursement or in-kind benefits shall not be subject to liquidation or exchange for another benefit; (2) the amount of expenses eligible for reimbursement, or in-kind benefits, provided during any taxable year shall not affect the expenses eligible for reimbursement, or in-kind benefits to be provided, in any other taxable year; and (3) such payments shall be made on or before the last day of you taxable year following the taxable year in which the expense occurred, or such earlier date as required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7" w:name="page88"/>
    <w:bookmarkEnd w:id="87"/>
    <w:p>
      <w:pPr>
        <w:spacing w:after="0"/>
        <w:rPr>
          <w:sz w:val="20"/>
          <w:szCs w:val="20"/>
          <w:color w:val="auto"/>
        </w:rPr>
      </w:pPr>
      <w:r>
        <w:rPr>
          <w:rFonts w:ascii="Arial" w:cs="Arial" w:eastAsia="Arial" w:hAnsi="Arial"/>
          <w:sz w:val="21"/>
          <w:szCs w:val="21"/>
          <w:b w:val="1"/>
          <w:bCs w:val="1"/>
          <w:u w:val="single" w:color="auto"/>
          <w:color w:val="auto"/>
        </w:rPr>
        <w:t>FUTURE CORRESPONDENCE</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Any future information from the Company will be sent to the address you currently have on file (i.e. employee benefit information, W-2’s, etc.). Should your address change in the near future you should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If you have an account established with one of the Company’s benefits vendors, you should also contact that vendor to advise of any changes to your physical or e-mail addresses.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IMPORTANT NOTE ABOUT THIS SUMMARY</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Details on the benefits from the employee benefit plans discussed above are provided in the summary plan description booklet for each plan. In all events, the rights and obligations of Ashland, and all covered employees, beneficiaries or other claimants are governed solely by the terms of the official documents under which each particular plan, policy.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80"/>
        <w:spacing w:after="0"/>
        <w:rPr>
          <w:sz w:val="20"/>
          <w:szCs w:val="20"/>
          <w:color w:val="auto"/>
        </w:rPr>
      </w:pPr>
      <w:r>
        <w:rPr>
          <w:rFonts w:ascii="Arial" w:cs="Arial" w:eastAsia="Arial" w:hAnsi="Arial"/>
          <w:sz w:val="21"/>
          <w:szCs w:val="21"/>
          <w:color w:val="auto"/>
        </w:rPr>
        <w:t>Employee Initials: 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8" w:name="page89"/>
    <w:bookmarkEnd w:id="88"/>
    <w:p>
      <w:pPr>
        <w:jc w:val="center"/>
        <w:ind w:right="-200"/>
        <w:spacing w:after="0"/>
        <w:rPr>
          <w:sz w:val="20"/>
          <w:szCs w:val="20"/>
          <w:color w:val="auto"/>
        </w:rPr>
      </w:pPr>
      <w:r>
        <w:rPr>
          <w:rFonts w:ascii="Arial" w:cs="Arial" w:eastAsia="Arial" w:hAnsi="Arial"/>
          <w:sz w:val="29"/>
          <w:szCs w:val="29"/>
          <w:b w:val="1"/>
          <w:bCs w:val="1"/>
          <w:color w:val="auto"/>
        </w:rPr>
        <w:t>REMINDER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36830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53975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19"/>
          </w:cols>
          <w:pgMar w:left="1240" w:top="5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Once You Have Signed Both Originals of This</w:t>
      </w:r>
    </w:p>
    <w:p>
      <w:pPr>
        <w:spacing w:after="0" w:line="40" w:lineRule="exact"/>
        <w:rPr>
          <w:sz w:val="20"/>
          <w:szCs w:val="20"/>
          <w:color w:val="auto"/>
        </w:rPr>
      </w:pPr>
    </w:p>
    <w:p>
      <w:pPr>
        <w:jc w:val="center"/>
        <w:ind w:right="2799"/>
        <w:spacing w:after="0"/>
        <w:rPr>
          <w:sz w:val="20"/>
          <w:szCs w:val="20"/>
          <w:color w:val="auto"/>
        </w:rPr>
      </w:pPr>
      <w:r>
        <w:rPr>
          <w:rFonts w:ascii="Arial" w:cs="Arial" w:eastAsia="Arial" w:hAnsi="Arial"/>
          <w:sz w:val="28"/>
          <w:szCs w:val="28"/>
          <w:b w:val="1"/>
          <w:bCs w:val="1"/>
          <w:color w:val="auto"/>
        </w:rPr>
        <w:t>Document, Please Return Both Original Signed</w:t>
      </w:r>
    </w:p>
    <w:p>
      <w:pPr>
        <w:spacing w:after="0" w:line="16"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Agreements to:</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Betty Lange</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Human Resources</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Ashland LLC</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500 Hercules Road</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Building 8134</w:t>
      </w:r>
    </w:p>
    <w:p>
      <w:pPr>
        <w:spacing w:after="0" w:line="4"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Wilmington, Delaware 19808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A Fully Executed Original Agreement will be</w:t>
      </w:r>
    </w:p>
    <w:p>
      <w:pPr>
        <w:spacing w:after="0" w:line="40" w:lineRule="exact"/>
        <w:rPr>
          <w:sz w:val="20"/>
          <w:szCs w:val="20"/>
          <w:color w:val="auto"/>
        </w:rPr>
      </w:pPr>
    </w:p>
    <w:p>
      <w:pPr>
        <w:jc w:val="center"/>
        <w:ind w:right="2799"/>
        <w:spacing w:after="0"/>
        <w:rPr>
          <w:sz w:val="20"/>
          <w:szCs w:val="20"/>
          <w:color w:val="auto"/>
        </w:rPr>
      </w:pPr>
      <w:r>
        <w:rPr>
          <w:rFonts w:ascii="Arial" w:cs="Arial" w:eastAsia="Arial" w:hAnsi="Arial"/>
          <w:sz w:val="29"/>
          <w:szCs w:val="29"/>
          <w:b w:val="1"/>
          <w:bCs w:val="1"/>
          <w:color w:val="auto"/>
        </w:rPr>
        <w:t>returned to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330835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347980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19"/>
          </w:cols>
          <w:pgMar w:left="1240" w:top="531" w:right="1440"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800" w:hanging="401"/>
        <w:spacing w:after="0"/>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February 4, 2021</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ind w:left="62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39"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1"/>
        <w:spacing w:after="0"/>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February 4, 2021</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ind w:left="62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240"/>
          </w:cols>
          <w:pgMar w:left="320" w:top="33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December 31, 2020,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1"/>
        <w:spacing w:after="0"/>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1"/>
        <w:spacing w:after="0" w:line="244" w:lineRule="auto"/>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February 4, 2021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February 4, 2021</w:t>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decimal"/>
      <w:start w:val="104"/>
    </w:lvl>
    <w:lvl w:ilvl="1">
      <w:lvlJc w:val="left"/>
      <w:lvlText w:val="*"/>
      <w:numFmt w:val="bullet"/>
      <w:start w:val="1"/>
    </w:lvl>
  </w:abstractNum>
  <w:abstractNum w:abstractNumId="38">
    <w:nsid w:val="6DE91B18"/>
    <w:multiLevelType w:val="hybridMultilevel"/>
    <w:lvl w:ilvl="0">
      <w:lvlJc w:val="left"/>
      <w:lvlText w:val="%1"/>
      <w:numFmt w:val="decimal"/>
      <w:start w:val="1"/>
    </w:lvl>
    <w:lvl w:ilvl="1">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Letter"/>
      <w:start w:val="1"/>
    </w:lvl>
    <w:lvl w:ilvl="1">
      <w:lvlJc w:val="left"/>
      <w:lvlText w:val="%2."/>
      <w:numFmt w:val="decimal"/>
      <w:start w:val="1"/>
    </w:lvl>
  </w:abstractNum>
  <w:abstractNum w:abstractNumId="41">
    <w:nsid w:val="32FFF902"/>
    <w:multiLevelType w:val="hybridMultilevel"/>
    <w:lvl w:ilvl="0">
      <w:lvlJc w:val="left"/>
      <w:lvlText w:val="(%1)"/>
      <w:numFmt w:val="lowerLetter"/>
      <w:start w:val="3"/>
    </w:lvl>
    <w:lvl w:ilvl="1">
      <w:lvlJc w:val="left"/>
      <w:lvlText w:val="%2."/>
      <w:numFmt w:val="decimal"/>
      <w:start w:val="1"/>
    </w:lvl>
  </w:abstractNum>
  <w:abstractNum w:abstractNumId="42">
    <w:nsid w:val="684A481A"/>
    <w:multiLevelType w:val="hybridMultilevel"/>
    <w:lvl w:ilvl="0">
      <w:lvlJc w:val="left"/>
      <w:lvlText w:val="(%1)"/>
      <w:numFmt w:val="lowerRoman"/>
      <w:start w:val="3"/>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Letter"/>
      <w:start w:val="1"/>
    </w:lvl>
    <w:lvl w:ilvl="1">
      <w:lvlJc w:val="left"/>
      <w:lvlText w:val="%2."/>
      <w:numFmt w:val="decimal"/>
      <w:start w:val="1"/>
    </w:lvl>
  </w:abstractNum>
  <w:abstractNum w:abstractNumId="47">
    <w:nsid w:val="79A1DEAA"/>
    <w:multiLevelType w:val="hybridMultilevel"/>
    <w:lvl w:ilvl="0">
      <w:lvlJc w:val="left"/>
      <w:lvlText w:val="(%1)"/>
      <w:numFmt w:val="lowerLetter"/>
      <w:start w:val="3"/>
    </w:lvl>
    <w:lvl w:ilvl="1">
      <w:lvlJc w:val="left"/>
      <w:lvlText w:val="%2."/>
      <w:numFmt w:val="decimal"/>
      <w:start w:val="1"/>
    </w:lvl>
  </w:abstractNum>
  <w:abstractNum w:abstractNumId="48">
    <w:nsid w:val="75C6C33A"/>
    <w:multiLevelType w:val="hybridMultilevel"/>
    <w:lvl w:ilvl="0">
      <w:lvlJc w:val="left"/>
      <w:lvlText w:val="(%1)"/>
      <w:numFmt w:val="lowerRoman"/>
      <w:start w:val="3"/>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07" Type="http://schemas.openxmlformats.org/officeDocument/2006/relationships/hyperlink" Target="http://www.sec.gov/Archives/edgar/data/1674862/000156459020026655/ash-ex101_27.htm" TargetMode="External"/><Relationship Id="rId108" Type="http://schemas.openxmlformats.org/officeDocument/2006/relationships/hyperlink" Target="http://www.sec.gov/Archives/edgar/data/1674862/000156459020026655/ash-ex102_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2021-02-04T14:11:11Z</dcterms:created>
  <dcterms:modified xsi:type="dcterms:W3CDTF">2021-02-04T14:11:11Z</dcterms:modified>
</cp:coreProperties>
</file>