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309"/>
        <w:spacing w:after="0"/>
        <w:rPr>
          <w:sz w:val="20"/>
          <w:szCs w:val="20"/>
          <w:color w:val="auto"/>
        </w:rPr>
      </w:pPr>
      <w:r>
        <w:rPr>
          <w:rFonts w:ascii="Arial" w:cs="Arial" w:eastAsia="Arial" w:hAnsi="Arial"/>
          <w:sz w:val="22"/>
          <w:szCs w:val="22"/>
          <w:b w:val="1"/>
          <w:bCs w:val="1"/>
          <w:color w:val="auto"/>
        </w:rPr>
        <w:t>UNITED STATES</w:t>
      </w:r>
    </w:p>
    <w:p>
      <w:pPr>
        <w:spacing w:after="0" w:line="2" w:lineRule="exact"/>
        <w:rPr>
          <w:sz w:val="24"/>
          <w:szCs w:val="24"/>
          <w:color w:val="auto"/>
        </w:rPr>
      </w:pPr>
    </w:p>
    <w:p>
      <w:pPr>
        <w:jc w:val="center"/>
        <w:ind w:right="-30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09"/>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090"/>
        <w:spacing w:after="0"/>
        <w:rPr>
          <w:sz w:val="20"/>
          <w:szCs w:val="20"/>
          <w:color w:val="auto"/>
        </w:rPr>
      </w:pPr>
      <w:r>
        <w:rPr>
          <w:rFonts w:ascii="Arial" w:cs="Arial" w:eastAsia="Arial" w:hAnsi="Arial"/>
          <w:sz w:val="22"/>
          <w:szCs w:val="22"/>
          <w:b w:val="1"/>
          <w:bCs w:val="1"/>
          <w:color w:val="auto"/>
        </w:rPr>
        <w:t>____________</w:t>
      </w:r>
    </w:p>
    <w:p>
      <w:pPr>
        <w:spacing w:after="0" w:line="161" w:lineRule="exact"/>
        <w:rPr>
          <w:sz w:val="24"/>
          <w:szCs w:val="24"/>
          <w:color w:val="auto"/>
        </w:rPr>
      </w:pPr>
    </w:p>
    <w:p>
      <w:pPr>
        <w:jc w:val="center"/>
        <w:ind w:right="-309"/>
        <w:spacing w:after="0"/>
        <w:rPr>
          <w:sz w:val="20"/>
          <w:szCs w:val="20"/>
          <w:color w:val="auto"/>
        </w:rPr>
      </w:pPr>
      <w:r>
        <w:rPr>
          <w:rFonts w:ascii="Arial" w:cs="Arial" w:eastAsia="Arial" w:hAnsi="Arial"/>
          <w:sz w:val="25"/>
          <w:szCs w:val="25"/>
          <w:b w:val="1"/>
          <w:bCs w:val="1"/>
          <w:color w:val="auto"/>
        </w:rPr>
        <w:t>FORM 11-K</w:t>
      </w:r>
    </w:p>
    <w:p>
      <w:pPr>
        <w:spacing w:after="0" w:line="195" w:lineRule="exact"/>
        <w:rPr>
          <w:sz w:val="24"/>
          <w:szCs w:val="24"/>
          <w:color w:val="auto"/>
        </w:rPr>
      </w:pPr>
    </w:p>
    <w:p>
      <w:pPr>
        <w:jc w:val="center"/>
        <w:ind w:left="1740" w:right="1720"/>
        <w:spacing w:after="0" w:line="244" w:lineRule="auto"/>
        <w:rPr>
          <w:sz w:val="20"/>
          <w:szCs w:val="20"/>
          <w:color w:val="auto"/>
        </w:rPr>
      </w:pPr>
      <w:r>
        <w:rPr>
          <w:rFonts w:ascii="Arial" w:cs="Arial" w:eastAsia="Arial" w:hAnsi="Arial"/>
          <w:sz w:val="22"/>
          <w:szCs w:val="22"/>
          <w:b w:val="1"/>
          <w:bCs w:val="1"/>
          <w:color w:val="auto"/>
        </w:rPr>
        <w:t>FOR ANNUAL REPORTS OF EMPLOYEE STOCK PURCHASE, SAVINGS AND SIMILAR PLANS PURSUANT TO SECTION 15(d) OF THE SECURITIES EXCHANGE ACT OF 1934</w:t>
      </w:r>
    </w:p>
    <w:p>
      <w:pPr>
        <w:spacing w:after="0" w:line="142" w:lineRule="exact"/>
        <w:rPr>
          <w:sz w:val="24"/>
          <w:szCs w:val="24"/>
          <w:color w:val="auto"/>
        </w:rPr>
      </w:pPr>
    </w:p>
    <w:p>
      <w:pPr>
        <w:ind w:left="690"/>
        <w:spacing w:after="0"/>
        <w:rPr>
          <w:sz w:val="20"/>
          <w:szCs w:val="20"/>
          <w:color w:val="auto"/>
        </w:rPr>
      </w:pPr>
      <w:r>
        <w:rPr>
          <w:rFonts w:ascii="Arial" w:cs="Arial" w:eastAsia="Arial" w:hAnsi="Arial"/>
          <w:sz w:val="18"/>
          <w:szCs w:val="18"/>
          <w:color w:val="auto"/>
        </w:rPr>
        <w:t>(Mark One):</w:t>
      </w:r>
    </w:p>
    <w:p>
      <w:pPr>
        <w:spacing w:after="0" w:line="185" w:lineRule="exact"/>
        <w:rPr>
          <w:sz w:val="24"/>
          <w:szCs w:val="24"/>
          <w:color w:val="auto"/>
        </w:rPr>
      </w:pPr>
    </w:p>
    <w:p>
      <w:pPr>
        <w:ind w:left="3010" w:right="679" w:hanging="3010"/>
        <w:spacing w:after="0" w:line="490" w:lineRule="auto"/>
        <w:tabs>
          <w:tab w:leader="none" w:pos="401" w:val="left"/>
        </w:tabs>
        <w:numPr>
          <w:ilvl w:val="0"/>
          <w:numId w:val="1"/>
        </w:numPr>
        <w:rPr>
          <w:rFonts w:ascii="Wingdings" w:cs="Wingdings" w:eastAsia="Wingdings" w:hAnsi="Wingdings"/>
          <w:sz w:val="18"/>
          <w:szCs w:val="18"/>
          <w:b w:val="1"/>
          <w:bCs w:val="1"/>
          <w:color w:val="auto"/>
          <w:highlight w:val="black"/>
        </w:rPr>
      </w:pPr>
      <w:r>
        <w:rPr>
          <w:rFonts w:ascii="Arial" w:cs="Arial" w:eastAsia="Arial" w:hAnsi="Arial"/>
          <w:sz w:val="18"/>
          <w:szCs w:val="18"/>
          <w:color w:val="auto"/>
        </w:rPr>
        <w:t>ANNUAL REPORT PURSUANT TO SECTION 15(d) OF THE SECURITIES EXCHANGE ACT OF 1934 For the fiscal year ended December 31, 2025</w:t>
      </w:r>
    </w:p>
    <w:p>
      <w:pPr>
        <w:spacing w:after="0" w:line="329" w:lineRule="exact"/>
        <w:rPr>
          <w:sz w:val="24"/>
          <w:szCs w:val="24"/>
          <w:color w:val="auto"/>
        </w:rPr>
      </w:pPr>
    </w:p>
    <w:p>
      <w:pPr>
        <w:ind w:left="410" w:hanging="410"/>
        <w:spacing w:after="0"/>
        <w:tabs>
          <w:tab w:leader="none" w:pos="410" w:val="left"/>
        </w:tabs>
        <w:numPr>
          <w:ilvl w:val="0"/>
          <w:numId w:val="2"/>
        </w:numPr>
        <w:rPr>
          <w:rFonts w:ascii="Wingdings" w:cs="Wingdings" w:eastAsia="Wingdings" w:hAnsi="Wingdings"/>
          <w:sz w:val="17"/>
          <w:szCs w:val="17"/>
          <w:b w:val="1"/>
          <w:bCs w:val="1"/>
          <w:color w:val="auto"/>
          <w:highlight w:val="black"/>
        </w:rPr>
      </w:pPr>
      <w:r>
        <w:rPr>
          <w:rFonts w:ascii="Arial" w:cs="Arial" w:eastAsia="Arial" w:hAnsi="Arial"/>
          <w:sz w:val="17"/>
          <w:szCs w:val="17"/>
          <w:color w:val="auto"/>
        </w:rPr>
        <w:t>TRANSITION REPORT PURSUANT TO SECTION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10" w:hanging="410"/>
        <w:spacing w:after="0"/>
        <w:tabs>
          <w:tab w:leader="none" w:pos="41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229" w:lineRule="exact"/>
        <w:rPr>
          <w:sz w:val="24"/>
          <w:szCs w:val="24"/>
          <w:color w:val="auto"/>
        </w:rPr>
      </w:pPr>
    </w:p>
    <w:p>
      <w:pPr>
        <w:ind w:left="2810"/>
        <w:spacing w:after="0"/>
        <w:rPr>
          <w:sz w:val="20"/>
          <w:szCs w:val="20"/>
          <w:color w:val="auto"/>
        </w:rPr>
      </w:pPr>
      <w:r>
        <w:rPr>
          <w:rFonts w:ascii="Arial" w:cs="Arial" w:eastAsia="Arial" w:hAnsi="Arial"/>
          <w:sz w:val="22"/>
          <w:szCs w:val="22"/>
          <w:b w:val="1"/>
          <w:bCs w:val="1"/>
          <w:color w:val="auto"/>
        </w:rPr>
        <w:t>ASHLAND EMPLOYEE SAVINGS PLAN</w:t>
      </w:r>
    </w:p>
    <w:p>
      <w:pPr>
        <w:spacing w:after="0" w:line="189" w:lineRule="exact"/>
        <w:rPr>
          <w:sz w:val="24"/>
          <w:szCs w:val="24"/>
          <w:color w:val="auto"/>
        </w:rPr>
      </w:pPr>
    </w:p>
    <w:p>
      <w:pPr>
        <w:ind w:left="410" w:hanging="410"/>
        <w:spacing w:after="0"/>
        <w:tabs>
          <w:tab w:leader="none" w:pos="41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77" w:lineRule="exact"/>
        <w:rPr>
          <w:sz w:val="24"/>
          <w:szCs w:val="24"/>
          <w:color w:val="auto"/>
        </w:rPr>
      </w:pPr>
    </w:p>
    <w:p>
      <w:pPr>
        <w:jc w:val="center"/>
        <w:ind w:right="-309"/>
        <w:spacing w:after="0"/>
        <w:rPr>
          <w:sz w:val="20"/>
          <w:szCs w:val="20"/>
          <w:color w:val="auto"/>
        </w:rPr>
      </w:pPr>
      <w:r>
        <w:rPr>
          <w:rFonts w:ascii="Arial" w:cs="Arial" w:eastAsia="Arial" w:hAnsi="Arial"/>
          <w:sz w:val="22"/>
          <w:szCs w:val="22"/>
          <w:color w:val="auto"/>
        </w:rPr>
        <w:t>ASHLAND INC.</w:t>
      </w:r>
    </w:p>
    <w:p>
      <w:pPr>
        <w:jc w:val="center"/>
        <w:ind w:right="-289"/>
        <w:spacing w:after="0"/>
        <w:rPr>
          <w:sz w:val="20"/>
          <w:szCs w:val="20"/>
          <w:color w:val="auto"/>
        </w:rPr>
      </w:pPr>
      <w:r>
        <w:rPr>
          <w:rFonts w:ascii="Arial" w:cs="Arial" w:eastAsia="Arial" w:hAnsi="Arial"/>
          <w:sz w:val="22"/>
          <w:szCs w:val="22"/>
          <w:color w:val="auto"/>
        </w:rPr>
        <w:t>8145 Blazer Drive</w:t>
      </w:r>
    </w:p>
    <w:p>
      <w:pPr>
        <w:jc w:val="center"/>
        <w:ind w:right="-289"/>
        <w:spacing w:after="0"/>
        <w:rPr>
          <w:sz w:val="20"/>
          <w:szCs w:val="20"/>
          <w:color w:val="auto"/>
        </w:rPr>
      </w:pPr>
      <w:r>
        <w:rPr>
          <w:rFonts w:ascii="Arial" w:cs="Arial" w:eastAsia="Arial" w:hAnsi="Arial"/>
          <w:sz w:val="22"/>
          <w:szCs w:val="22"/>
          <w:color w:val="auto"/>
        </w:rPr>
        <w:t>Wilmington, Delaware 19808</w:t>
      </w:r>
    </w:p>
    <w:p>
      <w:pPr>
        <w:spacing w:after="0" w:line="11" w:lineRule="exact"/>
        <w:rPr>
          <w:sz w:val="24"/>
          <w:szCs w:val="24"/>
          <w:color w:val="auto"/>
        </w:rPr>
      </w:pPr>
    </w:p>
    <w:p>
      <w:pPr>
        <w:jc w:val="center"/>
        <w:ind w:right="-289"/>
        <w:spacing w:after="0"/>
        <w:rPr>
          <w:sz w:val="20"/>
          <w:szCs w:val="20"/>
          <w:color w:val="auto"/>
        </w:rPr>
      </w:pPr>
      <w:r>
        <w:rPr>
          <w:rFonts w:ascii="Arial" w:cs="Arial" w:eastAsia="Arial" w:hAnsi="Arial"/>
          <w:sz w:val="22"/>
          <w:szCs w:val="22"/>
          <w:color w:val="auto"/>
        </w:rPr>
        <w:t>Telephone Number (302) 995-3000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-521335</wp:posOffset>
            </wp:positionH>
            <wp:positionV relativeFrom="paragraph">
              <wp:posOffset>897890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139065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29"/>
          </w:cols>
          <w:pgMar w:left="1130"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ASHLAND EMPLOYEE SAVINGS PLAN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STATEMENTS AND SCHEDULES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2025 and 2024 and for the year ended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2025, with Report of Independent Registered Public Accounting Firm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880" w:type="dxa"/>
            <w:vAlign w:val="bottom"/>
          </w:tcPr>
          <w:p>
            <w:pPr>
              <w:spacing w:after="0"/>
              <w:rPr>
                <w:sz w:val="24"/>
                <w:szCs w:val="24"/>
                <w:color w:val="auto"/>
              </w:rPr>
            </w:pPr>
          </w:p>
        </w:tc>
        <w:tc>
          <w:tcPr>
            <w:tcW w:w="7580" w:type="dxa"/>
            <w:vAlign w:val="bottom"/>
            <w:gridSpan w:val="5"/>
          </w:tcPr>
          <w:p>
            <w:pPr>
              <w:ind w:left="1580"/>
              <w:spacing w:after="0"/>
              <w:rPr>
                <w:sz w:val="20"/>
                <w:szCs w:val="20"/>
                <w:color w:val="auto"/>
              </w:rPr>
            </w:pPr>
            <w:r>
              <w:rPr>
                <w:rFonts w:ascii="Arial" w:cs="Arial" w:eastAsia="Arial" w:hAnsi="Arial"/>
                <w:sz w:val="22"/>
                <w:szCs w:val="22"/>
                <w:b w:val="1"/>
                <w:bCs w:val="1"/>
                <w:color w:val="auto"/>
              </w:rPr>
              <w:t>TABLE OF CONTENTS</w:t>
            </w:r>
          </w:p>
        </w:tc>
        <w:tc>
          <w:tcPr>
            <w:tcW w:w="780" w:type="dxa"/>
            <w:vAlign w:val="bottom"/>
          </w:tcPr>
          <w:p>
            <w:pPr>
              <w:spacing w:after="0"/>
              <w:rPr>
                <w:sz w:val="24"/>
                <w:szCs w:val="24"/>
                <w:color w:val="auto"/>
              </w:rPr>
            </w:pPr>
          </w:p>
        </w:tc>
      </w:tr>
      <w:tr>
        <w:trPr>
          <w:trHeight w:val="420"/>
        </w:trPr>
        <w:tc>
          <w:tcPr>
            <w:tcW w:w="2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Page</w:t>
            </w:r>
          </w:p>
        </w:tc>
      </w:tr>
      <w:tr>
        <w:trPr>
          <w:trHeight w:val="398"/>
        </w:trPr>
        <w:tc>
          <w:tcPr>
            <w:tcW w:w="5540" w:type="dxa"/>
            <w:vAlign w:val="bottom"/>
            <w:tcBorders>
              <w:bottom w:val="single" w:sz="8" w:color="0563C1"/>
            </w:tcBorders>
            <w:gridSpan w:val="3"/>
          </w:tcPr>
          <w:p>
            <w:pPr>
              <w:spacing w:after="0"/>
              <w:rPr>
                <w:sz w:val="20"/>
                <w:szCs w:val="20"/>
                <w:color w:val="auto"/>
              </w:rPr>
            </w:pPr>
            <w:r>
              <w:rPr>
                <w:rFonts w:ascii="Arial" w:cs="Arial" w:eastAsia="Arial" w:hAnsi="Arial"/>
                <w:sz w:val="22"/>
                <w:szCs w:val="22"/>
                <w:color w:val="0563C1"/>
                <w:w w:val="98"/>
              </w:rPr>
              <w:t>Report of Independent Registered Public Accounting Firm</w:t>
            </w:r>
          </w:p>
        </w:tc>
        <w:tc>
          <w:tcPr>
            <w:tcW w:w="492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480"/>
        </w:trPr>
        <w:tc>
          <w:tcPr>
            <w:tcW w:w="10460" w:type="dxa"/>
            <w:vAlign w:val="bottom"/>
            <w:gridSpan w:val="6"/>
          </w:tcPr>
          <w:p>
            <w:pPr>
              <w:spacing w:after="0"/>
              <w:rPr>
                <w:sz w:val="20"/>
                <w:szCs w:val="20"/>
                <w:color w:val="auto"/>
              </w:rPr>
            </w:pPr>
            <w:r>
              <w:rPr>
                <w:rFonts w:ascii="Arial" w:cs="Arial" w:eastAsia="Arial" w:hAnsi="Arial"/>
                <w:sz w:val="22"/>
                <w:szCs w:val="22"/>
                <w:color w:val="auto"/>
              </w:rPr>
              <w:t>Audited Financial Statements</w:t>
            </w:r>
          </w:p>
        </w:tc>
        <w:tc>
          <w:tcPr>
            <w:tcW w:w="780" w:type="dxa"/>
            <w:vAlign w:val="bottom"/>
          </w:tcPr>
          <w:p>
            <w:pPr>
              <w:spacing w:after="0"/>
              <w:rPr>
                <w:sz w:val="24"/>
                <w:szCs w:val="24"/>
                <w:color w:val="auto"/>
              </w:rPr>
            </w:pPr>
          </w:p>
        </w:tc>
      </w:tr>
      <w:tr>
        <w:trPr>
          <w:trHeight w:val="391"/>
        </w:trPr>
        <w:tc>
          <w:tcPr>
            <w:tcW w:w="454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98"/>
              </w:rPr>
              <w:t>Statements of Net Assets Available for Benefits</w:t>
            </w:r>
          </w:p>
        </w:tc>
        <w:tc>
          <w:tcPr>
            <w:tcW w:w="592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23"/>
        </w:trPr>
        <w:tc>
          <w:tcPr>
            <w:tcW w:w="5580" w:type="dxa"/>
            <w:vAlign w:val="bottom"/>
            <w:tcBorders>
              <w:bottom w:val="single" w:sz="8" w:color="0563C1"/>
            </w:tcBorders>
            <w:gridSpan w:val="4"/>
          </w:tcPr>
          <w:p>
            <w:pPr>
              <w:spacing w:after="0" w:line="223" w:lineRule="exact"/>
              <w:rPr>
                <w:sz w:val="20"/>
                <w:szCs w:val="20"/>
                <w:color w:val="auto"/>
              </w:rPr>
            </w:pPr>
            <w:r>
              <w:rPr>
                <w:rFonts w:ascii="Arial" w:cs="Arial" w:eastAsia="Arial" w:hAnsi="Arial"/>
                <w:sz w:val="22"/>
                <w:szCs w:val="22"/>
                <w:color w:val="0563C1"/>
                <w:w w:val="97"/>
              </w:rPr>
              <w:t>Statement of Changes in Net Assets Available for Benefits</w:t>
            </w:r>
          </w:p>
        </w:tc>
        <w:tc>
          <w:tcPr>
            <w:tcW w:w="4880" w:type="dxa"/>
            <w:vAlign w:val="bottom"/>
            <w:gridSpan w:val="2"/>
          </w:tcPr>
          <w:p>
            <w:pPr>
              <w:spacing w:after="0"/>
              <w:rPr>
                <w:sz w:val="19"/>
                <w:szCs w:val="19"/>
                <w:color w:val="auto"/>
              </w:rPr>
            </w:pPr>
          </w:p>
        </w:tc>
        <w:tc>
          <w:tcPr>
            <w:tcW w:w="780" w:type="dxa"/>
            <w:vAlign w:val="bottom"/>
          </w:tcPr>
          <w:p>
            <w:pPr>
              <w:jc w:val="right"/>
              <w:spacing w:after="0" w:line="223" w:lineRule="exact"/>
              <w:rPr>
                <w:sz w:val="20"/>
                <w:szCs w:val="20"/>
                <w:color w:val="auto"/>
              </w:rPr>
            </w:pPr>
            <w:r>
              <w:rPr>
                <w:rFonts w:ascii="Arial" w:cs="Arial" w:eastAsia="Arial" w:hAnsi="Arial"/>
                <w:sz w:val="22"/>
                <w:szCs w:val="22"/>
                <w:color w:val="auto"/>
              </w:rPr>
              <w:t>6</w:t>
            </w:r>
          </w:p>
        </w:tc>
      </w:tr>
      <w:tr>
        <w:trPr>
          <w:trHeight w:val="223"/>
        </w:trPr>
        <w:tc>
          <w:tcPr>
            <w:tcW w:w="10460" w:type="dxa"/>
            <w:vAlign w:val="bottom"/>
            <w:gridSpan w:val="6"/>
          </w:tcPr>
          <w:p>
            <w:pPr>
              <w:spacing w:after="0" w:line="223" w:lineRule="exact"/>
              <w:rPr>
                <w:sz w:val="20"/>
                <w:szCs w:val="20"/>
                <w:color w:val="auto"/>
              </w:rPr>
            </w:pPr>
            <w:r>
              <w:rPr>
                <w:rFonts w:ascii="Arial" w:cs="Arial" w:eastAsia="Arial" w:hAnsi="Arial"/>
                <w:sz w:val="22"/>
                <w:szCs w:val="22"/>
                <w:color w:val="0563C1"/>
              </w:rPr>
              <w:t>Notes to Financial Statements</w:t>
            </w:r>
          </w:p>
        </w:tc>
        <w:tc>
          <w:tcPr>
            <w:tcW w:w="780" w:type="dxa"/>
            <w:vAlign w:val="bottom"/>
          </w:tcPr>
          <w:p>
            <w:pPr>
              <w:jc w:val="right"/>
              <w:spacing w:after="0" w:line="223" w:lineRule="exact"/>
              <w:rPr>
                <w:sz w:val="20"/>
                <w:szCs w:val="20"/>
                <w:color w:val="auto"/>
              </w:rPr>
            </w:pPr>
            <w:r>
              <w:rPr>
                <w:rFonts w:ascii="Arial" w:cs="Arial" w:eastAsia="Arial" w:hAnsi="Arial"/>
                <w:sz w:val="22"/>
                <w:szCs w:val="22"/>
                <w:color w:val="auto"/>
              </w:rPr>
              <w:t>7</w:t>
            </w:r>
          </w:p>
        </w:tc>
      </w:tr>
      <w:tr>
        <w:trPr>
          <w:trHeight w:val="480"/>
        </w:trPr>
        <w:tc>
          <w:tcPr>
            <w:tcW w:w="2880" w:type="dxa"/>
            <w:vAlign w:val="bottom"/>
            <w:tcBorders>
              <w:top w:val="single" w:sz="8" w:color="0563C1"/>
            </w:tcBorders>
          </w:tcPr>
          <w:p>
            <w:pPr>
              <w:spacing w:after="0"/>
              <w:rPr>
                <w:sz w:val="20"/>
                <w:szCs w:val="20"/>
                <w:color w:val="auto"/>
              </w:rPr>
            </w:pPr>
            <w:r>
              <w:rPr>
                <w:rFonts w:ascii="Arial" w:cs="Arial" w:eastAsia="Arial" w:hAnsi="Arial"/>
                <w:sz w:val="22"/>
                <w:szCs w:val="22"/>
                <w:color w:val="auto"/>
              </w:rPr>
              <w:t>Supplemental Schedule *</w:t>
            </w:r>
          </w:p>
        </w:tc>
        <w:tc>
          <w:tcPr>
            <w:tcW w:w="758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r>
      <w:tr>
        <w:trPr>
          <w:trHeight w:val="391"/>
        </w:trPr>
        <w:tc>
          <w:tcPr>
            <w:tcW w:w="6060" w:type="dxa"/>
            <w:vAlign w:val="bottom"/>
            <w:tcBorders>
              <w:bottom w:val="single" w:sz="8" w:color="0563C1"/>
            </w:tcBorders>
            <w:gridSpan w:val="5"/>
          </w:tcPr>
          <w:p>
            <w:pPr>
              <w:spacing w:after="0"/>
              <w:rPr>
                <w:sz w:val="20"/>
                <w:szCs w:val="20"/>
                <w:color w:val="auto"/>
              </w:rPr>
            </w:pPr>
            <w:r>
              <w:rPr>
                <w:rFonts w:ascii="Arial" w:cs="Arial" w:eastAsia="Arial" w:hAnsi="Arial"/>
                <w:sz w:val="22"/>
                <w:szCs w:val="22"/>
                <w:color w:val="0563C1"/>
                <w:w w:val="97"/>
              </w:rPr>
              <w:t>Schedule H; Line 4i – Schedule of Assets (Held at End of Year)</w:t>
            </w:r>
          </w:p>
        </w:tc>
        <w:tc>
          <w:tcPr>
            <w:tcW w:w="4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19</w:t>
            </w:r>
          </w:p>
        </w:tc>
      </w:tr>
    </w:tbl>
    <w:p>
      <w:pPr>
        <w:spacing w:after="0" w:line="203" w:lineRule="exact"/>
        <w:rPr>
          <w:sz w:val="20"/>
          <w:szCs w:val="20"/>
          <w:color w:val="auto"/>
        </w:rPr>
      </w:pPr>
    </w:p>
    <w:p>
      <w:pPr>
        <w:jc w:val="both"/>
        <w:ind w:left="580" w:hanging="198"/>
        <w:spacing w:after="0" w:line="245" w:lineRule="auto"/>
        <w:tabs>
          <w:tab w:leader="none" w:pos="569" w:val="left"/>
        </w:tabs>
        <w:numPr>
          <w:ilvl w:val="0"/>
          <w:numId w:val="5"/>
        </w:numPr>
        <w:rPr>
          <w:rFonts w:ascii="Arial" w:cs="Arial" w:eastAsia="Arial" w:hAnsi="Arial"/>
          <w:sz w:val="22"/>
          <w:szCs w:val="22"/>
          <w:color w:val="auto"/>
        </w:rPr>
      </w:pPr>
      <w:r>
        <w:rPr>
          <w:rFonts w:ascii="Arial" w:cs="Arial" w:eastAsia="Arial" w:hAnsi="Arial"/>
          <w:sz w:val="22"/>
          <w:szCs w:val="22"/>
          <w:color w:val="auto"/>
        </w:rPr>
        <w:t>Other schedules required by Section 2520.103-10 of the Department of Labor’s Rules and Regulations for Reporting and Disclosure under the Employee Retirement Income Security Act of 1974 have been omitted because they are not applicable.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4614545</wp:posOffset>
            </wp:positionH>
            <wp:positionV relativeFrom="page">
              <wp:posOffset>628650</wp:posOffset>
            </wp:positionV>
            <wp:extent cx="2726055" cy="814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72605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the Investment and Administrative Oversight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Participants of the Ashland Employee Savings Plan</w:t>
      </w:r>
    </w:p>
    <w:p>
      <w:pPr>
        <w:spacing w:after="0"/>
        <w:rPr>
          <w:sz w:val="20"/>
          <w:szCs w:val="20"/>
          <w:color w:val="auto"/>
        </w:rPr>
      </w:pPr>
      <w:r>
        <w:rPr>
          <w:rFonts w:ascii="Arial" w:cs="Arial" w:eastAsia="Arial" w:hAnsi="Arial"/>
          <w:sz w:val="18"/>
          <w:szCs w:val="18"/>
          <w:color w:val="auto"/>
        </w:rPr>
        <w:t>Wilmington, Delaware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statements of net assets available for benefits of the Ashland Employee Savings Plan (the “Plan”) as of December 31, 2025 and 2024, and the related statement of changes in net assets available for benefits for the year ended December 31, 2025, and the related notes and schedules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supplemental information contained in the accompanying schedule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71" w:lineRule="auto"/>
        <w:rPr>
          <w:sz w:val="20"/>
          <w:szCs w:val="20"/>
          <w:color w:val="auto"/>
        </w:rPr>
      </w:pPr>
      <w:r>
        <w:rPr>
          <w:rFonts w:ascii="Arial" w:cs="Arial" w:eastAsia="Arial" w:hAnsi="Arial"/>
          <w:sz w:val="18"/>
          <w:szCs w:val="18"/>
          <w:color w:val="auto"/>
        </w:rPr>
        <w:t>Employee Retirement Income Security Act of 1974. In our opinion, the supplemental information in the accompanying schedule is fairly stated, in all material respects, in relation to the financial statements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41478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Lexington, Kentucky</w:t>
      </w:r>
    </w:p>
    <w:p>
      <w:pPr>
        <w:spacing w:after="0" w:line="231" w:lineRule="auto"/>
        <w:rPr>
          <w:sz w:val="20"/>
          <w:szCs w:val="20"/>
          <w:color w:val="auto"/>
        </w:rPr>
      </w:pPr>
      <w:r>
        <w:rPr>
          <w:rFonts w:ascii="Arial" w:cs="Arial" w:eastAsia="Arial" w:hAnsi="Arial"/>
          <w:sz w:val="18"/>
          <w:szCs w:val="18"/>
          <w:color w:val="auto"/>
        </w:rPr>
        <w:t>June 17, 2026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ASHLAND EMPLOYEE SAVINGS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STATEMENTS OF NET ASSETS AVAILABLE FOR BENEFITS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4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Interest in the Ashland Inc Savings Plan Master Trust:</w:t>
            </w: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Investments at fair value</w:t>
            </w:r>
          </w:p>
        </w:tc>
        <w:tc>
          <w:tcPr>
            <w:tcW w:w="182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1,217,361</w:t>
            </w:r>
          </w:p>
        </w:tc>
        <w:tc>
          <w:tcPr>
            <w:tcW w:w="720" w:type="dxa"/>
            <w:vAlign w:val="bottom"/>
            <w:gridSpan w:val="2"/>
            <w:shd w:val="clear" w:color="auto" w:fill="CFF0FC"/>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1,167,462</w:t>
            </w:r>
          </w:p>
        </w:tc>
        <w:tc>
          <w:tcPr>
            <w:tcW w:w="0" w:type="dxa"/>
            <w:vAlign w:val="bottom"/>
          </w:tcPr>
          <w:p>
            <w:pPr>
              <w:spacing w:after="0"/>
              <w:rPr>
                <w:sz w:val="1"/>
                <w:szCs w:val="1"/>
                <w:color w:val="auto"/>
              </w:rPr>
            </w:pPr>
          </w:p>
        </w:tc>
      </w:tr>
      <w:tr>
        <w:trPr>
          <w:trHeight w:val="203"/>
        </w:trPr>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Investment contracts at contract value</w:t>
            </w: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112,312</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131,108</w:t>
            </w: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Receivables:</w:t>
            </w:r>
          </w:p>
        </w:tc>
        <w:tc>
          <w:tcPr>
            <w:tcW w:w="1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Participant contributions</w:t>
            </w: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5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Employer contributions</w:t>
            </w:r>
          </w:p>
        </w:tc>
        <w:tc>
          <w:tcPr>
            <w:tcW w:w="1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Notes receivable from participants</w:t>
            </w:r>
          </w:p>
        </w:tc>
        <w:tc>
          <w:tcPr>
            <w:tcW w:w="14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7,342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1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1,337,051</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1,306,775</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14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1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162</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Net assets available for benefits</w:t>
            </w:r>
          </w:p>
        </w:tc>
        <w:tc>
          <w:tcPr>
            <w:tcW w:w="14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1,336,889</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80"/>
              <w:spacing w:after="0" w:line="18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1,306,613</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 to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97"/>
        </w:trPr>
        <w:tc>
          <w:tcPr>
            <w:tcW w:w="9560" w:type="dxa"/>
            <w:vAlign w:val="bottom"/>
          </w:tcPr>
          <w:p>
            <w:pPr>
              <w:jc w:val="center"/>
              <w:ind w:left="1587"/>
              <w:spacing w:after="0"/>
              <w:rPr>
                <w:sz w:val="20"/>
                <w:szCs w:val="20"/>
                <w:color w:val="auto"/>
              </w:rPr>
            </w:pPr>
            <w:r>
              <w:rPr>
                <w:rFonts w:ascii="Arial" w:cs="Arial" w:eastAsia="Arial" w:hAnsi="Arial"/>
                <w:sz w:val="22"/>
                <w:szCs w:val="22"/>
                <w:b w:val="1"/>
                <w:bCs w:val="1"/>
                <w:color w:val="auto"/>
                <w:w w:val="98"/>
              </w:rPr>
              <w:t>ASHLAND EMPLOYEE SAVINGS PLAN</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9560" w:type="dxa"/>
            <w:vAlign w:val="bottom"/>
          </w:tcPr>
          <w:p>
            <w:pPr>
              <w:jc w:val="center"/>
              <w:ind w:left="1607"/>
              <w:spacing w:after="0"/>
              <w:rPr>
                <w:sz w:val="20"/>
                <w:szCs w:val="20"/>
                <w:color w:val="auto"/>
              </w:rPr>
            </w:pPr>
            <w:r>
              <w:rPr>
                <w:rFonts w:ascii="Arial" w:cs="Arial" w:eastAsia="Arial" w:hAnsi="Arial"/>
                <w:sz w:val="22"/>
                <w:szCs w:val="22"/>
                <w:b w:val="1"/>
                <w:bCs w:val="1"/>
                <w:color w:val="auto"/>
                <w:w w:val="98"/>
              </w:rPr>
              <w:t>STATEMENT OF CHANGES IN NET ASSETS AVAILABLE FOR BENEFITS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9560" w:type="dxa"/>
            <w:vAlign w:val="bottom"/>
          </w:tcPr>
          <w:p>
            <w:pPr>
              <w:jc w:val="center"/>
              <w:ind w:left="1547"/>
              <w:spacing w:after="0"/>
              <w:rPr>
                <w:sz w:val="20"/>
                <w:szCs w:val="20"/>
                <w:color w:val="auto"/>
              </w:rPr>
            </w:pPr>
            <w:r>
              <w:rPr>
                <w:rFonts w:ascii="Arial" w:cs="Arial" w:eastAsia="Arial" w:hAnsi="Arial"/>
                <w:sz w:val="22"/>
                <w:szCs w:val="22"/>
                <w:b w:val="1"/>
                <w:bCs w:val="1"/>
                <w:color w:val="auto"/>
                <w:w w:val="98"/>
              </w:rPr>
              <w:t>Year Ended December 31, 2025</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9560" w:type="dxa"/>
            <w:vAlign w:val="bottom"/>
          </w:tcPr>
          <w:p>
            <w:pPr>
              <w:spacing w:after="0"/>
              <w:rPr>
                <w:sz w:val="20"/>
                <w:szCs w:val="20"/>
                <w:color w:val="auto"/>
              </w:rPr>
            </w:pPr>
            <w:r>
              <w:rPr>
                <w:rFonts w:ascii="Arial" w:cs="Arial" w:eastAsia="Arial" w:hAnsi="Arial"/>
                <w:sz w:val="18"/>
                <w:szCs w:val="18"/>
                <w:color w:val="auto"/>
              </w:rPr>
              <w:t>(in thousands)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95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Additions to net assets attributed to:</w:t>
            </w: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ind w:left="380"/>
              <w:spacing w:after="0" w:line="202" w:lineRule="exact"/>
              <w:rPr>
                <w:sz w:val="20"/>
                <w:szCs w:val="20"/>
                <w:color w:val="auto"/>
              </w:rPr>
            </w:pPr>
            <w:r>
              <w:rPr>
                <w:rFonts w:ascii="Arial" w:cs="Arial" w:eastAsia="Arial" w:hAnsi="Arial"/>
                <w:sz w:val="18"/>
                <w:szCs w:val="18"/>
                <w:color w:val="auto"/>
              </w:rPr>
              <w:t>Contributions:</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rPr>
              <w:t>Participants</w:t>
            </w: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14,428</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ind w:left="620"/>
              <w:spacing w:after="0" w:line="202" w:lineRule="exact"/>
              <w:rPr>
                <w:sz w:val="20"/>
                <w:szCs w:val="20"/>
                <w:color w:val="auto"/>
              </w:rPr>
            </w:pPr>
            <w:r>
              <w:rPr>
                <w:rFonts w:ascii="Arial" w:cs="Arial" w:eastAsia="Arial" w:hAnsi="Arial"/>
                <w:sz w:val="18"/>
                <w:szCs w:val="18"/>
                <w:color w:val="auto"/>
              </w:rPr>
              <w:t>Employers</w:t>
            </w:r>
          </w:p>
        </w:tc>
        <w:tc>
          <w:tcPr>
            <w:tcW w:w="4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11,178</w:t>
            </w: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rPr>
              <w:t>Rollover</w:t>
            </w: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2,189</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ind w:left="380"/>
              <w:spacing w:after="0" w:line="202" w:lineRule="exact"/>
              <w:rPr>
                <w:sz w:val="20"/>
                <w:szCs w:val="20"/>
                <w:color w:val="auto"/>
              </w:rPr>
            </w:pPr>
            <w:r>
              <w:rPr>
                <w:rFonts w:ascii="Arial" w:cs="Arial" w:eastAsia="Arial" w:hAnsi="Arial"/>
                <w:sz w:val="18"/>
                <w:szCs w:val="18"/>
                <w:color w:val="auto"/>
              </w:rPr>
              <w:t>Loan interest</w:t>
            </w:r>
          </w:p>
        </w:tc>
        <w:tc>
          <w:tcPr>
            <w:tcW w:w="4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675</w:t>
            </w:r>
          </w:p>
        </w:tc>
        <w:tc>
          <w:tcPr>
            <w:tcW w:w="100" w:type="dxa"/>
            <w:vAlign w:val="bottom"/>
          </w:tcPr>
          <w:p>
            <w:pPr>
              <w:spacing w:after="0"/>
              <w:rPr>
                <w:sz w:val="17"/>
                <w:szCs w:val="17"/>
                <w:color w:val="auto"/>
              </w:rPr>
            </w:pPr>
          </w:p>
        </w:tc>
      </w:tr>
      <w:tr>
        <w:trPr>
          <w:trHeight w:val="203"/>
        </w:trPr>
        <w:tc>
          <w:tcPr>
            <w:tcW w:w="956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Plan interest in Ashland Inc Savings Plan Master Trust investment income</w:t>
            </w: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184,523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560" w:type="dxa"/>
            <w:vAlign w:val="bottom"/>
          </w:tcPr>
          <w:p>
            <w:pPr>
              <w:spacing w:after="0" w:line="196" w:lineRule="exact"/>
              <w:rPr>
                <w:sz w:val="20"/>
                <w:szCs w:val="20"/>
                <w:color w:val="auto"/>
              </w:rPr>
            </w:pPr>
            <w:r>
              <w:rPr>
                <w:rFonts w:ascii="Arial" w:cs="Arial" w:eastAsia="Arial" w:hAnsi="Arial"/>
                <w:sz w:val="18"/>
                <w:szCs w:val="18"/>
                <w:color w:val="auto"/>
              </w:rPr>
              <w:t>Total additions</w:t>
            </w:r>
          </w:p>
        </w:tc>
        <w:tc>
          <w:tcPr>
            <w:tcW w:w="4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212,993</w:t>
            </w: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line="202" w:lineRule="exact"/>
              <w:rPr>
                <w:sz w:val="20"/>
                <w:szCs w:val="20"/>
                <w:color w:val="auto"/>
              </w:rPr>
            </w:pPr>
            <w:r>
              <w:rPr>
                <w:rFonts w:ascii="Arial" w:cs="Arial" w:eastAsia="Arial" w:hAnsi="Arial"/>
                <w:sz w:val="18"/>
                <w:szCs w:val="18"/>
                <w:b w:val="1"/>
                <w:bCs w:val="1"/>
                <w:color w:val="auto"/>
              </w:rPr>
              <w:t>Deductions from net assets attributed to:</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Benefits paid to participants</w:t>
            </w:r>
          </w:p>
        </w:tc>
        <w:tc>
          <w:tcPr>
            <w:tcW w:w="4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(182,272)</w:t>
            </w:r>
          </w:p>
        </w:tc>
      </w:tr>
      <w:tr>
        <w:trPr>
          <w:trHeight w:val="203"/>
        </w:trPr>
        <w:tc>
          <w:tcPr>
            <w:tcW w:w="9560" w:type="dxa"/>
            <w:vAlign w:val="bottom"/>
          </w:tcPr>
          <w:p>
            <w:pPr>
              <w:ind w:left="380"/>
              <w:spacing w:after="0" w:line="202" w:lineRule="exact"/>
              <w:rPr>
                <w:sz w:val="20"/>
                <w:szCs w:val="20"/>
                <w:color w:val="auto"/>
              </w:rPr>
            </w:pPr>
            <w:r>
              <w:rPr>
                <w:rFonts w:ascii="Arial" w:cs="Arial" w:eastAsia="Arial" w:hAnsi="Arial"/>
                <w:sz w:val="18"/>
                <w:szCs w:val="18"/>
                <w:color w:val="auto"/>
              </w:rPr>
              <w:t>Administrative expenses</w:t>
            </w:r>
          </w:p>
        </w:tc>
        <w:tc>
          <w:tcPr>
            <w:tcW w:w="44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(445)</w:t>
            </w:r>
          </w:p>
        </w:tc>
      </w:tr>
      <w:tr>
        <w:trPr>
          <w:trHeight w:val="20"/>
        </w:trPr>
        <w:tc>
          <w:tcPr>
            <w:tcW w:w="9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deductions</w:t>
            </w:r>
          </w:p>
        </w:tc>
        <w:tc>
          <w:tcPr>
            <w:tcW w:w="4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(182,717)</w:t>
            </w:r>
          </w:p>
        </w:tc>
      </w:tr>
      <w:tr>
        <w:trPr>
          <w:trHeight w:val="203"/>
        </w:trPr>
        <w:tc>
          <w:tcPr>
            <w:tcW w:w="95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95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change in plan assets</w:t>
            </w: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30,276</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line="202" w:lineRule="exact"/>
              <w:rPr>
                <w:sz w:val="20"/>
                <w:szCs w:val="20"/>
                <w:color w:val="auto"/>
              </w:rPr>
            </w:pPr>
            <w:r>
              <w:rPr>
                <w:rFonts w:ascii="Arial" w:cs="Arial" w:eastAsia="Arial" w:hAnsi="Arial"/>
                <w:sz w:val="18"/>
                <w:szCs w:val="18"/>
                <w:b w:val="1"/>
                <w:bCs w:val="1"/>
                <w:color w:val="auto"/>
              </w:rPr>
              <w:t>Net assets available for benefits, beginning of year</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1,306,613</w:t>
            </w:r>
          </w:p>
        </w:tc>
        <w:tc>
          <w:tcPr>
            <w:tcW w:w="100" w:type="dxa"/>
            <w:vAlign w:val="bottom"/>
          </w:tcPr>
          <w:p>
            <w:pPr>
              <w:spacing w:after="0"/>
              <w:rPr>
                <w:sz w:val="17"/>
                <w:szCs w:val="17"/>
                <w:color w:val="auto"/>
              </w:rPr>
            </w:pPr>
          </w:p>
        </w:tc>
      </w:tr>
      <w:tr>
        <w:trPr>
          <w:trHeight w:val="196"/>
        </w:trPr>
        <w:tc>
          <w:tcPr>
            <w:tcW w:w="95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line="182" w:lineRule="exact"/>
              <w:rPr>
                <w:sz w:val="20"/>
                <w:szCs w:val="20"/>
                <w:color w:val="auto"/>
              </w:rPr>
            </w:pPr>
            <w:r>
              <w:rPr>
                <w:rFonts w:ascii="Arial" w:cs="Arial" w:eastAsia="Arial" w:hAnsi="Arial"/>
                <w:sz w:val="18"/>
                <w:szCs w:val="18"/>
                <w:b w:val="1"/>
                <w:bCs w:val="1"/>
                <w:color w:val="auto"/>
              </w:rPr>
              <w:t>Net assets available for benefits, end of year</w:t>
            </w:r>
          </w:p>
        </w:tc>
        <w:tc>
          <w:tcPr>
            <w:tcW w:w="4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1,336,889</w:t>
            </w:r>
          </w:p>
        </w:tc>
        <w:tc>
          <w:tcPr>
            <w:tcW w:w="100" w:type="dxa"/>
            <w:vAlign w:val="bottom"/>
          </w:tcPr>
          <w:p>
            <w:pPr>
              <w:spacing w:after="0"/>
              <w:rPr>
                <w:sz w:val="17"/>
                <w:szCs w:val="17"/>
                <w:color w:val="auto"/>
              </w:rPr>
            </w:pPr>
          </w:p>
        </w:tc>
      </w:tr>
      <w:tr>
        <w:trPr>
          <w:trHeight w:val="20"/>
        </w:trPr>
        <w:tc>
          <w:tcPr>
            <w:tcW w:w="9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 to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ASHLAND EMPLOYEE SAVINGS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2025 and 2024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participant and per share data)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A – DESCRIPTION OF THE PLAN</w:t>
      </w:r>
    </w:p>
    <w:p>
      <w:pPr>
        <w:spacing w:after="0" w:line="100" w:lineRule="exact"/>
        <w:rPr>
          <w:sz w:val="20"/>
          <w:szCs w:val="20"/>
          <w:color w:val="auto"/>
        </w:rPr>
      </w:pPr>
    </w:p>
    <w:p>
      <w:pPr>
        <w:jc w:val="both"/>
        <w:ind w:left="380"/>
        <w:spacing w:after="0" w:line="234" w:lineRule="auto"/>
        <w:rPr>
          <w:sz w:val="20"/>
          <w:szCs w:val="20"/>
          <w:color w:val="auto"/>
        </w:rPr>
      </w:pPr>
      <w:r>
        <w:rPr>
          <w:rFonts w:ascii="Arial" w:cs="Arial" w:eastAsia="Arial" w:hAnsi="Arial"/>
          <w:sz w:val="22"/>
          <w:szCs w:val="22"/>
          <w:color w:val="auto"/>
        </w:rPr>
        <w:t>The following description of the Ashland Employee Savings Plan (Plan) provides only general information. The information in this Note is not a Summary Plan Description or Plan document, as these terms are defined under the Employee Retirement Income Security Act of 1974 (ERISA). Instead, this information merely summarizes selected aspects of the Plan. Read the Summary Plan Description or the Plan document for more information about the Plan. The Plan document controls the terms of the Plan and supersedes any inconsistencies contained herein or in the Summary Plan Description. The Ashland Inc. Investment and Administrative Oversight Committee (the IAOC), as Plan Administrator, retains all rights to determine, interpret and apply the Plan’s terms to factual matters and matters of law. This retained discretionary authority is more particularly described in the Summary Plan Description and in the Plan document.</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General</w:t>
      </w:r>
    </w:p>
    <w:p>
      <w:pPr>
        <w:spacing w:after="0" w:line="100" w:lineRule="exact"/>
        <w:rPr>
          <w:sz w:val="20"/>
          <w:szCs w:val="20"/>
          <w:color w:val="auto"/>
        </w:rPr>
      </w:pPr>
    </w:p>
    <w:p>
      <w:pPr>
        <w:jc w:val="both"/>
        <w:ind w:left="380"/>
        <w:spacing w:after="0"/>
        <w:rPr>
          <w:sz w:val="20"/>
          <w:szCs w:val="20"/>
          <w:color w:val="auto"/>
        </w:rPr>
      </w:pPr>
      <w:r>
        <w:rPr>
          <w:rFonts w:ascii="Arial" w:cs="Arial" w:eastAsia="Arial" w:hAnsi="Arial"/>
          <w:sz w:val="22"/>
          <w:szCs w:val="22"/>
          <w:color w:val="auto"/>
        </w:rPr>
        <w:t>The Plan is a contributory, defined contribution plan and covers active regular employees in groups designated by Ashland, the Plan sponsor, as eligible to participate in accordance with Plan documents. The Plan is intended to qualify under sections 401(a), 401(k), and 401(m) of the Internal Revenue Code (IRC), and under section 404(c) of ERISA.</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Contributions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2"/>
          <w:szCs w:val="22"/>
          <w:i w:val="1"/>
          <w:iCs w:val="1"/>
          <w:color w:val="auto"/>
        </w:rPr>
        <w:t>Eligibility and Employee Contributions</w:t>
      </w:r>
    </w:p>
    <w:p>
      <w:pPr>
        <w:spacing w:after="0" w:line="98" w:lineRule="exact"/>
        <w:rPr>
          <w:sz w:val="20"/>
          <w:szCs w:val="20"/>
          <w:color w:val="auto"/>
        </w:rPr>
      </w:pPr>
    </w:p>
    <w:p>
      <w:pPr>
        <w:jc w:val="both"/>
        <w:ind w:left="380"/>
        <w:spacing w:after="0" w:line="259" w:lineRule="auto"/>
        <w:rPr>
          <w:sz w:val="20"/>
          <w:szCs w:val="20"/>
          <w:color w:val="auto"/>
        </w:rPr>
      </w:pPr>
      <w:r>
        <w:rPr>
          <w:rFonts w:ascii="Arial" w:cs="Arial" w:eastAsia="Arial" w:hAnsi="Arial"/>
          <w:sz w:val="22"/>
          <w:szCs w:val="22"/>
          <w:color w:val="auto"/>
        </w:rPr>
        <w:t>Employees in designated eligible groups may immediately enroll in the Plan, regardless of the amount of Company service.</w:t>
      </w:r>
    </w:p>
    <w:p>
      <w:pPr>
        <w:spacing w:after="0" w:line="48" w:lineRule="exact"/>
        <w:rPr>
          <w:sz w:val="20"/>
          <w:szCs w:val="20"/>
          <w:color w:val="auto"/>
        </w:rPr>
      </w:pPr>
    </w:p>
    <w:p>
      <w:pPr>
        <w:jc w:val="both"/>
        <w:ind w:left="380"/>
        <w:spacing w:after="0" w:line="238" w:lineRule="auto"/>
        <w:rPr>
          <w:sz w:val="20"/>
          <w:szCs w:val="20"/>
          <w:color w:val="auto"/>
        </w:rPr>
      </w:pPr>
      <w:r>
        <w:rPr>
          <w:rFonts w:ascii="Arial" w:cs="Arial" w:eastAsia="Arial" w:hAnsi="Arial"/>
          <w:sz w:val="22"/>
          <w:szCs w:val="22"/>
          <w:color w:val="auto"/>
        </w:rPr>
        <w:t>Participants may make pre-tax contributions, pursuant to the terms of the Plan and Section 401(k) of the IRC. The Plan utilizes a safe harbor design under Section 401(k)(12) of the IRC. The Plan also allows participants to make after-tax Roth 401(k) contributions. Ashland and its participating subsidiaries also make matching contributions related to participant contributions, subject to applicable limitations in the Plan and IRC. All employees are eligible for Ashland’s matching contribution immediately upon participation.</w:t>
      </w:r>
    </w:p>
    <w:p>
      <w:pPr>
        <w:spacing w:after="0" w:line="69" w:lineRule="exact"/>
        <w:rPr>
          <w:sz w:val="20"/>
          <w:szCs w:val="20"/>
          <w:color w:val="auto"/>
        </w:rPr>
      </w:pPr>
    </w:p>
    <w:p>
      <w:pPr>
        <w:jc w:val="both"/>
        <w:ind w:left="380"/>
        <w:spacing w:after="0" w:line="234" w:lineRule="auto"/>
        <w:rPr>
          <w:sz w:val="20"/>
          <w:szCs w:val="20"/>
          <w:color w:val="auto"/>
        </w:rPr>
      </w:pPr>
      <w:r>
        <w:rPr>
          <w:rFonts w:ascii="Arial" w:cs="Arial" w:eastAsia="Arial" w:hAnsi="Arial"/>
          <w:sz w:val="22"/>
          <w:szCs w:val="22"/>
          <w:color w:val="auto"/>
        </w:rPr>
        <w:t>Participants may contribute from 1% to 65% of eligible compensation in whole number percentage increments. Excluding catch-up contributions, participants were limited to contributions of $23,500 in 2025. Newly hired eligible employees are automatically enrolled in the Plan for a contribution of 4%. Employees have the opportunity to elect a different amount before the automatic contributions are withheld. The contributions are invested in the Plan’s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7" w:name="page8"/>
    <w:bookmarkEnd w:id="7"/>
    <w:p>
      <w:pPr>
        <w:jc w:val="center"/>
        <w:ind w:right="380"/>
        <w:spacing w:after="0"/>
        <w:rPr>
          <w:sz w:val="20"/>
          <w:szCs w:val="20"/>
          <w:color w:val="auto"/>
        </w:rPr>
      </w:pPr>
      <w:r>
        <w:rPr>
          <w:rFonts w:ascii="Arial" w:cs="Arial" w:eastAsia="Arial" w:hAnsi="Arial"/>
          <w:sz w:val="22"/>
          <w:szCs w:val="22"/>
          <w:b w:val="1"/>
          <w:bCs w:val="1"/>
          <w:color w:val="auto"/>
        </w:rPr>
        <w:t>ASHLAND EMPLOYEE SAVINGS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default investment option if the employee does not make a different investment election. The default investment option is the Vanguard Target Retirement Trust Fund that most closely matches the employee’s assumed retirement date, based on the employee’s age at the time of enrollment. These investments gradually become more conservative over time and are Common/Collective Trusts. The automatic enrollment rules do not apply to certain hourly paid employees.</w:t>
      </w:r>
    </w:p>
    <w:p>
      <w:pPr>
        <w:spacing w:after="0" w:line="6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Eligible employees who are at least age 50 by December 31 can make catch-up contributions in addition to the regular contribution. Catch-up contributions are pre-tax contributions from an eligible participant’s compensation in excess of a plan-imposed limit or the legal pre-tax contribution limit. Therefore, the eligible participant’s contributions must first reach a plan-imposed limit or the legal pre-tax contribution limit before any contributions are characterized as catch-up contributions. These employees may contribute a maximum of $7,500 as catch-up contributions for 2025. Effective January 1, 2025, if participants attain age 60, 61, 62, or 63 during the Plan Year, they are subject to a higher catch-up contribution limit as set forth under Section 414(v) of the Code and such higher limit may also be adjusted by the IRS on an annual basis.</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Employer Contributions</w:t>
      </w:r>
    </w:p>
    <w:p>
      <w:pPr>
        <w:spacing w:after="0" w:line="9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Ashland Inc. and its participating subsidiaries contribute up to 4% of eligible compensation as a matching contribution to a participant’s contributions. Ashland’s matching contribution is $1.00 for each $1.00 the participant contributes up to the maximum participant contribution percentage. Matching contributions are calculated on a payroll by payroll basis and can be made in cash or Ashland Inc. Common Stock. If matching contributions are made directly to the Plan in common stock, then such contributions shall be invested in the Ashland Common Stock Fund and can be moved at any point thereafter by the Plan participant. All matching contributions made in cash shall be invested pursuant to the participant’s investment elections thereby mirroring the participant’s contributions. During 2025, all employer matching contributions made to the Plan were in cash.</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Basic Retirement Contributions</w:t>
      </w:r>
    </w:p>
    <w:p>
      <w:pPr>
        <w:spacing w:after="0" w:line="9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Employees who were eligible to participate in the Plan as of December 31, 2010 and who were not eligible for future contributions under the Ashland Hercules Pension Plan (Grandfathered Employee), shall be entitled to a Basic Retirement Contribution based on a percentage of the employee’s compensation. Effective January 1, 2017, Ashland amended the plan to fix the percentage of compensation at 4%. Additionally, this amendment expanded eligibility for certain employees whose pension plan accruals were frozen and eliminated the transition contribution that was previously permitted under the Plan.</w:t>
      </w:r>
    </w:p>
    <w:p>
      <w:pPr>
        <w:spacing w:after="0" w:line="1"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461010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9" w:right="339" w:bottom="1440" w:gutter="0" w:footer="0" w:header="0"/>
        </w:sectPr>
      </w:pPr>
    </w:p>
    <w:bookmarkStart w:id="8" w:name="page9"/>
    <w:bookmarkEnd w:id="8"/>
    <w:p>
      <w:pPr>
        <w:jc w:val="center"/>
        <w:ind w:right="380"/>
        <w:spacing w:after="0"/>
        <w:rPr>
          <w:sz w:val="20"/>
          <w:szCs w:val="20"/>
          <w:color w:val="auto"/>
        </w:rPr>
      </w:pPr>
      <w:r>
        <w:rPr>
          <w:rFonts w:ascii="Arial" w:cs="Arial" w:eastAsia="Arial" w:hAnsi="Arial"/>
          <w:sz w:val="22"/>
          <w:szCs w:val="22"/>
          <w:b w:val="1"/>
          <w:bCs w:val="1"/>
          <w:color w:val="auto"/>
        </w:rPr>
        <w:t>ASHLAND EMPLOYEE SAVINGS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Contributions</w:t>
      </w:r>
    </w:p>
    <w:p>
      <w:pPr>
        <w:spacing w:after="0" w:line="9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Effective November 1, 2008, the Plan was amended designating the Ashland Common Stock Fund investment option as an employee stock ownership plan (ESOP). The ESOP component of the Plan allows dividends paid on Ashland Inc. Common Stock held in the fund to be passed through to participants and beneficiaries. Participants and beneficiaries may elect to have the dividends passed through and paid to them or to have the dividends reinvested. If a participant or beneficiary fails to make an affirmative election, the default is to reinvest the dividends. Dividends that are reinvested and paid into the Ashland Common Stock Fund are allocated proportionately to participants and beneficiaries on the basis of each participant’s and beneficiary’s investment in the fund and used to purchase additional units in the Ashland Common Stock Fund. Amounts allocated to the portion of the Plan that is an ESOP may still be exchanged to other investments in the Plan and other investments in the Plan may be exchanged into the ESOP component of the Plan.</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1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Plan provides for immediate vesting of all employer and employee contributions regardless of the employee’s length of participation in the Plan or service with the employer. However, to preserve the qualified status of the Plan with the Internal Revenue Service (IRS), there are certain restrictions on the employee’s right to withdraw contributions and any earnings thereon while actively employed by Ashland or its subsidiaries. If a participant or beneficiary entitled to a benefit cannot be located, the vested benefit is forfeited. If such a participant or beneficiary makes a proper claim prior to the termination of the Plan, the forfeited benefit shall be restored in an amount equal to the amount forfeited, unadjusted for any gains or losses.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Participants may instruct the trustee on how to vote shares of Ashland Inc. Common Stock held in their Ashland Common Stock Fund account and are notified by the trustee prior to the time such rights are to be exercised. The trustee will vote fractional shares and shares for which it received no instructions in the same proportion as the voting instructions on allocated shares received from participants. Participants may also direct the trustee on how to respond if a tender offer is made for Ashland Inc. Common Stock. If no instructions are received from a participant on a tender offer, it will be considered to be instruction to the trustee not to respond to the offer.</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 Accounts</w:t>
      </w:r>
    </w:p>
    <w:p>
      <w:pPr>
        <w:spacing w:after="0" w:line="100" w:lineRule="exact"/>
        <w:rPr>
          <w:sz w:val="20"/>
          <w:szCs w:val="20"/>
          <w:color w:val="auto"/>
        </w:rPr>
      </w:pPr>
    </w:p>
    <w:p>
      <w:pPr>
        <w:jc w:val="both"/>
        <w:ind w:right="20"/>
        <w:spacing w:after="0" w:line="241" w:lineRule="auto"/>
        <w:rPr>
          <w:sz w:val="20"/>
          <w:szCs w:val="20"/>
          <w:color w:val="auto"/>
        </w:rPr>
      </w:pPr>
      <w:r>
        <w:rPr>
          <w:rFonts w:ascii="Arial" w:cs="Arial" w:eastAsia="Arial" w:hAnsi="Arial"/>
          <w:sz w:val="22"/>
          <w:szCs w:val="22"/>
          <w:color w:val="auto"/>
        </w:rPr>
        <w:t>Each participant’s account is credited with the participant’s contribution and allocations of (a) Ashland’s contribution and (b) Plan earnings (losses), and charged a fixed fee for reimbursable</w:t>
      </w:r>
    </w:p>
    <w:p>
      <w:pPr>
        <w:spacing w:after="0" w:line="1"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461010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9" w:right="339" w:bottom="1440" w:gutter="0" w:footer="0" w:header="0"/>
        </w:sectPr>
      </w:pPr>
    </w:p>
    <w:bookmarkStart w:id="9" w:name="page10"/>
    <w:bookmarkEnd w:id="9"/>
    <w:p>
      <w:pPr>
        <w:jc w:val="center"/>
        <w:ind w:right="380"/>
        <w:spacing w:after="0"/>
        <w:rPr>
          <w:sz w:val="20"/>
          <w:szCs w:val="20"/>
          <w:color w:val="auto"/>
        </w:rPr>
      </w:pPr>
      <w:r>
        <w:rPr>
          <w:rFonts w:ascii="Arial" w:cs="Arial" w:eastAsia="Arial" w:hAnsi="Arial"/>
          <w:sz w:val="22"/>
          <w:szCs w:val="22"/>
          <w:b w:val="1"/>
          <w:bCs w:val="1"/>
          <w:color w:val="auto"/>
        </w:rPr>
        <w:t>ASHLAND EMPLOYEE SAVINGS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administrative expenses. The benefit to which a participant is entitled is the benefit that can be provided from the participant’s vested account.</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Rollovers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Participants may elect to rollover amounts from other qualified plans into this Plan in accordance with the guidelines required by the Plan and the IRC.</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Receivable from Participants</w:t>
      </w:r>
    </w:p>
    <w:p>
      <w:pPr>
        <w:spacing w:after="0" w:line="10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Any participant can obtain a loan from the Plan for any reason and may hold up to two loans at any one time. Loans cannot exceed the lesser of (a) 50% of the participant’s account balance or (b) $50,000 reduced by the difference between the highest outstanding loan balance during the 12 months before the loan and the actual balance on the date of the loan. Participants’ plan accounts will be security for the loan. Each loan bears interest at rates ranging from 3.25% to 10.5% as determined by the Trustee. Loans must be repaid within five years in equal installment amounts determined by the Plan sponsor. However, loans transferred into the Plan under terms authorized under prior plans will continue to be amortized in accordance with the original terms of those loans. Loan interest compounds monthly at an annual rate equal to the prime rate on the last business day of the month before the loan is made plus 1%. Interest on the loan will be credited to the participant’s account as the loan is repaid as investment earnings. The loan repayments and the interest payments are then invested among the Plan investment options in the same percentage as the participant’s contributions. Delinquent loans are recorded as a distribution based upon the terms of the Plan document.</w:t>
      </w:r>
    </w:p>
    <w:p>
      <w:pPr>
        <w:spacing w:after="0" w:line="7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Loans are offset against the participant’s account and the related portion does not share in any income, expenses, gains, or losses (other than the interest on the loan) which are realized by the Plan. Loans are recorded at their unpaid principal balance, plus any accrued but unpaid interest.</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Payments of Benefits</w:t>
      </w:r>
    </w:p>
    <w:p>
      <w:pPr>
        <w:spacing w:after="0" w:line="10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Participants may withdraw a certain portion of their account while employed. The portion that can be withdrawn depends upon whether the employee is age 59-½ and the source of funds. Only one such withdrawal is allowed in any 12-month period and the withdrawal cannot exceed the current value of the total account.</w:t>
      </w:r>
    </w:p>
    <w:p>
      <w:pPr>
        <w:spacing w:after="0" w:line="6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Upon termination of employment, the participant, or beneficiary in the event of death, may receive the entire value of the account in either a lump sum payment or installments paid monthly, quarterly, or annually over a limited period of time. If the total value of the account is $1,000 or less, the value of the account will be distributed in a lump sum without the participant’s consent. Effective January 1, 2025, if the total account value is greater than $1,000,</w:t>
      </w:r>
    </w:p>
    <w:p>
      <w:pPr>
        <w:spacing w:after="0" w:line="5"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461010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ASHLAND EMPLOYEE SAVINGS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3" w:lineRule="exact"/>
        <w:rPr>
          <w:sz w:val="20"/>
          <w:szCs w:val="20"/>
          <w:color w:val="auto"/>
        </w:rPr>
      </w:pPr>
    </w:p>
    <w:p>
      <w:pPr>
        <w:jc w:val="both"/>
        <w:ind w:left="380"/>
        <w:spacing w:after="0" w:line="259" w:lineRule="auto"/>
        <w:rPr>
          <w:sz w:val="20"/>
          <w:szCs w:val="20"/>
          <w:color w:val="auto"/>
        </w:rPr>
      </w:pPr>
      <w:r>
        <w:rPr>
          <w:rFonts w:ascii="Arial" w:cs="Arial" w:eastAsia="Arial" w:hAnsi="Arial"/>
          <w:sz w:val="22"/>
          <w:szCs w:val="22"/>
          <w:color w:val="auto"/>
        </w:rPr>
        <w:t>but $7,000 or less, the value of the account may be distributed without the participant's consent and rolled over to an individual retirement account on behalf of the participant.</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Plan Termination</w:t>
      </w:r>
    </w:p>
    <w:p>
      <w:pPr>
        <w:spacing w:after="0" w:line="100" w:lineRule="exact"/>
        <w:rPr>
          <w:sz w:val="20"/>
          <w:szCs w:val="20"/>
          <w:color w:val="auto"/>
        </w:rPr>
      </w:pPr>
    </w:p>
    <w:p>
      <w:pPr>
        <w:jc w:val="both"/>
        <w:ind w:left="380"/>
        <w:spacing w:after="0" w:line="238" w:lineRule="auto"/>
        <w:rPr>
          <w:sz w:val="20"/>
          <w:szCs w:val="20"/>
          <w:color w:val="auto"/>
        </w:rPr>
      </w:pPr>
      <w:r>
        <w:rPr>
          <w:rFonts w:ascii="Arial" w:cs="Arial" w:eastAsia="Arial" w:hAnsi="Arial"/>
          <w:sz w:val="22"/>
          <w:szCs w:val="22"/>
          <w:color w:val="auto"/>
        </w:rPr>
        <w:t>Although it has not expressed any intention to do so, Ashland reserves the right, at its sole discretion, to amend, suspend, modify, interpret, discontinue, or terminate the Plan or change the funding method at any time without the requirement to give cause or consideration to any individual, subject to the provisions set forth in ERISA. No accounting treatment or funding of the Plan shall be deemed evidence of intent to limit in any way the right to amend or terminate the Plan.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B – SIGNIFICANT ACCOUNTING POLICIES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Basis of Presentation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financial statements have been prepared on the accrual basis of accounting.</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Use of Estimates</w:t>
      </w:r>
    </w:p>
    <w:p>
      <w:pPr>
        <w:spacing w:after="0" w:line="100"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The preparation of the financial statements and accompanying notes in conformity with U.S. generally accepted accounting principles requires the Plan’s management to make estimates and assumptions that affect the amounts reported. Actual results could differ from those estimates.</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Master Trust</w:t>
      </w:r>
    </w:p>
    <w:p>
      <w:pPr>
        <w:spacing w:after="0" w:line="100" w:lineRule="exact"/>
        <w:rPr>
          <w:sz w:val="20"/>
          <w:szCs w:val="20"/>
          <w:color w:val="auto"/>
        </w:rPr>
      </w:pPr>
    </w:p>
    <w:p>
      <w:pPr>
        <w:jc w:val="both"/>
        <w:ind w:left="380"/>
        <w:spacing w:after="0" w:line="238" w:lineRule="auto"/>
        <w:rPr>
          <w:sz w:val="20"/>
          <w:szCs w:val="20"/>
          <w:color w:val="auto"/>
        </w:rPr>
      </w:pPr>
      <w:r>
        <w:rPr>
          <w:rFonts w:ascii="Arial" w:cs="Arial" w:eastAsia="Arial" w:hAnsi="Arial"/>
          <w:sz w:val="22"/>
          <w:szCs w:val="22"/>
          <w:color w:val="auto"/>
        </w:rPr>
        <w:t>The investments of the Plan are pooled with the investments of the Ashland Union Employee Savings Plan (formerly known as the Hercules Plan), the International Specialty Products Inc. 401(k) Plan (ISP Plan) and the Pharmachem Profit Sharing Plan in a master trust pursuant to an amended agreement between Fidelity Management Trust Company, the trustee, and Ashland — Ashland Inc Savings Plan Master Trust (the Master Trust), effective October 1, 2012.</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Investments</w:t>
      </w:r>
    </w:p>
    <w:p>
      <w:pPr>
        <w:spacing w:after="0" w:line="100"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The Plan’s investment in the Master Trust is stated at fair value based on the fair value of the underlying investments of the Master Trust. These investments are determined primarily by quoted market prices (see Note E).</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Investment Contracts</w:t>
      </w:r>
    </w:p>
    <w:p>
      <w:pPr>
        <w:spacing w:after="0" w:line="100" w:lineRule="exact"/>
        <w:rPr>
          <w:sz w:val="20"/>
          <w:szCs w:val="20"/>
          <w:color w:val="auto"/>
        </w:rPr>
      </w:pPr>
    </w:p>
    <w:p>
      <w:pPr>
        <w:jc w:val="both"/>
        <w:ind w:left="380"/>
        <w:spacing w:after="0" w:line="237" w:lineRule="auto"/>
        <w:rPr>
          <w:sz w:val="20"/>
          <w:szCs w:val="20"/>
          <w:color w:val="auto"/>
        </w:rPr>
      </w:pPr>
      <w:r>
        <w:rPr>
          <w:rFonts w:ascii="Arial" w:cs="Arial" w:eastAsia="Arial" w:hAnsi="Arial"/>
          <w:sz w:val="22"/>
          <w:szCs w:val="22"/>
          <w:color w:val="auto"/>
        </w:rPr>
        <w:t>Investment contracts held by a defined contribution plan are required to be reported at fair value, except for fully benefit-responsive investment contracts. Contract value is the relevant measure for the portion of the net assets available for benefits of a defined contribution plan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ASHLAND EMPLOYEE SAVINGS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3" w:lineRule="exact"/>
        <w:rPr>
          <w:sz w:val="20"/>
          <w:szCs w:val="20"/>
          <w:color w:val="auto"/>
        </w:rPr>
      </w:pPr>
    </w:p>
    <w:p>
      <w:pPr>
        <w:jc w:val="both"/>
        <w:ind w:left="380"/>
        <w:spacing w:after="0" w:line="259" w:lineRule="auto"/>
        <w:rPr>
          <w:sz w:val="20"/>
          <w:szCs w:val="20"/>
          <w:color w:val="auto"/>
        </w:rPr>
      </w:pPr>
      <w:r>
        <w:rPr>
          <w:rFonts w:ascii="Arial" w:cs="Arial" w:eastAsia="Arial" w:hAnsi="Arial"/>
          <w:sz w:val="22"/>
          <w:szCs w:val="22"/>
          <w:color w:val="auto"/>
        </w:rPr>
        <w:t>attributable to fully benefit-responsive investment contracts because contract value is the amount participants normally would receive if they were to initiate permitted transactions under the terms of the Plan.</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Income and Expense Recognition</w:t>
      </w:r>
    </w:p>
    <w:p>
      <w:pPr>
        <w:spacing w:after="0" w:line="100" w:lineRule="exact"/>
        <w:rPr>
          <w:sz w:val="20"/>
          <w:szCs w:val="20"/>
          <w:color w:val="auto"/>
        </w:rPr>
      </w:pPr>
    </w:p>
    <w:p>
      <w:pPr>
        <w:jc w:val="both"/>
        <w:ind w:left="380"/>
        <w:spacing w:after="0" w:line="238" w:lineRule="auto"/>
        <w:rPr>
          <w:sz w:val="20"/>
          <w:szCs w:val="20"/>
          <w:color w:val="auto"/>
        </w:rPr>
      </w:pPr>
      <w:r>
        <w:rPr>
          <w:rFonts w:ascii="Arial" w:cs="Arial" w:eastAsia="Arial" w:hAnsi="Arial"/>
          <w:sz w:val="22"/>
          <w:szCs w:val="22"/>
          <w:color w:val="auto"/>
        </w:rPr>
        <w:t>Purchases and sales of securities are recorded on a trade-date basis. Interest income is recorded on the accrual basis. Dividends are recorded on the ex-dividend date. Net appreciation (depreciation) includes the Master Trust’s gains and losses on investments bought and sold as well as held during the year. This activity is presented as “Plan interest in Ashland Inc. Savings Plan Master Trust investment income” on the Statement of Changes in Net Assets Available for Benefits.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Payment of Benefits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Benefits are recorded when paid.</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Administrative Expenses</w:t>
      </w:r>
    </w:p>
    <w:p>
      <w:pPr>
        <w:spacing w:after="0" w:line="100"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Investments advisory, legal and audit fees are split evenly by the participants and Ashland. Participants pay loan initiation and maintenance fees, short-term redemption fees and overnight charges. Recordkeeping and certain other fees are paid by the participants through a fixed, per person account charge.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C – MASTER TRUST INVESTMENTS</w:t>
      </w:r>
    </w:p>
    <w:p>
      <w:pPr>
        <w:spacing w:after="0" w:line="100" w:lineRule="exact"/>
        <w:rPr>
          <w:sz w:val="20"/>
          <w:szCs w:val="20"/>
          <w:color w:val="auto"/>
        </w:rPr>
      </w:pPr>
    </w:p>
    <w:p>
      <w:pPr>
        <w:jc w:val="both"/>
        <w:ind w:left="380"/>
        <w:spacing w:after="0" w:line="235" w:lineRule="auto"/>
        <w:rPr>
          <w:sz w:val="20"/>
          <w:szCs w:val="20"/>
          <w:color w:val="auto"/>
        </w:rPr>
      </w:pPr>
      <w:r>
        <w:rPr>
          <w:rFonts w:ascii="Arial" w:cs="Arial" w:eastAsia="Arial" w:hAnsi="Arial"/>
          <w:sz w:val="22"/>
          <w:szCs w:val="22"/>
          <w:color w:val="auto"/>
        </w:rPr>
        <w:t>The Plan's investments are in the Master Trust, which was established for the investment of assets of the Plan and the other Ashland sponsored retirement plans. The Master Trust allocates certain individual assets to each plan participating in the Master Trust arrangement. Therefore, the investment results from certain individual assets of the Plan may not reflect its proportionate interest in the Master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ASHLAND EMPLOYEE SAVINGS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3" w:lineRule="exact"/>
        <w:rPr>
          <w:sz w:val="20"/>
          <w:szCs w:val="20"/>
          <w:color w:val="auto"/>
        </w:rPr>
      </w:pPr>
    </w:p>
    <w:p>
      <w:pPr>
        <w:jc w:val="both"/>
        <w:ind w:left="380"/>
        <w:spacing w:after="0" w:line="259" w:lineRule="auto"/>
        <w:rPr>
          <w:sz w:val="20"/>
          <w:szCs w:val="20"/>
          <w:color w:val="auto"/>
        </w:rPr>
      </w:pPr>
      <w:r>
        <w:rPr>
          <w:rFonts w:ascii="Arial" w:cs="Arial" w:eastAsia="Arial" w:hAnsi="Arial"/>
          <w:sz w:val="22"/>
          <w:szCs w:val="22"/>
          <w:color w:val="auto"/>
        </w:rPr>
        <w:t>The following table presents the net assets, including investments, receivables, and liabilities, of the Master Trust and the Plan's interest in the net assets of the Master Trust as of December 31:</w:t>
      </w:r>
    </w:p>
    <w:p>
      <w:pPr>
        <w:spacing w:after="0" w:line="69"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4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2025</w:t>
            </w:r>
          </w:p>
        </w:tc>
        <w:tc>
          <w:tcPr>
            <w:tcW w:w="1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2024</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4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gridSpan w:val="3"/>
          </w:tcPr>
          <w:p>
            <w:pPr>
              <w:ind w:left="260"/>
              <w:spacing w:after="0" w:line="177" w:lineRule="exact"/>
              <w:rPr>
                <w:sz w:val="20"/>
                <w:szCs w:val="20"/>
                <w:color w:val="auto"/>
              </w:rPr>
            </w:pPr>
            <w:r>
              <w:rPr>
                <w:rFonts w:ascii="Arial" w:cs="Arial" w:eastAsia="Arial" w:hAnsi="Arial"/>
                <w:sz w:val="18"/>
                <w:szCs w:val="18"/>
                <w:color w:val="auto"/>
                <w:w w:val="99"/>
              </w:rPr>
              <w:t>Plan's Interest in</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spacing w:after="0" w:line="177" w:lineRule="exact"/>
              <w:rPr>
                <w:sz w:val="20"/>
                <w:szCs w:val="20"/>
                <w:color w:val="auto"/>
              </w:rPr>
            </w:pPr>
            <w:r>
              <w:rPr>
                <w:rFonts w:ascii="Arial" w:cs="Arial" w:eastAsia="Arial" w:hAnsi="Arial"/>
                <w:sz w:val="18"/>
                <w:szCs w:val="18"/>
                <w:color w:val="auto"/>
              </w:rPr>
              <w:t>Plan's Interest in</w:t>
            </w:r>
          </w:p>
        </w:tc>
        <w:tc>
          <w:tcPr>
            <w:tcW w:w="100" w:type="dxa"/>
            <w:vAlign w:val="bottom"/>
          </w:tcPr>
          <w:p>
            <w:pPr>
              <w:spacing w:after="0"/>
              <w:rPr>
                <w:sz w:val="15"/>
                <w:szCs w:val="15"/>
                <w:color w:val="auto"/>
              </w:rPr>
            </w:pPr>
          </w:p>
        </w:tc>
      </w:tr>
      <w:tr>
        <w:trPr>
          <w:trHeight w:val="203"/>
        </w:trPr>
        <w:tc>
          <w:tcPr>
            <w:tcW w:w="4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Master Trust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8"/>
              </w:rPr>
              <w:t>Master Trust</w:t>
            </w:r>
          </w:p>
        </w:tc>
        <w:tc>
          <w:tcPr>
            <w:tcW w:w="12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8"/>
              </w:rPr>
              <w:t>Master Trust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6"/>
              </w:rPr>
              <w:t>Master Trust</w:t>
            </w:r>
          </w:p>
        </w:tc>
      </w:tr>
      <w:tr>
        <w:trPr>
          <w:trHeight w:val="221"/>
        </w:trPr>
        <w:tc>
          <w:tcPr>
            <w:tcW w:w="4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Balances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Balances</w:t>
            </w:r>
          </w:p>
        </w:tc>
        <w:tc>
          <w:tcPr>
            <w:tcW w:w="160" w:type="dxa"/>
            <w:vAlign w:val="bottom"/>
          </w:tcPr>
          <w:p>
            <w:pPr>
              <w:spacing w:after="0"/>
              <w:rPr>
                <w:sz w:val="19"/>
                <w:szCs w:val="19"/>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9"/>
              </w:rPr>
              <w:t>Balances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Balances</w:t>
            </w:r>
          </w:p>
        </w:tc>
      </w:tr>
      <w:tr>
        <w:trPr>
          <w:trHeight w:val="19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Investments, at fair value:</w:t>
            </w:r>
          </w:p>
        </w:tc>
        <w:tc>
          <w:tcPr>
            <w:tcW w:w="5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Ashland Common Stock Fund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20"/>
              <w:spacing w:after="0" w:line="202" w:lineRule="exact"/>
              <w:rPr>
                <w:sz w:val="20"/>
                <w:szCs w:val="20"/>
                <w:color w:val="auto"/>
              </w:rPr>
            </w:pPr>
            <w:r>
              <w:rPr>
                <w:rFonts w:ascii="Arial" w:cs="Arial" w:eastAsia="Arial" w:hAnsi="Arial"/>
                <w:sz w:val="18"/>
                <w:szCs w:val="18"/>
                <w:color w:val="auto"/>
              </w:rPr>
              <w:t>Money Market Fund</w:t>
            </w: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w:t>
            </w:r>
          </w:p>
        </w:tc>
        <w:tc>
          <w:tcPr>
            <w:tcW w:w="40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233</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w:t>
            </w:r>
          </w:p>
        </w:tc>
        <w:tc>
          <w:tcPr>
            <w:tcW w:w="420" w:type="dxa"/>
            <w:vAlign w:val="bottom"/>
            <w:tcBorders>
              <w:left w:val="single" w:sz="8" w:color="CFF0FC"/>
            </w:tcBorders>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370</w:t>
            </w:r>
          </w:p>
        </w:tc>
      </w:tr>
      <w:tr>
        <w:trPr>
          <w:trHeight w:val="203"/>
        </w:trPr>
        <w:tc>
          <w:tcPr>
            <w:tcW w:w="4280" w:type="dxa"/>
            <w:vAlign w:val="bottom"/>
          </w:tcPr>
          <w:p>
            <w:pPr>
              <w:ind w:left="320"/>
              <w:spacing w:after="0" w:line="202" w:lineRule="exact"/>
              <w:rPr>
                <w:sz w:val="20"/>
                <w:szCs w:val="20"/>
                <w:color w:val="auto"/>
              </w:rPr>
            </w:pPr>
            <w:r>
              <w:rPr>
                <w:rFonts w:ascii="Arial" w:cs="Arial" w:eastAsia="Arial" w:hAnsi="Arial"/>
                <w:sz w:val="18"/>
                <w:szCs w:val="18"/>
                <w:color w:val="auto"/>
              </w:rPr>
              <w:t>Ashland Inc. Common Stock</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28,860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26,641</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38,372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35,711</w:t>
            </w:r>
          </w:p>
        </w:tc>
      </w:tr>
      <w:tr>
        <w:trPr>
          <w:trHeight w:val="203"/>
        </w:trPr>
        <w:tc>
          <w:tcPr>
            <w:tcW w:w="4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Shares of Registered Investment Companies</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171,539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145,080</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162,677</w:t>
            </w:r>
          </w:p>
        </w:tc>
        <w:tc>
          <w:tcPr>
            <w:tcW w:w="260" w:type="dxa"/>
            <w:vAlign w:val="bottom"/>
            <w:tcBorders>
              <w:lef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139,178</w:t>
            </w:r>
          </w:p>
        </w:tc>
      </w:tr>
      <w:tr>
        <w:trPr>
          <w:trHeight w:val="203"/>
        </w:trPr>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Common/Collective Trusts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1,164,998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1,042,208</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1,099,829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990,585</w:t>
            </w:r>
          </w:p>
        </w:tc>
      </w:tr>
      <w:tr>
        <w:trPr>
          <w:trHeight w:val="203"/>
        </w:trPr>
        <w:tc>
          <w:tcPr>
            <w:tcW w:w="4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Stable Value Fund Money Market Fund</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3,577</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3,199</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1,793</w:t>
            </w:r>
          </w:p>
        </w:tc>
        <w:tc>
          <w:tcPr>
            <w:tcW w:w="260" w:type="dxa"/>
            <w:vAlign w:val="bottom"/>
            <w:tcBorders>
              <w:lef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1,618</w:t>
            </w:r>
          </w:p>
        </w:tc>
      </w:tr>
      <w:tr>
        <w:trPr>
          <w:trHeight w:val="20"/>
        </w:trPr>
        <w:tc>
          <w:tcPr>
            <w:tcW w:w="42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280" w:type="dxa"/>
            <w:vAlign w:val="bottom"/>
          </w:tcPr>
          <w:p>
            <w:pPr>
              <w:spacing w:after="0" w:line="196" w:lineRule="exact"/>
              <w:rPr>
                <w:sz w:val="20"/>
                <w:szCs w:val="20"/>
                <w:color w:val="auto"/>
              </w:rPr>
            </w:pPr>
            <w:r>
              <w:rPr>
                <w:rFonts w:ascii="Arial" w:cs="Arial" w:eastAsia="Arial" w:hAnsi="Arial"/>
                <w:sz w:val="18"/>
                <w:szCs w:val="18"/>
                <w:color w:val="auto"/>
              </w:rPr>
              <w:t>Total investments at fair value</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1,369,226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1,217,361</w:t>
            </w: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1,303,068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1,167,462</w:t>
            </w:r>
          </w:p>
        </w:tc>
      </w:tr>
      <w:tr>
        <w:trPr>
          <w:trHeight w:val="203"/>
        </w:trPr>
        <w:tc>
          <w:tcPr>
            <w:tcW w:w="4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Investments, at contract value:</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Stable Value Fund Investment Contracts</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125,564</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112,312</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145,255</w:t>
            </w:r>
          </w:p>
        </w:tc>
        <w:tc>
          <w:tcPr>
            <w:tcW w:w="260" w:type="dxa"/>
            <w:vAlign w:val="bottom"/>
            <w:tcBorders>
              <w:lef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131,108</w:t>
            </w:r>
          </w:p>
        </w:tc>
      </w:tr>
      <w:tr>
        <w:trPr>
          <w:trHeight w:val="20"/>
        </w:trPr>
        <w:tc>
          <w:tcPr>
            <w:tcW w:w="42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280" w:type="dxa"/>
            <w:vAlign w:val="bottom"/>
          </w:tcPr>
          <w:p>
            <w:pPr>
              <w:spacing w:after="0" w:line="196" w:lineRule="exact"/>
              <w:rPr>
                <w:sz w:val="20"/>
                <w:szCs w:val="20"/>
                <w:color w:val="auto"/>
              </w:rPr>
            </w:pPr>
            <w:r>
              <w:rPr>
                <w:rFonts w:ascii="Arial" w:cs="Arial" w:eastAsia="Arial" w:hAnsi="Arial"/>
                <w:sz w:val="18"/>
                <w:szCs w:val="18"/>
                <w:color w:val="auto"/>
              </w:rPr>
              <w:t>Total investments at contract value</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125,564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112,312</w:t>
            </w: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145,255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131,108</w:t>
            </w:r>
          </w:p>
        </w:tc>
      </w:tr>
      <w:tr>
        <w:trPr>
          <w:trHeight w:val="20"/>
        </w:trPr>
        <w:tc>
          <w:tcPr>
            <w:tcW w:w="4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Master Trust assets</w:t>
            </w:r>
          </w:p>
        </w:tc>
        <w:tc>
          <w:tcPr>
            <w:tcW w:w="6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1,494,790</w:t>
            </w:r>
          </w:p>
        </w:tc>
        <w:tc>
          <w:tcPr>
            <w:tcW w:w="400" w:type="dxa"/>
            <w:vAlign w:val="bottom"/>
            <w:gridSpan w:val="2"/>
            <w:shd w:val="clear" w:color="auto" w:fill="CFF0FC"/>
          </w:tcPr>
          <w:p>
            <w:pPr>
              <w:ind w:left="260"/>
              <w:spacing w:after="0" w:line="18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60"/>
              <w:spacing w:after="0" w:line="182" w:lineRule="exact"/>
              <w:rPr>
                <w:sz w:val="20"/>
                <w:szCs w:val="20"/>
                <w:color w:val="auto"/>
              </w:rPr>
            </w:pPr>
            <w:r>
              <w:rPr>
                <w:rFonts w:ascii="Arial" w:cs="Arial" w:eastAsia="Arial" w:hAnsi="Arial"/>
                <w:sz w:val="18"/>
                <w:szCs w:val="18"/>
                <w:color w:val="auto"/>
              </w:rPr>
              <w:t>1,329,673</w:t>
            </w: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1,448,323</w:t>
            </w:r>
          </w:p>
        </w:tc>
        <w:tc>
          <w:tcPr>
            <w:tcW w:w="420" w:type="dxa"/>
            <w:vAlign w:val="bottom"/>
            <w:tcBorders>
              <w:left w:val="single" w:sz="8" w:color="CFF0FC"/>
            </w:tcBorders>
            <w:gridSpan w:val="2"/>
            <w:shd w:val="clear" w:color="auto" w:fill="CFF0FC"/>
          </w:tcPr>
          <w:p>
            <w:pPr>
              <w:ind w:left="260"/>
              <w:spacing w:after="0" w:line="18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1,298,570</w:t>
            </w: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-822325</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-822325</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-822325</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-822325</wp:posOffset>
            </wp:positionV>
            <wp:extent cx="59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-299720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-299720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-299720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-299720</wp:posOffset>
            </wp:positionV>
            <wp:extent cx="59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-25400</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128905</wp:posOffset>
            </wp:positionV>
            <wp:extent cx="6780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91"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The following table presents the net appreciation in investments (including gains and losses on investments bought and sold, as well as held during the year) and investment income (expense) in the Master Trust for the year ended December 31:</w:t>
      </w:r>
    </w:p>
    <w:p>
      <w:pPr>
        <w:sectPr>
          <w:pgSz w:w="11900" w:h="16838" w:orient="portrait"/>
          <w:cols w:equalWidth="0" w:num="1">
            <w:col w:w="11240"/>
          </w:cols>
          <w:pgMar w:left="320" w:top="759" w:right="339" w:bottom="1440" w:gutter="0" w:footer="0" w:header="0"/>
        </w:sectPr>
      </w:pPr>
    </w:p>
    <w:p>
      <w:pPr>
        <w:spacing w:after="0" w:line="2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realized and unrealized appreciation in fair value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-111760</wp:posOffset>
            </wp:positionV>
            <wp:extent cx="6840855"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40855" cy="128270"/>
                    </a:xfrm>
                    <a:prstGeom prst="rect">
                      <a:avLst/>
                    </a:prstGeom>
                    <a:noFill/>
                  </pic:spPr>
                </pic:pic>
              </a:graphicData>
            </a:graphic>
          </wp:anchor>
        </w:drawing>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w:t>
      </w:r>
    </w:p>
    <w:p>
      <w:pPr>
        <w:ind w:left="820"/>
        <w:spacing w:after="0"/>
        <w:rPr>
          <w:sz w:val="20"/>
          <w:szCs w:val="20"/>
          <w:color w:val="auto"/>
        </w:rPr>
      </w:pPr>
      <w:r>
        <w:rPr>
          <w:rFonts w:ascii="Arial" w:cs="Arial" w:eastAsia="Arial" w:hAnsi="Arial"/>
          <w:sz w:val="18"/>
          <w:szCs w:val="18"/>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84085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40855" cy="1289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wp:posOffset>
            </wp:positionV>
            <wp:extent cx="684085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40855" cy="137160"/>
                    </a:xfrm>
                    <a:prstGeom prst="rect">
                      <a:avLst/>
                    </a:prstGeom>
                    <a:noFill/>
                  </pic:spPr>
                </pic:pic>
              </a:graphicData>
            </a:graphic>
          </wp:anchor>
        </w:drawing>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547"/>
        <w:spacing w:after="0"/>
        <w:rPr>
          <w:sz w:val="20"/>
          <w:szCs w:val="20"/>
          <w:color w:val="auto"/>
        </w:rPr>
      </w:pPr>
      <w:r>
        <w:rPr>
          <w:rFonts w:ascii="Arial" w:cs="Arial" w:eastAsia="Arial" w:hAnsi="Arial"/>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10198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7" w:lineRule="exact"/>
        <w:rPr>
          <w:sz w:val="20"/>
          <w:szCs w:val="20"/>
          <w:color w:val="auto"/>
        </w:rPr>
      </w:pPr>
    </w:p>
    <w:p>
      <w:pPr>
        <w:ind w:left="847" w:hanging="847"/>
        <w:spacing w:after="0"/>
        <w:tabs>
          <w:tab w:leader="none" w:pos="847" w:val="left"/>
        </w:tabs>
        <w:numPr>
          <w:ilvl w:val="0"/>
          <w:numId w:val="6"/>
        </w:numPr>
        <w:rPr>
          <w:rFonts w:ascii="Arial" w:cs="Arial" w:eastAsia="Arial" w:hAnsi="Arial"/>
          <w:sz w:val="18"/>
          <w:szCs w:val="18"/>
          <w:color w:val="auto"/>
        </w:rPr>
      </w:pPr>
      <w:r>
        <w:rPr>
          <w:rFonts w:ascii="Arial" w:cs="Arial" w:eastAsia="Arial" w:hAnsi="Arial"/>
          <w:sz w:val="18"/>
          <w:szCs w:val="18"/>
          <w:color w:val="auto"/>
        </w:rPr>
        <w:t>190,665</w:t>
      </w:r>
    </w:p>
    <w:p>
      <w:pPr>
        <w:spacing w:after="0" w:line="18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13,631</w:t>
      </w:r>
    </w:p>
    <w:p>
      <w:pPr>
        <w:spacing w:after="0" w:line="1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198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8"/>
          <w:szCs w:val="18"/>
          <w:color w:val="auto"/>
        </w:rPr>
        <w:t>16,866</w:t>
      </w:r>
    </w:p>
    <w:p>
      <w:pPr>
        <w:spacing w:after="0" w:line="9" w:lineRule="exact"/>
        <w:rPr>
          <w:sz w:val="20"/>
          <w:szCs w:val="20"/>
          <w:color w:val="auto"/>
        </w:rPr>
      </w:pPr>
    </w:p>
    <w:p>
      <w:pPr>
        <w:ind w:left="847" w:hanging="847"/>
        <w:spacing w:after="0"/>
        <w:tabs>
          <w:tab w:leader="none" w:pos="847" w:val="left"/>
        </w:tabs>
        <w:numPr>
          <w:ilvl w:val="0"/>
          <w:numId w:val="7"/>
        </w:numPr>
        <w:rPr>
          <w:rFonts w:ascii="Arial" w:cs="Arial" w:eastAsia="Arial" w:hAnsi="Arial"/>
          <w:sz w:val="18"/>
          <w:szCs w:val="18"/>
          <w:color w:val="auto"/>
        </w:rPr>
      </w:pPr>
      <w:r>
        <w:rPr>
          <w:rFonts w:ascii="Arial" w:cs="Arial" w:eastAsia="Arial" w:hAnsi="Arial"/>
          <w:sz w:val="18"/>
          <w:szCs w:val="18"/>
          <w:color w:val="auto"/>
        </w:rPr>
        <w:t>207,531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198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10198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913" w:space="720"/>
            <w:col w:w="1607"/>
          </w:cols>
          <w:pgMar w:left="320" w:top="759"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D – INVESTMENT CONTRACTS</w:t>
      </w:r>
    </w:p>
    <w:p>
      <w:pPr>
        <w:spacing w:after="0" w:line="100" w:lineRule="exact"/>
        <w:rPr>
          <w:sz w:val="20"/>
          <w:szCs w:val="20"/>
          <w:color w:val="auto"/>
        </w:rPr>
      </w:pPr>
    </w:p>
    <w:p>
      <w:pPr>
        <w:ind w:left="380"/>
        <w:spacing w:after="0" w:line="259" w:lineRule="auto"/>
        <w:rPr>
          <w:sz w:val="20"/>
          <w:szCs w:val="20"/>
          <w:color w:val="auto"/>
        </w:rPr>
      </w:pPr>
      <w:r>
        <w:rPr>
          <w:rFonts w:ascii="Arial" w:cs="Arial" w:eastAsia="Arial" w:hAnsi="Arial"/>
          <w:sz w:val="22"/>
          <w:szCs w:val="22"/>
          <w:color w:val="auto"/>
        </w:rPr>
        <w:t>The investment contracts held by the Master Trust in the Stable Value Fund are known as synthetic account guaranteed investment contracts (GICs).</w:t>
      </w:r>
    </w:p>
    <w:p>
      <w:pPr>
        <w:spacing w:after="0" w:line="48" w:lineRule="exact"/>
        <w:rPr>
          <w:sz w:val="20"/>
          <w:szCs w:val="20"/>
          <w:color w:val="auto"/>
        </w:rPr>
      </w:pPr>
    </w:p>
    <w:p>
      <w:pPr>
        <w:ind w:left="380"/>
        <w:spacing w:after="0" w:line="241" w:lineRule="auto"/>
        <w:rPr>
          <w:sz w:val="20"/>
          <w:szCs w:val="20"/>
          <w:color w:val="auto"/>
        </w:rPr>
      </w:pPr>
      <w:r>
        <w:rPr>
          <w:rFonts w:ascii="Arial" w:cs="Arial" w:eastAsia="Arial" w:hAnsi="Arial"/>
          <w:sz w:val="22"/>
          <w:szCs w:val="22"/>
          <w:color w:val="auto"/>
        </w:rPr>
        <w:t>In a synthetic GIC structure, the underlying investments are owned by the Master Trust and held in the trust for plan participants. The contract values of the synthetic GIC contracts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type w:val="continuous"/>
        </w:sectPr>
      </w:pPr>
    </w:p>
    <w:bookmarkStart w:id="13" w:name="page14"/>
    <w:bookmarkEnd w:id="13"/>
    <w:p>
      <w:pPr>
        <w:jc w:val="center"/>
        <w:ind w:right="380"/>
        <w:spacing w:after="0"/>
        <w:rPr>
          <w:sz w:val="20"/>
          <w:szCs w:val="20"/>
          <w:color w:val="auto"/>
        </w:rPr>
      </w:pPr>
      <w:r>
        <w:rPr>
          <w:rFonts w:ascii="Arial" w:cs="Arial" w:eastAsia="Arial" w:hAnsi="Arial"/>
          <w:sz w:val="22"/>
          <w:szCs w:val="22"/>
          <w:b w:val="1"/>
          <w:bCs w:val="1"/>
          <w:color w:val="auto"/>
        </w:rPr>
        <w:t>ASHLAND EMPLOYEE SAVINGS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3"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including unsettled receivables and payables at December 31, 2025 and 2024 were $125,564 and $145,255, respectively.</w:t>
      </w:r>
    </w:p>
    <w:p>
      <w:pPr>
        <w:spacing w:after="0" w:line="4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synthetic account GIC instruments have wrapper contracts that are purchased from an insurance company or bank. The wrapper contracts amortize the realized and unrealized gains and losses on the underlying fixed income investments, typically over the duration of the investments, through adjustments to the future interest crediting rate. The contract value assigned to the wrapper contracts at December 31, 2025 and 2024 was zero.</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key factors that influence the future interest crediting rates include: the level of market interest rates; the amount and timing of participant contributions, transfers, and withdrawals into and out of the contract; the investment returns generated by the underlying fixed income investments; and the duration of the underlying investments.</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To determine the interest crediting rate, wrapper contracts use a formula that is based on the characteristics of the underlying fixed income portfolio, including the contract interest credit rate, yield to maturity of underlying investments, market value of underlying investments, contract value, duration of the portfolio, and wrapper contract fees. The wrapper contracts amortize the realized and unrealized gains and losses on the underlying fixed income investments, typically over the duration of the investments, through adjustments to the future interest crediting rate. The interest crediting rates of the contracts are typically reset on a quarterly basis. All wrapper contracts provide for a minimum interest crediting of zero percent.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Limits to Ability to Transact at Fair Value</w:t>
      </w:r>
    </w:p>
    <w:p>
      <w:pPr>
        <w:spacing w:after="0" w:line="1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certain circumstances, the amount withdrawn from a wrapper contract would be payable at fair value rather than at contract value. These circumstances include termination of the Plan, a material adverse change to the provisions of the Plan, if Ashland withdraws from a wrapper contract in order to switch to a different investment provider, or if the terms of a successor plan do not meet the wrapper contract issuer’s underwriting criteria. The circumstances described above that could result in payment of benefits at market value rather than contract value are not probable of occurring in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Issuer-Initiated Contract Termination</w:t>
      </w:r>
    </w:p>
    <w:p>
      <w:pPr>
        <w:spacing w:after="0" w:line="10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Examples of events that would permit a wrapper contract issuer to terminate a wrapper contract upon short notice include the Plan’s loss of its qualified status, material and adverse changes to the provisions of the Plan, or uncured material breaches of responsibilities. If one of these events was to occur, the wrapper contract issuer could terminate the wrapper contract at the market value of the underlying investments, or in the case of a traditional GIC, at the hypothetical market value based upon a contractual formula.</w:t>
      </w:r>
    </w:p>
    <w:p>
      <w:pPr>
        <w:spacing w:after="0" w:line="5"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461010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ASHLAND EMPLOYEE SAVINGS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E – FAIR VALUE MEASUREMENTS</w:t>
      </w:r>
    </w:p>
    <w:p>
      <w:pPr>
        <w:spacing w:after="0" w:line="100" w:lineRule="exact"/>
        <w:rPr>
          <w:sz w:val="20"/>
          <w:szCs w:val="20"/>
          <w:color w:val="auto"/>
        </w:rPr>
      </w:pPr>
    </w:p>
    <w:p>
      <w:pPr>
        <w:jc w:val="both"/>
        <w:ind w:left="380"/>
        <w:spacing w:after="0" w:line="236" w:lineRule="auto"/>
        <w:rPr>
          <w:sz w:val="20"/>
          <w:szCs w:val="20"/>
          <w:color w:val="auto"/>
        </w:rPr>
      </w:pPr>
      <w:r>
        <w:rPr>
          <w:rFonts w:ascii="Arial" w:cs="Arial" w:eastAsia="Arial" w:hAnsi="Arial"/>
          <w:sz w:val="22"/>
          <w:szCs w:val="22"/>
          <w:color w:val="auto"/>
        </w:rPr>
        <w:t xml:space="preserve">FASB Accounting Standards Codification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provides the framework for measuring fair value. That framework provides a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21"/>
          <w:szCs w:val="21"/>
          <w:u w:val="single" w:color="auto"/>
          <w:color w:val="auto"/>
        </w:rPr>
        <w:t>Level 1</w:t>
      </w:r>
      <w:r>
        <w:rPr>
          <w:rFonts w:ascii="Arial" w:cs="Arial" w:eastAsia="Arial" w:hAnsi="Arial"/>
          <w:sz w:val="21"/>
          <w:szCs w:val="21"/>
          <w:color w:val="auto"/>
        </w:rPr>
        <w:t xml:space="preserve"> – Observable inputs such as unadjusted quoted prices in active markets for identical assets or liabilities.</w:t>
      </w:r>
    </w:p>
    <w:p>
      <w:pPr>
        <w:spacing w:after="0" w:line="110"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u w:val="single" w:color="auto"/>
          <w:color w:val="auto"/>
        </w:rPr>
        <w:t>Level 2</w:t>
      </w:r>
      <w:r>
        <w:rPr>
          <w:rFonts w:ascii="Arial" w:cs="Arial" w:eastAsia="Arial" w:hAnsi="Arial"/>
          <w:sz w:val="22"/>
          <w:szCs w:val="22"/>
          <w:color w:val="auto"/>
        </w:rPr>
        <w:t xml:space="preserve"> – Inputs, other than quoted prices included in Level 1, which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62" w:lineRule="exact"/>
        <w:rPr>
          <w:sz w:val="20"/>
          <w:szCs w:val="20"/>
          <w:color w:val="auto"/>
        </w:rPr>
      </w:pPr>
    </w:p>
    <w:p>
      <w:pPr>
        <w:jc w:val="both"/>
        <w:ind w:left="380"/>
        <w:spacing w:after="0" w:line="259" w:lineRule="auto"/>
        <w:rPr>
          <w:sz w:val="20"/>
          <w:szCs w:val="20"/>
          <w:color w:val="auto"/>
        </w:rPr>
      </w:pPr>
      <w:r>
        <w:rPr>
          <w:rFonts w:ascii="Arial" w:cs="Arial" w:eastAsia="Arial" w:hAnsi="Arial"/>
          <w:sz w:val="22"/>
          <w:szCs w:val="22"/>
          <w:u w:val="single" w:color="auto"/>
          <w:color w:val="auto"/>
        </w:rPr>
        <w:t>Level 3</w:t>
      </w:r>
      <w:r>
        <w:rPr>
          <w:rFonts w:ascii="Arial" w:cs="Arial" w:eastAsia="Arial" w:hAnsi="Arial"/>
          <w:sz w:val="22"/>
          <w:szCs w:val="22"/>
          <w:color w:val="auto"/>
        </w:rPr>
        <w:t xml:space="preserve"> – Unobservable inputs for the asset or liability for which there is little, if any, market activity at the measurement date.</w:t>
      </w:r>
    </w:p>
    <w:p>
      <w:pPr>
        <w:spacing w:after="0" w:line="48"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As of December 31, 2025 and 2024, the Plan held no investments outside of its interest held in the Master Trust. The following table sets forth by level, within the fair value hierarchy, the Master Trust’s investment assets at fair value as of December 31, 2025:</w:t>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5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Ashland Common Stock Fund</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03"/>
        </w:trPr>
        <w:tc>
          <w:tcPr>
            <w:tcW w:w="5200" w:type="dxa"/>
            <w:vAlign w:val="bottom"/>
          </w:tcPr>
          <w:p>
            <w:pPr>
              <w:ind w:left="140"/>
              <w:spacing w:after="0" w:line="202" w:lineRule="exact"/>
              <w:rPr>
                <w:sz w:val="20"/>
                <w:szCs w:val="20"/>
                <w:color w:val="auto"/>
              </w:rPr>
            </w:pPr>
            <w:r>
              <w:rPr>
                <w:rFonts w:ascii="Arial" w:cs="Arial" w:eastAsia="Arial" w:hAnsi="Arial"/>
                <w:sz w:val="18"/>
                <w:szCs w:val="18"/>
                <w:color w:val="auto"/>
              </w:rPr>
              <w:t>Money Market Fund</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252</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ind w:left="7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1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252</w:t>
            </w:r>
          </w:p>
        </w:tc>
      </w:tr>
      <w:tr>
        <w:trPr>
          <w:trHeight w:val="203"/>
        </w:trPr>
        <w:tc>
          <w:tcPr>
            <w:tcW w:w="52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Ashland Inc. Common Stock</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28,860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28,860</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Shares of Registered Investment Companies</w:t>
            </w:r>
          </w:p>
        </w:tc>
        <w:tc>
          <w:tcPr>
            <w:tcW w:w="18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171,539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ind w:left="7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171,539</w:t>
            </w:r>
          </w:p>
        </w:tc>
      </w:tr>
      <w:tr>
        <w:trPr>
          <w:trHeight w:val="203"/>
        </w:trPr>
        <w:tc>
          <w:tcPr>
            <w:tcW w:w="52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Stable Value Fund Money Market Fund</w:t>
            </w: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3,577</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ind w:left="4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3,577</w:t>
            </w: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color w:val="auto"/>
              </w:rPr>
              <w:t>Total assets in the fair value hierarchy</w:t>
            </w:r>
          </w:p>
        </w:tc>
        <w:tc>
          <w:tcPr>
            <w:tcW w:w="180" w:type="dxa"/>
            <w:vAlign w:val="bottom"/>
          </w:tcPr>
          <w:p>
            <w:pPr>
              <w:spacing w:after="0"/>
              <w:rPr>
                <w:sz w:val="17"/>
                <w:szCs w:val="17"/>
                <w:color w:val="auto"/>
              </w:rPr>
            </w:pPr>
          </w:p>
        </w:tc>
        <w:tc>
          <w:tcPr>
            <w:tcW w:w="10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204,228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ind w:left="78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ind w:left="4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204,228</w:t>
            </w:r>
          </w:p>
        </w:tc>
      </w:tr>
      <w:tr>
        <w:trPr>
          <w:trHeight w:val="203"/>
        </w:trPr>
        <w:tc>
          <w:tcPr>
            <w:tcW w:w="52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Common/Collective Trusts (a)</w:t>
            </w: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ind w:left="4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1,164,998</w:t>
            </w:r>
          </w:p>
        </w:tc>
      </w:tr>
      <w:tr>
        <w:trPr>
          <w:trHeight w:val="196"/>
        </w:trPr>
        <w:tc>
          <w:tcPr>
            <w:tcW w:w="5200" w:type="dxa"/>
            <w:vAlign w:val="bottom"/>
          </w:tcPr>
          <w:p>
            <w:pPr>
              <w:spacing w:after="0" w:line="182" w:lineRule="exact"/>
              <w:rPr>
                <w:sz w:val="20"/>
                <w:szCs w:val="20"/>
                <w:color w:val="auto"/>
              </w:rPr>
            </w:pPr>
            <w:r>
              <w:rPr>
                <w:rFonts w:ascii="Arial" w:cs="Arial" w:eastAsia="Arial" w:hAnsi="Arial"/>
                <w:sz w:val="18"/>
                <w:szCs w:val="18"/>
                <w:color w:val="auto"/>
              </w:rPr>
              <w:t>Investments at fair value</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204,228</w:t>
            </w:r>
          </w:p>
        </w:tc>
        <w:tc>
          <w:tcPr>
            <w:tcW w:w="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ind w:left="780"/>
              <w:spacing w:after="0" w:line="18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10"/>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1,369,226</w:t>
            </w:r>
          </w:p>
        </w:tc>
      </w:tr>
      <w:tr>
        <w:trPr>
          <w:trHeight w:val="20"/>
        </w:trPr>
        <w:tc>
          <w:tcPr>
            <w:tcW w:w="5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-427990</wp:posOffset>
            </wp:positionV>
            <wp:extent cx="1289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-427990</wp:posOffset>
            </wp:positionV>
            <wp:extent cx="1289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-427990</wp:posOffset>
            </wp:positionV>
            <wp:extent cx="1200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-161925</wp:posOffset>
            </wp:positionV>
            <wp:extent cx="1289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-161925</wp:posOffset>
            </wp:positionV>
            <wp:extent cx="1289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-161925</wp:posOffset>
            </wp:positionV>
            <wp:extent cx="120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128905</wp:posOffset>
            </wp:positionV>
            <wp:extent cx="68408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308" w:lineRule="exact"/>
        <w:rPr>
          <w:sz w:val="20"/>
          <w:szCs w:val="20"/>
          <w:color w:val="auto"/>
        </w:rPr>
      </w:pPr>
    </w:p>
    <w:p>
      <w:pPr>
        <w:ind w:left="760" w:hanging="378"/>
        <w:spacing w:after="0" w:line="245" w:lineRule="auto"/>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Common/Collective Trusts are measured at fair value using the net asset value per share or its equivalent as a practical expedient and are therefore not required to be classified in the fair value hierarchy.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5" w:name="page16"/>
    <w:bookmarkEnd w:id="15"/>
    <w:p>
      <w:pPr>
        <w:jc w:val="center"/>
        <w:ind w:right="380"/>
        <w:spacing w:after="0"/>
        <w:rPr>
          <w:sz w:val="20"/>
          <w:szCs w:val="20"/>
          <w:color w:val="auto"/>
        </w:rPr>
      </w:pPr>
      <w:r>
        <w:rPr>
          <w:rFonts w:ascii="Arial" w:cs="Arial" w:eastAsia="Arial" w:hAnsi="Arial"/>
          <w:sz w:val="22"/>
          <w:szCs w:val="22"/>
          <w:b w:val="1"/>
          <w:bCs w:val="1"/>
          <w:color w:val="auto"/>
        </w:rPr>
        <w:t>ASHLAND EMPLOYEE SAVINGS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3"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The following table sets forth by level, within the fair value hierarchy, the Master Trust’s investment assets at fair value as of December 31, 2024:</w:t>
      </w:r>
    </w:p>
    <w:p>
      <w:pPr>
        <w:spacing w:after="0" w:line="69"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5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Ashland Common Stock Fund</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03"/>
        </w:trPr>
        <w:tc>
          <w:tcPr>
            <w:tcW w:w="5200" w:type="dxa"/>
            <w:vAlign w:val="bottom"/>
          </w:tcPr>
          <w:p>
            <w:pPr>
              <w:ind w:left="140"/>
              <w:spacing w:after="0" w:line="202" w:lineRule="exact"/>
              <w:rPr>
                <w:sz w:val="20"/>
                <w:szCs w:val="20"/>
                <w:color w:val="auto"/>
              </w:rPr>
            </w:pPr>
            <w:r>
              <w:rPr>
                <w:rFonts w:ascii="Arial" w:cs="Arial" w:eastAsia="Arial" w:hAnsi="Arial"/>
                <w:sz w:val="18"/>
                <w:szCs w:val="18"/>
                <w:color w:val="auto"/>
              </w:rPr>
              <w:t>Money Market Fund</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397</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ind w:left="7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1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397</w:t>
            </w:r>
          </w:p>
        </w:tc>
      </w:tr>
      <w:tr>
        <w:trPr>
          <w:trHeight w:val="203"/>
        </w:trPr>
        <w:tc>
          <w:tcPr>
            <w:tcW w:w="52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Ashland Inc. Common Stock</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38,372</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38,372</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Shares of Registered Investment Companies</w:t>
            </w:r>
          </w:p>
        </w:tc>
        <w:tc>
          <w:tcPr>
            <w:tcW w:w="18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162,677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ind w:left="7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162,677</w:t>
            </w:r>
          </w:p>
        </w:tc>
      </w:tr>
      <w:tr>
        <w:trPr>
          <w:trHeight w:val="203"/>
        </w:trPr>
        <w:tc>
          <w:tcPr>
            <w:tcW w:w="52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Stable Value Fund Money Market Fund</w:t>
            </w: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1,793</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ind w:left="4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1,793</w:t>
            </w: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color w:val="auto"/>
              </w:rPr>
              <w:t>Total assets in the fair value hierarchy</w:t>
            </w:r>
          </w:p>
        </w:tc>
        <w:tc>
          <w:tcPr>
            <w:tcW w:w="180" w:type="dxa"/>
            <w:vAlign w:val="bottom"/>
          </w:tcPr>
          <w:p>
            <w:pPr>
              <w:spacing w:after="0"/>
              <w:rPr>
                <w:sz w:val="17"/>
                <w:szCs w:val="17"/>
                <w:color w:val="auto"/>
              </w:rPr>
            </w:pPr>
          </w:p>
        </w:tc>
        <w:tc>
          <w:tcPr>
            <w:tcW w:w="10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203,239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ind w:left="78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ind w:left="4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203,239</w:t>
            </w:r>
          </w:p>
        </w:tc>
      </w:tr>
      <w:tr>
        <w:trPr>
          <w:trHeight w:val="203"/>
        </w:trPr>
        <w:tc>
          <w:tcPr>
            <w:tcW w:w="52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Common/Collective Trusts (a)</w:t>
            </w: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ind w:left="4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1,099,829</w:t>
            </w:r>
          </w:p>
        </w:tc>
      </w:tr>
      <w:tr>
        <w:trPr>
          <w:trHeight w:val="196"/>
        </w:trPr>
        <w:tc>
          <w:tcPr>
            <w:tcW w:w="5200" w:type="dxa"/>
            <w:vAlign w:val="bottom"/>
          </w:tcPr>
          <w:p>
            <w:pPr>
              <w:spacing w:after="0" w:line="182" w:lineRule="exact"/>
              <w:rPr>
                <w:sz w:val="20"/>
                <w:szCs w:val="20"/>
                <w:color w:val="auto"/>
              </w:rPr>
            </w:pPr>
            <w:r>
              <w:rPr>
                <w:rFonts w:ascii="Arial" w:cs="Arial" w:eastAsia="Arial" w:hAnsi="Arial"/>
                <w:sz w:val="18"/>
                <w:szCs w:val="18"/>
                <w:color w:val="auto"/>
              </w:rPr>
              <w:t>Investments at fair value</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203,239</w:t>
            </w:r>
          </w:p>
        </w:tc>
        <w:tc>
          <w:tcPr>
            <w:tcW w:w="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ind w:left="780"/>
              <w:spacing w:after="0" w:line="18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10"/>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1,303,068</w:t>
            </w:r>
          </w:p>
        </w:tc>
      </w:tr>
      <w:tr>
        <w:trPr>
          <w:trHeight w:val="20"/>
        </w:trPr>
        <w:tc>
          <w:tcPr>
            <w:tcW w:w="5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4152900</wp:posOffset>
            </wp:positionH>
            <wp:positionV relativeFrom="paragraph">
              <wp:posOffset>-427990</wp:posOffset>
            </wp:positionV>
            <wp:extent cx="1289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-427990</wp:posOffset>
            </wp:positionV>
            <wp:extent cx="1289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-427990</wp:posOffset>
            </wp:positionV>
            <wp:extent cx="120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-162560</wp:posOffset>
            </wp:positionV>
            <wp:extent cx="1289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-162560</wp:posOffset>
            </wp:positionV>
            <wp:extent cx="1289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-162560</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128905</wp:posOffset>
            </wp:positionV>
            <wp:extent cx="68408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308" w:lineRule="exact"/>
        <w:rPr>
          <w:sz w:val="20"/>
          <w:szCs w:val="20"/>
          <w:color w:val="auto"/>
        </w:rPr>
      </w:pPr>
    </w:p>
    <w:p>
      <w:pPr>
        <w:ind w:left="380" w:hanging="378"/>
        <w:spacing w:after="0" w:line="285"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Common/Collective Trusts are measured at fair value using the net asset value per share or its equivalent as a practical expedient and are therefore not required to be classified in the fair value hierarchy.</w:t>
      </w:r>
    </w:p>
    <w:p>
      <w:pPr>
        <w:spacing w:after="0" w:line="32"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Following is a description of the valuation methodologies used for assets measured at fair value as of December 31, 2025 and 2024.</w:t>
      </w:r>
    </w:p>
    <w:p>
      <w:pPr>
        <w:spacing w:after="0" w:line="48"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u w:val="single" w:color="auto"/>
          <w:color w:val="auto"/>
        </w:rPr>
        <w:t>Money Market Funds, Shares of Registered Investment Companies, Ashland Inc. Common Stock</w:t>
      </w:r>
      <w:r>
        <w:rPr>
          <w:rFonts w:ascii="Arial" w:cs="Arial" w:eastAsia="Arial" w:hAnsi="Arial"/>
          <w:sz w:val="22"/>
          <w:szCs w:val="22"/>
          <w:color w:val="auto"/>
        </w:rPr>
        <w:t xml:space="preserve"> – Valued at the quoted market price of shares held by the Plan at year-end.</w:t>
      </w:r>
    </w:p>
    <w:p>
      <w:pPr>
        <w:spacing w:after="0" w:line="4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u w:val="single" w:color="auto"/>
          <w:color w:val="auto"/>
        </w:rPr>
        <w:t>Common/Collective Trusts (CCT)</w:t>
      </w:r>
      <w:r>
        <w:rPr>
          <w:rFonts w:ascii="Arial" w:cs="Arial" w:eastAsia="Arial" w:hAnsi="Arial"/>
          <w:sz w:val="22"/>
          <w:szCs w:val="22"/>
          <w:color w:val="auto"/>
        </w:rPr>
        <w:t xml:space="preserve"> – Valued using a Net Asset Value (NAV). The NAV of a CCT is based on the market values of the underlying securities. The beneficial interest of each investor is represented in units. Units are issued and redeemed daily at the fund's closing NAV.</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u w:val="single" w:color="auto"/>
          <w:color w:val="auto"/>
        </w:rPr>
        <w:t>Investments Measured Using Net Asset Value per Share Practical Expedient</w:t>
      </w:r>
      <w:r>
        <w:rPr>
          <w:rFonts w:ascii="Arial" w:cs="Arial" w:eastAsia="Arial" w:hAnsi="Arial"/>
          <w:sz w:val="22"/>
          <w:szCs w:val="22"/>
          <w:color w:val="auto"/>
        </w:rPr>
        <w:t xml:space="preserve"> – The following table sets forth the investments valued at NAV as of December 31, 2025:</w:t>
      </w:r>
    </w:p>
    <w:p>
      <w:pPr>
        <w:spacing w:after="0" w:line="6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Unfunded</w:t>
            </w:r>
          </w:p>
        </w:tc>
        <w:tc>
          <w:tcPr>
            <w:tcW w:w="16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8"/>
              </w:rPr>
              <w:t>Redemption</w:t>
            </w:r>
          </w:p>
        </w:tc>
        <w:tc>
          <w:tcPr>
            <w:tcW w:w="14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rPr>
              <w:t>Redemption</w:t>
            </w:r>
          </w:p>
        </w:tc>
        <w:tc>
          <w:tcPr>
            <w:tcW w:w="18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Redemption</w:t>
            </w:r>
          </w:p>
        </w:tc>
      </w:tr>
      <w:tr>
        <w:trPr>
          <w:trHeight w:val="221"/>
        </w:trPr>
        <w:tc>
          <w:tcPr>
            <w:tcW w:w="2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Fair Value</w:t>
            </w:r>
          </w:p>
        </w:tc>
        <w:tc>
          <w:tcPr>
            <w:tcW w:w="26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Commitments</w:t>
            </w:r>
          </w:p>
        </w:tc>
        <w:tc>
          <w:tcPr>
            <w:tcW w:w="16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Frequency</w:t>
            </w:r>
          </w:p>
        </w:tc>
        <w:tc>
          <w:tcPr>
            <w:tcW w:w="14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Restrictions</w:t>
            </w:r>
          </w:p>
        </w:tc>
        <w:tc>
          <w:tcPr>
            <w:tcW w:w="18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Notice Period</w:t>
            </w:r>
          </w:p>
        </w:tc>
      </w:tr>
      <w:tr>
        <w:trPr>
          <w:trHeight w:val="196"/>
        </w:trPr>
        <w:tc>
          <w:tcPr>
            <w:tcW w:w="2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Common/Collective Trusts</w:t>
            </w:r>
          </w:p>
        </w:tc>
        <w:tc>
          <w:tcPr>
            <w:tcW w:w="7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1,164,998</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None</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Daily</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None</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7"/>
              </w:rPr>
              <w:t>None</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the investments valued at NAV as of December 31, 2024:</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Unfunded</w:t>
            </w:r>
          </w:p>
        </w:tc>
        <w:tc>
          <w:tcPr>
            <w:tcW w:w="16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8"/>
              </w:rPr>
              <w:t>Redemption</w:t>
            </w:r>
          </w:p>
        </w:tc>
        <w:tc>
          <w:tcPr>
            <w:tcW w:w="14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rPr>
              <w:t>Redemption</w:t>
            </w:r>
          </w:p>
        </w:tc>
        <w:tc>
          <w:tcPr>
            <w:tcW w:w="18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Redemption</w:t>
            </w:r>
          </w:p>
        </w:tc>
      </w:tr>
      <w:tr>
        <w:trPr>
          <w:trHeight w:val="221"/>
        </w:trPr>
        <w:tc>
          <w:tcPr>
            <w:tcW w:w="2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Fair Value</w:t>
            </w:r>
          </w:p>
        </w:tc>
        <w:tc>
          <w:tcPr>
            <w:tcW w:w="26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Commitments</w:t>
            </w:r>
          </w:p>
        </w:tc>
        <w:tc>
          <w:tcPr>
            <w:tcW w:w="16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Frequency</w:t>
            </w:r>
          </w:p>
        </w:tc>
        <w:tc>
          <w:tcPr>
            <w:tcW w:w="14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Restrictions</w:t>
            </w:r>
          </w:p>
        </w:tc>
        <w:tc>
          <w:tcPr>
            <w:tcW w:w="18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Notice Period</w:t>
            </w:r>
          </w:p>
        </w:tc>
      </w:tr>
      <w:tr>
        <w:trPr>
          <w:trHeight w:val="196"/>
        </w:trPr>
        <w:tc>
          <w:tcPr>
            <w:tcW w:w="2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Common/Collective Trusts</w:t>
            </w:r>
          </w:p>
        </w:tc>
        <w:tc>
          <w:tcPr>
            <w:tcW w:w="7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1,099,829</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None</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Daily</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None</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7"/>
              </w:rPr>
              <w:t>None</w:t>
            </w:r>
          </w:p>
        </w:tc>
      </w:tr>
    </w:tbl>
    <w:p>
      <w:pPr>
        <w:spacing w:after="0" w:line="194"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472440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ASHLAND EMPLOYEE SAVINGS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F – TRANSACTIONS WITH RELATED PARTIES</w:t>
      </w:r>
    </w:p>
    <w:p>
      <w:pPr>
        <w:spacing w:after="0" w:line="100" w:lineRule="exact"/>
        <w:rPr>
          <w:sz w:val="20"/>
          <w:szCs w:val="20"/>
          <w:color w:val="auto"/>
        </w:rPr>
      </w:pPr>
    </w:p>
    <w:p>
      <w:pPr>
        <w:jc w:val="both"/>
        <w:ind w:left="380"/>
        <w:spacing w:after="0" w:line="236" w:lineRule="auto"/>
        <w:rPr>
          <w:sz w:val="20"/>
          <w:szCs w:val="20"/>
          <w:color w:val="auto"/>
        </w:rPr>
      </w:pPr>
      <w:r>
        <w:rPr>
          <w:rFonts w:ascii="Arial" w:cs="Arial" w:eastAsia="Arial" w:hAnsi="Arial"/>
          <w:sz w:val="22"/>
          <w:szCs w:val="22"/>
          <w:color w:val="auto"/>
        </w:rPr>
        <w:t>The Plan’s portion of the Master Trust held 454,251 and 499,309 shares of Ashland Inc. Common Stock as of December 31, 2025 and 2024, respectively, with a fair value of $26,641 and $35,711, respectively. The Plan’s interest in the Master Trust received dividends on Ashland Inc. Common Stock of $820 in 2025. The remaining dividends relate to certain Master Trust investments classified as Shares of Registered Investment Companies. Fidelity Management Trust Company acts as the Trustee and Recordkeeper of the Plan. PIMCO, an Allianz Global Investors company, Newport Trust Company and Fiducient Advisors LLC were also providers of fiduciary services to the Master Trust during the year.</w:t>
      </w:r>
    </w:p>
    <w:p>
      <w:pPr>
        <w:spacing w:after="0" w:line="68" w:lineRule="exact"/>
        <w:rPr>
          <w:sz w:val="20"/>
          <w:szCs w:val="20"/>
          <w:color w:val="auto"/>
        </w:rPr>
      </w:pPr>
    </w:p>
    <w:p>
      <w:pPr>
        <w:jc w:val="both"/>
        <w:ind w:left="380"/>
        <w:spacing w:after="0" w:line="259" w:lineRule="auto"/>
        <w:rPr>
          <w:sz w:val="20"/>
          <w:szCs w:val="20"/>
          <w:color w:val="auto"/>
        </w:rPr>
      </w:pPr>
      <w:r>
        <w:rPr>
          <w:rFonts w:ascii="Arial" w:cs="Arial" w:eastAsia="Arial" w:hAnsi="Arial"/>
          <w:sz w:val="22"/>
          <w:szCs w:val="22"/>
          <w:color w:val="auto"/>
        </w:rPr>
        <w:t>Fees of $445 were paid by the Plan for investment management. Costs paid by Ashland are not charged to the Plan or Master Trust for services it performs on behalf of the Plan.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G – TAX STATUS OF THE PLAN</w:t>
      </w:r>
    </w:p>
    <w:p>
      <w:pPr>
        <w:spacing w:after="0" w:line="100" w:lineRule="exact"/>
        <w:rPr>
          <w:sz w:val="20"/>
          <w:szCs w:val="20"/>
          <w:color w:val="auto"/>
        </w:rPr>
      </w:pPr>
    </w:p>
    <w:p>
      <w:pPr>
        <w:jc w:val="both"/>
        <w:ind w:left="380"/>
        <w:spacing w:after="0" w:line="238" w:lineRule="auto"/>
        <w:rPr>
          <w:sz w:val="20"/>
          <w:szCs w:val="20"/>
          <w:color w:val="auto"/>
        </w:rPr>
      </w:pPr>
      <w:r>
        <w:rPr>
          <w:rFonts w:ascii="Arial" w:cs="Arial" w:eastAsia="Arial" w:hAnsi="Arial"/>
          <w:sz w:val="22"/>
          <w:szCs w:val="22"/>
          <w:color w:val="auto"/>
        </w:rPr>
        <w:t>The Plan has received a determination letter from the IRS dated June 22, 2017, stating that the Plan is qualified under Section 401(a) of the IRC and, therefore, the related trust is exempt from taxation. The Plan is required to operate in conformity with the IRC to maintain its qualification. The Plan Administrator believes the Plan is being operated in compliance with the applicable requirements of the IRC and, therefore, believes the Plan, as amended, is qualified and the related trust is tax exempt.</w:t>
      </w:r>
    </w:p>
    <w:p>
      <w:pPr>
        <w:spacing w:after="0" w:line="69" w:lineRule="exact"/>
        <w:rPr>
          <w:sz w:val="20"/>
          <w:szCs w:val="20"/>
          <w:color w:val="auto"/>
        </w:rPr>
      </w:pPr>
    </w:p>
    <w:p>
      <w:pPr>
        <w:jc w:val="both"/>
        <w:ind w:left="380"/>
        <w:spacing w:after="0" w:line="233" w:lineRule="auto"/>
        <w:rPr>
          <w:sz w:val="20"/>
          <w:szCs w:val="20"/>
          <w:color w:val="auto"/>
        </w:rPr>
      </w:pPr>
      <w:r>
        <w:rPr>
          <w:rFonts w:ascii="Arial" w:cs="Arial" w:eastAsia="Arial" w:hAnsi="Arial"/>
          <w:sz w:val="22"/>
          <w:szCs w:val="22"/>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IRS. The Plan Administrator has analyzed the tax positions taken by the Plan, and has concluded that as of December 31, 2025 and 2024,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the plan years ending prior to 2022.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2"/>
          <w:szCs w:val="22"/>
          <w:b w:val="1"/>
          <w:bCs w:val="1"/>
          <w:color w:val="auto"/>
        </w:rPr>
        <w:t>ASHLAND EMPLOYEE SAVINGS PLAN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H – RISKS AND UNCERTAINTIES</w:t>
      </w:r>
    </w:p>
    <w:p>
      <w:pPr>
        <w:spacing w:after="0" w:line="100" w:lineRule="exact"/>
        <w:rPr>
          <w:sz w:val="20"/>
          <w:szCs w:val="20"/>
          <w:color w:val="auto"/>
        </w:rPr>
      </w:pPr>
    </w:p>
    <w:p>
      <w:pPr>
        <w:jc w:val="both"/>
        <w:ind w:left="380"/>
        <w:spacing w:after="0" w:line="234" w:lineRule="auto"/>
        <w:rPr>
          <w:sz w:val="20"/>
          <w:szCs w:val="20"/>
          <w:color w:val="auto"/>
        </w:rPr>
      </w:pPr>
      <w:r>
        <w:rPr>
          <w:rFonts w:ascii="Arial" w:cs="Arial" w:eastAsia="Arial" w:hAnsi="Arial"/>
          <w:sz w:val="22"/>
          <w:szCs w:val="22"/>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SCHEDULE H</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8"/>
                <w:szCs w:val="18"/>
                <w:color w:val="auto"/>
              </w:rPr>
              <w:t>Ashland Employee Savings Plan</w:t>
            </w: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8"/>
                <w:szCs w:val="18"/>
                <w:color w:val="auto"/>
              </w:rPr>
              <w:t>Employer Identification Number 20-0865835</w:t>
            </w: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8"/>
                <w:szCs w:val="18"/>
                <w:color w:val="auto"/>
              </w:rPr>
              <w:t>Plan Number 010</w:t>
            </w: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840" w:type="dxa"/>
            <w:vAlign w:val="bottom"/>
            <w:gridSpan w:val="5"/>
          </w:tcPr>
          <w:p>
            <w:pPr>
              <w:jc w:val="center"/>
              <w:ind w:right="410"/>
              <w:spacing w:after="0"/>
              <w:rPr>
                <w:sz w:val="20"/>
                <w:szCs w:val="20"/>
                <w:color w:val="auto"/>
              </w:rPr>
            </w:pPr>
            <w:r>
              <w:rPr>
                <w:rFonts w:ascii="Arial" w:cs="Arial" w:eastAsia="Arial" w:hAnsi="Arial"/>
                <w:sz w:val="18"/>
                <w:szCs w:val="18"/>
                <w:color w:val="auto"/>
              </w:rPr>
              <w:t>Schedule H; Line 4i - Schedule of Assets (Held at End of Year)</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December 31, 2025</w:t>
            </w: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8"/>
                <w:szCs w:val="18"/>
                <w:color w:val="auto"/>
              </w:rPr>
              <w:t>($ in thousands)</w:t>
            </w: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860" w:type="dxa"/>
            <w:vAlign w:val="bottom"/>
          </w:tcPr>
          <w:p>
            <w:pPr>
              <w:jc w:val="center"/>
              <w:ind w:right="270"/>
              <w:spacing w:after="0"/>
              <w:rPr>
                <w:sz w:val="20"/>
                <w:szCs w:val="20"/>
                <w:color w:val="auto"/>
              </w:rPr>
            </w:pPr>
            <w:r>
              <w:rPr>
                <w:rFonts w:ascii="Arial" w:cs="Arial" w:eastAsia="Arial" w:hAnsi="Arial"/>
                <w:sz w:val="18"/>
                <w:szCs w:val="18"/>
                <w:color w:val="auto"/>
                <w:w w:val="99"/>
              </w:rPr>
              <w:t>(a)</w:t>
            </w:r>
          </w:p>
        </w:tc>
        <w:tc>
          <w:tcPr>
            <w:tcW w:w="2040" w:type="dxa"/>
            <w:vAlign w:val="bottom"/>
          </w:tcPr>
          <w:p>
            <w:pPr>
              <w:jc w:val="center"/>
              <w:ind w:left="250"/>
              <w:spacing w:after="0"/>
              <w:rPr>
                <w:sz w:val="20"/>
                <w:szCs w:val="20"/>
                <w:color w:val="auto"/>
              </w:rPr>
            </w:pPr>
            <w:r>
              <w:rPr>
                <w:rFonts w:ascii="Arial" w:cs="Arial" w:eastAsia="Arial" w:hAnsi="Arial"/>
                <w:sz w:val="18"/>
                <w:szCs w:val="18"/>
                <w:color w:val="auto"/>
                <w:w w:val="99"/>
              </w:rPr>
              <w:t>(b)</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w:t>
            </w:r>
          </w:p>
        </w:tc>
        <w:tc>
          <w:tcPr>
            <w:tcW w:w="1340" w:type="dxa"/>
            <w:vAlign w:val="bottom"/>
          </w:tcPr>
          <w:p>
            <w:pPr>
              <w:jc w:val="center"/>
              <w:ind w:left="310"/>
              <w:spacing w:after="0"/>
              <w:rPr>
                <w:sz w:val="20"/>
                <w:szCs w:val="20"/>
                <w:color w:val="auto"/>
              </w:rPr>
            </w:pPr>
            <w:r>
              <w:rPr>
                <w:rFonts w:ascii="Arial" w:cs="Arial" w:eastAsia="Arial" w:hAnsi="Arial"/>
                <w:sz w:val="18"/>
                <w:szCs w:val="18"/>
                <w:color w:val="auto"/>
                <w:w w:val="99"/>
              </w:rPr>
              <w:t>(d)</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(e)</w:t>
            </w:r>
          </w:p>
        </w:tc>
      </w:tr>
      <w:tr>
        <w:trPr>
          <w:trHeight w:val="221"/>
        </w:trPr>
        <w:tc>
          <w:tcPr>
            <w:tcW w:w="8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rPr>
              <w:t>Identity of Issue</w:t>
            </w:r>
          </w:p>
        </w:tc>
        <w:tc>
          <w:tcPr>
            <w:tcW w:w="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Description of Investment</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8"/>
              </w:rPr>
              <w:t>Cost^</w:t>
            </w:r>
          </w:p>
        </w:tc>
        <w:tc>
          <w:tcPr>
            <w:tcW w:w="4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Current Value</w:t>
            </w:r>
          </w:p>
        </w:tc>
        <w:tc>
          <w:tcPr>
            <w:tcW w:w="100" w:type="dxa"/>
            <w:vAlign w:val="bottom"/>
          </w:tcPr>
          <w:p>
            <w:pPr>
              <w:spacing w:after="0"/>
              <w:rPr>
                <w:sz w:val="19"/>
                <w:szCs w:val="19"/>
                <w:color w:val="auto"/>
              </w:rPr>
            </w:pPr>
          </w:p>
        </w:tc>
      </w:tr>
      <w:tr>
        <w:trPr>
          <w:trHeight w:val="196"/>
        </w:trPr>
        <w:tc>
          <w:tcPr>
            <w:tcW w:w="860" w:type="dxa"/>
            <w:vAlign w:val="bottom"/>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center"/>
              <w:ind w:left="250"/>
              <w:spacing w:after="0" w:line="196" w:lineRule="exact"/>
              <w:rPr>
                <w:sz w:val="20"/>
                <w:szCs w:val="20"/>
                <w:color w:val="auto"/>
              </w:rPr>
            </w:pPr>
            <w:r>
              <w:rPr>
                <w:rFonts w:ascii="Arial" w:cs="Arial" w:eastAsia="Arial" w:hAnsi="Arial"/>
                <w:sz w:val="18"/>
                <w:szCs w:val="18"/>
                <w:color w:val="auto"/>
                <w:w w:val="99"/>
              </w:rPr>
              <w:t>Participant Loans</w:t>
            </w: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20" w:type="dxa"/>
            <w:vAlign w:val="bottom"/>
            <w:gridSpan w:val="2"/>
            <w:shd w:val="clear" w:color="auto" w:fill="CFF0FC"/>
          </w:tcPr>
          <w:p>
            <w:pPr>
              <w:jc w:val="center"/>
              <w:ind w:right="120"/>
              <w:spacing w:after="0" w:line="196" w:lineRule="exact"/>
              <w:rPr>
                <w:sz w:val="20"/>
                <w:szCs w:val="20"/>
                <w:color w:val="auto"/>
              </w:rPr>
            </w:pPr>
            <w:r>
              <w:rPr>
                <w:rFonts w:ascii="Arial" w:cs="Arial" w:eastAsia="Arial" w:hAnsi="Arial"/>
                <w:sz w:val="18"/>
                <w:szCs w:val="18"/>
                <w:color w:val="auto"/>
                <w:w w:val="99"/>
              </w:rPr>
              <w:t>1-30 Years, interest 3.25% - 10.50%</w:t>
            </w:r>
          </w:p>
        </w:tc>
        <w:tc>
          <w:tcPr>
            <w:tcW w:w="1340" w:type="dxa"/>
            <w:vAlign w:val="bottom"/>
            <w:shd w:val="clear" w:color="auto" w:fill="CFF0FC"/>
          </w:tcPr>
          <w:p>
            <w:pPr>
              <w:jc w:val="right"/>
              <w:ind w:right="11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   $</w:t>
            </w:r>
          </w:p>
        </w:tc>
        <w:tc>
          <w:tcPr>
            <w:tcW w:w="16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7,342</w:t>
            </w:r>
          </w:p>
        </w:tc>
      </w:tr>
    </w:tbl>
    <w:p>
      <w:pPr>
        <w:spacing w:after="0" w:line="197" w:lineRule="exact"/>
        <w:rPr>
          <w:sz w:val="20"/>
          <w:szCs w:val="20"/>
          <w:color w:val="auto"/>
        </w:rPr>
      </w:pPr>
    </w:p>
    <w:p>
      <w:pPr>
        <w:ind w:left="500" w:hanging="277"/>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parties-in-interest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637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ind w:left="500" w:hanging="28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for nonparticipant-directed investments only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i w:val="1"/>
          <w:iCs w:val="1"/>
          <w:color w:val="333333"/>
        </w:rPr>
        <w:t>See accompanying report of independent registered public accounting firm.</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SIGNATURE</w:t>
      </w:r>
    </w:p>
    <w:p>
      <w:pPr>
        <w:spacing w:after="0" w:line="23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i w:val="1"/>
          <w:iCs w:val="1"/>
          <w:color w:val="auto"/>
        </w:rPr>
        <w:t>THE PLAN</w:t>
      </w:r>
      <w:r>
        <w:rPr>
          <w:rFonts w:ascii="Arial" w:cs="Arial" w:eastAsia="Arial" w:hAnsi="Arial"/>
          <w:sz w:val="22"/>
          <w:szCs w:val="22"/>
          <w:color w:val="auto"/>
        </w:rPr>
        <w:t>. Pursuant to the requirements of the Securities Exchange Act of 1934, the trustees (or other</w:t>
      </w:r>
      <w:r>
        <w:rPr>
          <w:rFonts w:ascii="Arial" w:cs="Arial" w:eastAsia="Arial" w:hAnsi="Arial"/>
          <w:sz w:val="22"/>
          <w:szCs w:val="22"/>
          <w:i w:val="1"/>
          <w:iCs w:val="1"/>
          <w:color w:val="auto"/>
        </w:rPr>
        <w:t xml:space="preserve"> </w:t>
      </w:r>
      <w:r>
        <w:rPr>
          <w:rFonts w:ascii="Arial" w:cs="Arial" w:eastAsia="Arial" w:hAnsi="Arial"/>
          <w:sz w:val="22"/>
          <w:szCs w:val="22"/>
          <w:color w:val="auto"/>
        </w:rPr>
        <w:t>persons who administer the employee benefit plan) have duly caused this annual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16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22"/>
                <w:szCs w:val="22"/>
                <w:color w:val="auto"/>
              </w:rPr>
              <w:t>ASHLAND EMPLOYEE SAVINGS PLAN</w:t>
            </w:r>
          </w:p>
        </w:tc>
      </w:tr>
      <w:tr>
        <w:trPr>
          <w:trHeight w:val="472"/>
        </w:trPr>
        <w:tc>
          <w:tcPr>
            <w:tcW w:w="4160" w:type="dxa"/>
            <w:vAlign w:val="bottom"/>
          </w:tcPr>
          <w:p>
            <w:pPr>
              <w:spacing w:after="0"/>
              <w:rPr>
                <w:sz w:val="20"/>
                <w:szCs w:val="20"/>
                <w:color w:val="auto"/>
              </w:rPr>
            </w:pPr>
            <w:r>
              <w:rPr>
                <w:rFonts w:ascii="Arial" w:cs="Arial" w:eastAsia="Arial" w:hAnsi="Arial"/>
                <w:sz w:val="22"/>
                <w:szCs w:val="22"/>
                <w:color w:val="auto"/>
              </w:rPr>
              <w:t>Date: June 17, 2026</w:t>
            </w:r>
          </w:p>
        </w:tc>
        <w:tc>
          <w:tcPr>
            <w:tcW w:w="7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William C. Whitaker</w:t>
            </w:r>
          </w:p>
        </w:tc>
      </w:tr>
      <w:tr>
        <w:trPr>
          <w:trHeight w:val="210"/>
        </w:trPr>
        <w:tc>
          <w:tcPr>
            <w:tcW w:w="4160" w:type="dxa"/>
            <w:vAlign w:val="bottom"/>
          </w:tcPr>
          <w:p>
            <w:pPr>
              <w:spacing w:after="0"/>
              <w:rPr>
                <w:sz w:val="18"/>
                <w:szCs w:val="18"/>
                <w:color w:val="auto"/>
              </w:rPr>
            </w:pPr>
          </w:p>
        </w:tc>
        <w:tc>
          <w:tcPr>
            <w:tcW w:w="7080" w:type="dxa"/>
            <w:vAlign w:val="bottom"/>
          </w:tcPr>
          <w:p>
            <w:pPr>
              <w:spacing w:after="0" w:line="210" w:lineRule="exact"/>
              <w:rPr>
                <w:sz w:val="20"/>
                <w:szCs w:val="20"/>
                <w:color w:val="auto"/>
              </w:rPr>
            </w:pPr>
            <w:r>
              <w:rPr>
                <w:rFonts w:ascii="Arial" w:cs="Arial" w:eastAsia="Arial" w:hAnsi="Arial"/>
                <w:sz w:val="22"/>
                <w:szCs w:val="22"/>
                <w:color w:val="auto"/>
              </w:rPr>
              <w:t>William C. Whitaker</w:t>
            </w:r>
          </w:p>
        </w:tc>
      </w:tr>
      <w:tr>
        <w:trPr>
          <w:trHeight w:val="283"/>
        </w:trPr>
        <w:tc>
          <w:tcPr>
            <w:tcW w:w="416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22"/>
                <w:szCs w:val="22"/>
                <w:color w:val="auto"/>
              </w:rPr>
              <w:t>Chief Financial Officer</w:t>
            </w:r>
          </w:p>
        </w:tc>
      </w:tr>
      <w:tr>
        <w:trPr>
          <w:trHeight w:val="495"/>
        </w:trPr>
        <w:tc>
          <w:tcPr>
            <w:tcW w:w="4160" w:type="dxa"/>
            <w:vAlign w:val="bottom"/>
          </w:tcPr>
          <w:p>
            <w:pPr>
              <w:spacing w:after="0"/>
              <w:rPr>
                <w:sz w:val="24"/>
                <w:szCs w:val="24"/>
                <w:color w:val="auto"/>
              </w:rPr>
            </w:pPr>
          </w:p>
        </w:tc>
        <w:tc>
          <w:tcPr>
            <w:tcW w:w="7080" w:type="dxa"/>
            <w:vAlign w:val="bottom"/>
          </w:tcPr>
          <w:p>
            <w:pPr>
              <w:ind w:left="1280"/>
              <w:spacing w:after="0"/>
              <w:rPr>
                <w:sz w:val="20"/>
                <w:szCs w:val="20"/>
                <w:color w:val="auto"/>
              </w:rPr>
            </w:pPr>
            <w:r>
              <w:rPr>
                <w:rFonts w:ascii="Arial" w:cs="Arial" w:eastAsia="Arial" w:hAnsi="Arial"/>
                <w:sz w:val="20"/>
                <w:szCs w:val="20"/>
                <w:color w:val="auto"/>
              </w:rPr>
              <w:t>-20-</w:t>
            </w:r>
          </w:p>
        </w:tc>
      </w:tr>
      <w:tr>
        <w:trPr>
          <w:trHeight w:val="739"/>
        </w:trPr>
        <w:tc>
          <w:tcPr>
            <w:tcW w:w="416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0" w:name="page21"/>
    <w:bookmarkEnd w:id="20"/>
    <w:p>
      <w:pPr>
        <w:jc w:val="right"/>
        <w:ind w:right="3719"/>
        <w:spacing w:after="0"/>
        <w:rPr>
          <w:sz w:val="20"/>
          <w:szCs w:val="20"/>
          <w:color w:val="auto"/>
        </w:rPr>
      </w:pPr>
      <w:r>
        <w:rPr>
          <w:rFonts w:ascii="Arial" w:cs="Arial" w:eastAsia="Arial" w:hAnsi="Arial"/>
          <w:sz w:val="22"/>
          <w:szCs w:val="22"/>
          <w:b w:val="1"/>
          <w:bCs w:val="1"/>
          <w:color w:val="auto"/>
        </w:rPr>
        <w:t>EXHIBIT INDEX</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23.1 </w:t>
      </w:r>
      <w:r>
        <w:rPr>
          <w:rFonts w:ascii="Arial" w:cs="Arial" w:eastAsia="Arial" w:hAnsi="Arial"/>
          <w:sz w:val="22"/>
          <w:szCs w:val="22"/>
          <w:u w:val="single" w:color="auto"/>
          <w:color w:val="0000FF"/>
        </w:rPr>
        <w:t>Consent of Blue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-14605</wp:posOffset>
            </wp:positionV>
            <wp:extent cx="1684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84655" cy="8890"/>
                    </a:xfrm>
                    <a:prstGeom prst="rect">
                      <a:avLst/>
                    </a:prstGeom>
                    <a:noFill/>
                  </pic:spPr>
                </pic:pic>
              </a:graphicData>
            </a:graphic>
          </wp:anchor>
        </w:drawing>
      </w:r>
    </w:p>
    <w:p>
      <w:pPr>
        <w:spacing w:after="0" w:line="191"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62"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147955</wp:posOffset>
            </wp:positionV>
            <wp:extent cx="1714500" cy="514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CONSENT OF INDEPENDENT REGISTERED PUBLIC ACCOUNTING FIRM</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consent to the incorporation by reference in the Registration Statement Nos. 33-32612-100, 333-157040-01 and 333-203840-01 on Form S-8 of Ashland Inc. of our report dated June 17, 2026, with respect to the statements of net assets available for benefits of the Ashland Employee Savings Plan as of December 31, 2025 and 2024, the related statement of changes in net assets available for benefits for the year ended December 31, 2025, and the related supplemental schedule of Schedule H, line 4i-schedule of assets (held at end of year) as of December 31, 2025, appearing in this Annual Report on Form 11-K of the Ashland Employee Savings Plan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714500" cy="454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Lexington, Kentucky</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upperLetter"/>
      <w:start w:val="1"/>
    </w:lvl>
  </w:abstractNum>
  <w:abstractNum w:abstractNumId="3">
    <w:nsid w:val="79E2A9E3"/>
    <w:multiLevelType w:val="hybridMultilevel"/>
    <w:lvl w:ilvl="0">
      <w:lvlJc w:val="left"/>
      <w:lvlText w:val="%1."/>
      <w:numFmt w:val="upperLetter"/>
      <w:start w:val="2"/>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2026-06-17T14:47:11Z</dcterms:created>
  <dcterms:modified xsi:type="dcterms:W3CDTF">2026-06-17T14:47:11Z</dcterms:modified>
</cp:coreProperties>
</file>