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4008755</wp:posOffset>
                </wp:positionH>
                <wp:positionV relativeFrom="page">
                  <wp:posOffset>795655</wp:posOffset>
                </wp:positionV>
                <wp:extent cx="0" cy="158115"/>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5.65pt,62.65pt" to="315.65pt,75.1pt" o:allowincell="f" strokecolor="#643B3A"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3951605</wp:posOffset>
                </wp:positionH>
                <wp:positionV relativeFrom="page">
                  <wp:posOffset>744220</wp:posOffset>
                </wp:positionV>
                <wp:extent cx="0" cy="20891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8915"/>
                        </a:xfrm>
                        <a:prstGeom prst="line">
                          <a:avLst/>
                        </a:prstGeom>
                        <a:solidFill>
                          <a:srgbClr val="FFFFFF"/>
                        </a:solidFill>
                        <a:ln w="0">
                          <a:solidFill>
                            <a:srgbClr val="643B3A"/>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1.15pt,58.6pt" to="311.15pt,75.05pt" o:allowincell="f" strokecolor="#643B3A"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5731510</wp:posOffset>
                </wp:positionH>
                <wp:positionV relativeFrom="page">
                  <wp:posOffset>795655</wp:posOffset>
                </wp:positionV>
                <wp:extent cx="0" cy="15811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1.3pt,62.65pt" to="451.3pt,75.1pt" o:allowincell="f" strokecolor="#643B3A"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5674360</wp:posOffset>
                </wp:positionH>
                <wp:positionV relativeFrom="page">
                  <wp:posOffset>744220</wp:posOffset>
                </wp:positionV>
                <wp:extent cx="0" cy="5080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800"/>
                        </a:xfrm>
                        <a:prstGeom prst="line">
                          <a:avLst/>
                        </a:prstGeom>
                        <a:solidFill>
                          <a:srgbClr val="FFFFFF"/>
                        </a:solidFill>
                        <a:ln w="0">
                          <a:solidFill>
                            <a:srgbClr val="643B3A"/>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6.8pt,58.6pt" to="446.8pt,62.6pt" o:allowincell="f" strokecolor="#643B3A"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7458710</wp:posOffset>
                </wp:positionH>
                <wp:positionV relativeFrom="page">
                  <wp:posOffset>795655</wp:posOffset>
                </wp:positionV>
                <wp:extent cx="0" cy="15811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87.3pt,62.65pt" to="587.3pt,75.1pt" o:allowincell="f" strokecolor="#643B3A"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7400925</wp:posOffset>
                </wp:positionH>
                <wp:positionV relativeFrom="page">
                  <wp:posOffset>744220</wp:posOffset>
                </wp:positionV>
                <wp:extent cx="0" cy="20891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8915"/>
                        </a:xfrm>
                        <a:prstGeom prst="line">
                          <a:avLst/>
                        </a:prstGeom>
                        <a:solidFill>
                          <a:srgbClr val="FFFFFF"/>
                        </a:solidFill>
                        <a:ln w="0">
                          <a:solidFill>
                            <a:srgbClr val="643B3A"/>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82.75pt,58.6pt" to="582.75pt,75.05pt" o:allowincell="f" strokecolor="#643B3A" strokeweight="0pt">
                <w10:wrap anchorx="page" anchory="page"/>
              </v:line>
            </w:pict>
          </mc:Fallback>
        </mc:AlternateContent>
        <w:drawing>
          <wp:anchor simplePos="0" relativeHeight="251657728" behindDoc="1" locked="0" layoutInCell="0" allowOverlap="1">
            <wp:simplePos x="0" y="0"/>
            <wp:positionH relativeFrom="page">
              <wp:posOffset>13335</wp:posOffset>
            </wp:positionH>
            <wp:positionV relativeFrom="page">
              <wp:posOffset>0</wp:posOffset>
            </wp:positionV>
            <wp:extent cx="7746365" cy="10057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extLst>
                    </a:blip>
                    <a:srcRect/>
                    <a:stretch>
                      <a:fillRect/>
                    </a:stretch>
                  </pic:blipFill>
                  <pic:spPr bwMode="auto">
                    <a:xfrm>
                      <a:off x="0" y="0"/>
                      <a:ext cx="7746365" cy="10057765"/>
                    </a:xfrm>
                    <a:prstGeom prst="rect">
                      <a:avLst/>
                    </a:prstGeom>
                    <a:noFill/>
                  </pic:spPr>
                </pic:pic>
              </a:graphicData>
            </a:graphic>
          </wp:anchor>
        </w:drawing>
      </w:r>
    </w:p>
    <w:p>
      <w:pPr>
        <w:spacing w:after="0" w:line="577" w:lineRule="exact"/>
        <w:rPr>
          <w:sz w:val="20"/>
          <w:szCs w:val="20"/>
          <w:color w:val="auto"/>
        </w:rPr>
      </w:pPr>
      <w:r>
        <w:rPr>
          <w:sz w:val="1"/>
          <w:szCs w:val="1"/>
          <w:color w:val="auto"/>
        </w:rPr>
        <w:drawing>
          <wp:inline distT="0" distB="0" distL="0" distR="0">
            <wp:extent cx="82550" cy="3206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82550" cy="320675"/>
                    </a:xfrm>
                    <a:prstGeom prst="rect">
                      <a:avLst/>
                    </a:prstGeom>
                    <a:noFill/>
                    <a:ln>
                      <a:noFill/>
                    </a:ln>
                  </pic:spPr>
                </pic:pic>
              </a:graphicData>
            </a:graphic>
          </wp:inline>
        </w:drawing>
      </w:r>
      <w:r>
        <w:rPr>
          <w:rFonts w:ascii="Arial" w:cs="Arial" w:eastAsia="Arial" w:hAnsi="Arial"/>
          <w:sz w:val="34"/>
          <w:szCs w:val="34"/>
          <w:b w:val="1"/>
          <w:bCs w:val="1"/>
          <w:color w:val="FFFFFF"/>
        </w:rPr>
        <w:t xml:space="preserve"> _</w:t>
      </w:r>
      <w:r>
        <w:rPr>
          <w:rFonts w:ascii="Arial" w:cs="Arial" w:eastAsia="Arial" w:hAnsi="Arial"/>
          <w:sz w:val="34"/>
          <w:szCs w:val="34"/>
          <w:b w:val="1"/>
          <w:bCs w:val="1"/>
          <w:color w:val="FFFFFF"/>
          <w:shd w:val="clear" w:color="auto" w:fill="66BF9B"/>
        </w:rPr>
        <w:t>lls</w:t>
      </w:r>
      <w:r>
        <w:rPr>
          <w:rFonts w:ascii="Arial" w:cs="Arial" w:eastAsia="Arial" w:hAnsi="Arial"/>
          <w:sz w:val="34"/>
          <w:szCs w:val="34"/>
          <w:b w:val="1"/>
          <w:bCs w:val="1"/>
          <w:color w:val="FFFFFF"/>
        </w:rPr>
        <w:t>_j</w:t>
      </w:r>
      <w:r>
        <w:rPr>
          <w:rFonts w:ascii="PMingLiU" w:cs="PMingLiU" w:eastAsia="PMingLiU" w:hAnsi="PMingLiU"/>
          <w:sz w:val="34"/>
          <w:szCs w:val="34"/>
          <w:b w:val="1"/>
          <w:bCs w:val="1"/>
          <w:color w:val="FFFFFF"/>
        </w:rPr>
        <w:t/>
      </w:r>
      <w:r>
        <w:rPr>
          <w:rFonts w:ascii="Arial" w:cs="Arial" w:eastAsia="Arial" w:hAnsi="Arial"/>
          <w:sz w:val="34"/>
          <w:szCs w:val="34"/>
          <w:b w:val="1"/>
          <w:bCs w:val="1"/>
          <w:color w:val="FFFFFF"/>
        </w:rPr>
        <w:t>pcnmpr</w:t>
      </w:r>
      <w:r>
        <w:rPr>
          <w:rFonts w:ascii="PMingLiU" w:cs="PMingLiU" w:eastAsia="PMingLiU" w:hAnsi="PMingLiU"/>
          <w:sz w:val="34"/>
          <w:szCs w:val="34"/>
          <w:b w:val="1"/>
          <w:bCs w:val="1"/>
          <w:color w:val="FFFFFF"/>
        </w:rPr>
        <w:t/>
      </w:r>
    </w:p>
    <w:p>
      <w:pPr>
        <w:spacing w:after="0" w:line="19" w:lineRule="exact"/>
        <w:rPr>
          <w:sz w:val="24"/>
          <w:szCs w:val="24"/>
          <w:color w:val="auto"/>
        </w:rPr>
      </w:pPr>
    </w:p>
    <w:p>
      <w:pPr>
        <w:ind w:left="240"/>
        <w:spacing w:after="0" w:line="413" w:lineRule="exact"/>
        <w:rPr>
          <w:sz w:val="20"/>
          <w:szCs w:val="20"/>
          <w:color w:val="auto"/>
        </w:rPr>
      </w:pPr>
      <w:r>
        <w:rPr>
          <w:rFonts w:ascii="Arial" w:cs="Arial" w:eastAsia="Arial" w:hAnsi="Arial"/>
          <w:sz w:val="34"/>
          <w:szCs w:val="34"/>
          <w:b w:val="1"/>
          <w:bCs w:val="1"/>
          <w:color w:val="FFFFFF"/>
        </w:rPr>
        <w:t>fiqa_j</w:t>
      </w:r>
      <w:r>
        <w:rPr>
          <w:rFonts w:ascii="PMingLiU" w:cs="PMingLiU" w:eastAsia="PMingLiU" w:hAnsi="PMingLiU"/>
          <w:sz w:val="34"/>
          <w:szCs w:val="34"/>
          <w:b w:val="1"/>
          <w:bCs w:val="1"/>
          <w:color w:val="FFFFFF"/>
        </w:rPr>
        <w:t/>
      </w:r>
      <w:r>
        <w:rPr>
          <w:rFonts w:ascii="Arial" w:cs="Arial" w:eastAsia="Arial" w:hAnsi="Arial"/>
          <w:sz w:val="34"/>
          <w:szCs w:val="34"/>
          <w:b w:val="1"/>
          <w:bCs w:val="1"/>
          <w:color w:val="FFFFFF"/>
        </w:rPr>
        <w: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72390</wp:posOffset>
                </wp:positionH>
                <wp:positionV relativeFrom="paragraph">
                  <wp:posOffset>969645</wp:posOffset>
                </wp:positionV>
                <wp:extent cx="0" cy="15748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7480"/>
                        </a:xfrm>
                        <a:prstGeom prst="line">
                          <a:avLst/>
                        </a:prstGeom>
                        <a:solidFill>
                          <a:srgbClr val="FFFFFF"/>
                        </a:solidFill>
                        <a:ln w="0">
                          <a:solidFill>
                            <a:srgbClr val="643B3A"/>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pt,76.35pt" to="5.7pt,88.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917575</wp:posOffset>
                </wp:positionV>
                <wp:extent cx="0" cy="20955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72.25pt" to="1.15pt,88.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1798955</wp:posOffset>
                </wp:positionH>
                <wp:positionV relativeFrom="paragraph">
                  <wp:posOffset>969645</wp:posOffset>
                </wp:positionV>
                <wp:extent cx="0" cy="15748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7480"/>
                        </a:xfrm>
                        <a:prstGeom prst="line">
                          <a:avLst/>
                        </a:prstGeom>
                        <a:solidFill>
                          <a:srgbClr val="FFFFFF"/>
                        </a:solidFill>
                        <a:ln w="0">
                          <a:solidFill>
                            <a:srgbClr val="643B3A"/>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65pt,76.35pt" to="141.65pt,88.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1741805</wp:posOffset>
                </wp:positionH>
                <wp:positionV relativeFrom="paragraph">
                  <wp:posOffset>917575</wp:posOffset>
                </wp:positionV>
                <wp:extent cx="0" cy="20955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15pt,72.25pt" to="137.15pt,88.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3526155</wp:posOffset>
                </wp:positionH>
                <wp:positionV relativeFrom="paragraph">
                  <wp:posOffset>969645</wp:posOffset>
                </wp:positionV>
                <wp:extent cx="0" cy="15748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7480"/>
                        </a:xfrm>
                        <a:prstGeom prst="line">
                          <a:avLst/>
                        </a:prstGeom>
                        <a:solidFill>
                          <a:srgbClr val="FFFFFF"/>
                        </a:solidFill>
                        <a:ln w="0">
                          <a:solidFill>
                            <a:srgbClr val="643B3A"/>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65pt,76.35pt" to="277.65pt,88.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3469005</wp:posOffset>
                </wp:positionH>
                <wp:positionV relativeFrom="paragraph">
                  <wp:posOffset>917575</wp:posOffset>
                </wp:positionV>
                <wp:extent cx="0" cy="20955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15pt,72.25pt" to="273.15pt,88.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72390</wp:posOffset>
                </wp:positionH>
                <wp:positionV relativeFrom="paragraph">
                  <wp:posOffset>2696210</wp:posOffset>
                </wp:positionV>
                <wp:extent cx="0" cy="15811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pt,212.3pt" to="5.7pt,224.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2644775</wp:posOffset>
                </wp:positionV>
                <wp:extent cx="0" cy="20955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208.25pt" to="1.15pt,224.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1798955</wp:posOffset>
                </wp:positionH>
                <wp:positionV relativeFrom="paragraph">
                  <wp:posOffset>2696210</wp:posOffset>
                </wp:positionV>
                <wp:extent cx="0" cy="15811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65pt,212.3pt" to="141.65pt,224.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1741805</wp:posOffset>
                </wp:positionH>
                <wp:positionV relativeFrom="paragraph">
                  <wp:posOffset>2644775</wp:posOffset>
                </wp:positionV>
                <wp:extent cx="0" cy="20955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15pt,208.25pt" to="137.15pt,224.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3526155</wp:posOffset>
                </wp:positionH>
                <wp:positionV relativeFrom="paragraph">
                  <wp:posOffset>2696210</wp:posOffset>
                </wp:positionV>
                <wp:extent cx="0" cy="15811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65pt,212.3pt" to="277.65pt,224.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3469005</wp:posOffset>
                </wp:positionH>
                <wp:positionV relativeFrom="paragraph">
                  <wp:posOffset>2644775</wp:posOffset>
                </wp:positionV>
                <wp:extent cx="0" cy="2095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15pt,208.25pt" to="273.15pt,224.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72390</wp:posOffset>
                </wp:positionH>
                <wp:positionV relativeFrom="paragraph">
                  <wp:posOffset>4423410</wp:posOffset>
                </wp:positionV>
                <wp:extent cx="0" cy="15811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pt,348.3pt" to="5.7pt,360.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4371975</wp:posOffset>
                </wp:positionV>
                <wp:extent cx="0" cy="20955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344.25pt" to="1.15pt,360.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1798955</wp:posOffset>
                </wp:positionH>
                <wp:positionV relativeFrom="paragraph">
                  <wp:posOffset>4423410</wp:posOffset>
                </wp:positionV>
                <wp:extent cx="0" cy="15811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65pt,348.3pt" to="141.65pt,360.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1741805</wp:posOffset>
                </wp:positionH>
                <wp:positionV relativeFrom="paragraph">
                  <wp:posOffset>4371975</wp:posOffset>
                </wp:positionV>
                <wp:extent cx="0" cy="20955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15pt,344.25pt" to="137.15pt,360.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3526155</wp:posOffset>
                </wp:positionH>
                <wp:positionV relativeFrom="paragraph">
                  <wp:posOffset>4423410</wp:posOffset>
                </wp:positionV>
                <wp:extent cx="0" cy="15811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65pt,348.3pt" to="277.65pt,360.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3469005</wp:posOffset>
                </wp:positionH>
                <wp:positionV relativeFrom="paragraph">
                  <wp:posOffset>4371975</wp:posOffset>
                </wp:positionV>
                <wp:extent cx="0" cy="20955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15pt,344.25pt" to="273.15pt,360.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72390</wp:posOffset>
                </wp:positionH>
                <wp:positionV relativeFrom="paragraph">
                  <wp:posOffset>6149975</wp:posOffset>
                </wp:positionV>
                <wp:extent cx="0" cy="15811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pt,484.25pt" to="5.7pt,496.7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6098540</wp:posOffset>
                </wp:positionV>
                <wp:extent cx="0" cy="20955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480.2pt" to="1.15pt,496.7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1798955</wp:posOffset>
                </wp:positionH>
                <wp:positionV relativeFrom="paragraph">
                  <wp:posOffset>6149975</wp:posOffset>
                </wp:positionV>
                <wp:extent cx="0" cy="15811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65pt,484.25pt" to="141.65pt,496.7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1741805</wp:posOffset>
                </wp:positionH>
                <wp:positionV relativeFrom="paragraph">
                  <wp:posOffset>6098540</wp:posOffset>
                </wp:positionV>
                <wp:extent cx="0" cy="2095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15pt,480.2pt" to="137.15pt,496.7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3526155</wp:posOffset>
                </wp:positionH>
                <wp:positionV relativeFrom="paragraph">
                  <wp:posOffset>6149975</wp:posOffset>
                </wp:positionV>
                <wp:extent cx="0" cy="15811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65pt,484.25pt" to="277.65pt,496.7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3469005</wp:posOffset>
                </wp:positionH>
                <wp:positionV relativeFrom="paragraph">
                  <wp:posOffset>6098540</wp:posOffset>
                </wp:positionV>
                <wp:extent cx="0" cy="20955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15pt,480.2pt" to="273.15pt,496.7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5248910</wp:posOffset>
                </wp:positionH>
                <wp:positionV relativeFrom="paragraph">
                  <wp:posOffset>969645</wp:posOffset>
                </wp:positionV>
                <wp:extent cx="0" cy="15748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7480"/>
                        </a:xfrm>
                        <a:prstGeom prst="line">
                          <a:avLst/>
                        </a:prstGeom>
                        <a:solidFill>
                          <a:srgbClr val="FFFFFF"/>
                        </a:solidFill>
                        <a:ln w="0">
                          <a:solidFill>
                            <a:srgbClr val="643B3A"/>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3pt,76.35pt" to="413.3pt,88.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5191760</wp:posOffset>
                </wp:positionH>
                <wp:positionV relativeFrom="paragraph">
                  <wp:posOffset>917575</wp:posOffset>
                </wp:positionV>
                <wp:extent cx="0" cy="5143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35"/>
                        </a:xfrm>
                        <a:prstGeom prst="line">
                          <a:avLst/>
                        </a:prstGeom>
                        <a:solidFill>
                          <a:srgbClr val="FFFFFF"/>
                        </a:solidFill>
                        <a:ln w="0">
                          <a:solidFill>
                            <a:srgbClr val="643B3A"/>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8pt,72.25pt" to="408.8pt,76.3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6976110</wp:posOffset>
                </wp:positionH>
                <wp:positionV relativeFrom="paragraph">
                  <wp:posOffset>969645</wp:posOffset>
                </wp:positionV>
                <wp:extent cx="0" cy="15748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7480"/>
                        </a:xfrm>
                        <a:prstGeom prst="line">
                          <a:avLst/>
                        </a:prstGeom>
                        <a:solidFill>
                          <a:srgbClr val="FFFFFF"/>
                        </a:solidFill>
                        <a:ln w="0">
                          <a:solidFill>
                            <a:srgbClr val="643B3A"/>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9.3pt,76.35pt" to="549.3pt,88.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6918325</wp:posOffset>
                </wp:positionH>
                <wp:positionV relativeFrom="paragraph">
                  <wp:posOffset>917575</wp:posOffset>
                </wp:positionV>
                <wp:extent cx="0" cy="20955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4.75pt,72.25pt" to="544.75pt,88.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5248910</wp:posOffset>
                </wp:positionH>
                <wp:positionV relativeFrom="paragraph">
                  <wp:posOffset>2696210</wp:posOffset>
                </wp:positionV>
                <wp:extent cx="0" cy="15811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3pt,212.3pt" to="413.3pt,224.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5191760</wp:posOffset>
                </wp:positionH>
                <wp:positionV relativeFrom="paragraph">
                  <wp:posOffset>2644775</wp:posOffset>
                </wp:positionV>
                <wp:extent cx="0" cy="5143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35"/>
                        </a:xfrm>
                        <a:prstGeom prst="line">
                          <a:avLst/>
                        </a:prstGeom>
                        <a:solidFill>
                          <a:srgbClr val="FFFFFF"/>
                        </a:solidFill>
                        <a:ln w="0">
                          <a:solidFill>
                            <a:srgbClr val="643B3A"/>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8pt,208.25pt" to="408.8pt,212.3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6976110</wp:posOffset>
                </wp:positionH>
                <wp:positionV relativeFrom="paragraph">
                  <wp:posOffset>2696210</wp:posOffset>
                </wp:positionV>
                <wp:extent cx="0" cy="15811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9.3pt,212.3pt" to="549.3pt,224.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6918325</wp:posOffset>
                </wp:positionH>
                <wp:positionV relativeFrom="paragraph">
                  <wp:posOffset>2644775</wp:posOffset>
                </wp:positionV>
                <wp:extent cx="0" cy="20955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4.75pt,208.25pt" to="544.75pt,224.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5248910</wp:posOffset>
                </wp:positionH>
                <wp:positionV relativeFrom="paragraph">
                  <wp:posOffset>4423410</wp:posOffset>
                </wp:positionV>
                <wp:extent cx="0" cy="15811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3pt,348.3pt" to="413.3pt,360.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5191760</wp:posOffset>
                </wp:positionH>
                <wp:positionV relativeFrom="paragraph">
                  <wp:posOffset>4371975</wp:posOffset>
                </wp:positionV>
                <wp:extent cx="0" cy="5080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800"/>
                        </a:xfrm>
                        <a:prstGeom prst="line">
                          <a:avLst/>
                        </a:prstGeom>
                        <a:solidFill>
                          <a:srgbClr val="FFFFFF"/>
                        </a:solidFill>
                        <a:ln w="0">
                          <a:solidFill>
                            <a:srgbClr val="643B3A"/>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8pt,344.25pt" to="408.8pt,348.2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6976110</wp:posOffset>
                </wp:positionH>
                <wp:positionV relativeFrom="paragraph">
                  <wp:posOffset>4423410</wp:posOffset>
                </wp:positionV>
                <wp:extent cx="0" cy="15811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9.3pt,348.3pt" to="549.3pt,360.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6918325</wp:posOffset>
                </wp:positionH>
                <wp:positionV relativeFrom="paragraph">
                  <wp:posOffset>4371975</wp:posOffset>
                </wp:positionV>
                <wp:extent cx="0" cy="20955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4.75pt,344.25pt" to="544.75pt,360.7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5248910</wp:posOffset>
                </wp:positionH>
                <wp:positionV relativeFrom="paragraph">
                  <wp:posOffset>6149975</wp:posOffset>
                </wp:positionV>
                <wp:extent cx="0" cy="15811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3pt,484.25pt" to="413.3pt,496.7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5191760</wp:posOffset>
                </wp:positionH>
                <wp:positionV relativeFrom="paragraph">
                  <wp:posOffset>6098540</wp:posOffset>
                </wp:positionV>
                <wp:extent cx="0" cy="5143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35"/>
                        </a:xfrm>
                        <a:prstGeom prst="line">
                          <a:avLst/>
                        </a:prstGeom>
                        <a:solidFill>
                          <a:srgbClr val="FFFFFF"/>
                        </a:solidFill>
                        <a:ln w="0">
                          <a:solidFill>
                            <a:srgbClr val="643B3A"/>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8pt,480.2pt" to="408.8pt,484.2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6976110</wp:posOffset>
                </wp:positionH>
                <wp:positionV relativeFrom="paragraph">
                  <wp:posOffset>6149975</wp:posOffset>
                </wp:positionV>
                <wp:extent cx="0" cy="15811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9.3pt,484.25pt" to="549.3pt,496.7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6918325</wp:posOffset>
                </wp:positionH>
                <wp:positionV relativeFrom="paragraph">
                  <wp:posOffset>6098540</wp:posOffset>
                </wp:positionV>
                <wp:extent cx="0" cy="20955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4.75pt,480.2pt" to="544.75pt,496.7pt" o:allowincell="f" strokecolor="#643B3A" strokeweight="0pt"/>
            </w:pict>
          </mc:Fallback>
        </mc:AlternateConten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right"/>
        <w:ind w:right="4440"/>
        <w:spacing w:after="0"/>
        <w:rPr>
          <w:sz w:val="20"/>
          <w:szCs w:val="20"/>
          <w:color w:val="auto"/>
        </w:rPr>
      </w:pPr>
      <w:r>
        <w:rPr>
          <w:rFonts w:ascii="Century Gothic" w:cs="Century Gothic" w:eastAsia="Century Gothic" w:hAnsi="Century Gothic"/>
          <w:sz w:val="20"/>
          <w:szCs w:val="20"/>
          <w:b w:val="1"/>
          <w:bCs w:val="1"/>
          <w:color w:val="59BDB6"/>
          <w:shd w:val="clear" w:color="auto" w:fill="643B3A"/>
        </w:rPr>
        <w:t xml:space="preserve">responsibly </w:t>
      </w:r>
      <w:r>
        <w:rPr>
          <w:rFonts w:ascii="Century Gothic" w:cs="Century Gothic" w:eastAsia="Century Gothic" w:hAnsi="Century Gothic"/>
          <w:sz w:val="20"/>
          <w:szCs w:val="20"/>
          <w:b w:val="1"/>
          <w:bCs w:val="1"/>
          <w:color w:val="59BDB6"/>
        </w:rPr>
        <w:t>solving for a better world</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72390</wp:posOffset>
                </wp:positionH>
                <wp:positionV relativeFrom="paragraph">
                  <wp:posOffset>375920</wp:posOffset>
                </wp:positionV>
                <wp:extent cx="0" cy="15811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pt,29.6pt" to="5.7pt,42.0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324485</wp:posOffset>
                </wp:positionV>
                <wp:extent cx="0" cy="20955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25.55pt" to="1.15pt,42.0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1798955</wp:posOffset>
                </wp:positionH>
                <wp:positionV relativeFrom="paragraph">
                  <wp:posOffset>375920</wp:posOffset>
                </wp:positionV>
                <wp:extent cx="0" cy="15811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65pt,29.6pt" to="141.65pt,42.0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1741805</wp:posOffset>
                </wp:positionH>
                <wp:positionV relativeFrom="paragraph">
                  <wp:posOffset>324485</wp:posOffset>
                </wp:positionV>
                <wp:extent cx="0" cy="20955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15pt,25.55pt" to="137.15pt,42.0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3526155</wp:posOffset>
                </wp:positionH>
                <wp:positionV relativeFrom="paragraph">
                  <wp:posOffset>375920</wp:posOffset>
                </wp:positionV>
                <wp:extent cx="0" cy="15811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65pt,29.6pt" to="277.65pt,42.0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3469005</wp:posOffset>
                </wp:positionH>
                <wp:positionV relativeFrom="paragraph">
                  <wp:posOffset>324485</wp:posOffset>
                </wp:positionV>
                <wp:extent cx="0" cy="20955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15pt,25.55pt" to="273.15pt,42.0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5248910</wp:posOffset>
                </wp:positionH>
                <wp:positionV relativeFrom="paragraph">
                  <wp:posOffset>375920</wp:posOffset>
                </wp:positionV>
                <wp:extent cx="0" cy="15811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3pt,29.6pt" to="413.3pt,42.0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5191760</wp:posOffset>
                </wp:positionH>
                <wp:positionV relativeFrom="paragraph">
                  <wp:posOffset>324485</wp:posOffset>
                </wp:positionV>
                <wp:extent cx="0" cy="5143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435"/>
                        </a:xfrm>
                        <a:prstGeom prst="line">
                          <a:avLst/>
                        </a:prstGeom>
                        <a:solidFill>
                          <a:srgbClr val="FFFFFF"/>
                        </a:solidFill>
                        <a:ln w="0">
                          <a:solidFill>
                            <a:srgbClr val="643B3A"/>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8pt,25.55pt" to="408.8pt,29.6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6976110</wp:posOffset>
                </wp:positionH>
                <wp:positionV relativeFrom="paragraph">
                  <wp:posOffset>375920</wp:posOffset>
                </wp:positionV>
                <wp:extent cx="0" cy="15811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643B3A"/>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9.3pt,29.6pt" to="549.3pt,42.05pt" o:allowincell="f" strokecolor="#643B3A" strokeweight="0pt"/>
            </w:pict>
          </mc:Fallback>
        </mc:AlternateContent>
        <mc:AlternateContent>
          <mc:Choice Requires="wps">
            <w:drawing>
              <wp:anchor simplePos="0" relativeHeight="251657728" behindDoc="1" locked="0" layoutInCell="0" allowOverlap="1">
                <wp:simplePos x="0" y="0"/>
                <wp:positionH relativeFrom="column">
                  <wp:posOffset>6918325</wp:posOffset>
                </wp:positionH>
                <wp:positionV relativeFrom="paragraph">
                  <wp:posOffset>324485</wp:posOffset>
                </wp:positionV>
                <wp:extent cx="0" cy="20955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0"/>
                        </a:xfrm>
                        <a:prstGeom prst="line">
                          <a:avLst/>
                        </a:prstGeom>
                        <a:solidFill>
                          <a:srgbClr val="FFFFFF"/>
                        </a:solidFill>
                        <a:ln w="0">
                          <a:solidFill>
                            <a:srgbClr val="643B3A"/>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4.75pt,25.55pt" to="544.75pt,42.05pt" o:allowincell="f" strokecolor="#643B3A" strokeweight="0pt"/>
            </w:pict>
          </mc:Fallback>
        </mc:AlternateContent>
      </w:r>
    </w:p>
    <w:p>
      <w:pPr>
        <w:sectPr>
          <w:pgSz w:w="12240" w:h="15840" w:orient="portrait"/>
          <w:cols w:equalWidth="0" w:num="1">
            <w:col w:w="10040"/>
          </w:cols>
          <w:pgMar w:left="760" w:top="1440" w:right="1440" w:bottom="1005" w:gutter="0" w:footer="0" w:header="0"/>
        </w:sectPr>
      </w:pPr>
    </w:p>
    <w:bookmarkStart w:id="1" w:name="page2"/>
    <w:bookmarkEnd w:id="1"/>
    <w:p>
      <w:pPr>
        <w:spacing w:after="0" w:line="679" w:lineRule="exact"/>
        <w:rPr>
          <w:sz w:val="20"/>
          <w:szCs w:val="20"/>
          <w:color w:val="auto"/>
        </w:rPr>
      </w:pPr>
      <w:r>
        <w:rPr>
          <w:rFonts w:ascii="Arial" w:cs="Arial" w:eastAsia="Arial" w:hAnsi="Arial"/>
          <w:sz w:val="49"/>
          <w:szCs w:val="49"/>
          <w:color w:val="634140"/>
        </w:rPr>
        <w:t>˧˥˧˪</w:t>
      </w:r>
      <w:r>
        <w:rPr>
          <w:rFonts w:ascii="PMingLiU" w:cs="PMingLiU" w:eastAsia="PMingLiU" w:hAnsi="PMingLiU"/>
          <w:sz w:val="49"/>
          <w:szCs w:val="49"/>
          <w:color w:val="634140"/>
        </w:rPr>
        <w:t/>
      </w:r>
      <w:r>
        <w:rPr>
          <w:rFonts w:ascii="Arial" w:cs="Arial" w:eastAsia="Arial" w:hAnsi="Arial"/>
          <w:sz w:val="49"/>
          <w:szCs w:val="49"/>
          <w:color w:val="634140"/>
        </w:rPr>
        <w:t>fgefjgefrq</w:t>
      </w:r>
      <w:r>
        <w:rPr>
          <w:rFonts w:ascii="PMingLiU" w:cs="PMingLiU" w:eastAsia="PMingLiU" w:hAnsi="PMingLiU"/>
          <w:sz w:val="56"/>
          <w:szCs w:val="56"/>
          <w:color w:val="634140"/>
          <w:vertAlign w:val="superscript"/>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33655</wp:posOffset>
            </wp:positionV>
            <wp:extent cx="28575" cy="270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
                      <a:extLst>
                        <a:ext uri="{28A0092B-C50C-407E-A947-70E740481C1C}"/>
                      </a:extLst>
                    </a:blip>
                    <a:srcRect/>
                    <a:stretch>
                      <a:fillRect/>
                    </a:stretch>
                  </pic:blipFill>
                  <pic:spPr bwMode="auto">
                    <a:xfrm>
                      <a:off x="0" y="0"/>
                      <a:ext cx="28575" cy="27051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-40005</wp:posOffset>
            </wp:positionV>
            <wp:extent cx="4669790" cy="3143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
                      <a:extLst>
                        <a:ext uri="{28A0092B-C50C-407E-A947-70E740481C1C}"/>
                      </a:extLst>
                    </a:blip>
                    <a:srcRect/>
                    <a:stretch>
                      <a:fillRect/>
                    </a:stretch>
                  </pic:blipFill>
                  <pic:spPr bwMode="auto">
                    <a:xfrm>
                      <a:off x="0" y="0"/>
                      <a:ext cx="4669790" cy="314325"/>
                    </a:xfrm>
                    <a:prstGeom prst="rect">
                      <a:avLst/>
                    </a:prstGeom>
                    <a:noFill/>
                  </pic:spPr>
                </pic:pic>
              </a:graphicData>
            </a:graphic>
          </wp:anchor>
        </w:drawing>
      </w:r>
    </w:p>
    <w:p>
      <w:pPr>
        <w:spacing w:after="0" w:line="126" w:lineRule="exact"/>
        <w:rPr>
          <w:sz w:val="20"/>
          <w:szCs w:val="20"/>
          <w:color w:val="auto"/>
        </w:rPr>
      </w:pPr>
    </w:p>
    <w:p>
      <w:pPr>
        <w:ind w:left="540"/>
        <w:spacing w:after="0" w:line="231" w:lineRule="exact"/>
        <w:rPr>
          <w:sz w:val="20"/>
          <w:szCs w:val="20"/>
          <w:color w:val="auto"/>
        </w:rPr>
      </w:pPr>
      <w:r>
        <w:rPr>
          <w:rFonts w:ascii="Arial" w:cs="Arial" w:eastAsia="Arial" w:hAnsi="Arial"/>
          <w:sz w:val="19"/>
          <w:szCs w:val="19"/>
          <w:color w:val="634140"/>
        </w:rPr>
        <w:t>q_jcq</w:t>
      </w:r>
      <w:r>
        <w:rPr>
          <w:rFonts w:ascii="PMingLiU" w:cs="PMingLiU" w:eastAsia="PMingLiU" w:hAnsi="PMingLiU"/>
          <w:sz w:val="19"/>
          <w:szCs w:val="19"/>
          <w:color w:val="634140"/>
        </w:rPr>
        <w:t/>
      </w:r>
      <w:r>
        <w:rPr>
          <w:rFonts w:ascii="Arial" w:cs="Arial" w:eastAsia="Arial" w:hAnsi="Arial"/>
          <w:sz w:val="19"/>
          <w:szCs w:val="19"/>
          <w:color w:val="634140"/>
        </w:rPr>
        <w:t>md</w:t>
      </w:r>
      <w:r>
        <w:rPr>
          <w:rFonts w:ascii="PMingLiU" w:cs="PMingLiU" w:eastAsia="PMingLiU" w:hAnsi="PMingLiU"/>
          <w:sz w:val="19"/>
          <w:szCs w:val="19"/>
          <w:color w:val="634140"/>
        </w:rPr>
        <w:t/>
      </w:r>
      <w:r>
        <w:rPr>
          <w:rFonts w:ascii="Arial" w:cs="Arial" w:eastAsia="Arial" w:hAnsi="Arial"/>
          <w:sz w:val="19"/>
          <w:szCs w:val="19"/>
          <w:color w:val="634140"/>
        </w:rPr>
        <w:t xml:space="preserve"> </w:t>
      </w:r>
      <w:r>
        <w:rPr>
          <w:rFonts w:ascii="Arial" w:cs="Arial" w:eastAsia="Arial" w:hAnsi="Arial"/>
          <w:sz w:val="19"/>
          <w:szCs w:val="19"/>
          <w:b w:val="1"/>
          <w:bCs w:val="1"/>
          <w:color w:val="634140"/>
        </w:rPr>
        <w:t>˦</w:t>
      </w:r>
      <w:r>
        <w:rPr>
          <w:rFonts w:ascii="PMingLiU" w:cs="PMingLiU" w:eastAsia="PMingLiU" w:hAnsi="PMingLiU"/>
          <w:sz w:val="19"/>
          <w:szCs w:val="19"/>
          <w:b w:val="1"/>
          <w:bCs w:val="1"/>
          <w:color w:val="634140"/>
        </w:rPr>
        <w:t/>
      </w:r>
      <w:r>
        <w:rPr>
          <w:rFonts w:ascii="Arial" w:cs="Arial" w:eastAsia="Arial" w:hAnsi="Arial"/>
          <w:sz w:val="19"/>
          <w:szCs w:val="19"/>
          <w:b w:val="1"/>
          <w:bCs w:val="1"/>
          <w:color w:val="634140"/>
        </w:rPr>
        <w:t>˭</w:t>
      </w:r>
      <w:r>
        <w:rPr>
          <w:rFonts w:ascii="PMingLiU" w:cs="PMingLiU" w:eastAsia="PMingLiU" w:hAnsi="PMingLiU"/>
          <w:sz w:val="19"/>
          <w:szCs w:val="19"/>
          <w:b w:val="1"/>
          <w:bCs w:val="1"/>
          <w:color w:val="634140"/>
        </w:rPr>
        <w:t/>
      </w:r>
      <w:r>
        <w:rPr>
          <w:rFonts w:ascii="Arial" w:cs="Arial" w:eastAsia="Arial" w:hAnsi="Arial"/>
          <w:sz w:val="19"/>
          <w:szCs w:val="19"/>
          <w:b w:val="1"/>
          <w:bCs w:val="1"/>
          <w:color w:val="634140"/>
        </w:rPr>
        <w:t>`gjjgml</w:t>
      </w:r>
      <w:r>
        <w:rPr>
          <w:rFonts w:ascii="PMingLiU" w:cs="PMingLiU" w:eastAsia="PMingLiU" w:hAnsi="PMingLiU"/>
          <w:sz w:val="19"/>
          <w:szCs w:val="19"/>
          <w:color w:val="634140"/>
        </w:rPr>
        <w:t/>
      </w:r>
      <w:r>
        <w:rPr>
          <w:rFonts w:ascii="Arial" w:cs="Arial" w:eastAsia="Arial" w:hAnsi="Arial"/>
          <w:sz w:val="19"/>
          <w:szCs w:val="19"/>
          <w:color w:val="634140"/>
        </w:rPr>
        <w:t>bmul</w:t>
      </w:r>
      <w:r>
        <w:rPr>
          <w:rFonts w:ascii="PMingLiU" w:cs="PMingLiU" w:eastAsia="PMingLiU" w:hAnsi="PMingLiU"/>
          <w:sz w:val="19"/>
          <w:szCs w:val="19"/>
          <w:color w:val="634140"/>
        </w:rPr>
        <w:t/>
      </w:r>
      <w:r>
        <w:rPr>
          <w:rFonts w:ascii="Arial" w:cs="Arial" w:eastAsia="Arial" w:hAnsi="Arial"/>
          <w:sz w:val="19"/>
          <w:szCs w:val="19"/>
          <w:color w:val="634140"/>
        </w:rPr>
        <w:t>bsc</w:t>
      </w:r>
      <w:r>
        <w:rPr>
          <w:rFonts w:ascii="PMingLiU" w:cs="PMingLiU" w:eastAsia="PMingLiU" w:hAnsi="PMingLiU"/>
          <w:sz w:val="19"/>
          <w:szCs w:val="19"/>
          <w:color w:val="634140"/>
        </w:rPr>
        <w:t/>
      </w:r>
      <w:r>
        <w:rPr>
          <w:rFonts w:ascii="Arial" w:cs="Arial" w:eastAsia="Arial" w:hAnsi="Arial"/>
          <w:sz w:val="19"/>
          <w:szCs w:val="19"/>
          <w:color w:val="634140"/>
        </w:rPr>
        <w:t>rm</w:t>
      </w:r>
      <w:r>
        <w:rPr>
          <w:rFonts w:ascii="PMingLiU" w:cs="PMingLiU" w:eastAsia="PMingLiU" w:hAnsi="PMingLiU"/>
          <w:sz w:val="19"/>
          <w:szCs w:val="19"/>
          <w:color w:val="634140"/>
        </w:rPr>
        <w:t/>
      </w:r>
      <w:r>
        <w:rPr>
          <w:rFonts w:ascii="Arial" w:cs="Arial" w:eastAsia="Arial" w:hAnsi="Arial"/>
          <w:sz w:val="19"/>
          <w:szCs w:val="19"/>
          <w:color w:val="634140"/>
        </w:rPr>
        <w:t>qrp_rcega</w:t>
      </w:r>
      <w:r>
        <w:rPr>
          <w:rFonts w:ascii="PMingLiU" w:cs="PMingLiU" w:eastAsia="PMingLiU" w:hAnsi="PMingLiU"/>
          <w:sz w:val="19"/>
          <w:szCs w:val="19"/>
          <w:color w:val="634140"/>
        </w:rPr>
        <w:t/>
      </w:r>
      <w:r>
        <w:rPr>
          <w:rFonts w:ascii="Arial" w:cs="Arial" w:eastAsia="Arial" w:hAnsi="Arial"/>
          <w:sz w:val="19"/>
          <w:szCs w:val="19"/>
          <w:color w:val="634140"/>
        </w:rPr>
        <w:t>nmprdmjgm</w:t>
      </w:r>
      <w:r>
        <w:rPr>
          <w:rFonts w:ascii="PMingLiU" w:cs="PMingLiU" w:eastAsia="PMingLiU" w:hAnsi="PMingLiU"/>
          <w:sz w:val="19"/>
          <w:szCs w:val="19"/>
          <w:color w:val="634140"/>
        </w:rPr>
        <w:t/>
      </w:r>
      <w:r>
        <w:rPr>
          <w:rFonts w:ascii="Arial" w:cs="Arial" w:eastAsia="Arial" w:hAnsi="Arial"/>
          <w:sz w:val="19"/>
          <w:szCs w:val="19"/>
          <w:color w:val="634140"/>
        </w:rPr>
        <w:t>mnrgkgx_rgml</w:t>
      </w:r>
      <w:r>
        <w:rPr>
          <w:rFonts w:ascii="PMingLiU" w:cs="PMingLiU" w:eastAsia="PMingLiU" w:hAnsi="PMingLiU"/>
          <w:sz w:val="19"/>
          <w:szCs w:val="19"/>
          <w:color w:val="634140"/>
        </w:rPr>
        <w:t/>
      </w:r>
      <w:r>
        <w:rPr>
          <w:rFonts w:ascii="Arial" w:cs="Arial" w:eastAsia="Arial" w:hAnsi="Arial"/>
          <w:sz w:val="19"/>
          <w:szCs w:val="19"/>
          <w:color w:val="634140"/>
        </w:rPr>
        <w:t>glgrg_rgtcq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80645</wp:posOffset>
            </wp:positionV>
            <wp:extent cx="4599305" cy="28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
                      <a:extLst>
                        <a:ext uri="{28A0092B-C50C-407E-A947-70E740481C1C}"/>
                      </a:extLst>
                    </a:blip>
                    <a:srcRect/>
                    <a:stretch>
                      <a:fillRect/>
                    </a:stretch>
                  </pic:blipFill>
                  <pic:spPr bwMode="auto">
                    <a:xfrm>
                      <a:off x="0" y="0"/>
                      <a:ext cx="4599305" cy="285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172085</wp:posOffset>
            </wp:positionV>
            <wp:extent cx="4712335" cy="10680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
                      <a:extLst>
                        <a:ext uri="{28A0092B-C50C-407E-A947-70E740481C1C}"/>
                      </a:extLst>
                    </a:blip>
                    <a:srcRect/>
                    <a:stretch>
                      <a:fillRect/>
                    </a:stretch>
                  </pic:blipFill>
                  <pic:spPr bwMode="auto">
                    <a:xfrm>
                      <a:off x="0" y="0"/>
                      <a:ext cx="4712335" cy="106807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340" w:type="dxa"/>
        <w:tblCellMar>
          <w:top w:w="0" w:type="dxa"/>
          <w:left w:w="0" w:type="dxa"/>
          <w:bottom w:w="0" w:type="dxa"/>
          <w:right w:w="0" w:type="dxa"/>
        </w:tblCellMar>
      </w:tblPr>
      <w:tr>
        <w:trPr>
          <w:trHeight w:val="242"/>
        </w:trPr>
        <w:tc>
          <w:tcPr>
            <w:tcW w:w="3420" w:type="dxa"/>
            <w:vAlign w:val="bottom"/>
          </w:tcPr>
          <w:p>
            <w:pPr>
              <w:jc w:val="center"/>
              <w:ind w:left="1492"/>
              <w:spacing w:after="0" w:line="243" w:lineRule="exact"/>
              <w:rPr>
                <w:sz w:val="20"/>
                <w:szCs w:val="20"/>
                <w:color w:val="auto"/>
              </w:rPr>
            </w:pPr>
            <w:r>
              <w:rPr>
                <w:rFonts w:ascii="Arial" w:cs="Arial" w:eastAsia="Arial" w:hAnsi="Arial"/>
                <w:sz w:val="20"/>
                <w:szCs w:val="20"/>
                <w:color w:val="634140"/>
              </w:rPr>
              <w:t>_bhsqrcb</w:t>
            </w:r>
            <w:r>
              <w:rPr>
                <w:rFonts w:ascii="PMingLiU" w:cs="PMingLiU" w:eastAsia="PMingLiU" w:hAnsi="PMingLiU"/>
                <w:sz w:val="20"/>
                <w:szCs w:val="20"/>
                <w:color w:val="634140"/>
              </w:rPr>
              <w:t/>
            </w:r>
          </w:p>
        </w:tc>
        <w:tc>
          <w:tcPr>
            <w:tcW w:w="3580" w:type="dxa"/>
            <w:vAlign w:val="bottom"/>
          </w:tcPr>
          <w:p>
            <w:pPr>
              <w:jc w:val="center"/>
              <w:ind w:left="1991"/>
              <w:spacing w:after="0" w:line="243" w:lineRule="exact"/>
              <w:rPr>
                <w:sz w:val="20"/>
                <w:szCs w:val="20"/>
                <w:color w:val="auto"/>
              </w:rPr>
            </w:pPr>
            <w:r>
              <w:rPr>
                <w:rFonts w:ascii="Arial" w:cs="Arial" w:eastAsia="Arial" w:hAnsi="Arial"/>
                <w:sz w:val="20"/>
                <w:szCs w:val="20"/>
                <w:color w:val="634140"/>
              </w:rPr>
              <w:t>_bhsqrcb</w:t>
            </w:r>
            <w:r>
              <w:rPr>
                <w:rFonts w:ascii="PMingLiU" w:cs="PMingLiU" w:eastAsia="PMingLiU" w:hAnsi="PMingLiU"/>
                <w:sz w:val="20"/>
                <w:szCs w:val="20"/>
                <w:color w:val="634140"/>
              </w:rPr>
              <w:t/>
            </w:r>
          </w:p>
        </w:tc>
        <w:tc>
          <w:tcPr>
            <w:tcW w:w="0" w:type="dxa"/>
            <w:vAlign w:val="bottom"/>
          </w:tcPr>
          <w:p>
            <w:pPr>
              <w:spacing w:after="0"/>
              <w:rPr>
                <w:sz w:val="1"/>
                <w:szCs w:val="1"/>
                <w:color w:val="auto"/>
              </w:rPr>
            </w:pPr>
          </w:p>
        </w:tc>
      </w:tr>
      <w:tr>
        <w:trPr>
          <w:trHeight w:val="139"/>
        </w:trPr>
        <w:tc>
          <w:tcPr>
            <w:tcW w:w="3420" w:type="dxa"/>
            <w:vAlign w:val="bottom"/>
          </w:tcPr>
          <w:p>
            <w:pPr>
              <w:jc w:val="center"/>
              <w:ind w:right="2092"/>
              <w:spacing w:after="0" w:line="140" w:lineRule="exact"/>
              <w:rPr>
                <w:sz w:val="20"/>
                <w:szCs w:val="20"/>
                <w:color w:val="auto"/>
              </w:rPr>
            </w:pPr>
            <w:r>
              <w:rPr>
                <w:rFonts w:ascii="Arial" w:cs="Arial" w:eastAsia="Arial" w:hAnsi="Arial"/>
                <w:sz w:val="15"/>
                <w:szCs w:val="15"/>
                <w:color w:val="634140"/>
              </w:rPr>
              <w:t>_bhsqrcb</w:t>
            </w:r>
            <w:r>
              <w:rPr>
                <w:rFonts w:ascii="PMingLiU" w:cs="PMingLiU" w:eastAsia="PMingLiU" w:hAnsi="PMingLiU"/>
                <w:sz w:val="15"/>
                <w:szCs w:val="15"/>
                <w:color w:val="634140"/>
              </w:rPr>
              <w:t/>
            </w:r>
          </w:p>
        </w:tc>
        <w:tc>
          <w:tcPr>
            <w:tcW w:w="3580" w:type="dxa"/>
            <w:vAlign w:val="bottom"/>
          </w:tcPr>
          <w:p>
            <w:pPr>
              <w:ind w:left="520"/>
              <w:spacing w:after="0" w:line="140" w:lineRule="exact"/>
              <w:rPr>
                <w:sz w:val="20"/>
                <w:szCs w:val="20"/>
                <w:color w:val="auto"/>
              </w:rPr>
            </w:pPr>
            <w:r>
              <w:rPr>
                <w:rFonts w:ascii="Arial" w:cs="Arial" w:eastAsia="Arial" w:hAnsi="Arial"/>
                <w:sz w:val="15"/>
                <w:szCs w:val="15"/>
                <w:color w:val="634140"/>
              </w:rPr>
              <w:t>_bhsqrcb</w:t>
            </w:r>
            <w:r>
              <w:rPr>
                <w:rFonts w:ascii="PMingLiU" w:cs="PMingLiU" w:eastAsia="PMingLiU" w:hAnsi="PMingLiU"/>
                <w:sz w:val="15"/>
                <w:szCs w:val="15"/>
                <w:color w:val="634140"/>
              </w:rPr>
              <w:t/>
            </w:r>
          </w:p>
        </w:tc>
        <w:tc>
          <w:tcPr>
            <w:tcW w:w="0" w:type="dxa"/>
            <w:vAlign w:val="bottom"/>
          </w:tcPr>
          <w:p>
            <w:pPr>
              <w:spacing w:after="0"/>
              <w:rPr>
                <w:sz w:val="1"/>
                <w:szCs w:val="1"/>
                <w:color w:val="auto"/>
              </w:rPr>
            </w:pPr>
          </w:p>
        </w:tc>
      </w:tr>
      <w:tr>
        <w:trPr>
          <w:trHeight w:val="139"/>
        </w:trPr>
        <w:tc>
          <w:tcPr>
            <w:tcW w:w="3420" w:type="dxa"/>
            <w:vAlign w:val="bottom"/>
          </w:tcPr>
          <w:p>
            <w:pPr>
              <w:jc w:val="center"/>
              <w:ind w:left="1492"/>
              <w:spacing w:after="0" w:line="140" w:lineRule="exact"/>
              <w:rPr>
                <w:sz w:val="20"/>
                <w:szCs w:val="20"/>
                <w:color w:val="auto"/>
              </w:rPr>
            </w:pPr>
            <w:r>
              <w:rPr>
                <w:rFonts w:ascii="Arial" w:cs="Arial" w:eastAsia="Arial" w:hAnsi="Arial"/>
                <w:sz w:val="15"/>
                <w:szCs w:val="15"/>
                <w:color w:val="634140"/>
              </w:rPr>
              <w:t>IFMX</w:t>
            </w:r>
            <w:r>
              <w:rPr>
                <w:rFonts w:ascii="PMingLiU" w:cs="PMingLiU" w:eastAsia="PMingLiU" w:hAnsi="PMingLiU"/>
                <w:sz w:val="15"/>
                <w:szCs w:val="15"/>
                <w:color w:val="634140"/>
              </w:rPr>
              <w:t/>
            </w:r>
            <w:r>
              <w:rPr>
                <w:rFonts w:ascii="Arial" w:cs="Arial" w:eastAsia="Arial" w:hAnsi="Arial"/>
                <w:sz w:val="15"/>
                <w:szCs w:val="15"/>
                <w:color w:val="634140"/>
              </w:rPr>
              <w:t>k_pegl</w:t>
            </w:r>
            <w:r>
              <w:rPr>
                <w:rFonts w:ascii="PMingLiU" w:cs="PMingLiU" w:eastAsia="PMingLiU" w:hAnsi="PMingLiU"/>
                <w:sz w:val="15"/>
                <w:szCs w:val="15"/>
                <w:color w:val="634140"/>
              </w:rPr>
              <w:t/>
            </w:r>
          </w:p>
        </w:tc>
        <w:tc>
          <w:tcPr>
            <w:tcW w:w="3580" w:type="dxa"/>
            <w:vAlign w:val="bottom"/>
          </w:tcPr>
          <w:p>
            <w:pPr>
              <w:jc w:val="center"/>
              <w:ind w:left="1991"/>
              <w:spacing w:after="0" w:line="140" w:lineRule="exact"/>
              <w:rPr>
                <w:sz w:val="20"/>
                <w:szCs w:val="20"/>
                <w:color w:val="auto"/>
              </w:rPr>
            </w:pPr>
            <w:r>
              <w:rPr>
                <w:rFonts w:ascii="Arial" w:cs="Arial" w:eastAsia="Arial" w:hAnsi="Arial"/>
                <w:sz w:val="15"/>
                <w:szCs w:val="15"/>
                <w:color w:val="634140"/>
              </w:rPr>
              <w:t>IFMXHE</w:t>
            </w:r>
            <w:r>
              <w:rPr>
                <w:rFonts w:ascii="PMingLiU" w:cs="PMingLiU" w:eastAsia="PMingLiU" w:hAnsi="PMingLiU"/>
                <w:sz w:val="15"/>
                <w:szCs w:val="15"/>
                <w:color w:val="634140"/>
              </w:rPr>
              <w:t/>
            </w:r>
            <w:r>
              <w:rPr>
                <w:rFonts w:ascii="Arial" w:cs="Arial" w:eastAsia="Arial" w:hAnsi="Arial"/>
                <w:sz w:val="15"/>
                <w:szCs w:val="15"/>
                <w:color w:val="634140"/>
              </w:rPr>
              <w:t>k_pegl</w:t>
            </w:r>
            <w:r>
              <w:rPr>
                <w:rFonts w:ascii="PMingLiU" w:cs="PMingLiU" w:eastAsia="PMingLiU" w:hAnsi="PMingLiU"/>
                <w:sz w:val="15"/>
                <w:szCs w:val="15"/>
                <w:color w:val="634140"/>
              </w:rPr>
              <w:t/>
            </w:r>
          </w:p>
        </w:tc>
        <w:tc>
          <w:tcPr>
            <w:tcW w:w="0" w:type="dxa"/>
            <w:vAlign w:val="bottom"/>
          </w:tcPr>
          <w:p>
            <w:pPr>
              <w:spacing w:after="0"/>
              <w:rPr>
                <w:sz w:val="1"/>
                <w:szCs w:val="1"/>
                <w:color w:val="auto"/>
              </w:rPr>
            </w:pPr>
          </w:p>
        </w:tc>
      </w:tr>
      <w:tr>
        <w:trPr>
          <w:trHeight w:val="139"/>
        </w:trPr>
        <w:tc>
          <w:tcPr>
            <w:tcW w:w="3420" w:type="dxa"/>
            <w:vAlign w:val="bottom"/>
          </w:tcPr>
          <w:p>
            <w:pPr>
              <w:jc w:val="center"/>
              <w:ind w:right="2092"/>
              <w:spacing w:after="0" w:line="139" w:lineRule="exact"/>
              <w:rPr>
                <w:sz w:val="20"/>
                <w:szCs w:val="20"/>
                <w:color w:val="auto"/>
              </w:rPr>
            </w:pPr>
            <w:r>
              <w:rPr>
                <w:rFonts w:ascii="Arial" w:cs="Arial" w:eastAsia="Arial" w:hAnsi="Arial"/>
                <w:sz w:val="15"/>
                <w:szCs w:val="15"/>
                <w:color w:val="634140"/>
              </w:rPr>
              <w:t>IFMX</w:t>
            </w:r>
            <w:r>
              <w:rPr>
                <w:rFonts w:ascii="PMingLiU" w:cs="PMingLiU" w:eastAsia="PMingLiU" w:hAnsi="PMingLiU"/>
                <w:sz w:val="15"/>
                <w:szCs w:val="15"/>
                <w:color w:val="634140"/>
              </w:rPr>
              <w:t/>
            </w:r>
            <w:r>
              <w:rPr>
                <w:rFonts w:ascii="Arial" w:cs="Arial" w:eastAsia="Arial" w:hAnsi="Arial"/>
                <w:sz w:val="15"/>
                <w:szCs w:val="15"/>
                <w:color w:val="634140"/>
              </w:rPr>
              <w:t>md</w:t>
            </w:r>
            <w:r>
              <w:rPr>
                <w:rFonts w:ascii="PMingLiU" w:cs="PMingLiU" w:eastAsia="PMingLiU" w:hAnsi="PMingLiU"/>
                <w:sz w:val="15"/>
                <w:szCs w:val="15"/>
                <w:color w:val="634140"/>
              </w:rPr>
              <w:t/>
            </w:r>
          </w:p>
        </w:tc>
        <w:tc>
          <w:tcPr>
            <w:tcW w:w="3580" w:type="dxa"/>
            <w:vAlign w:val="bottom"/>
          </w:tcPr>
          <w:p>
            <w:pPr>
              <w:ind w:left="500"/>
              <w:spacing w:after="0" w:line="139" w:lineRule="exact"/>
              <w:rPr>
                <w:sz w:val="20"/>
                <w:szCs w:val="20"/>
                <w:color w:val="auto"/>
              </w:rPr>
            </w:pPr>
            <w:r>
              <w:rPr>
                <w:rFonts w:ascii="Arial" w:cs="Arial" w:eastAsia="Arial" w:hAnsi="Arial"/>
                <w:sz w:val="15"/>
                <w:szCs w:val="15"/>
                <w:color w:val="634140"/>
              </w:rPr>
              <w:t>IFMXHE</w:t>
            </w:r>
            <w:r>
              <w:rPr>
                <w:rFonts w:ascii="PMingLiU" w:cs="PMingLiU" w:eastAsia="PMingLiU" w:hAnsi="PMingLiU"/>
                <w:sz w:val="15"/>
                <w:szCs w:val="15"/>
                <w:color w:val="634140"/>
              </w:rPr>
              <w:t/>
            </w:r>
            <w:r>
              <w:rPr>
                <w:rFonts w:ascii="Arial" w:cs="Arial" w:eastAsia="Arial" w:hAnsi="Arial"/>
                <w:sz w:val="15"/>
                <w:szCs w:val="15"/>
                <w:color w:val="634140"/>
              </w:rPr>
              <w:t>md</w:t>
            </w:r>
            <w:r>
              <w:rPr>
                <w:rFonts w:ascii="PMingLiU" w:cs="PMingLiU" w:eastAsia="PMingLiU" w:hAnsi="PMingLiU"/>
                <w:sz w:val="15"/>
                <w:szCs w:val="15"/>
                <w:color w:val="634140"/>
              </w:rPr>
              <w:t/>
            </w:r>
          </w:p>
        </w:tc>
        <w:tc>
          <w:tcPr>
            <w:tcW w:w="0" w:type="dxa"/>
            <w:vAlign w:val="bottom"/>
          </w:tcPr>
          <w:p>
            <w:pPr>
              <w:spacing w:after="0"/>
              <w:rPr>
                <w:sz w:val="1"/>
                <w:szCs w:val="1"/>
                <w:color w:val="auto"/>
              </w:rPr>
            </w:pPr>
          </w:p>
        </w:tc>
      </w:tr>
      <w:tr>
        <w:trPr>
          <w:trHeight w:val="139"/>
        </w:trPr>
        <w:tc>
          <w:tcPr>
            <w:tcW w:w="3420" w:type="dxa"/>
            <w:vAlign w:val="bottom"/>
          </w:tcPr>
          <w:p>
            <w:pPr>
              <w:jc w:val="center"/>
              <w:ind w:left="1532"/>
              <w:spacing w:after="0" w:line="140" w:lineRule="exact"/>
              <w:rPr>
                <w:sz w:val="20"/>
                <w:szCs w:val="20"/>
                <w:color w:val="auto"/>
              </w:rPr>
            </w:pPr>
            <w:r>
              <w:rPr>
                <w:rFonts w:ascii="Arial" w:cs="Arial" w:eastAsia="Arial" w:hAnsi="Arial"/>
                <w:sz w:val="15"/>
                <w:szCs w:val="15"/>
                <w:b w:val="1"/>
                <w:bCs w:val="1"/>
                <w:color w:val="634140"/>
              </w:rPr>
              <w:t>˦˦</w:t>
            </w:r>
            <w:r>
              <w:rPr>
                <w:rFonts w:ascii="PMingLiU" w:cs="PMingLiU" w:eastAsia="PMingLiU" w:hAnsi="PMingLiU"/>
                <w:sz w:val="15"/>
                <w:szCs w:val="15"/>
                <w:b w:val="1"/>
                <w:bCs w:val="1"/>
                <w:color w:val="634140"/>
              </w:rPr>
              <w:t/>
            </w:r>
            <w:r>
              <w:rPr>
                <w:rFonts w:ascii="Arial" w:cs="Arial" w:eastAsia="Arial" w:hAnsi="Arial"/>
                <w:sz w:val="15"/>
                <w:szCs w:val="15"/>
                <w:b w:val="1"/>
                <w:bCs w:val="1"/>
                <w:color w:val="634140"/>
              </w:rPr>
              <w:t>˦φ</w:t>
            </w:r>
            <w:r>
              <w:rPr>
                <w:rFonts w:ascii="PMingLiU" w:cs="PMingLiU" w:eastAsia="PMingLiU" w:hAnsi="PMingLiU"/>
                <w:sz w:val="15"/>
                <w:szCs w:val="15"/>
                <w:color w:val="634140"/>
              </w:rPr>
              <w:t/>
            </w:r>
          </w:p>
        </w:tc>
        <w:tc>
          <w:tcPr>
            <w:tcW w:w="3580" w:type="dxa"/>
            <w:vAlign w:val="bottom"/>
          </w:tcPr>
          <w:p>
            <w:pPr>
              <w:jc w:val="center"/>
              <w:ind w:left="1991"/>
              <w:spacing w:after="0" w:line="140" w:lineRule="exact"/>
              <w:rPr>
                <w:sz w:val="20"/>
                <w:szCs w:val="20"/>
                <w:color w:val="auto"/>
              </w:rPr>
            </w:pPr>
            <w:r>
              <w:rPr>
                <w:rFonts w:ascii="Arial" w:cs="Arial" w:eastAsia="Arial" w:hAnsi="Arial"/>
                <w:sz w:val="15"/>
                <w:szCs w:val="15"/>
                <w:color w:val="634140"/>
              </w:rPr>
              <w:t>md</w:t>
            </w:r>
            <w:r>
              <w:rPr>
                <w:rFonts w:ascii="PMingLiU" w:cs="PMingLiU" w:eastAsia="PMingLiU" w:hAnsi="PMingLiU"/>
                <w:sz w:val="15"/>
                <w:szCs w:val="15"/>
                <w:color w:val="634140"/>
              </w:rPr>
              <w:t/>
            </w:r>
            <w:r>
              <w:rPr>
                <w:rFonts w:ascii="Arial" w:cs="Arial" w:eastAsia="Arial" w:hAnsi="Arial"/>
                <w:sz w:val="15"/>
                <w:szCs w:val="15"/>
                <w:b w:val="1"/>
                <w:bCs w:val="1"/>
                <w:color w:val="634140"/>
              </w:rPr>
              <w:t>˧˧</w:t>
            </w:r>
            <w:r>
              <w:rPr>
                <w:rFonts w:ascii="PMingLiU" w:cs="PMingLiU" w:eastAsia="PMingLiU" w:hAnsi="PMingLiU"/>
                <w:sz w:val="15"/>
                <w:szCs w:val="15"/>
                <w:b w:val="1"/>
                <w:bCs w:val="1"/>
                <w:color w:val="634140"/>
              </w:rPr>
              <w:t/>
            </w:r>
            <w:r>
              <w:rPr>
                <w:rFonts w:ascii="Arial" w:cs="Arial" w:eastAsia="Arial" w:hAnsi="Arial"/>
                <w:sz w:val="15"/>
                <w:szCs w:val="15"/>
                <w:b w:val="1"/>
                <w:bCs w:val="1"/>
                <w:color w:val="634140"/>
              </w:rPr>
              <w:t>˥φ</w:t>
            </w:r>
            <w:r>
              <w:rPr>
                <w:rFonts w:ascii="PMingLiU" w:cs="PMingLiU" w:eastAsia="PMingLiU" w:hAnsi="PMingLiU"/>
                <w:sz w:val="15"/>
                <w:szCs w:val="15"/>
                <w:color w:val="634140"/>
              </w:rPr>
              <w:t/>
            </w:r>
          </w:p>
        </w:tc>
        <w:tc>
          <w:tcPr>
            <w:tcW w:w="0" w:type="dxa"/>
            <w:vAlign w:val="bottom"/>
          </w:tcPr>
          <w:p>
            <w:pPr>
              <w:spacing w:after="0"/>
              <w:rPr>
                <w:sz w:val="1"/>
                <w:szCs w:val="1"/>
                <w:color w:val="auto"/>
              </w:rPr>
            </w:pPr>
          </w:p>
        </w:tc>
      </w:tr>
      <w:tr>
        <w:trPr>
          <w:trHeight w:val="139"/>
        </w:trPr>
        <w:tc>
          <w:tcPr>
            <w:tcW w:w="3420" w:type="dxa"/>
            <w:vAlign w:val="bottom"/>
          </w:tcPr>
          <w:p>
            <w:pPr>
              <w:spacing w:after="0" w:line="139" w:lineRule="exact"/>
              <w:rPr>
                <w:sz w:val="20"/>
                <w:szCs w:val="20"/>
                <w:color w:val="auto"/>
              </w:rPr>
            </w:pPr>
            <w:r>
              <w:rPr>
                <w:rFonts w:ascii="Arial" w:cs="Arial" w:eastAsia="Arial" w:hAnsi="Arial"/>
                <w:sz w:val="15"/>
                <w:szCs w:val="15"/>
                <w:b w:val="1"/>
                <w:bCs w:val="1"/>
                <w:color w:val="634140"/>
              </w:rPr>
              <w:t>˧˥˨</w:t>
            </w:r>
            <w:r>
              <w:rPr>
                <w:rFonts w:ascii="PMingLiU" w:cs="PMingLiU" w:eastAsia="PMingLiU" w:hAnsi="PMingLiU"/>
                <w:sz w:val="15"/>
                <w:szCs w:val="15"/>
                <w:b w:val="1"/>
                <w:bCs w:val="1"/>
                <w:color w:val="634140"/>
              </w:rPr>
              <w:t/>
            </w:r>
            <w:r>
              <w:rPr>
                <w:rFonts w:ascii="Arial" w:cs="Arial" w:eastAsia="Arial" w:hAnsi="Arial"/>
                <w:sz w:val="15"/>
                <w:szCs w:val="15"/>
                <w:b w:val="1"/>
                <w:bCs w:val="1"/>
                <w:color w:val="634140"/>
              </w:rPr>
              <w:t>kgjjgml</w:t>
            </w:r>
          </w:p>
        </w:tc>
        <w:tc>
          <w:tcPr>
            <w:tcW w:w="3580" w:type="dxa"/>
            <w:vAlign w:val="bottom"/>
          </w:tcPr>
          <w:p>
            <w:pPr>
              <w:ind w:left="360"/>
              <w:spacing w:after="0" w:line="139" w:lineRule="exact"/>
              <w:rPr>
                <w:sz w:val="20"/>
                <w:szCs w:val="20"/>
                <w:color w:val="auto"/>
              </w:rPr>
            </w:pPr>
            <w:r>
              <w:rPr>
                <w:rFonts w:ascii="Arial" w:cs="Arial" w:eastAsia="Arial" w:hAnsi="Arial"/>
                <w:sz w:val="15"/>
                <w:szCs w:val="15"/>
                <w:b w:val="1"/>
                <w:bCs w:val="1"/>
                <w:color w:val="634140"/>
              </w:rPr>
              <w:t>˩˥˦</w:t>
            </w:r>
            <w:r>
              <w:rPr>
                <w:rFonts w:ascii="PMingLiU" w:cs="PMingLiU" w:eastAsia="PMingLiU" w:hAnsi="PMingLiU"/>
                <w:sz w:val="15"/>
                <w:szCs w:val="15"/>
                <w:b w:val="1"/>
                <w:bCs w:val="1"/>
                <w:color w:val="634140"/>
              </w:rPr>
              <w:t/>
            </w:r>
            <w:r>
              <w:rPr>
                <w:rFonts w:ascii="Arial" w:cs="Arial" w:eastAsia="Arial" w:hAnsi="Arial"/>
                <w:sz w:val="15"/>
                <w:szCs w:val="15"/>
                <w:b w:val="1"/>
                <w:bCs w:val="1"/>
                <w:color w:val="634140"/>
              </w:rPr>
              <w:t>kgjjgml</w:t>
            </w:r>
          </w:p>
        </w:tc>
        <w:tc>
          <w:tcPr>
            <w:tcW w:w="0" w:type="dxa"/>
            <w:vAlign w:val="bottom"/>
          </w:tcPr>
          <w:p>
            <w:pPr>
              <w:spacing w:after="0"/>
              <w:rPr>
                <w:sz w:val="1"/>
                <w:szCs w:val="1"/>
                <w:color w:val="auto"/>
              </w:rPr>
            </w:pPr>
          </w:p>
        </w:tc>
      </w:tr>
      <w:tr>
        <w:trPr>
          <w:trHeight w:val="239"/>
        </w:trPr>
        <w:tc>
          <w:tcPr>
            <w:tcW w:w="3420" w:type="dxa"/>
            <w:vAlign w:val="bottom"/>
          </w:tcPr>
          <w:p>
            <w:pPr>
              <w:ind w:left="1740"/>
              <w:spacing w:after="0" w:line="239" w:lineRule="exact"/>
              <w:rPr>
                <w:sz w:val="20"/>
                <w:szCs w:val="20"/>
                <w:color w:val="auto"/>
              </w:rPr>
            </w:pPr>
            <w:r>
              <w:rPr>
                <w:rFonts w:ascii="Arial" w:cs="Arial" w:eastAsia="Arial" w:hAnsi="Arial"/>
                <w:sz w:val="20"/>
                <w:szCs w:val="20"/>
                <w:color w:val="634140"/>
              </w:rPr>
              <w:t>bmul</w:t>
            </w:r>
            <w:r>
              <w:rPr>
                <w:rFonts w:ascii="PMingLiU" w:cs="PMingLiU" w:eastAsia="PMingLiU" w:hAnsi="PMingLiU"/>
                <w:sz w:val="20"/>
                <w:szCs w:val="20"/>
                <w:color w:val="634140"/>
              </w:rPr>
              <w:t/>
            </w:r>
            <w:r>
              <w:rPr>
                <w:rFonts w:ascii="Arial" w:cs="Arial" w:eastAsia="Arial" w:hAnsi="Arial"/>
                <w:sz w:val="20"/>
                <w:szCs w:val="20"/>
                <w:color w:val="634140"/>
              </w:rPr>
              <w:t>dpmk</w:t>
            </w:r>
            <w:r>
              <w:rPr>
                <w:rFonts w:ascii="PMingLiU" w:cs="PMingLiU" w:eastAsia="PMingLiU" w:hAnsi="PMingLiU"/>
                <w:sz w:val="20"/>
                <w:szCs w:val="20"/>
                <w:color w:val="634140"/>
              </w:rPr>
              <w:t/>
            </w:r>
            <w:r>
              <w:rPr>
                <w:rFonts w:ascii="Arial" w:cs="Arial" w:eastAsia="Arial" w:hAnsi="Arial"/>
                <w:sz w:val="20"/>
                <w:szCs w:val="20"/>
                <w:color w:val="634140"/>
              </w:rPr>
              <w:t>˦˦</w:t>
            </w:r>
            <w:r>
              <w:rPr>
                <w:rFonts w:ascii="PMingLiU" w:cs="PMingLiU" w:eastAsia="PMingLiU" w:hAnsi="PMingLiU"/>
                <w:sz w:val="20"/>
                <w:szCs w:val="20"/>
                <w:color w:val="634140"/>
              </w:rPr>
              <w:t/>
            </w:r>
            <w:r>
              <w:rPr>
                <w:rFonts w:ascii="Arial" w:cs="Arial" w:eastAsia="Arial" w:hAnsi="Arial"/>
                <w:sz w:val="20"/>
                <w:szCs w:val="20"/>
                <w:color w:val="634140"/>
              </w:rPr>
              <w:t>˩φ</w:t>
            </w:r>
          </w:p>
        </w:tc>
        <w:tc>
          <w:tcPr>
            <w:tcW w:w="3580" w:type="dxa"/>
            <w:vAlign w:val="bottom"/>
          </w:tcPr>
          <w:p>
            <w:pPr>
              <w:ind w:left="2000"/>
              <w:spacing w:after="0" w:line="239" w:lineRule="exact"/>
              <w:rPr>
                <w:sz w:val="20"/>
                <w:szCs w:val="20"/>
                <w:color w:val="auto"/>
              </w:rPr>
            </w:pPr>
            <w:r>
              <w:rPr>
                <w:rFonts w:ascii="Arial" w:cs="Arial" w:eastAsia="Arial" w:hAnsi="Arial"/>
                <w:sz w:val="20"/>
                <w:szCs w:val="20"/>
                <w:color w:val="634140"/>
              </w:rPr>
              <w:t>sn</w:t>
            </w:r>
            <w:r>
              <w:rPr>
                <w:rFonts w:ascii="PMingLiU" w:cs="PMingLiU" w:eastAsia="PMingLiU" w:hAnsi="PMingLiU"/>
                <w:sz w:val="20"/>
                <w:szCs w:val="20"/>
                <w:color w:val="634140"/>
              </w:rPr>
              <w:t/>
            </w:r>
            <w:r>
              <w:rPr>
                <w:rFonts w:ascii="Arial" w:cs="Arial" w:eastAsia="Arial" w:hAnsi="Arial"/>
                <w:sz w:val="20"/>
                <w:szCs w:val="20"/>
                <w:color w:val="634140"/>
              </w:rPr>
              <w:t>˨˥</w:t>
            </w:r>
            <w:r>
              <w:rPr>
                <w:rFonts w:ascii="PMingLiU" w:cs="PMingLiU" w:eastAsia="PMingLiU" w:hAnsi="PMingLiU"/>
                <w:sz w:val="20"/>
                <w:szCs w:val="20"/>
                <w:color w:val="634140"/>
              </w:rPr>
              <w:t/>
            </w:r>
            <w:r>
              <w:rPr>
                <w:rFonts w:ascii="Arial" w:cs="Arial" w:eastAsia="Arial" w:hAnsi="Arial"/>
                <w:sz w:val="20"/>
                <w:szCs w:val="20"/>
                <w:color w:val="634140"/>
              </w:rPr>
              <w:t>`_qgq</w:t>
            </w:r>
            <w:r>
              <w:rPr>
                <w:rFonts w:ascii="PMingLiU" w:cs="PMingLiU" w:eastAsia="PMingLiU" w:hAnsi="PMingLiU"/>
                <w:sz w:val="20"/>
                <w:szCs w:val="20"/>
                <w:color w:val="634140"/>
              </w:rPr>
              <w:t/>
            </w:r>
            <w:r>
              <w:rPr>
                <w:rFonts w:ascii="Arial" w:cs="Arial" w:eastAsia="Arial" w:hAnsi="Arial"/>
                <w:sz w:val="20"/>
                <w:szCs w:val="20"/>
                <w:color w:val="634140"/>
              </w:rPr>
              <w:t>nmglrq</w:t>
            </w:r>
          </w:p>
        </w:tc>
        <w:tc>
          <w:tcPr>
            <w:tcW w:w="0" w:type="dxa"/>
            <w:vAlign w:val="bottom"/>
          </w:tcPr>
          <w:p>
            <w:pPr>
              <w:spacing w:after="0"/>
              <w:rPr>
                <w:sz w:val="1"/>
                <w:szCs w:val="1"/>
                <w:color w:val="auto"/>
              </w:rPr>
            </w:pPr>
          </w:p>
        </w:tc>
      </w:tr>
      <w:tr>
        <w:trPr>
          <w:trHeight w:val="799"/>
        </w:trPr>
        <w:tc>
          <w:tcPr>
            <w:tcW w:w="3420" w:type="dxa"/>
            <w:vAlign w:val="bottom"/>
            <w:vMerge w:val="restart"/>
          </w:tcPr>
          <w:p>
            <w:pPr>
              <w:ind w:left="940"/>
              <w:spacing w:after="0" w:line="243" w:lineRule="exact"/>
              <w:rPr>
                <w:sz w:val="20"/>
                <w:szCs w:val="20"/>
                <w:color w:val="auto"/>
              </w:rPr>
            </w:pPr>
            <w:r>
              <w:rPr>
                <w:rFonts w:ascii="Arial" w:cs="Arial" w:eastAsia="Arial" w:hAnsi="Arial"/>
                <w:sz w:val="20"/>
                <w:szCs w:val="20"/>
                <w:color w:val="634140"/>
              </w:rPr>
              <w:t>_bhsqrcb</w:t>
            </w:r>
            <w:r>
              <w:rPr>
                <w:rFonts w:ascii="PMingLiU" w:cs="PMingLiU" w:eastAsia="PMingLiU" w:hAnsi="PMingLiU"/>
                <w:sz w:val="20"/>
                <w:szCs w:val="20"/>
                <w:color w:val="634140"/>
              </w:rPr>
              <w:t/>
            </w:r>
            <w:r>
              <w:rPr>
                <w:rFonts w:ascii="Arial" w:cs="Arial" w:eastAsia="Arial" w:hAnsi="Arial"/>
                <w:sz w:val="20"/>
                <w:szCs w:val="20"/>
                <w:color w:val="634140"/>
              </w:rPr>
              <w:t>ITW</w:t>
            </w:r>
            <w:r>
              <w:rPr>
                <w:rFonts w:ascii="PMingLiU" w:cs="PMingLiU" w:eastAsia="PMingLiU" w:hAnsi="PMingLiU"/>
                <w:sz w:val="20"/>
                <w:szCs w:val="20"/>
                <w:color w:val="634140"/>
              </w:rPr>
              <w:t/>
            </w:r>
          </w:p>
        </w:tc>
        <w:tc>
          <w:tcPr>
            <w:tcW w:w="3580" w:type="dxa"/>
            <w:vAlign w:val="bottom"/>
          </w:tcPr>
          <w:p>
            <w:pPr>
              <w:jc w:val="center"/>
              <w:ind w:left="131"/>
              <w:spacing w:after="0" w:line="243" w:lineRule="exact"/>
              <w:rPr>
                <w:sz w:val="20"/>
                <w:szCs w:val="20"/>
                <w:color w:val="auto"/>
              </w:rPr>
            </w:pPr>
            <w:r>
              <w:rPr>
                <w:rFonts w:ascii="Arial" w:cs="Arial" w:eastAsia="Arial" w:hAnsi="Arial"/>
                <w:sz w:val="20"/>
                <w:szCs w:val="20"/>
                <w:color w:val="634140"/>
              </w:rPr>
              <w:t>mlemgle</w:t>
            </w:r>
            <w:r>
              <w:rPr>
                <w:rFonts w:ascii="PMingLiU" w:cs="PMingLiU" w:eastAsia="PMingLiU" w:hAnsi="PMingLiU"/>
                <w:sz w:val="20"/>
                <w:szCs w:val="20"/>
                <w:color w:val="634140"/>
              </w:rPr>
              <w:t/>
            </w:r>
            <w:r>
              <w:rPr>
                <w:rFonts w:ascii="Arial" w:cs="Arial" w:eastAsia="Arial" w:hAnsi="Arial"/>
                <w:sz w:val="20"/>
                <w:szCs w:val="20"/>
                <w:color w:val="634140"/>
              </w:rPr>
              <w:t>JGJ</w:t>
            </w:r>
            <w:r>
              <w:rPr>
                <w:rFonts w:ascii="PMingLiU" w:cs="PMingLiU" w:eastAsia="PMingLiU" w:hAnsi="PMingLiU"/>
                <w:sz w:val="20"/>
                <w:szCs w:val="20"/>
                <w:color w:val="634140"/>
              </w:rPr>
              <w:t/>
            </w:r>
            <w:r>
              <w:rPr>
                <w:rFonts w:ascii="Arial" w:cs="Arial" w:eastAsia="Arial" w:hAnsi="Arial"/>
                <w:sz w:val="20"/>
                <w:szCs w:val="20"/>
                <w:color w:val="634140"/>
              </w:rPr>
              <w:t xml:space="preserve"> </w:t>
            </w:r>
            <w:r>
              <w:rPr>
                <w:rFonts w:ascii="Arial" w:cs="Arial" w:eastAsia="Arial" w:hAnsi="Arial"/>
                <w:sz w:val="20"/>
                <w:szCs w:val="20"/>
                <w:b w:val="1"/>
                <w:bCs w:val="1"/>
                <w:color w:val="634140"/>
              </w:rPr>
              <w:t>˦˧ˬ</w:t>
            </w:r>
            <w:r>
              <w:rPr>
                <w:rFonts w:ascii="PMingLiU" w:cs="PMingLiU" w:eastAsia="PMingLiU" w:hAnsi="PMingLiU"/>
                <w:sz w:val="20"/>
                <w:szCs w:val="20"/>
                <w:b w:val="1"/>
                <w:bCs w:val="1"/>
                <w:color w:val="634140"/>
              </w:rPr>
              <w:t/>
            </w:r>
            <w:r>
              <w:rPr>
                <w:rFonts w:ascii="Arial" w:cs="Arial" w:eastAsia="Arial" w:hAnsi="Arial"/>
                <w:sz w:val="20"/>
                <w:szCs w:val="20"/>
                <w:b w:val="1"/>
                <w:bCs w:val="1"/>
                <w:color w:val="634140"/>
              </w:rPr>
              <w:t>kgjjgml</w:t>
            </w:r>
            <w:r>
              <w:rPr>
                <w:rFonts w:ascii="PMingLiU" w:cs="PMingLiU" w:eastAsia="PMingLiU" w:hAnsi="PMingLiU"/>
                <w:sz w:val="20"/>
                <w:szCs w:val="20"/>
                <w:color w:val="634140"/>
              </w:rPr>
              <w:t/>
            </w:r>
          </w:p>
        </w:tc>
        <w:tc>
          <w:tcPr>
            <w:tcW w:w="0" w:type="dxa"/>
            <w:vAlign w:val="bottom"/>
          </w:tcPr>
          <w:p>
            <w:pPr>
              <w:spacing w:after="0"/>
              <w:rPr>
                <w:sz w:val="1"/>
                <w:szCs w:val="1"/>
                <w:color w:val="auto"/>
              </w:rPr>
            </w:pPr>
          </w:p>
        </w:tc>
      </w:tr>
      <w:tr>
        <w:trPr>
          <w:trHeight w:val="139"/>
        </w:trPr>
        <w:tc>
          <w:tcPr>
            <w:tcW w:w="3420" w:type="dxa"/>
            <w:vAlign w:val="bottom"/>
            <w:vMerge w:val="continue"/>
          </w:tcPr>
          <w:p>
            <w:pPr>
              <w:spacing w:after="0"/>
              <w:rPr>
                <w:sz w:val="12"/>
                <w:szCs w:val="12"/>
                <w:color w:val="auto"/>
              </w:rPr>
            </w:pPr>
          </w:p>
        </w:tc>
        <w:tc>
          <w:tcPr>
            <w:tcW w:w="3580" w:type="dxa"/>
            <w:vAlign w:val="bottom"/>
            <w:vMerge w:val="restart"/>
          </w:tcPr>
          <w:p>
            <w:pPr>
              <w:jc w:val="center"/>
              <w:ind w:left="131"/>
              <w:spacing w:after="0" w:line="243" w:lineRule="exact"/>
              <w:rPr>
                <w:sz w:val="20"/>
                <w:szCs w:val="20"/>
                <w:color w:val="auto"/>
              </w:rPr>
            </w:pPr>
            <w:r>
              <w:rPr>
                <w:rFonts w:ascii="Arial" w:cs="Arial" w:eastAsia="Arial" w:hAnsi="Arial"/>
                <w:sz w:val="20"/>
                <w:szCs w:val="20"/>
                <w:color w:val="634140"/>
              </w:rPr>
              <w:t>bmul</w:t>
            </w:r>
            <w:r>
              <w:rPr>
                <w:rFonts w:ascii="PMingLiU" w:cs="PMingLiU" w:eastAsia="PMingLiU" w:hAnsi="PMingLiU"/>
                <w:sz w:val="20"/>
                <w:szCs w:val="20"/>
                <w:color w:val="634140"/>
              </w:rPr>
              <w:t/>
            </w:r>
            <w:r>
              <w:rPr>
                <w:rFonts w:ascii="Arial" w:cs="Arial" w:eastAsia="Arial" w:hAnsi="Arial"/>
                <w:sz w:val="20"/>
                <w:szCs w:val="20"/>
                <w:color w:val="634140"/>
              </w:rPr>
              <w:t>dpmk</w:t>
            </w:r>
            <w:r>
              <w:rPr>
                <w:rFonts w:ascii="PMingLiU" w:cs="PMingLiU" w:eastAsia="PMingLiU" w:hAnsi="PMingLiU"/>
                <w:sz w:val="20"/>
                <w:szCs w:val="20"/>
                <w:color w:val="634140"/>
              </w:rPr>
              <w:t xml:space="preserve"> </w:t>
            </w:r>
            <w:r>
              <w:rPr>
                <w:rFonts w:ascii="Arial" w:cs="Arial" w:eastAsia="Arial" w:hAnsi="Arial"/>
                <w:sz w:val="20"/>
                <w:szCs w:val="20"/>
                <w:color w:val="634140"/>
              </w:rPr>
              <w:t>˧ˬ˥</w:t>
            </w:r>
            <w:r>
              <w:rPr>
                <w:rFonts w:ascii="PMingLiU" w:cs="PMingLiU" w:eastAsia="PMingLiU" w:hAnsi="PMingLiU"/>
                <w:sz w:val="20"/>
                <w:szCs w:val="20"/>
                <w:color w:val="634140"/>
              </w:rPr>
              <w:t/>
            </w:r>
            <w:r>
              <w:rPr>
                <w:rFonts w:ascii="Arial" w:cs="Arial" w:eastAsia="Arial" w:hAnsi="Arial"/>
                <w:sz w:val="20"/>
                <w:szCs w:val="20"/>
                <w:color w:val="634140"/>
              </w:rPr>
              <w:t>kgjjgml</w:t>
            </w:r>
            <w:r>
              <w:rPr>
                <w:rFonts w:ascii="PMingLiU" w:cs="PMingLiU" w:eastAsia="PMingLiU" w:hAnsi="PMingLiU"/>
                <w:sz w:val="20"/>
                <w:szCs w:val="20"/>
                <w:color w:val="634140"/>
              </w:rPr>
              <w:t/>
            </w:r>
          </w:p>
        </w:tc>
        <w:tc>
          <w:tcPr>
            <w:tcW w:w="0" w:type="dxa"/>
            <w:vAlign w:val="bottom"/>
          </w:tcPr>
          <w:p>
            <w:pPr>
              <w:spacing w:after="0"/>
              <w:rPr>
                <w:sz w:val="1"/>
                <w:szCs w:val="1"/>
                <w:color w:val="auto"/>
              </w:rPr>
            </w:pPr>
          </w:p>
        </w:tc>
      </w:tr>
      <w:tr>
        <w:trPr>
          <w:trHeight w:val="139"/>
        </w:trPr>
        <w:tc>
          <w:tcPr>
            <w:tcW w:w="3420" w:type="dxa"/>
            <w:vAlign w:val="bottom"/>
            <w:vMerge w:val="restart"/>
          </w:tcPr>
          <w:p>
            <w:pPr>
              <w:ind w:left="20"/>
              <w:spacing w:after="0" w:line="243" w:lineRule="exact"/>
              <w:rPr>
                <w:sz w:val="20"/>
                <w:szCs w:val="20"/>
                <w:color w:val="auto"/>
              </w:rPr>
            </w:pPr>
            <w:r>
              <w:rPr>
                <w:rFonts w:ascii="Arial" w:cs="Arial" w:eastAsia="Arial" w:hAnsi="Arial"/>
                <w:sz w:val="20"/>
                <w:szCs w:val="20"/>
                <w:color w:val="634140"/>
              </w:rPr>
              <w:t>+cvajsbgle</w:t>
            </w:r>
            <w:r>
              <w:rPr>
                <w:rFonts w:ascii="PMingLiU" w:cs="PMingLiU" w:eastAsia="PMingLiU" w:hAnsi="PMingLiU"/>
                <w:sz w:val="20"/>
                <w:szCs w:val="20"/>
                <w:color w:val="634140"/>
              </w:rPr>
              <w:t/>
            </w:r>
            <w:r>
              <w:rPr>
                <w:rFonts w:ascii="Arial" w:cs="Arial" w:eastAsia="Arial" w:hAnsi="Arial"/>
                <w:sz w:val="20"/>
                <w:szCs w:val="20"/>
                <w:color w:val="634140"/>
              </w:rPr>
              <w:t>glr_leg`jc</w:t>
            </w:r>
            <w:r>
              <w:rPr>
                <w:rFonts w:ascii="PMingLiU" w:cs="PMingLiU" w:eastAsia="PMingLiU" w:hAnsi="PMingLiU"/>
                <w:sz w:val="20"/>
                <w:szCs w:val="20"/>
                <w:color w:val="634140"/>
              </w:rPr>
              <w:t/>
            </w:r>
            <w:r>
              <w:rPr>
                <w:rFonts w:ascii="Arial" w:cs="Arial" w:eastAsia="Arial" w:hAnsi="Arial"/>
                <w:sz w:val="20"/>
                <w:szCs w:val="20"/>
                <w:color w:val="634140"/>
              </w:rPr>
              <w:t>_kmprgx_rgml,</w:t>
            </w:r>
            <w:r>
              <w:rPr>
                <w:rFonts w:ascii="PMingLiU" w:cs="PMingLiU" w:eastAsia="PMingLiU" w:hAnsi="PMingLiU"/>
                <w:sz w:val="20"/>
                <w:szCs w:val="20"/>
                <w:color w:val="634140"/>
              </w:rPr>
              <w:t/>
            </w: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vMerge w:val="continue"/>
          </w:tcPr>
          <w:p>
            <w:pPr>
              <w:spacing w:after="0"/>
              <w:rPr>
                <w:sz w:val="12"/>
                <w:szCs w:val="12"/>
                <w:color w:val="auto"/>
              </w:rPr>
            </w:pPr>
          </w:p>
        </w:tc>
        <w:tc>
          <w:tcPr>
            <w:tcW w:w="3580" w:type="dxa"/>
            <w:vAlign w:val="bottom"/>
            <w:vMerge w:val="restart"/>
          </w:tcPr>
          <w:p>
            <w:pPr>
              <w:jc w:val="center"/>
              <w:ind w:left="91"/>
              <w:spacing w:after="0" w:line="243" w:lineRule="exact"/>
              <w:rPr>
                <w:sz w:val="20"/>
                <w:szCs w:val="20"/>
                <w:color w:val="auto"/>
              </w:rPr>
            </w:pPr>
            <w:r>
              <w:rPr>
                <w:rFonts w:ascii="Arial" w:cs="Arial" w:eastAsia="Arial" w:hAnsi="Arial"/>
                <w:sz w:val="20"/>
                <w:szCs w:val="20"/>
                <w:color w:val="634140"/>
              </w:rPr>
              <w:t>bpgtcl</w:t>
            </w:r>
            <w:r>
              <w:rPr>
                <w:rFonts w:ascii="PMingLiU" w:cs="PMingLiU" w:eastAsia="PMingLiU" w:hAnsi="PMingLiU"/>
                <w:sz w:val="20"/>
                <w:szCs w:val="20"/>
                <w:color w:val="634140"/>
              </w:rPr>
              <w:t/>
            </w:r>
            <w:r>
              <w:rPr>
                <w:rFonts w:ascii="Arial" w:cs="Arial" w:eastAsia="Arial" w:hAnsi="Arial"/>
                <w:sz w:val="20"/>
                <w:szCs w:val="20"/>
                <w:color w:val="634140"/>
              </w:rPr>
              <w:t>`w</w:t>
            </w:r>
            <w:r>
              <w:rPr>
                <w:rFonts w:ascii="PMingLiU" w:cs="PMingLiU" w:eastAsia="PMingLiU" w:hAnsi="PMingLiU"/>
                <w:sz w:val="20"/>
                <w:szCs w:val="20"/>
                <w:color w:val="634140"/>
              </w:rPr>
              <w:t/>
            </w:r>
            <w:r>
              <w:rPr>
                <w:rFonts w:ascii="Arial" w:cs="Arial" w:eastAsia="Arial" w:hAnsi="Arial"/>
                <w:sz w:val="20"/>
                <w:szCs w:val="20"/>
                <w:color w:val="634140"/>
              </w:rPr>
              <w:t>jmucp</w:t>
            </w:r>
            <w:r>
              <w:rPr>
                <w:rFonts w:ascii="PMingLiU" w:cs="PMingLiU" w:eastAsia="PMingLiU" w:hAnsi="PMingLiU"/>
                <w:sz w:val="20"/>
                <w:szCs w:val="20"/>
                <w:color w:val="634140"/>
              </w:rPr>
              <w:t/>
            </w:r>
            <w:r>
              <w:rPr>
                <w:rFonts w:ascii="Arial" w:cs="Arial" w:eastAsia="Arial" w:hAnsi="Arial"/>
                <w:sz w:val="20"/>
                <w:szCs w:val="20"/>
                <w:color w:val="634140"/>
              </w:rPr>
              <w:t>asppclr&amp;wc_p</w:t>
            </w:r>
            <w:r>
              <w:rPr>
                <w:rFonts w:ascii="PMingLiU" w:cs="PMingLiU" w:eastAsia="PMingLiU" w:hAnsi="PMingLiU"/>
                <w:sz w:val="20"/>
                <w:szCs w:val="20"/>
                <w:color w:val="634140"/>
              </w:rPr>
              <w:t/>
            </w:r>
            <w:r>
              <w:rPr>
                <w:rFonts w:ascii="Arial" w:cs="Arial" w:eastAsia="Arial" w:hAnsi="Arial"/>
                <w:sz w:val="20"/>
                <w:szCs w:val="20"/>
                <w:color w:val="634140"/>
              </w:rPr>
              <w:t>c_plgleq</w:t>
            </w:r>
            <w:r>
              <w:rPr>
                <w:rFonts w:ascii="PMingLiU" w:cs="PMingLiU" w:eastAsia="PMingLiU" w:hAnsi="PMingLiU"/>
                <w:sz w:val="20"/>
                <w:szCs w:val="20"/>
                <w:color w:val="634140"/>
              </w:rPr>
              <w:t/>
            </w:r>
          </w:p>
        </w:tc>
        <w:tc>
          <w:tcPr>
            <w:tcW w:w="0" w:type="dxa"/>
            <w:vAlign w:val="bottom"/>
          </w:tcPr>
          <w:p>
            <w:pPr>
              <w:spacing w:after="0"/>
              <w:rPr>
                <w:sz w:val="1"/>
                <w:szCs w:val="1"/>
                <w:color w:val="auto"/>
              </w:rPr>
            </w:pPr>
          </w:p>
        </w:tc>
      </w:tr>
      <w:tr>
        <w:trPr>
          <w:trHeight w:val="139"/>
        </w:trPr>
        <w:tc>
          <w:tcPr>
            <w:tcW w:w="3420" w:type="dxa"/>
            <w:vAlign w:val="bottom"/>
            <w:vMerge w:val="restart"/>
          </w:tcPr>
          <w:p>
            <w:pPr>
              <w:ind w:left="1140"/>
              <w:spacing w:after="0" w:line="243" w:lineRule="exact"/>
              <w:rPr>
                <w:sz w:val="20"/>
                <w:szCs w:val="20"/>
                <w:color w:val="auto"/>
              </w:rPr>
            </w:pPr>
            <w:r>
              <w:rPr>
                <w:rFonts w:ascii="Arial" w:cs="Arial" w:eastAsia="Arial" w:hAnsi="Arial"/>
                <w:sz w:val="20"/>
                <w:szCs w:val="20"/>
                <w:b w:val="1"/>
                <w:bCs w:val="1"/>
                <w:color w:val="634140"/>
              </w:rPr>
              <w:t>md</w:t>
            </w:r>
            <w:r>
              <w:rPr>
                <w:rFonts w:ascii="PMingLiU" w:cs="PMingLiU" w:eastAsia="PMingLiU" w:hAnsi="PMingLiU"/>
                <w:sz w:val="20"/>
                <w:szCs w:val="20"/>
                <w:b w:val="1"/>
                <w:bCs w:val="1"/>
                <w:color w:val="634140"/>
              </w:rPr>
              <w:t xml:space="preserve"> </w:t>
            </w:r>
            <w:r>
              <w:rPr>
                <w:rFonts w:ascii="Arial" w:cs="Arial" w:eastAsia="Arial" w:hAnsi="Arial"/>
                <w:sz w:val="20"/>
                <w:szCs w:val="20"/>
                <w:b w:val="1"/>
                <w:bCs w:val="1"/>
                <w:color w:val="634140"/>
              </w:rPr>
              <w:t>˨</w:t>
            </w:r>
            <w:r>
              <w:rPr>
                <w:rFonts w:ascii="PMingLiU" w:cs="PMingLiU" w:eastAsia="PMingLiU" w:hAnsi="PMingLiU"/>
                <w:sz w:val="20"/>
                <w:szCs w:val="20"/>
                <w:b w:val="1"/>
                <w:bCs w:val="1"/>
                <w:color w:val="634140"/>
              </w:rPr>
              <w:t/>
            </w:r>
            <w:r>
              <w:rPr>
                <w:rFonts w:ascii="Arial" w:cs="Arial" w:eastAsia="Arial" w:hAnsi="Arial"/>
                <w:sz w:val="20"/>
                <w:szCs w:val="20"/>
                <w:b w:val="1"/>
                <w:bCs w:val="1"/>
                <w:color w:val="634140"/>
              </w:rPr>
              <w:t>˨˭</w:t>
            </w: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vMerge w:val="continue"/>
          </w:tcPr>
          <w:p>
            <w:pPr>
              <w:spacing w:after="0"/>
              <w:rPr>
                <w:sz w:val="12"/>
                <w:szCs w:val="12"/>
                <w:color w:val="auto"/>
              </w:rPr>
            </w:pPr>
          </w:p>
        </w:tc>
        <w:tc>
          <w:tcPr>
            <w:tcW w:w="3580" w:type="dxa"/>
            <w:vAlign w:val="bottom"/>
            <w:vMerge w:val="restart"/>
          </w:tcPr>
          <w:p>
            <w:pPr>
              <w:ind w:left="440"/>
              <w:spacing w:after="0" w:line="243" w:lineRule="exact"/>
              <w:rPr>
                <w:sz w:val="20"/>
                <w:szCs w:val="20"/>
                <w:color w:val="auto"/>
              </w:rPr>
            </w:pP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sld_tmp_`jc</w:t>
            </w:r>
            <w:r>
              <w:rPr>
                <w:rFonts w:ascii="PMingLiU" w:cs="PMingLiU" w:eastAsia="PMingLiU" w:hAnsi="PMingLiU"/>
                <w:sz w:val="20"/>
                <w:szCs w:val="20"/>
                <w:color w:val="634140"/>
              </w:rPr>
              <w:t/>
            </w:r>
            <w:r>
              <w:rPr>
                <w:rFonts w:ascii="Arial" w:cs="Arial" w:eastAsia="Arial" w:hAnsi="Arial"/>
                <w:sz w:val="20"/>
                <w:szCs w:val="20"/>
                <w:color w:val="634140"/>
              </w:rPr>
              <w:t>umpigle</w:t>
            </w:r>
            <w:r>
              <w:rPr>
                <w:rFonts w:ascii="PMingLiU" w:cs="PMingLiU" w:eastAsia="PMingLiU" w:hAnsi="PMingLiU"/>
                <w:sz w:val="20"/>
                <w:szCs w:val="20"/>
                <w:color w:val="634140"/>
              </w:rPr>
              <w:t/>
            </w:r>
            <w:r>
              <w:rPr>
                <w:rFonts w:ascii="Arial" w:cs="Arial" w:eastAsia="Arial" w:hAnsi="Arial"/>
                <w:sz w:val="20"/>
                <w:szCs w:val="20"/>
                <w:color w:val="634140"/>
              </w:rPr>
              <w:t>a_ngr_j</w:t>
            </w:r>
          </w:p>
        </w:tc>
        <w:tc>
          <w:tcPr>
            <w:tcW w:w="0" w:type="dxa"/>
            <w:vAlign w:val="bottom"/>
          </w:tcPr>
          <w:p>
            <w:pPr>
              <w:spacing w:after="0"/>
              <w:rPr>
                <w:sz w:val="1"/>
                <w:szCs w:val="1"/>
                <w:color w:val="auto"/>
              </w:rPr>
            </w:pPr>
          </w:p>
        </w:tc>
      </w:tr>
      <w:tr>
        <w:trPr>
          <w:trHeight w:val="139"/>
        </w:trPr>
        <w:tc>
          <w:tcPr>
            <w:tcW w:w="342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-900430</wp:posOffset>
            </wp:positionV>
            <wp:extent cx="4601210" cy="28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
                      <a:extLst>
                        <a:ext uri="{28A0092B-C50C-407E-A947-70E740481C1C}"/>
                      </a:extLst>
                    </a:blip>
                    <a:srcRect/>
                    <a:stretch>
                      <a:fillRect/>
                    </a:stretch>
                  </pic:blipFill>
                  <pic:spPr bwMode="auto">
                    <a:xfrm>
                      <a:off x="0" y="0"/>
                      <a:ext cx="4601210" cy="285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-808990</wp:posOffset>
            </wp:positionV>
            <wp:extent cx="4712335" cy="897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
                      <a:extLst>
                        <a:ext uri="{28A0092B-C50C-407E-A947-70E740481C1C}"/>
                      </a:extLst>
                    </a:blip>
                    <a:srcRect/>
                    <a:stretch>
                      <a:fillRect/>
                    </a:stretch>
                  </pic:blipFill>
                  <pic:spPr bwMode="auto">
                    <a:xfrm>
                      <a:off x="0" y="0"/>
                      <a:ext cx="4712335" cy="89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line="667" w:lineRule="exact"/>
        <w:rPr>
          <w:sz w:val="20"/>
          <w:szCs w:val="20"/>
          <w:color w:val="auto"/>
        </w:rPr>
      </w:pPr>
      <w:r>
        <w:rPr>
          <w:rFonts w:ascii="Arial" w:cs="Arial" w:eastAsia="Arial" w:hAnsi="Arial"/>
          <w:sz w:val="55"/>
          <w:szCs w:val="55"/>
          <w:color w:val="634140"/>
        </w:rPr>
        <w:t>qrp_rcega</w:t>
      </w:r>
      <w:r>
        <w:rPr>
          <w:rFonts w:ascii="PMingLiU" w:cs="PMingLiU" w:eastAsia="PMingLiU" w:hAnsi="PMingLiU"/>
          <w:sz w:val="55"/>
          <w:szCs w:val="55"/>
          <w:color w:val="634140"/>
        </w:rPr>
        <w:t/>
      </w:r>
      <w:r>
        <w:rPr>
          <w:rFonts w:ascii="Arial" w:cs="Arial" w:eastAsia="Arial" w:hAnsi="Arial"/>
          <w:sz w:val="55"/>
          <w:szCs w:val="55"/>
          <w:color w:val="634140"/>
        </w:rPr>
        <w:t>npgmpgrgcq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spacing w:after="0" w:line="194" w:lineRule="exact"/>
        <w:rPr>
          <w:sz w:val="20"/>
          <w:szCs w:val="20"/>
          <w:color w:val="auto"/>
        </w:rPr>
      </w:pP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Ssp</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amtcp</w:t>
      </w:r>
      <w:r>
        <w:rPr>
          <w:rFonts w:ascii="PMingLiU" w:cs="PMingLiU" w:eastAsia="PMingLiU" w:hAnsi="PMingLiU"/>
          <w:sz w:val="16"/>
          <w:szCs w:val="16"/>
          <w:color w:val="634140"/>
        </w:rPr>
        <w:t>pcnpcqclrq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-2216150</wp:posOffset>
            </wp:positionV>
            <wp:extent cx="1555115" cy="2016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
                      <a:extLst>
                        <a:ext uri="{28A0092B-C50C-407E-A947-70E740481C1C}"/>
                      </a:extLst>
                    </a:blip>
                    <a:srcRect/>
                    <a:stretch>
                      <a:fillRect/>
                    </a:stretch>
                  </pic:blipFill>
                  <pic:spPr bwMode="auto">
                    <a:xfrm>
                      <a:off x="0" y="0"/>
                      <a:ext cx="1555115" cy="2016125"/>
                    </a:xfrm>
                    <a:prstGeom prst="rect">
                      <a:avLst/>
                    </a:prstGeom>
                    <a:noFill/>
                  </pic:spPr>
                </pic:pic>
              </a:graphicData>
            </a:graphic>
          </wp:anchor>
        </w:drawing>
      </w:r>
    </w:p>
    <w:p>
      <w:pPr>
        <w:spacing w:after="0" w:line="184" w:lineRule="exact"/>
        <w:rPr>
          <w:sz w:val="20"/>
          <w:szCs w:val="20"/>
          <w:color w:val="auto"/>
        </w:rPr>
      </w:pPr>
      <w:r>
        <w:rPr>
          <w:rFonts w:ascii="PMingLiU" w:cs="PMingLiU" w:eastAsia="PMingLiU" w:hAnsi="PMingLiU"/>
          <w:sz w:val="16"/>
          <w:szCs w:val="16"/>
          <w:color w:val="634140"/>
        </w:rPr>
        <w:t>amlqskcpqdpmk_ugbcp_lecmd</w:t>
      </w:r>
    </w:p>
    <w:p>
      <w:pPr>
        <w:spacing w:after="0" w:line="1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634140"/>
        </w:rPr>
        <w:t>`_aiepmslbqc_af`pglegleslgosc</w:t>
      </w:r>
    </w:p>
    <w:p>
      <w:pPr>
        <w:spacing w:after="0" w:line="1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634140"/>
        </w:rPr>
        <w:t>ncpqncargtcq_lbpcosgpckclrq</w:t>
      </w:r>
    </w:p>
    <w:p>
      <w:pPr>
        <w:spacing w:after="0" w:line="1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634140"/>
        </w:rPr>
        <w:t>Qmbcplamlqskcpqglapc_qglejw</w:t>
      </w:r>
    </w:p>
    <w:p>
      <w:pPr>
        <w:spacing w:after="0" w:line="1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634140"/>
        </w:rPr>
        <w:t>dmasqmlfc_jrf_lbucjjlcqq</w:t>
      </w:r>
    </w:p>
    <w:p>
      <w:pPr>
        <w:spacing w:after="0" w:line="1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634140"/>
        </w:rPr>
        <w:t>npmbsarncpdmpk_lac_lb</w:t>
      </w:r>
    </w:p>
    <w:p>
      <w:pPr>
        <w:spacing w:after="0" w:line="1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634140"/>
        </w:rPr>
        <w:t>nj_accknf_qgqmlgrckqrf_r</w:t>
      </w:r>
    </w:p>
    <w:p>
      <w:pPr>
        <w:spacing w:after="0" w:line="1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634140"/>
        </w:rPr>
        <w:t>_pcqmspacb_lbk_lsd_arspcb</w:t>
      </w:r>
    </w:p>
    <w:p>
      <w:pPr>
        <w:spacing w:after="0" w:line="1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634140"/>
        </w:rPr>
        <w:t>qsqr_gl_`jw_lbcrfga_jjw</w:t>
      </w:r>
    </w:p>
    <w:p>
      <w:pPr>
        <w:spacing w:after="0" w:line="1" w:lineRule="exact"/>
        <w:rPr>
          <w:sz w:val="20"/>
          <w:szCs w:val="20"/>
          <w:color w:val="auto"/>
        </w:rPr>
      </w:pPr>
    </w:p>
    <w:p>
      <w:pPr>
        <w:sectPr>
          <w:pgSz w:w="12240" w:h="15840" w:orient="portrait"/>
          <w:cols w:equalWidth="0" w:num="2">
            <w:col w:w="7340" w:space="720"/>
            <w:col w:w="2540"/>
          </w:cols>
          <w:pgMar w:left="760" w:top="1345" w:right="880" w:bottom="206" w:gutter="0" w:footer="0" w:header="0"/>
        </w:sectPr>
      </w:pPr>
    </w:p>
    <w:p>
      <w:pPr>
        <w:ind w:left="40"/>
        <w:spacing w:after="0" w:line="222" w:lineRule="exact"/>
        <w:rPr>
          <w:sz w:val="20"/>
          <w:szCs w:val="20"/>
          <w:color w:val="auto"/>
        </w:rPr>
      </w:pPr>
      <w:r>
        <w:rPr>
          <w:rFonts w:ascii="Arial" w:cs="Arial" w:eastAsia="Arial" w:hAnsi="Arial"/>
          <w:sz w:val="20"/>
          <w:szCs w:val="20"/>
          <w:color w:val="634140"/>
        </w:rPr>
        <w:t>gknpmtc</w:t>
      </w:r>
      <w:r>
        <w:rPr>
          <w:rFonts w:ascii="PMingLiU" w:cs="PMingLiU" w:eastAsia="PMingLiU" w:hAnsi="PMingLiU"/>
          <w:sz w:val="20"/>
          <w:szCs w:val="20"/>
          <w:color w:val="634140"/>
        </w:rPr>
        <w:t/>
      </w:r>
      <w:r>
        <w:rPr>
          <w:rFonts w:ascii="Arial" w:cs="Arial" w:eastAsia="Arial" w:hAnsi="Arial"/>
          <w:sz w:val="20"/>
          <w:szCs w:val="20"/>
          <w:color w:val="634140"/>
        </w:rPr>
        <w:t>lc_p&amp;rcpk</w:t>
      </w:r>
      <w:r>
        <w:rPr>
          <w:rFonts w:ascii="PMingLiU" w:cs="PMingLiU" w:eastAsia="PMingLiU" w:hAnsi="PMingLiU"/>
          <w:sz w:val="20"/>
          <w:szCs w:val="20"/>
          <w:color w:val="634140"/>
        </w:rPr>
        <w:t/>
      </w:r>
      <w:r>
        <w:rPr>
          <w:rFonts w:ascii="Arial" w:cs="Arial" w:eastAsia="Arial" w:hAnsi="Arial"/>
          <w:sz w:val="20"/>
          <w:szCs w:val="20"/>
          <w:color w:val="634140"/>
        </w:rPr>
        <w:t>ncpdmpk_lac</w:t>
      </w:r>
      <w:r>
        <w:rPr>
          <w:rFonts w:ascii="PMingLiU" w:cs="PMingLiU" w:eastAsia="PMingLiU" w:hAnsi="PMingLiU"/>
          <w:sz w:val="20"/>
          <w:szCs w:val="20"/>
          <w:color w:val="634140"/>
        </w:rPr>
        <w:t/>
      </w:r>
      <w:r>
        <w:rPr>
          <w:rFonts w:ascii="Arial" w:cs="Arial" w:eastAsia="Arial" w:hAnsi="Arial"/>
          <w:sz w:val="20"/>
          <w:szCs w:val="20"/>
          <w:color w:val="634140"/>
        </w:rPr>
        <w:t>md</w:t>
      </w:r>
      <w:r>
        <w:rPr>
          <w:rFonts w:ascii="PMingLiU" w:cs="PMingLiU" w:eastAsia="PMingLiU" w:hAnsi="PMingLiU"/>
          <w:sz w:val="20"/>
          <w:szCs w:val="20"/>
          <w:color w:val="634140"/>
        </w:rPr>
        <w:t/>
      </w:r>
      <w:r>
        <w:rPr>
          <w:rFonts w:ascii="Arial" w:cs="Arial" w:eastAsia="Arial" w:hAnsi="Arial"/>
          <w:sz w:val="20"/>
          <w:szCs w:val="20"/>
          <w:color w:val="634140"/>
        </w:rPr>
        <w:t>ampc</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bpgtc</w:t>
      </w:r>
      <w:r>
        <w:rPr>
          <w:rFonts w:ascii="PMingLiU" w:cs="PMingLiU" w:eastAsia="PMingLiU" w:hAnsi="PMingLiU"/>
          <w:sz w:val="20"/>
          <w:szCs w:val="20"/>
          <w:color w:val="634140"/>
        </w:rPr>
        <w:t/>
      </w:r>
      <w:r>
        <w:rPr>
          <w:rFonts w:ascii="Arial" w:cs="Arial" w:eastAsia="Arial" w:hAnsi="Arial"/>
          <w:sz w:val="20"/>
          <w:szCs w:val="20"/>
          <w:color w:val="634140"/>
        </w:rPr>
        <w:t>jmle&amp;rcpk</w:t>
      </w:r>
      <w:r>
        <w:rPr>
          <w:rFonts w:ascii="PMingLiU" w:cs="PMingLiU" w:eastAsia="PMingLiU" w:hAnsi="PMingLiU"/>
          <w:sz w:val="20"/>
          <w:szCs w:val="20"/>
          <w:color w:val="634140"/>
        </w:rPr>
        <w:t/>
      </w:r>
      <w:r>
        <w:rPr>
          <w:rFonts w:ascii="Arial" w:cs="Arial" w:eastAsia="Arial" w:hAnsi="Arial"/>
          <w:sz w:val="20"/>
          <w:szCs w:val="20"/>
          <w:color w:val="634140"/>
        </w:rPr>
        <w:t>epmurf</w:t>
      </w:r>
      <w:r>
        <w:rPr>
          <w:rFonts w:ascii="PMingLiU" w:cs="PMingLiU" w:eastAsia="PMingLiU" w:hAnsi="PMingLiU"/>
          <w:sz w:val="20"/>
          <w:szCs w:val="20"/>
          <w:color w:val="634140"/>
        </w:rPr>
        <w:t/>
      </w:r>
      <w:r>
        <w:rPr>
          <w:rFonts w:ascii="Arial" w:cs="Arial" w:eastAsia="Arial" w:hAnsi="Arial"/>
          <w:sz w:val="20"/>
          <w:szCs w:val="20"/>
          <w:color w:val="634140"/>
        </w:rPr>
        <w:t>a_r_jwqrq</w:t>
      </w:r>
      <w:r>
        <w:rPr>
          <w:rFonts w:ascii="PMingLiU" w:cs="PMingLiU" w:eastAsia="PMingLiU" w:hAnsi="PMingLiU"/>
          <w:sz w:val="20"/>
          <w:szCs w:val="20"/>
          <w:color w:val="634140"/>
        </w:rPr>
        <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536"/>
        </w:trPr>
        <w:tc>
          <w:tcPr>
            <w:tcW w:w="980" w:type="dxa"/>
            <w:vAlign w:val="bottom"/>
            <w:shd w:val="clear" w:color="auto" w:fill="634140"/>
          </w:tcPr>
          <w:p>
            <w:pPr>
              <w:spacing w:after="0"/>
              <w:rPr>
                <w:sz w:val="24"/>
                <w:szCs w:val="24"/>
                <w:color w:val="auto"/>
              </w:rPr>
            </w:pPr>
          </w:p>
        </w:tc>
        <w:tc>
          <w:tcPr>
            <w:tcW w:w="180" w:type="dxa"/>
            <w:vAlign w:val="bottom"/>
            <w:tcBorders>
              <w:right w:val="single" w:sz="8" w:color="634140"/>
            </w:tcBorders>
            <w:shd w:val="clear" w:color="auto" w:fill="634140"/>
          </w:tcPr>
          <w:p>
            <w:pPr>
              <w:spacing w:after="0"/>
              <w:rPr>
                <w:sz w:val="24"/>
                <w:szCs w:val="24"/>
                <w:color w:val="auto"/>
              </w:rPr>
            </w:pPr>
          </w:p>
        </w:tc>
        <w:tc>
          <w:tcPr>
            <w:tcW w:w="200" w:type="dxa"/>
            <w:vAlign w:val="bottom"/>
            <w:tcBorders>
              <w:right w:val="single" w:sz="8" w:color="634140"/>
            </w:tcBorders>
            <w:shd w:val="clear" w:color="auto" w:fill="634140"/>
          </w:tcPr>
          <w:p>
            <w:pPr>
              <w:spacing w:after="0"/>
              <w:rPr>
                <w:sz w:val="24"/>
                <w:szCs w:val="24"/>
                <w:color w:val="auto"/>
              </w:rPr>
            </w:pPr>
          </w:p>
        </w:tc>
        <w:tc>
          <w:tcPr>
            <w:tcW w:w="120" w:type="dxa"/>
            <w:vAlign w:val="bottom"/>
            <w:shd w:val="clear" w:color="auto" w:fill="634140"/>
          </w:tcPr>
          <w:p>
            <w:pPr>
              <w:spacing w:after="0"/>
              <w:rPr>
                <w:sz w:val="24"/>
                <w:szCs w:val="24"/>
                <w:color w:val="auto"/>
              </w:rPr>
            </w:pPr>
          </w:p>
        </w:tc>
        <w:tc>
          <w:tcPr>
            <w:tcW w:w="980" w:type="dxa"/>
            <w:vAlign w:val="bottom"/>
            <w:shd w:val="clear" w:color="auto" w:fill="634140"/>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shd w:val="clear" w:color="auto" w:fill="66BF9B"/>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shd w:val="clear" w:color="auto" w:fill="59BDB6"/>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vMerge w:val="restart"/>
            <w:shd w:val="clear" w:color="auto" w:fill="BFE119"/>
          </w:tcPr>
          <w:p>
            <w:pPr>
              <w:jc w:val="right"/>
              <w:ind w:right="989"/>
              <w:spacing w:after="0"/>
              <w:rPr>
                <w:sz w:val="20"/>
                <w:szCs w:val="20"/>
                <w:color w:val="auto"/>
              </w:rPr>
            </w:pPr>
            <w:r>
              <w:rPr>
                <w:rFonts w:ascii="Century" w:cs="Century" w:eastAsia="Century" w:hAnsi="Century"/>
                <w:sz w:val="24"/>
                <w:szCs w:val="24"/>
                <w:color w:val="FFFFFF"/>
              </w:rPr>
              <w:t>$</w:t>
            </w:r>
          </w:p>
        </w:tc>
        <w:tc>
          <w:tcPr>
            <w:tcW w:w="0" w:type="dxa"/>
            <w:vAlign w:val="bottom"/>
          </w:tcPr>
          <w:p>
            <w:pPr>
              <w:spacing w:after="0"/>
              <w:rPr>
                <w:sz w:val="1"/>
                <w:szCs w:val="1"/>
                <w:color w:val="auto"/>
              </w:rPr>
            </w:pPr>
          </w:p>
        </w:tc>
      </w:tr>
      <w:tr>
        <w:trPr>
          <w:trHeight w:val="100"/>
        </w:trPr>
        <w:tc>
          <w:tcPr>
            <w:tcW w:w="980" w:type="dxa"/>
            <w:vAlign w:val="bottom"/>
            <w:shd w:val="clear" w:color="auto" w:fill="634140"/>
          </w:tcPr>
          <w:p>
            <w:pPr>
              <w:spacing w:after="0"/>
              <w:rPr>
                <w:sz w:val="8"/>
                <w:szCs w:val="8"/>
                <w:color w:val="auto"/>
              </w:rPr>
            </w:pPr>
          </w:p>
        </w:tc>
        <w:tc>
          <w:tcPr>
            <w:tcW w:w="180" w:type="dxa"/>
            <w:vAlign w:val="bottom"/>
            <w:tcBorders>
              <w:right w:val="single" w:sz="8" w:color="634140"/>
            </w:tcBorders>
            <w:shd w:val="clear" w:color="auto" w:fill="634140"/>
          </w:tcPr>
          <w:p>
            <w:pPr>
              <w:spacing w:after="0"/>
              <w:rPr>
                <w:sz w:val="8"/>
                <w:szCs w:val="8"/>
                <w:color w:val="auto"/>
              </w:rPr>
            </w:pPr>
          </w:p>
        </w:tc>
        <w:tc>
          <w:tcPr>
            <w:tcW w:w="200" w:type="dxa"/>
            <w:vAlign w:val="bottom"/>
            <w:tcBorders>
              <w:right w:val="single" w:sz="8" w:color="634140"/>
            </w:tcBorders>
            <w:shd w:val="clear" w:color="auto" w:fill="634140"/>
          </w:tcPr>
          <w:p>
            <w:pPr>
              <w:spacing w:after="0"/>
              <w:rPr>
                <w:sz w:val="8"/>
                <w:szCs w:val="8"/>
                <w:color w:val="auto"/>
              </w:rPr>
            </w:pPr>
          </w:p>
        </w:tc>
        <w:tc>
          <w:tcPr>
            <w:tcW w:w="120" w:type="dxa"/>
            <w:vAlign w:val="bottom"/>
            <w:shd w:val="clear" w:color="auto" w:fill="66BF9B"/>
          </w:tcPr>
          <w:p>
            <w:pPr>
              <w:spacing w:after="0"/>
              <w:rPr>
                <w:sz w:val="8"/>
                <w:szCs w:val="8"/>
                <w:color w:val="auto"/>
              </w:rPr>
            </w:pPr>
          </w:p>
        </w:tc>
        <w:tc>
          <w:tcPr>
            <w:tcW w:w="980" w:type="dxa"/>
            <w:vAlign w:val="bottom"/>
            <w:shd w:val="clear" w:color="auto" w:fill="634140"/>
          </w:tcPr>
          <w:p>
            <w:pPr>
              <w:spacing w:after="0"/>
              <w:rPr>
                <w:sz w:val="8"/>
                <w:szCs w:val="8"/>
                <w:color w:val="auto"/>
              </w:rPr>
            </w:pPr>
          </w:p>
        </w:tc>
        <w:tc>
          <w:tcPr>
            <w:tcW w:w="180" w:type="dxa"/>
            <w:vAlign w:val="bottom"/>
          </w:tcPr>
          <w:p>
            <w:pPr>
              <w:spacing w:after="0"/>
              <w:rPr>
                <w:sz w:val="8"/>
                <w:szCs w:val="8"/>
                <w:color w:val="auto"/>
              </w:rPr>
            </w:pPr>
          </w:p>
        </w:tc>
        <w:tc>
          <w:tcPr>
            <w:tcW w:w="2440" w:type="dxa"/>
            <w:vAlign w:val="bottom"/>
            <w:shd w:val="clear" w:color="auto" w:fill="66BF9B"/>
          </w:tcPr>
          <w:p>
            <w:pPr>
              <w:spacing w:after="0"/>
              <w:rPr>
                <w:sz w:val="8"/>
                <w:szCs w:val="8"/>
                <w:color w:val="auto"/>
              </w:rPr>
            </w:pPr>
          </w:p>
        </w:tc>
        <w:tc>
          <w:tcPr>
            <w:tcW w:w="180" w:type="dxa"/>
            <w:vAlign w:val="bottom"/>
          </w:tcPr>
          <w:p>
            <w:pPr>
              <w:spacing w:after="0"/>
              <w:rPr>
                <w:sz w:val="8"/>
                <w:szCs w:val="8"/>
                <w:color w:val="auto"/>
              </w:rPr>
            </w:pPr>
          </w:p>
        </w:tc>
        <w:tc>
          <w:tcPr>
            <w:tcW w:w="2440" w:type="dxa"/>
            <w:vAlign w:val="bottom"/>
            <w:shd w:val="clear" w:color="auto" w:fill="59BDB6"/>
          </w:tcPr>
          <w:p>
            <w:pPr>
              <w:spacing w:after="0"/>
              <w:rPr>
                <w:sz w:val="8"/>
                <w:szCs w:val="8"/>
                <w:color w:val="auto"/>
              </w:rPr>
            </w:pPr>
          </w:p>
        </w:tc>
        <w:tc>
          <w:tcPr>
            <w:tcW w:w="180" w:type="dxa"/>
            <w:vAlign w:val="bottom"/>
          </w:tcPr>
          <w:p>
            <w:pPr>
              <w:spacing w:after="0"/>
              <w:rPr>
                <w:sz w:val="8"/>
                <w:szCs w:val="8"/>
                <w:color w:val="auto"/>
              </w:rPr>
            </w:pPr>
          </w:p>
        </w:tc>
        <w:tc>
          <w:tcPr>
            <w:tcW w:w="2440" w:type="dxa"/>
            <w:vAlign w:val="bottom"/>
            <w:vMerge w:val="continue"/>
            <w:shd w:val="clear" w:color="auto" w:fill="BFE119"/>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980" w:type="dxa"/>
            <w:vAlign w:val="bottom"/>
            <w:shd w:val="clear" w:color="auto" w:fill="634140"/>
          </w:tcPr>
          <w:p>
            <w:pPr>
              <w:spacing w:after="0"/>
              <w:rPr>
                <w:sz w:val="5"/>
                <w:szCs w:val="5"/>
                <w:color w:val="auto"/>
              </w:rPr>
            </w:pPr>
          </w:p>
        </w:tc>
        <w:tc>
          <w:tcPr>
            <w:tcW w:w="180" w:type="dxa"/>
            <w:vAlign w:val="bottom"/>
            <w:tcBorders>
              <w:right w:val="single" w:sz="8" w:color="634140"/>
            </w:tcBorders>
            <w:shd w:val="clear" w:color="auto" w:fill="634140"/>
          </w:tcPr>
          <w:p>
            <w:pPr>
              <w:spacing w:after="0"/>
              <w:rPr>
                <w:sz w:val="5"/>
                <w:szCs w:val="5"/>
                <w:color w:val="auto"/>
              </w:rPr>
            </w:pPr>
          </w:p>
        </w:tc>
        <w:tc>
          <w:tcPr>
            <w:tcW w:w="200" w:type="dxa"/>
            <w:vAlign w:val="bottom"/>
            <w:tcBorders>
              <w:right w:val="single" w:sz="8" w:color="634140"/>
            </w:tcBorders>
            <w:shd w:val="clear" w:color="auto" w:fill="59BDB6"/>
          </w:tcPr>
          <w:p>
            <w:pPr>
              <w:spacing w:after="0"/>
              <w:rPr>
                <w:sz w:val="5"/>
                <w:szCs w:val="5"/>
                <w:color w:val="auto"/>
              </w:rPr>
            </w:pPr>
          </w:p>
        </w:tc>
        <w:tc>
          <w:tcPr>
            <w:tcW w:w="120" w:type="dxa"/>
            <w:vAlign w:val="bottom"/>
            <w:shd w:val="clear" w:color="auto" w:fill="66BF9B"/>
          </w:tcPr>
          <w:p>
            <w:pPr>
              <w:spacing w:after="0"/>
              <w:rPr>
                <w:sz w:val="5"/>
                <w:szCs w:val="5"/>
                <w:color w:val="auto"/>
              </w:rPr>
            </w:pPr>
          </w:p>
        </w:tc>
        <w:tc>
          <w:tcPr>
            <w:tcW w:w="980" w:type="dxa"/>
            <w:vAlign w:val="bottom"/>
            <w:shd w:val="clear" w:color="auto" w:fill="634140"/>
          </w:tcPr>
          <w:p>
            <w:pPr>
              <w:spacing w:after="0"/>
              <w:rPr>
                <w:sz w:val="5"/>
                <w:szCs w:val="5"/>
                <w:color w:val="auto"/>
              </w:rPr>
            </w:pPr>
          </w:p>
        </w:tc>
        <w:tc>
          <w:tcPr>
            <w:tcW w:w="180" w:type="dxa"/>
            <w:vAlign w:val="bottom"/>
          </w:tcPr>
          <w:p>
            <w:pPr>
              <w:spacing w:after="0"/>
              <w:rPr>
                <w:sz w:val="5"/>
                <w:szCs w:val="5"/>
                <w:color w:val="auto"/>
              </w:rPr>
            </w:pPr>
          </w:p>
        </w:tc>
        <w:tc>
          <w:tcPr>
            <w:tcW w:w="2440" w:type="dxa"/>
            <w:vAlign w:val="bottom"/>
            <w:shd w:val="clear" w:color="auto" w:fill="66BF9B"/>
          </w:tcPr>
          <w:p>
            <w:pPr>
              <w:spacing w:after="0"/>
              <w:rPr>
                <w:sz w:val="5"/>
                <w:szCs w:val="5"/>
                <w:color w:val="auto"/>
              </w:rPr>
            </w:pPr>
          </w:p>
        </w:tc>
        <w:tc>
          <w:tcPr>
            <w:tcW w:w="180" w:type="dxa"/>
            <w:vAlign w:val="bottom"/>
          </w:tcPr>
          <w:p>
            <w:pPr>
              <w:spacing w:after="0"/>
              <w:rPr>
                <w:sz w:val="5"/>
                <w:szCs w:val="5"/>
                <w:color w:val="auto"/>
              </w:rPr>
            </w:pPr>
          </w:p>
        </w:tc>
        <w:tc>
          <w:tcPr>
            <w:tcW w:w="2440" w:type="dxa"/>
            <w:vAlign w:val="bottom"/>
            <w:shd w:val="clear" w:color="auto" w:fill="59BDB6"/>
          </w:tcPr>
          <w:p>
            <w:pPr>
              <w:spacing w:after="0"/>
              <w:rPr>
                <w:sz w:val="5"/>
                <w:szCs w:val="5"/>
                <w:color w:val="auto"/>
              </w:rPr>
            </w:pPr>
          </w:p>
        </w:tc>
        <w:tc>
          <w:tcPr>
            <w:tcW w:w="180" w:type="dxa"/>
            <w:vAlign w:val="bottom"/>
          </w:tcPr>
          <w:p>
            <w:pPr>
              <w:spacing w:after="0"/>
              <w:rPr>
                <w:sz w:val="5"/>
                <w:szCs w:val="5"/>
                <w:color w:val="auto"/>
              </w:rPr>
            </w:pPr>
          </w:p>
        </w:tc>
        <w:tc>
          <w:tcPr>
            <w:tcW w:w="2440" w:type="dxa"/>
            <w:vAlign w:val="bottom"/>
            <w:vMerge w:val="continue"/>
            <w:shd w:val="clear" w:color="auto" w:fill="BFE119"/>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634140"/>
            </w:tcBorders>
            <w:gridSpan w:val="2"/>
            <w:shd w:val="clear" w:color="auto" w:fill="634140"/>
          </w:tcPr>
          <w:p>
            <w:pPr>
              <w:spacing w:after="0" w:line="20" w:lineRule="exact"/>
              <w:rPr>
                <w:sz w:val="1"/>
                <w:szCs w:val="1"/>
                <w:color w:val="auto"/>
              </w:rPr>
            </w:pPr>
          </w:p>
        </w:tc>
        <w:tc>
          <w:tcPr>
            <w:tcW w:w="200" w:type="dxa"/>
            <w:vAlign w:val="bottom"/>
            <w:tcBorders>
              <w:right w:val="single" w:sz="8" w:color="634140"/>
            </w:tcBorders>
            <w:shd w:val="clear" w:color="auto" w:fill="59BDB6"/>
          </w:tcPr>
          <w:p>
            <w:pPr>
              <w:spacing w:after="0" w:line="20" w:lineRule="exact"/>
              <w:rPr>
                <w:sz w:val="1"/>
                <w:szCs w:val="1"/>
                <w:color w:val="auto"/>
              </w:rPr>
            </w:pPr>
          </w:p>
        </w:tc>
        <w:tc>
          <w:tcPr>
            <w:tcW w:w="120" w:type="dxa"/>
            <w:vAlign w:val="bottom"/>
            <w:shd w:val="clear" w:color="auto" w:fill="66BF9B"/>
          </w:tcPr>
          <w:p>
            <w:pPr>
              <w:spacing w:after="0" w:line="20" w:lineRule="exact"/>
              <w:rPr>
                <w:sz w:val="1"/>
                <w:szCs w:val="1"/>
                <w:color w:val="auto"/>
              </w:rPr>
            </w:pPr>
          </w:p>
        </w:tc>
        <w:tc>
          <w:tcPr>
            <w:tcW w:w="980" w:type="dxa"/>
            <w:vAlign w:val="bottom"/>
            <w:shd w:val="clear" w:color="auto" w:fill="63414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shd w:val="clear" w:color="auto" w:fill="66BF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shd w:val="clear" w:color="auto" w:fill="59BDB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shd w:val="clear" w:color="auto" w:fill="BFE1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980" w:type="dxa"/>
            <w:vAlign w:val="bottom"/>
            <w:shd w:val="clear" w:color="auto" w:fill="634140"/>
          </w:tcPr>
          <w:p>
            <w:pPr>
              <w:spacing w:after="0"/>
              <w:rPr>
                <w:sz w:val="23"/>
                <w:szCs w:val="23"/>
                <w:color w:val="auto"/>
              </w:rPr>
            </w:pPr>
          </w:p>
        </w:tc>
        <w:tc>
          <w:tcPr>
            <w:tcW w:w="180" w:type="dxa"/>
            <w:vAlign w:val="bottom"/>
            <w:tcBorders>
              <w:right w:val="single" w:sz="8" w:color="634140"/>
            </w:tcBorders>
            <w:shd w:val="clear" w:color="auto" w:fill="BFE119"/>
          </w:tcPr>
          <w:p>
            <w:pPr>
              <w:spacing w:after="0"/>
              <w:rPr>
                <w:sz w:val="23"/>
                <w:szCs w:val="23"/>
                <w:color w:val="auto"/>
              </w:rPr>
            </w:pPr>
          </w:p>
        </w:tc>
        <w:tc>
          <w:tcPr>
            <w:tcW w:w="200" w:type="dxa"/>
            <w:vAlign w:val="bottom"/>
            <w:tcBorders>
              <w:right w:val="single" w:sz="8" w:color="634140"/>
            </w:tcBorders>
            <w:shd w:val="clear" w:color="auto" w:fill="59BDB6"/>
          </w:tcPr>
          <w:p>
            <w:pPr>
              <w:spacing w:after="0"/>
              <w:rPr>
                <w:sz w:val="23"/>
                <w:szCs w:val="23"/>
                <w:color w:val="auto"/>
              </w:rPr>
            </w:pPr>
          </w:p>
        </w:tc>
        <w:tc>
          <w:tcPr>
            <w:tcW w:w="120" w:type="dxa"/>
            <w:vAlign w:val="bottom"/>
            <w:shd w:val="clear" w:color="auto" w:fill="66BF9B"/>
          </w:tcPr>
          <w:p>
            <w:pPr>
              <w:spacing w:after="0"/>
              <w:rPr>
                <w:sz w:val="23"/>
                <w:szCs w:val="23"/>
                <w:color w:val="auto"/>
              </w:rPr>
            </w:pPr>
          </w:p>
        </w:tc>
        <w:tc>
          <w:tcPr>
            <w:tcW w:w="980" w:type="dxa"/>
            <w:vAlign w:val="bottom"/>
            <w:shd w:val="clear" w:color="auto" w:fill="634140"/>
          </w:tcPr>
          <w:p>
            <w:pPr>
              <w:spacing w:after="0"/>
              <w:rPr>
                <w:sz w:val="23"/>
                <w:szCs w:val="23"/>
                <w:color w:val="auto"/>
              </w:rPr>
            </w:pPr>
          </w:p>
        </w:tc>
        <w:tc>
          <w:tcPr>
            <w:tcW w:w="180" w:type="dxa"/>
            <w:vAlign w:val="bottom"/>
          </w:tcPr>
          <w:p>
            <w:pPr>
              <w:spacing w:after="0"/>
              <w:rPr>
                <w:sz w:val="23"/>
                <w:szCs w:val="23"/>
                <w:color w:val="auto"/>
              </w:rPr>
            </w:pPr>
          </w:p>
        </w:tc>
        <w:tc>
          <w:tcPr>
            <w:tcW w:w="2440" w:type="dxa"/>
            <w:vAlign w:val="bottom"/>
            <w:shd w:val="clear" w:color="auto" w:fill="66BF9B"/>
          </w:tcPr>
          <w:p>
            <w:pPr>
              <w:spacing w:after="0"/>
              <w:rPr>
                <w:sz w:val="23"/>
                <w:szCs w:val="23"/>
                <w:color w:val="auto"/>
              </w:rPr>
            </w:pPr>
          </w:p>
        </w:tc>
        <w:tc>
          <w:tcPr>
            <w:tcW w:w="180" w:type="dxa"/>
            <w:vAlign w:val="bottom"/>
          </w:tcPr>
          <w:p>
            <w:pPr>
              <w:spacing w:after="0"/>
              <w:rPr>
                <w:sz w:val="23"/>
                <w:szCs w:val="23"/>
                <w:color w:val="auto"/>
              </w:rPr>
            </w:pPr>
          </w:p>
        </w:tc>
        <w:tc>
          <w:tcPr>
            <w:tcW w:w="2440" w:type="dxa"/>
            <w:vAlign w:val="bottom"/>
            <w:shd w:val="clear" w:color="auto" w:fill="59BDB6"/>
          </w:tcPr>
          <w:p>
            <w:pPr>
              <w:spacing w:after="0"/>
              <w:rPr>
                <w:sz w:val="23"/>
                <w:szCs w:val="23"/>
                <w:color w:val="auto"/>
              </w:rPr>
            </w:pPr>
          </w:p>
        </w:tc>
        <w:tc>
          <w:tcPr>
            <w:tcW w:w="180" w:type="dxa"/>
            <w:vAlign w:val="bottom"/>
          </w:tcPr>
          <w:p>
            <w:pPr>
              <w:spacing w:after="0"/>
              <w:rPr>
                <w:sz w:val="23"/>
                <w:szCs w:val="23"/>
                <w:color w:val="auto"/>
              </w:rPr>
            </w:pPr>
          </w:p>
        </w:tc>
        <w:tc>
          <w:tcPr>
            <w:tcW w:w="2440" w:type="dxa"/>
            <w:vAlign w:val="bottom"/>
            <w:shd w:val="clear" w:color="auto" w:fill="BFE119"/>
          </w:tcPr>
          <w:p>
            <w:pPr>
              <w:spacing w:after="0"/>
              <w:rPr>
                <w:sz w:val="23"/>
                <w:szCs w:val="23"/>
                <w:color w:val="auto"/>
              </w:rPr>
            </w:pPr>
          </w:p>
        </w:tc>
        <w:tc>
          <w:tcPr>
            <w:tcW w:w="0" w:type="dxa"/>
            <w:vAlign w:val="bottom"/>
          </w:tcPr>
          <w:p>
            <w:pPr>
              <w:spacing w:after="0"/>
              <w:rPr>
                <w:sz w:val="1"/>
                <w:szCs w:val="1"/>
                <w:color w:val="auto"/>
              </w:rPr>
            </w:pPr>
          </w:p>
        </w:tc>
      </w:tr>
      <w:tr>
        <w:trPr>
          <w:trHeight w:val="672"/>
        </w:trPr>
        <w:tc>
          <w:tcPr>
            <w:tcW w:w="2460" w:type="dxa"/>
            <w:vAlign w:val="bottom"/>
            <w:tcBorders>
              <w:bottom w:val="single" w:sz="8" w:color="634140"/>
            </w:tcBorders>
            <w:gridSpan w:val="5"/>
            <w:shd w:val="clear" w:color="auto" w:fill="634140"/>
          </w:tcPr>
          <w:p>
            <w:pPr>
              <w:jc w:val="center"/>
              <w:spacing w:after="0" w:line="414" w:lineRule="exact"/>
              <w:rPr>
                <w:sz w:val="20"/>
                <w:szCs w:val="20"/>
                <w:color w:val="auto"/>
              </w:rPr>
            </w:pPr>
            <w:r>
              <w:rPr>
                <w:rFonts w:ascii="Arial" w:cs="Arial" w:eastAsia="Arial" w:hAnsi="Arial"/>
                <w:sz w:val="36"/>
                <w:szCs w:val="36"/>
                <w:color w:val="FFFFFF"/>
              </w:rPr>
              <w:t>cvcasrc</w:t>
            </w:r>
            <w:r>
              <w:rPr>
                <w:rFonts w:ascii="PMingLiU" w:cs="PMingLiU" w:eastAsia="PMingLiU" w:hAnsi="PMingLiU"/>
                <w:sz w:val="28"/>
                <w:szCs w:val="28"/>
                <w:color w:val="FFFFFF"/>
              </w:rPr>
              <w:t/>
            </w:r>
          </w:p>
        </w:tc>
        <w:tc>
          <w:tcPr>
            <w:tcW w:w="180" w:type="dxa"/>
            <w:vAlign w:val="bottom"/>
          </w:tcPr>
          <w:p>
            <w:pPr>
              <w:spacing w:after="0"/>
              <w:rPr>
                <w:sz w:val="24"/>
                <w:szCs w:val="24"/>
                <w:color w:val="auto"/>
              </w:rPr>
            </w:pPr>
          </w:p>
        </w:tc>
        <w:tc>
          <w:tcPr>
            <w:tcW w:w="2440" w:type="dxa"/>
            <w:vAlign w:val="bottom"/>
            <w:tcBorders>
              <w:bottom w:val="single" w:sz="8" w:color="66BF9B"/>
            </w:tcBorders>
            <w:shd w:val="clear" w:color="auto" w:fill="66BF9B"/>
          </w:tcPr>
          <w:p>
            <w:pPr>
              <w:jc w:val="center"/>
              <w:spacing w:after="0" w:line="414" w:lineRule="exact"/>
              <w:rPr>
                <w:sz w:val="20"/>
                <w:szCs w:val="20"/>
                <w:color w:val="auto"/>
              </w:rPr>
            </w:pPr>
            <w:r>
              <w:rPr>
                <w:rFonts w:ascii="Arial" w:cs="Arial" w:eastAsia="Arial" w:hAnsi="Arial"/>
                <w:sz w:val="36"/>
                <w:szCs w:val="36"/>
                <w:color w:val="FFFFFF"/>
                <w:w w:val="96"/>
              </w:rPr>
              <w:t>ejm`_jgxc</w:t>
            </w:r>
            <w:r>
              <w:rPr>
                <w:rFonts w:ascii="PMingLiU" w:cs="PMingLiU" w:eastAsia="PMingLiU" w:hAnsi="PMingLiU"/>
                <w:sz w:val="28"/>
                <w:szCs w:val="28"/>
                <w:color w:val="FFFFFF"/>
                <w:w w:val="96"/>
              </w:rPr>
              <w:t/>
            </w:r>
          </w:p>
        </w:tc>
        <w:tc>
          <w:tcPr>
            <w:tcW w:w="180" w:type="dxa"/>
            <w:vAlign w:val="bottom"/>
          </w:tcPr>
          <w:p>
            <w:pPr>
              <w:spacing w:after="0"/>
              <w:rPr>
                <w:sz w:val="24"/>
                <w:szCs w:val="24"/>
                <w:color w:val="auto"/>
              </w:rPr>
            </w:pPr>
          </w:p>
        </w:tc>
        <w:tc>
          <w:tcPr>
            <w:tcW w:w="2440" w:type="dxa"/>
            <w:vAlign w:val="bottom"/>
            <w:tcBorders>
              <w:bottom w:val="single" w:sz="8" w:color="59BDB6"/>
            </w:tcBorders>
            <w:shd w:val="clear" w:color="auto" w:fill="59BDB6"/>
          </w:tcPr>
          <w:p>
            <w:pPr>
              <w:jc w:val="center"/>
              <w:spacing w:after="0"/>
              <w:rPr>
                <w:sz w:val="20"/>
                <w:szCs w:val="20"/>
                <w:color w:val="auto"/>
              </w:rPr>
            </w:pPr>
            <w:r>
              <w:rPr>
                <w:rFonts w:ascii="Arial" w:cs="Arial" w:eastAsia="Arial" w:hAnsi="Arial"/>
                <w:sz w:val="36"/>
                <w:szCs w:val="36"/>
                <w:color w:val="FFFFFF"/>
              </w:rPr>
              <w:t>gllmt_rc</w:t>
            </w:r>
          </w:p>
        </w:tc>
        <w:tc>
          <w:tcPr>
            <w:tcW w:w="180" w:type="dxa"/>
            <w:vAlign w:val="bottom"/>
          </w:tcPr>
          <w:p>
            <w:pPr>
              <w:spacing w:after="0"/>
              <w:rPr>
                <w:sz w:val="24"/>
                <w:szCs w:val="24"/>
                <w:color w:val="auto"/>
              </w:rPr>
            </w:pPr>
          </w:p>
        </w:tc>
        <w:tc>
          <w:tcPr>
            <w:tcW w:w="2440" w:type="dxa"/>
            <w:vAlign w:val="bottom"/>
            <w:tcBorders>
              <w:bottom w:val="single" w:sz="8" w:color="BFE119"/>
            </w:tcBorders>
            <w:shd w:val="clear" w:color="auto" w:fill="BFE119"/>
          </w:tcPr>
          <w:p>
            <w:pPr>
              <w:jc w:val="center"/>
              <w:spacing w:after="0" w:line="414" w:lineRule="exact"/>
              <w:rPr>
                <w:sz w:val="20"/>
                <w:szCs w:val="20"/>
                <w:color w:val="auto"/>
              </w:rPr>
            </w:pPr>
            <w:r>
              <w:rPr>
                <w:rFonts w:ascii="Arial" w:cs="Arial" w:eastAsia="Arial" w:hAnsi="Arial"/>
                <w:sz w:val="36"/>
                <w:szCs w:val="36"/>
                <w:color w:val="FFFFFF"/>
                <w:w w:val="92"/>
              </w:rPr>
              <w:t>_aosgpc</w:t>
            </w:r>
            <w:r>
              <w:rPr>
                <w:rFonts w:ascii="PMingLiU" w:cs="PMingLiU" w:eastAsia="PMingLiU" w:hAnsi="PMingLiU"/>
                <w:sz w:val="28"/>
                <w:szCs w:val="28"/>
                <w:color w:val="FFFFFF"/>
                <w:w w:val="92"/>
              </w:rPr>
              <w:t/>
            </w:r>
          </w:p>
        </w:tc>
        <w:tc>
          <w:tcPr>
            <w:tcW w:w="0" w:type="dxa"/>
            <w:vAlign w:val="bottom"/>
          </w:tcPr>
          <w:p>
            <w:pPr>
              <w:spacing w:after="0"/>
              <w:rPr>
                <w:sz w:val="1"/>
                <w:szCs w:val="1"/>
                <w:color w:val="auto"/>
              </w:rPr>
            </w:pPr>
          </w:p>
        </w:tc>
      </w:tr>
      <w:tr>
        <w:trPr>
          <w:trHeight w:val="387"/>
        </w:trPr>
        <w:tc>
          <w:tcPr>
            <w:tcW w:w="2460" w:type="dxa"/>
            <w:vAlign w:val="bottom"/>
            <w:gridSpan w:val="5"/>
          </w:tcPr>
          <w:p>
            <w:pPr>
              <w:jc w:val="center"/>
              <w:ind w:left="11"/>
              <w:spacing w:after="0" w:line="219" w:lineRule="exact"/>
              <w:rPr>
                <w:sz w:val="20"/>
                <w:szCs w:val="20"/>
                <w:color w:val="auto"/>
              </w:rPr>
            </w:pPr>
            <w:r>
              <w:rPr>
                <w:rFonts w:ascii="Arial" w:cs="Arial" w:eastAsia="Arial" w:hAnsi="Arial"/>
                <w:sz w:val="18"/>
                <w:szCs w:val="18"/>
                <w:color w:val="634140"/>
              </w:rPr>
              <w:t>cvn_lb</w:t>
            </w:r>
            <w:r>
              <w:rPr>
                <w:rFonts w:ascii="PMingLiU" w:cs="PMingLiU" w:eastAsia="PMingLiU" w:hAnsi="PMingLiU"/>
                <w:sz w:val="18"/>
                <w:szCs w:val="18"/>
                <w:color w:val="634140"/>
              </w:rPr>
              <w:t/>
            </w:r>
            <w:r>
              <w:rPr>
                <w:rFonts w:ascii="Arial" w:cs="Arial" w:eastAsia="Arial" w:hAnsi="Arial"/>
                <w:sz w:val="18"/>
                <w:szCs w:val="18"/>
                <w:color w:val="634140"/>
              </w:rPr>
              <w:t>jc_bgle</w:t>
            </w:r>
            <w:r>
              <w:rPr>
                <w:rFonts w:ascii="PMingLiU" w:cs="PMingLiU" w:eastAsia="PMingLiU" w:hAnsi="PMingLiU"/>
                <w:sz w:val="18"/>
                <w:szCs w:val="18"/>
                <w:color w:val="634140"/>
              </w:rPr>
              <w:t/>
            </w:r>
          </w:p>
        </w:tc>
        <w:tc>
          <w:tcPr>
            <w:tcW w:w="180" w:type="dxa"/>
            <w:vAlign w:val="bottom"/>
          </w:tcPr>
          <w:p>
            <w:pPr>
              <w:spacing w:after="0"/>
              <w:rPr>
                <w:sz w:val="24"/>
                <w:szCs w:val="24"/>
                <w:color w:val="auto"/>
              </w:rPr>
            </w:pPr>
          </w:p>
        </w:tc>
        <w:tc>
          <w:tcPr>
            <w:tcW w:w="2620" w:type="dxa"/>
            <w:vAlign w:val="bottom"/>
            <w:gridSpan w:val="2"/>
          </w:tcPr>
          <w:p>
            <w:pPr>
              <w:jc w:val="center"/>
              <w:ind w:right="80"/>
              <w:spacing w:after="0" w:line="219" w:lineRule="exact"/>
              <w:rPr>
                <w:sz w:val="20"/>
                <w:szCs w:val="20"/>
                <w:color w:val="auto"/>
              </w:rPr>
            </w:pPr>
            <w:r>
              <w:rPr>
                <w:rFonts w:ascii="Arial" w:cs="Arial" w:eastAsia="Arial" w:hAnsi="Arial"/>
                <w:sz w:val="18"/>
                <w:szCs w:val="18"/>
                <w:color w:val="634140"/>
              </w:rPr>
              <w:t>fgef&amp;t_jsc</w:t>
            </w:r>
            <w:r>
              <w:rPr>
                <w:rFonts w:ascii="PMingLiU" w:cs="PMingLiU" w:eastAsia="PMingLiU" w:hAnsi="PMingLiU"/>
                <w:sz w:val="18"/>
                <w:szCs w:val="18"/>
                <w:color w:val="634140"/>
              </w:rPr>
              <w:t/>
            </w:r>
            <w:r>
              <w:rPr>
                <w:rFonts w:ascii="Arial" w:cs="Arial" w:eastAsia="Arial" w:hAnsi="Arial"/>
                <w:sz w:val="18"/>
                <w:szCs w:val="18"/>
                <w:color w:val="634140"/>
              </w:rPr>
              <w:t>npmbsar</w:t>
            </w:r>
            <w:r>
              <w:rPr>
                <w:rFonts w:ascii="PMingLiU" w:cs="PMingLiU" w:eastAsia="PMingLiU" w:hAnsi="PMingLiU"/>
                <w:sz w:val="18"/>
                <w:szCs w:val="18"/>
                <w:color w:val="634140"/>
              </w:rPr>
              <w:t/>
            </w:r>
          </w:p>
        </w:tc>
        <w:tc>
          <w:tcPr>
            <w:tcW w:w="2440" w:type="dxa"/>
            <w:vAlign w:val="bottom"/>
          </w:tcPr>
          <w:p>
            <w:pPr>
              <w:jc w:val="center"/>
              <w:spacing w:after="0" w:line="219" w:lineRule="exact"/>
              <w:rPr>
                <w:sz w:val="20"/>
                <w:szCs w:val="20"/>
                <w:color w:val="auto"/>
              </w:rPr>
            </w:pPr>
            <w:r>
              <w:rPr>
                <w:rFonts w:ascii="Arial" w:cs="Arial" w:eastAsia="Arial" w:hAnsi="Arial"/>
                <w:sz w:val="18"/>
                <w:szCs w:val="18"/>
                <w:color w:val="634140"/>
              </w:rPr>
              <w:t>cvgqrgle</w:t>
            </w:r>
            <w:r>
              <w:rPr>
                <w:rFonts w:ascii="PMingLiU" w:cs="PMingLiU" w:eastAsia="PMingLiU" w:hAnsi="PMingLiU"/>
                <w:sz w:val="18"/>
                <w:szCs w:val="18"/>
                <w:color w:val="634140"/>
              </w:rPr>
              <w:t/>
            </w:r>
            <w:r>
              <w:rPr>
                <w:rFonts w:ascii="Arial" w:cs="Arial" w:eastAsia="Arial" w:hAnsi="Arial"/>
                <w:sz w:val="18"/>
                <w:szCs w:val="18"/>
                <w:color w:val="634140"/>
              </w:rPr>
              <w:t>rcaflmjmew</w:t>
            </w:r>
            <w:r>
              <w:rPr>
                <w:rFonts w:ascii="PMingLiU" w:cs="PMingLiU" w:eastAsia="PMingLiU" w:hAnsi="PMingLiU"/>
                <w:sz w:val="18"/>
                <w:szCs w:val="18"/>
                <w:color w:val="634140"/>
              </w:rPr>
              <w:t/>
            </w:r>
          </w:p>
        </w:tc>
        <w:tc>
          <w:tcPr>
            <w:tcW w:w="180" w:type="dxa"/>
            <w:vAlign w:val="bottom"/>
          </w:tcPr>
          <w:p>
            <w:pPr>
              <w:spacing w:after="0"/>
              <w:rPr>
                <w:sz w:val="24"/>
                <w:szCs w:val="24"/>
                <w:color w:val="auto"/>
              </w:rPr>
            </w:pPr>
          </w:p>
        </w:tc>
        <w:tc>
          <w:tcPr>
            <w:tcW w:w="2440" w:type="dxa"/>
            <w:vAlign w:val="bottom"/>
          </w:tcPr>
          <w:p>
            <w:pPr>
              <w:jc w:val="center"/>
              <w:spacing w:after="0" w:line="219" w:lineRule="exact"/>
              <w:rPr>
                <w:sz w:val="20"/>
                <w:szCs w:val="20"/>
                <w:color w:val="auto"/>
              </w:rPr>
            </w:pPr>
            <w:r>
              <w:rPr>
                <w:rFonts w:ascii="Arial" w:cs="Arial" w:eastAsia="Arial" w:hAnsi="Arial"/>
                <w:sz w:val="18"/>
                <w:szCs w:val="18"/>
                <w:color w:val="634140"/>
                <w:w w:val="97"/>
              </w:rPr>
              <w:t>bpse</w:t>
            </w:r>
            <w:r>
              <w:rPr>
                <w:rFonts w:ascii="PMingLiU" w:cs="PMingLiU" w:eastAsia="PMingLiU" w:hAnsi="PMingLiU"/>
                <w:sz w:val="18"/>
                <w:szCs w:val="18"/>
                <w:color w:val="634140"/>
                <w:w w:val="97"/>
              </w:rPr>
              <w:t/>
            </w:r>
            <w:r>
              <w:rPr>
                <w:rFonts w:ascii="Arial" w:cs="Arial" w:eastAsia="Arial" w:hAnsi="Arial"/>
                <w:sz w:val="18"/>
                <w:szCs w:val="18"/>
                <w:color w:val="634140"/>
                <w:w w:val="97"/>
              </w:rPr>
              <w:t>bcjgtcpw</w:t>
            </w:r>
            <w:r>
              <w:rPr>
                <w:rFonts w:ascii="PMingLiU" w:cs="PMingLiU" w:eastAsia="PMingLiU" w:hAnsi="PMingLiU"/>
                <w:sz w:val="18"/>
                <w:szCs w:val="18"/>
                <w:color w:val="634140"/>
                <w:w w:val="97"/>
              </w:rPr>
              <w:t/>
            </w:r>
            <w:r>
              <w:rPr>
                <w:rFonts w:ascii="Arial" w:cs="Arial" w:eastAsia="Arial" w:hAnsi="Arial"/>
                <w:sz w:val="18"/>
                <w:szCs w:val="18"/>
                <w:color w:val="634140"/>
                <w:w w:val="97"/>
              </w:rPr>
              <w:t>rcaflmjmegcq</w:t>
            </w:r>
          </w:p>
        </w:tc>
        <w:tc>
          <w:tcPr>
            <w:tcW w:w="0" w:type="dxa"/>
            <w:vAlign w:val="bottom"/>
          </w:tcPr>
          <w:p>
            <w:pPr>
              <w:spacing w:after="0"/>
              <w:rPr>
                <w:sz w:val="1"/>
                <w:szCs w:val="1"/>
                <w:color w:val="auto"/>
              </w:rPr>
            </w:pPr>
          </w:p>
        </w:tc>
      </w:tr>
      <w:tr>
        <w:trPr>
          <w:trHeight w:val="222"/>
        </w:trPr>
        <w:tc>
          <w:tcPr>
            <w:tcW w:w="2460" w:type="dxa"/>
            <w:vAlign w:val="bottom"/>
            <w:gridSpan w:val="5"/>
          </w:tcPr>
          <w:p>
            <w:pPr>
              <w:jc w:val="center"/>
              <w:spacing w:after="0" w:line="217" w:lineRule="exact"/>
              <w:rPr>
                <w:sz w:val="20"/>
                <w:szCs w:val="20"/>
                <w:color w:val="auto"/>
              </w:rPr>
            </w:pPr>
            <w:r>
              <w:rPr>
                <w:rFonts w:ascii="Arial" w:cs="Arial" w:eastAsia="Arial" w:hAnsi="Arial"/>
                <w:sz w:val="18"/>
                <w:szCs w:val="18"/>
                <w:color w:val="634140"/>
                <w:w w:val="96"/>
              </w:rPr>
              <w:t>rcaflmjmew</w:t>
            </w:r>
            <w:r>
              <w:rPr>
                <w:rFonts w:ascii="PMingLiU" w:cs="PMingLiU" w:eastAsia="PMingLiU" w:hAnsi="PMingLiU"/>
                <w:sz w:val="18"/>
                <w:szCs w:val="18"/>
                <w:color w:val="634140"/>
                <w:w w:val="96"/>
              </w:rPr>
              <w:t/>
            </w:r>
            <w:r>
              <w:rPr>
                <w:rFonts w:ascii="Arial" w:cs="Arial" w:eastAsia="Arial" w:hAnsi="Arial"/>
                <w:sz w:val="18"/>
                <w:szCs w:val="18"/>
                <w:color w:val="634140"/>
                <w:w w:val="96"/>
              </w:rPr>
              <w:t>a_n_agrw</w:t>
            </w:r>
          </w:p>
        </w:tc>
        <w:tc>
          <w:tcPr>
            <w:tcW w:w="180" w:type="dxa"/>
            <w:vAlign w:val="bottom"/>
          </w:tcPr>
          <w:p>
            <w:pPr>
              <w:spacing w:after="0"/>
              <w:rPr>
                <w:sz w:val="19"/>
                <w:szCs w:val="19"/>
                <w:color w:val="auto"/>
              </w:rPr>
            </w:pPr>
          </w:p>
        </w:tc>
        <w:tc>
          <w:tcPr>
            <w:tcW w:w="2620" w:type="dxa"/>
            <w:vAlign w:val="bottom"/>
            <w:gridSpan w:val="2"/>
          </w:tcPr>
          <w:p>
            <w:pPr>
              <w:jc w:val="center"/>
              <w:ind w:right="80"/>
              <w:spacing w:after="0" w:line="217" w:lineRule="exact"/>
              <w:rPr>
                <w:sz w:val="20"/>
                <w:szCs w:val="20"/>
                <w:color w:val="auto"/>
              </w:rPr>
            </w:pPr>
            <w:r>
              <w:rPr>
                <w:rFonts w:ascii="Arial" w:cs="Arial" w:eastAsia="Arial" w:hAnsi="Arial"/>
                <w:sz w:val="18"/>
                <w:szCs w:val="18"/>
                <w:color w:val="634140"/>
              </w:rPr>
              <w:t>qcekclrq</w:t>
            </w:r>
            <w:r>
              <w:rPr>
                <w:rFonts w:ascii="PMingLiU" w:cs="PMingLiU" w:eastAsia="PMingLiU" w:hAnsi="PMingLiU"/>
                <w:sz w:val="18"/>
                <w:szCs w:val="18"/>
                <w:color w:val="634140"/>
              </w:rPr>
              <w:t/>
            </w:r>
          </w:p>
        </w:tc>
        <w:tc>
          <w:tcPr>
            <w:tcW w:w="2440" w:type="dxa"/>
            <w:vAlign w:val="bottom"/>
          </w:tcPr>
          <w:p>
            <w:pPr>
              <w:jc w:val="center"/>
              <w:spacing w:after="0"/>
              <w:rPr>
                <w:sz w:val="20"/>
                <w:szCs w:val="20"/>
                <w:color w:val="auto"/>
              </w:rPr>
            </w:pPr>
            <w:r>
              <w:rPr>
                <w:rFonts w:ascii="Arial" w:cs="Arial" w:eastAsia="Arial" w:hAnsi="Arial"/>
                <w:sz w:val="18"/>
                <w:szCs w:val="18"/>
                <w:color w:val="634140"/>
                <w:w w:val="92"/>
              </w:rPr>
              <w:t>nj_rdmpkq</w:t>
            </w:r>
          </w:p>
        </w:tc>
        <w:tc>
          <w:tcPr>
            <w:tcW w:w="180" w:type="dxa"/>
            <w:vAlign w:val="bottom"/>
          </w:tcPr>
          <w:p>
            <w:pPr>
              <w:spacing w:after="0"/>
              <w:rPr>
                <w:sz w:val="19"/>
                <w:szCs w:val="19"/>
                <w:color w:val="auto"/>
              </w:rPr>
            </w:pPr>
          </w:p>
        </w:tc>
        <w:tc>
          <w:tcPr>
            <w:tcW w:w="2440" w:type="dxa"/>
            <w:vAlign w:val="bottom"/>
            <w:vMerge w:val="restart"/>
          </w:tcPr>
          <w:p>
            <w:pPr>
              <w:jc w:val="center"/>
              <w:spacing w:after="0" w:line="219" w:lineRule="exact"/>
              <w:rPr>
                <w:sz w:val="20"/>
                <w:szCs w:val="20"/>
                <w:color w:val="auto"/>
              </w:rPr>
            </w:pPr>
            <w:r>
              <w:rPr>
                <w:rFonts w:ascii="Arial" w:cs="Arial" w:eastAsia="Arial" w:hAnsi="Arial"/>
                <w:sz w:val="18"/>
                <w:szCs w:val="18"/>
                <w:color w:val="634140"/>
              </w:rPr>
              <w:t>l_rsp_j</w:t>
            </w:r>
            <w:r>
              <w:rPr>
                <w:rFonts w:ascii="PMingLiU" w:cs="PMingLiU" w:eastAsia="PMingLiU" w:hAnsi="PMingLiU"/>
                <w:sz w:val="18"/>
                <w:szCs w:val="18"/>
                <w:color w:val="634140"/>
              </w:rPr>
              <w:t/>
            </w:r>
            <w:r>
              <w:rPr>
                <w:rFonts w:ascii="Arial" w:cs="Arial" w:eastAsia="Arial" w:hAnsi="Arial"/>
                <w:sz w:val="18"/>
                <w:szCs w:val="18"/>
                <w:color w:val="634140"/>
              </w:rPr>
              <w:t>;</w:t>
            </w:r>
            <w:r>
              <w:rPr>
                <w:rFonts w:ascii="PMingLiU" w:cs="PMingLiU" w:eastAsia="PMingLiU" w:hAnsi="PMingLiU"/>
                <w:sz w:val="18"/>
                <w:szCs w:val="18"/>
                <w:color w:val="634140"/>
              </w:rPr>
              <w:t/>
            </w:r>
            <w:r>
              <w:rPr>
                <w:rFonts w:ascii="Arial" w:cs="Arial" w:eastAsia="Arial" w:hAnsi="Arial"/>
                <w:sz w:val="18"/>
                <w:szCs w:val="18"/>
                <w:color w:val="634140"/>
              </w:rPr>
              <w:t>`gmrcaf</w:t>
            </w:r>
            <w:r>
              <w:rPr>
                <w:rFonts w:ascii="PMingLiU" w:cs="PMingLiU" w:eastAsia="PMingLiU" w:hAnsi="PMingLiU"/>
                <w:sz w:val="18"/>
                <w:szCs w:val="18"/>
                <w:color w:val="634140"/>
              </w:rPr>
              <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2"/>
          </w:tcPr>
          <w:p>
            <w:pPr>
              <w:jc w:val="center"/>
              <w:ind w:right="180"/>
              <w:spacing w:after="0" w:line="182" w:lineRule="exact"/>
              <w:rPr>
                <w:sz w:val="20"/>
                <w:szCs w:val="20"/>
                <w:color w:val="auto"/>
              </w:rPr>
            </w:pPr>
            <w:r>
              <w:rPr>
                <w:rFonts w:ascii="Arial" w:cs="Arial" w:eastAsia="Arial" w:hAnsi="Arial"/>
                <w:sz w:val="18"/>
                <w:szCs w:val="18"/>
                <w:color w:val="634140"/>
                <w:w w:val="99"/>
              </w:rPr>
              <w:t>gl</w:t>
            </w:r>
            <w:r>
              <w:rPr>
                <w:rFonts w:ascii="PMingLiU" w:cs="PMingLiU" w:eastAsia="PMingLiU" w:hAnsi="PMingLiU"/>
                <w:sz w:val="18"/>
                <w:szCs w:val="18"/>
                <w:color w:val="634140"/>
                <w:w w:val="99"/>
              </w:rPr>
              <w:t/>
            </w:r>
            <w:r>
              <w:rPr>
                <w:rFonts w:ascii="Arial" w:cs="Arial" w:eastAsia="Arial" w:hAnsi="Arial"/>
                <w:sz w:val="18"/>
                <w:szCs w:val="18"/>
                <w:color w:val="634140"/>
                <w:w w:val="99"/>
              </w:rPr>
              <w:t>icw</w:t>
            </w:r>
            <w:r>
              <w:rPr>
                <w:rFonts w:ascii="PMingLiU" w:cs="PMingLiU" w:eastAsia="PMingLiU" w:hAnsi="PMingLiU"/>
                <w:sz w:val="18"/>
                <w:szCs w:val="18"/>
                <w:color w:val="634140"/>
                <w:w w:val="99"/>
              </w:rPr>
              <w:t/>
            </w:r>
            <w:r>
              <w:rPr>
                <w:rFonts w:ascii="Arial" w:cs="Arial" w:eastAsia="Arial" w:hAnsi="Arial"/>
                <w:sz w:val="18"/>
                <w:szCs w:val="18"/>
                <w:color w:val="634140"/>
                <w:w w:val="99"/>
              </w:rPr>
              <w:t>ecmep_nfgcq</w:t>
            </w:r>
          </w:p>
        </w:tc>
        <w:tc>
          <w:tcPr>
            <w:tcW w:w="2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60" w:type="dxa"/>
            <w:vAlign w:val="bottom"/>
            <w:gridSpan w:val="5"/>
          </w:tcPr>
          <w:p>
            <w:pPr>
              <w:jc w:val="center"/>
              <w:spacing w:after="0" w:line="217" w:lineRule="exact"/>
              <w:rPr>
                <w:sz w:val="20"/>
                <w:szCs w:val="20"/>
                <w:color w:val="auto"/>
              </w:rPr>
            </w:pPr>
            <w:r>
              <w:rPr>
                <w:rFonts w:ascii="Arial" w:cs="Arial" w:eastAsia="Arial" w:hAnsi="Arial"/>
                <w:sz w:val="18"/>
                <w:szCs w:val="18"/>
                <w:color w:val="634140"/>
              </w:rPr>
              <w:t>cvgr</w:t>
            </w:r>
            <w:r>
              <w:rPr>
                <w:rFonts w:ascii="PMingLiU" w:cs="PMingLiU" w:eastAsia="PMingLiU" w:hAnsi="PMingLiU"/>
                <w:sz w:val="18"/>
                <w:szCs w:val="18"/>
                <w:color w:val="634140"/>
              </w:rPr>
              <w:t/>
            </w:r>
            <w:r>
              <w:rPr>
                <w:rFonts w:ascii="Arial" w:cs="Arial" w:eastAsia="Arial" w:hAnsi="Arial"/>
                <w:sz w:val="18"/>
                <w:szCs w:val="18"/>
                <w:color w:val="634140"/>
              </w:rPr>
              <w:t>qcjcar</w:t>
            </w:r>
            <w:r>
              <w:rPr>
                <w:rFonts w:ascii="PMingLiU" w:cs="PMingLiU" w:eastAsia="PMingLiU" w:hAnsi="PMingLiU"/>
                <w:sz w:val="18"/>
                <w:szCs w:val="18"/>
                <w:color w:val="634140"/>
              </w:rPr>
              <w:t/>
            </w:r>
            <w:r>
              <w:rPr>
                <w:rFonts w:ascii="Arial" w:cs="Arial" w:eastAsia="Arial" w:hAnsi="Arial"/>
                <w:sz w:val="18"/>
                <w:szCs w:val="18"/>
                <w:color w:val="634140"/>
              </w:rPr>
              <w:t>npmbsar</w:t>
            </w:r>
            <w:r>
              <w:rPr>
                <w:rFonts w:ascii="PMingLiU" w:cs="PMingLiU" w:eastAsia="PMingLiU" w:hAnsi="PMingLiU"/>
                <w:sz w:val="18"/>
                <w:szCs w:val="18"/>
                <w:color w:val="634140"/>
              </w:rPr>
              <w:t/>
            </w:r>
            <w:r>
              <w:rPr>
                <w:rFonts w:ascii="Arial" w:cs="Arial" w:eastAsia="Arial" w:hAnsi="Arial"/>
                <w:sz w:val="18"/>
                <w:szCs w:val="18"/>
                <w:color w:val="634140"/>
              </w:rPr>
              <w:t>5</w:t>
            </w:r>
            <w:r>
              <w:rPr>
                <w:rFonts w:ascii="PMingLiU" w:cs="PMingLiU" w:eastAsia="PMingLiU" w:hAnsi="PMingLiU"/>
                <w:sz w:val="18"/>
                <w:szCs w:val="18"/>
                <w:color w:val="634140"/>
              </w:rPr>
              <w:t/>
            </w:r>
          </w:p>
        </w:tc>
        <w:tc>
          <w:tcPr>
            <w:tcW w:w="1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tcPr>
          <w:p>
            <w:pPr>
              <w:jc w:val="center"/>
              <w:spacing w:after="0" w:line="219" w:lineRule="exact"/>
              <w:rPr>
                <w:sz w:val="20"/>
                <w:szCs w:val="20"/>
                <w:color w:val="auto"/>
              </w:rPr>
            </w:pPr>
            <w:r>
              <w:rPr>
                <w:rFonts w:ascii="Arial" w:cs="Arial" w:eastAsia="Arial" w:hAnsi="Arial"/>
                <w:sz w:val="18"/>
                <w:szCs w:val="18"/>
                <w:color w:val="634140"/>
              </w:rPr>
              <w:t>lcu</w:t>
            </w:r>
            <w:r>
              <w:rPr>
                <w:rFonts w:ascii="PMingLiU" w:cs="PMingLiU" w:eastAsia="PMingLiU" w:hAnsi="PMingLiU"/>
                <w:sz w:val="18"/>
                <w:szCs w:val="18"/>
                <w:color w:val="634140"/>
              </w:rPr>
              <w:t/>
            </w:r>
            <w:r>
              <w:rPr>
                <w:rFonts w:ascii="Arial" w:cs="Arial" w:eastAsia="Arial" w:hAnsi="Arial"/>
                <w:sz w:val="18"/>
                <w:szCs w:val="18"/>
                <w:color w:val="634140"/>
              </w:rPr>
              <w:t>rcaflmjmew</w:t>
            </w:r>
            <w:r>
              <w:rPr>
                <w:rFonts w:ascii="PMingLiU" w:cs="PMingLiU" w:eastAsia="PMingLiU" w:hAnsi="PMingLiU"/>
                <w:sz w:val="18"/>
                <w:szCs w:val="18"/>
                <w:color w:val="634140"/>
              </w:rPr>
              <w:t/>
            </w:r>
          </w:p>
        </w:tc>
        <w:tc>
          <w:tcPr>
            <w:tcW w:w="18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634140"/>
                <w:w w:val="95"/>
              </w:rPr>
              <w:t>rcaflmjmegcq</w:t>
            </w:r>
          </w:p>
        </w:tc>
        <w:tc>
          <w:tcPr>
            <w:tcW w:w="0" w:type="dxa"/>
            <w:vAlign w:val="bottom"/>
          </w:tcPr>
          <w:p>
            <w:pPr>
              <w:spacing w:after="0"/>
              <w:rPr>
                <w:sz w:val="1"/>
                <w:szCs w:val="1"/>
                <w:color w:val="auto"/>
              </w:rPr>
            </w:pPr>
          </w:p>
        </w:tc>
      </w:tr>
      <w:tr>
        <w:trPr>
          <w:trHeight w:val="223"/>
        </w:trPr>
        <w:tc>
          <w:tcPr>
            <w:tcW w:w="2460" w:type="dxa"/>
            <w:vAlign w:val="bottom"/>
            <w:gridSpan w:val="5"/>
          </w:tcPr>
          <w:p>
            <w:pPr>
              <w:jc w:val="center"/>
              <w:spacing w:after="0" w:line="217" w:lineRule="exact"/>
              <w:rPr>
                <w:sz w:val="20"/>
                <w:szCs w:val="20"/>
                <w:color w:val="auto"/>
              </w:rPr>
            </w:pPr>
            <w:r>
              <w:rPr>
                <w:rFonts w:ascii="Arial" w:cs="Arial" w:eastAsia="Arial" w:hAnsi="Arial"/>
                <w:sz w:val="18"/>
                <w:szCs w:val="18"/>
                <w:color w:val="634140"/>
              </w:rPr>
              <w:t>`sqglcqq</w:t>
            </w:r>
            <w:r>
              <w:rPr>
                <w:rFonts w:ascii="PMingLiU" w:cs="PMingLiU" w:eastAsia="PMingLiU" w:hAnsi="PMingLiU"/>
                <w:sz w:val="18"/>
                <w:szCs w:val="18"/>
                <w:color w:val="634140"/>
              </w:rPr>
              <w:t/>
            </w:r>
            <w:r>
              <w:rPr>
                <w:rFonts w:ascii="Arial" w:cs="Arial" w:eastAsia="Arial" w:hAnsi="Arial"/>
                <w:sz w:val="18"/>
                <w:szCs w:val="18"/>
                <w:color w:val="634140"/>
              </w:rPr>
              <w:t>jglcq</w:t>
            </w:r>
          </w:p>
        </w:tc>
        <w:tc>
          <w:tcPr>
            <w:tcW w:w="180" w:type="dxa"/>
            <w:vAlign w:val="bottom"/>
          </w:tcPr>
          <w:p>
            <w:pPr>
              <w:spacing w:after="0"/>
              <w:rPr>
                <w:sz w:val="19"/>
                <w:szCs w:val="19"/>
                <w:color w:val="auto"/>
              </w:rPr>
            </w:pPr>
          </w:p>
        </w:tc>
        <w:tc>
          <w:tcPr>
            <w:tcW w:w="2620" w:type="dxa"/>
            <w:vAlign w:val="bottom"/>
            <w:gridSpan w:val="2"/>
          </w:tcPr>
          <w:p>
            <w:pPr>
              <w:jc w:val="center"/>
              <w:ind w:right="80"/>
              <w:spacing w:after="0" w:line="217" w:lineRule="exact"/>
              <w:rPr>
                <w:sz w:val="20"/>
                <w:szCs w:val="20"/>
                <w:color w:val="auto"/>
              </w:rPr>
            </w:pPr>
            <w:r>
              <w:rPr>
                <w:rFonts w:ascii="Arial" w:cs="Arial" w:eastAsia="Arial" w:hAnsi="Arial"/>
                <w:sz w:val="18"/>
                <w:szCs w:val="18"/>
                <w:color w:val="634140"/>
              </w:rPr>
              <w:t>cvn_lb</w:t>
            </w:r>
            <w:r>
              <w:rPr>
                <w:rFonts w:ascii="PMingLiU" w:cs="PMingLiU" w:eastAsia="PMingLiU" w:hAnsi="PMingLiU"/>
                <w:sz w:val="18"/>
                <w:szCs w:val="18"/>
                <w:color w:val="634140"/>
              </w:rPr>
              <w:t/>
            </w:r>
            <w:r>
              <w:rPr>
                <w:rFonts w:ascii="Arial" w:cs="Arial" w:eastAsia="Arial" w:hAnsi="Arial"/>
                <w:sz w:val="18"/>
                <w:szCs w:val="18"/>
                <w:color w:val="634140"/>
              </w:rPr>
              <w:t>`ge˨</w:t>
            </w:r>
            <w:r>
              <w:rPr>
                <w:rFonts w:ascii="PMingLiU" w:cs="PMingLiU" w:eastAsia="PMingLiU" w:hAnsi="PMingLiU"/>
                <w:sz w:val="18"/>
                <w:szCs w:val="18"/>
                <w:color w:val="634140"/>
              </w:rPr>
              <w:t/>
            </w:r>
          </w:p>
        </w:tc>
        <w:tc>
          <w:tcPr>
            <w:tcW w:w="2440" w:type="dxa"/>
            <w:vAlign w:val="bottom"/>
          </w:tcPr>
          <w:p>
            <w:pPr>
              <w:jc w:val="center"/>
              <w:spacing w:after="0"/>
              <w:rPr>
                <w:sz w:val="20"/>
                <w:szCs w:val="20"/>
                <w:color w:val="auto"/>
              </w:rPr>
            </w:pPr>
            <w:r>
              <w:rPr>
                <w:rFonts w:ascii="Arial" w:cs="Arial" w:eastAsia="Arial" w:hAnsi="Arial"/>
                <w:sz w:val="18"/>
                <w:szCs w:val="18"/>
                <w:color w:val="634140"/>
                <w:w w:val="92"/>
              </w:rPr>
              <w:t>nj_rdmpkq</w:t>
            </w:r>
          </w:p>
        </w:tc>
        <w:tc>
          <w:tcPr>
            <w:tcW w:w="180" w:type="dxa"/>
            <w:vAlign w:val="bottom"/>
          </w:tcPr>
          <w:p>
            <w:pPr>
              <w:spacing w:after="0"/>
              <w:rPr>
                <w:sz w:val="19"/>
                <w:szCs w:val="19"/>
                <w:color w:val="auto"/>
              </w:rPr>
            </w:pPr>
          </w:p>
        </w:tc>
        <w:tc>
          <w:tcPr>
            <w:tcW w:w="2440" w:type="dxa"/>
            <w:vAlign w:val="bottom"/>
            <w:vMerge w:val="restart"/>
          </w:tcPr>
          <w:p>
            <w:pPr>
              <w:jc w:val="center"/>
              <w:spacing w:after="0" w:line="219" w:lineRule="exact"/>
              <w:rPr>
                <w:sz w:val="20"/>
                <w:szCs w:val="20"/>
                <w:color w:val="auto"/>
              </w:rPr>
            </w:pPr>
            <w:r>
              <w:rPr>
                <w:rFonts w:ascii="Arial" w:cs="Arial" w:eastAsia="Arial" w:hAnsi="Arial"/>
                <w:sz w:val="18"/>
                <w:szCs w:val="18"/>
                <w:color w:val="634140"/>
              </w:rPr>
              <w:t>fgef&amp;t_jsc</w:t>
            </w:r>
            <w:r>
              <w:rPr>
                <w:rFonts w:ascii="PMingLiU" w:cs="PMingLiU" w:eastAsia="PMingLiU" w:hAnsi="PMingLiU"/>
                <w:sz w:val="18"/>
                <w:szCs w:val="18"/>
                <w:color w:val="634140"/>
              </w:rPr>
              <w:t/>
            </w:r>
            <w:r>
              <w:rPr>
                <w:rFonts w:ascii="Arial" w:cs="Arial" w:eastAsia="Arial" w:hAnsi="Arial"/>
                <w:sz w:val="18"/>
                <w:szCs w:val="18"/>
                <w:color w:val="634140"/>
              </w:rPr>
              <w:t>_bbgrgtcq</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2"/>
          </w:tcPr>
          <w:p>
            <w:pPr>
              <w:jc w:val="center"/>
              <w:ind w:right="180"/>
              <w:spacing w:after="0" w:line="217" w:lineRule="exact"/>
              <w:rPr>
                <w:sz w:val="20"/>
                <w:szCs w:val="20"/>
                <w:color w:val="auto"/>
              </w:rPr>
            </w:pPr>
            <w:r>
              <w:rPr>
                <w:rFonts w:ascii="Arial" w:cs="Arial" w:eastAsia="Arial" w:hAnsi="Arial"/>
                <w:sz w:val="18"/>
                <w:szCs w:val="18"/>
                <w:color w:val="634140"/>
                <w:w w:val="92"/>
              </w:rPr>
              <w:t>gl</w:t>
            </w:r>
            <w:r>
              <w:rPr>
                <w:rFonts w:ascii="PMingLiU" w:cs="PMingLiU" w:eastAsia="PMingLiU" w:hAnsi="PMingLiU"/>
                <w:sz w:val="18"/>
                <w:szCs w:val="18"/>
                <w:color w:val="634140"/>
                <w:w w:val="92"/>
              </w:rPr>
              <w:t/>
            </w:r>
            <w:r>
              <w:rPr>
                <w:rFonts w:ascii="Arial" w:cs="Arial" w:eastAsia="Arial" w:hAnsi="Arial"/>
                <w:sz w:val="18"/>
                <w:szCs w:val="18"/>
                <w:color w:val="634140"/>
                <w:w w:val="92"/>
              </w:rPr>
              <w:t>Eqg_</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-1806575</wp:posOffset>
            </wp:positionV>
            <wp:extent cx="6584315" cy="2271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
                      <a:extLst>
                        <a:ext uri="{28A0092B-C50C-407E-A947-70E740481C1C}"/>
                      </a:extLst>
                    </a:blip>
                    <a:srcRect/>
                    <a:stretch>
                      <a:fillRect/>
                    </a:stretch>
                  </pic:blipFill>
                  <pic:spPr bwMode="auto">
                    <a:xfrm>
                      <a:off x="0" y="0"/>
                      <a:ext cx="6584315" cy="2271395"/>
                    </a:xfrm>
                    <a:prstGeom prst="rect">
                      <a:avLst/>
                    </a:prstGeom>
                    <a:noFill/>
                  </pic:spPr>
                </pic:pic>
              </a:graphicData>
            </a:graphic>
          </wp:anchor>
        </w:drawing>
      </w:r>
    </w:p>
    <w:p>
      <w:pPr>
        <w:spacing w:after="0" w:line="376" w:lineRule="exact"/>
        <w:rPr>
          <w:sz w:val="20"/>
          <w:szCs w:val="20"/>
          <w:color w:val="auto"/>
        </w:rPr>
      </w:pPr>
    </w:p>
    <w:p>
      <w:pPr>
        <w:jc w:val="center"/>
        <w:ind w:right="180"/>
        <w:spacing w:after="0" w:line="291" w:lineRule="exact"/>
        <w:rPr>
          <w:sz w:val="20"/>
          <w:szCs w:val="20"/>
          <w:color w:val="auto"/>
        </w:rPr>
      </w:pPr>
      <w:r>
        <w:rPr>
          <w:rFonts w:ascii="Arial" w:cs="Arial" w:eastAsia="Arial" w:hAnsi="Arial"/>
          <w:sz w:val="24"/>
          <w:szCs w:val="24"/>
          <w:b w:val="1"/>
          <w:bCs w:val="1"/>
          <w:color w:val="66BF9B"/>
        </w:rPr>
        <w:t>qsqr_gl_`jw</w:t>
      </w:r>
      <w:r>
        <w:rPr>
          <w:rFonts w:ascii="PMingLiU" w:cs="PMingLiU" w:eastAsia="PMingLiU" w:hAnsi="PMingLiU"/>
          <w:sz w:val="24"/>
          <w:szCs w:val="24"/>
          <w:b w:val="1"/>
          <w:bCs w:val="1"/>
          <w:color w:val="66BF9B"/>
        </w:rPr>
        <w:t/>
      </w:r>
      <w:r>
        <w:rPr>
          <w:rFonts w:ascii="Arial" w:cs="Arial" w:eastAsia="Arial" w:hAnsi="Arial"/>
          <w:sz w:val="24"/>
          <w:szCs w:val="24"/>
          <w:b w:val="1"/>
          <w:bCs w:val="1"/>
          <w:color w:val="66BF9B"/>
        </w:rPr>
        <w:t>qf_nc</w:t>
      </w:r>
      <w:r>
        <w:rPr>
          <w:rFonts w:ascii="PMingLiU" w:cs="PMingLiU" w:eastAsia="PMingLiU" w:hAnsi="PMingLiU"/>
          <w:sz w:val="24"/>
          <w:szCs w:val="24"/>
          <w:b w:val="1"/>
          <w:bCs w:val="1"/>
          <w:color w:val="66BF9B"/>
        </w:rPr>
        <w:t/>
      </w:r>
      <w:r>
        <w:rPr>
          <w:rFonts w:ascii="Arial" w:cs="Arial" w:eastAsia="Arial" w:hAnsi="Arial"/>
          <w:sz w:val="24"/>
          <w:szCs w:val="24"/>
          <w:b w:val="1"/>
          <w:bCs w:val="1"/>
          <w:color w:val="66BF9B"/>
        </w:rPr>
        <w:t>_lb</w:t>
      </w:r>
      <w:r>
        <w:rPr>
          <w:rFonts w:ascii="PMingLiU" w:cs="PMingLiU" w:eastAsia="PMingLiU" w:hAnsi="PMingLiU"/>
          <w:sz w:val="24"/>
          <w:szCs w:val="24"/>
          <w:b w:val="1"/>
          <w:bCs w:val="1"/>
          <w:color w:val="66BF9B"/>
        </w:rPr>
        <w:t/>
      </w:r>
      <w:r>
        <w:rPr>
          <w:rFonts w:ascii="Arial" w:cs="Arial" w:eastAsia="Arial" w:hAnsi="Arial"/>
          <w:sz w:val="24"/>
          <w:szCs w:val="24"/>
          <w:b w:val="1"/>
          <w:bCs w:val="1"/>
          <w:color w:val="66BF9B"/>
        </w:rPr>
        <w:t>epmu</w:t>
      </w:r>
      <w:r>
        <w:rPr>
          <w:rFonts w:ascii="PMingLiU" w:cs="PMingLiU" w:eastAsia="PMingLiU" w:hAnsi="PMingLiU"/>
          <w:sz w:val="24"/>
          <w:szCs w:val="24"/>
          <w:b w:val="1"/>
          <w:bCs w:val="1"/>
          <w:color w:val="66BF9B"/>
        </w:rPr>
        <w:t/>
      </w:r>
      <w:r>
        <w:rPr>
          <w:rFonts w:ascii="Arial" w:cs="Arial" w:eastAsia="Arial" w:hAnsi="Arial"/>
          <w:sz w:val="24"/>
          <w:szCs w:val="24"/>
          <w:b w:val="1"/>
          <w:bCs w:val="1"/>
          <w:color w:val="66BF9B"/>
        </w:rPr>
        <w:t>rfc</w:t>
      </w:r>
      <w:r>
        <w:rPr>
          <w:rFonts w:ascii="PMingLiU" w:cs="PMingLiU" w:eastAsia="PMingLiU" w:hAnsi="PMingLiU"/>
          <w:sz w:val="24"/>
          <w:szCs w:val="24"/>
          <w:b w:val="1"/>
          <w:bCs w:val="1"/>
          <w:color w:val="66BF9B"/>
        </w:rPr>
        <w:t/>
      </w:r>
      <w:r>
        <w:rPr>
          <w:rFonts w:ascii="Arial" w:cs="Arial" w:eastAsia="Arial" w:hAnsi="Arial"/>
          <w:sz w:val="24"/>
          <w:szCs w:val="24"/>
          <w:b w:val="1"/>
          <w:bCs w:val="1"/>
          <w:color w:val="66BF9B"/>
        </w:rPr>
        <w:t>nmprdmjgm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-92075</wp:posOffset>
                </wp:positionV>
                <wp:extent cx="166941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9415" cy="4763"/>
                        </a:xfrm>
                        <a:prstGeom prst="line">
                          <a:avLst/>
                        </a:prstGeom>
                        <a:solidFill>
                          <a:srgbClr val="FFFFFF"/>
                        </a:solidFill>
                        <a:ln w="38531">
                          <a:solidFill>
                            <a:srgbClr val="66BF9B"/>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pt,-7.2499pt" to="133.55pt,-7.2499pt" o:allowincell="f" strokecolor="#66BF9B" strokeweight="3.0339pt"/>
            </w:pict>
          </mc:Fallback>
        </mc:AlternateContent>
        <mc:AlternateContent>
          <mc:Choice Requires="wps">
            <w:drawing>
              <wp:anchor simplePos="0" relativeHeight="251657728" behindDoc="1" locked="0" layoutInCell="0" allowOverlap="1">
                <wp:simplePos x="0" y="0"/>
                <wp:positionH relativeFrom="column">
                  <wp:posOffset>45720</wp:posOffset>
                </wp:positionH>
                <wp:positionV relativeFrom="paragraph">
                  <wp:posOffset>-178435</wp:posOffset>
                </wp:positionV>
                <wp:extent cx="0" cy="17335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355"/>
                        </a:xfrm>
                        <a:prstGeom prst="line">
                          <a:avLst/>
                        </a:prstGeom>
                        <a:solidFill>
                          <a:srgbClr val="FFFFFF"/>
                        </a:solidFill>
                        <a:ln w="38531">
                          <a:solidFill>
                            <a:srgbClr val="66BF9B"/>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14.0499pt" to="3.6pt,-0.3999pt" o:allowincell="f" strokecolor="#66BF9B" strokeweight="3.0339pt"/>
            </w:pict>
          </mc:Fallback>
        </mc:AlternateContent>
        <mc:AlternateContent>
          <mc:Choice Requires="wps">
            <w:drawing>
              <wp:anchor simplePos="0" relativeHeight="251657728" behindDoc="1" locked="0" layoutInCell="0" allowOverlap="1">
                <wp:simplePos x="0" y="0"/>
                <wp:positionH relativeFrom="column">
                  <wp:posOffset>4915535</wp:posOffset>
                </wp:positionH>
                <wp:positionV relativeFrom="paragraph">
                  <wp:posOffset>-92075</wp:posOffset>
                </wp:positionV>
                <wp:extent cx="166941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9415" cy="4763"/>
                        </a:xfrm>
                        <a:prstGeom prst="line">
                          <a:avLst/>
                        </a:prstGeom>
                        <a:solidFill>
                          <a:srgbClr val="FFFFFF"/>
                        </a:solidFill>
                        <a:ln w="38531">
                          <a:solidFill>
                            <a:srgbClr val="66BF9B"/>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05pt,-7.2499pt" to="518.5pt,-7.2499pt" o:allowincell="f" strokecolor="#66BF9B" strokeweight="3.0339pt"/>
            </w:pict>
          </mc:Fallback>
        </mc:AlternateContent>
        <mc:AlternateContent>
          <mc:Choice Requires="wps">
            <w:drawing>
              <wp:anchor simplePos="0" relativeHeight="251657728" behindDoc="1" locked="0" layoutInCell="0" allowOverlap="1">
                <wp:simplePos x="0" y="0"/>
                <wp:positionH relativeFrom="column">
                  <wp:posOffset>6565900</wp:posOffset>
                </wp:positionH>
                <wp:positionV relativeFrom="paragraph">
                  <wp:posOffset>-178435</wp:posOffset>
                </wp:positionV>
                <wp:extent cx="0" cy="17335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355"/>
                        </a:xfrm>
                        <a:prstGeom prst="line">
                          <a:avLst/>
                        </a:prstGeom>
                        <a:solidFill>
                          <a:srgbClr val="FFFFFF"/>
                        </a:solidFill>
                        <a:ln w="38531">
                          <a:solidFill>
                            <a:srgbClr val="66BF9B"/>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7pt,-14.0499pt" to="517pt,-0.3999pt" o:allowincell="f" strokecolor="#66BF9B" strokeweight="3.0339pt"/>
            </w:pict>
          </mc:Fallback>
        </mc:AlternateContent>
      </w:r>
    </w:p>
    <w:p>
      <w:pPr>
        <w:spacing w:after="0" w:line="200" w:lineRule="exact"/>
        <w:rPr>
          <w:sz w:val="20"/>
          <w:szCs w:val="20"/>
          <w:color w:val="auto"/>
        </w:rPr>
      </w:pPr>
    </w:p>
    <w:p>
      <w:pPr>
        <w:spacing w:after="0" w:line="316" w:lineRule="exact"/>
        <w:rPr>
          <w:sz w:val="20"/>
          <w:szCs w:val="20"/>
          <w:color w:val="auto"/>
        </w:rPr>
      </w:pPr>
    </w:p>
    <w:p>
      <w:pPr>
        <w:ind w:left="40"/>
        <w:spacing w:after="0" w:line="291" w:lineRule="exact"/>
        <w:rPr>
          <w:sz w:val="20"/>
          <w:szCs w:val="20"/>
          <w:color w:val="auto"/>
        </w:rPr>
      </w:pPr>
      <w:r>
        <w:rPr>
          <w:rFonts w:ascii="Arial" w:cs="Arial" w:eastAsia="Arial" w:hAnsi="Arial"/>
          <w:sz w:val="24"/>
          <w:szCs w:val="24"/>
          <w:b w:val="1"/>
          <w:bCs w:val="1"/>
          <w:color w:val="634140"/>
        </w:rPr>
        <w:t>amlrclrq</w:t>
      </w:r>
      <w:r>
        <w:rPr>
          <w:rFonts w:ascii="PMingLiU" w:cs="PMingLiU" w:eastAsia="PMingLiU" w:hAnsi="PMingLiU"/>
          <w:sz w:val="24"/>
          <w:szCs w:val="24"/>
          <w:b w:val="1"/>
          <w:bCs w:val="1"/>
          <w:color w:val="634140"/>
        </w:rPr>
        <w:t/>
      </w:r>
    </w:p>
    <w:p>
      <w:pPr>
        <w:sectPr>
          <w:pgSz w:w="12240" w:h="15840" w:orient="portrait"/>
          <w:cols w:equalWidth="0" w:num="1">
            <w:col w:w="10600"/>
          </w:cols>
          <w:pgMar w:left="760" w:top="1345" w:right="880" w:bottom="206" w:gutter="0" w:footer="0" w:header="0"/>
          <w:type w:val="continuous"/>
        </w:sectPr>
      </w:pPr>
    </w:p>
    <w:p>
      <w:pPr>
        <w:spacing w:after="0" w:line="120" w:lineRule="exact"/>
        <w:rPr>
          <w:sz w:val="20"/>
          <w:szCs w:val="20"/>
          <w:color w:val="auto"/>
        </w:rPr>
      </w:pPr>
    </w:p>
    <w:p>
      <w:pPr>
        <w:jc w:val="both"/>
        <w:ind w:left="40"/>
        <w:spacing w:after="0" w:line="260" w:lineRule="exact"/>
        <w:rPr>
          <w:sz w:val="20"/>
          <w:szCs w:val="20"/>
          <w:color w:val="auto"/>
        </w:rPr>
      </w:pPr>
      <w:r>
        <w:rPr>
          <w:rFonts w:ascii="PMingLiU" w:cs="PMingLiU" w:eastAsia="PMingLiU" w:hAnsi="PMingLiU"/>
          <w:sz w:val="16"/>
          <w:szCs w:val="16"/>
          <w:color w:val="634140"/>
        </w:rPr>
        <w:t>GISjcrrcprmqf_pcfmjbcpq</w:t>
      </w:r>
      <w:r>
        <w:rPr>
          <w:rFonts w:ascii="Arial" w:cs="Arial" w:eastAsia="Arial" w:hAnsi="Arial"/>
          <w:sz w:val="16"/>
          <w:szCs w:val="16"/>
          <w:b w:val="1"/>
          <w:bCs w:val="1"/>
          <w:color w:val="634140"/>
        </w:rPr>
        <w:t>˩</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PMingLiU" w:cs="PMingLiU" w:eastAsia="PMingLiU" w:hAnsi="PMingLiU"/>
          <w:sz w:val="16"/>
          <w:szCs w:val="16"/>
          <w:color w:val="634140"/>
        </w:rPr>
        <w:t>nj_rdmpkrcaflmjmegcq</w:t>
      </w:r>
      <w:r>
        <w:rPr>
          <w:rFonts w:ascii="Arial" w:cs="Arial" w:eastAsia="Arial" w:hAnsi="Arial"/>
          <w:sz w:val="16"/>
          <w:szCs w:val="16"/>
          <w:b w:val="1"/>
          <w:bCs w:val="1"/>
          <w:color w:val="634140"/>
        </w:rPr>
        <w:t>˫</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PMingLiU" w:cs="PMingLiU" w:eastAsia="PMingLiU" w:hAnsi="PMingLiU"/>
          <w:sz w:val="16"/>
          <w:szCs w:val="16"/>
          <w:color w:val="634140"/>
        </w:rPr>
        <w:t>jgdcqagclacq</w:t>
      </w:r>
      <w:r>
        <w:rPr>
          <w:rFonts w:ascii="Arial" w:cs="Arial" w:eastAsia="Arial" w:hAnsi="Arial"/>
          <w:sz w:val="16"/>
          <w:szCs w:val="16"/>
          <w:b w:val="1"/>
          <w:bCs w:val="1"/>
          <w:color w:val="634140"/>
        </w:rPr>
        <w:t>˭</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PMingLiU" w:cs="PMingLiU" w:eastAsia="PMingLiU" w:hAnsi="PMingLiU"/>
          <w:sz w:val="16"/>
          <w:szCs w:val="16"/>
          <w:color w:val="634140"/>
        </w:rPr>
        <w:t>ncpqml_ja_pc</w:t>
      </w:r>
      <w:r>
        <w:rPr>
          <w:rFonts w:ascii="Arial" w:cs="Arial" w:eastAsia="Arial" w:hAnsi="Arial"/>
          <w:sz w:val="16"/>
          <w:szCs w:val="16"/>
          <w:b w:val="1"/>
          <w:bCs w:val="1"/>
          <w:color w:val="634140"/>
        </w:rPr>
        <w:t>˦˥</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PMingLiU" w:cs="PMingLiU" w:eastAsia="PMingLiU" w:hAnsi="PMingLiU"/>
          <w:sz w:val="16"/>
          <w:szCs w:val="16"/>
          <w:color w:val="634140"/>
        </w:rPr>
        <w:t>qncag_jrw_bbgrgtcq</w:t>
      </w:r>
      <w:r>
        <w:rPr>
          <w:rFonts w:ascii="Arial" w:cs="Arial" w:eastAsia="Arial" w:hAnsi="Arial"/>
          <w:sz w:val="16"/>
          <w:szCs w:val="16"/>
          <w:b w:val="1"/>
          <w:bCs w:val="1"/>
          <w:color w:val="634140"/>
        </w:rPr>
        <w:t>˦˧</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PMingLiU" w:cs="PMingLiU" w:eastAsia="PMingLiU" w:hAnsi="PMingLiU"/>
          <w:sz w:val="16"/>
          <w:szCs w:val="16"/>
          <w:color w:val="634140"/>
        </w:rPr>
        <w:t>IWK</w:t>
      </w:r>
      <w:r>
        <w:rPr>
          <w:rFonts w:ascii="Arial" w:cs="Arial" w:eastAsia="Arial" w:hAnsi="Arial"/>
          <w:sz w:val="16"/>
          <w:szCs w:val="16"/>
          <w:b w:val="1"/>
          <w:bCs w:val="1"/>
          <w:color w:val="634140"/>
        </w:rPr>
        <w:t>˦˩</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PMingLiU" w:cs="PMingLiU" w:eastAsia="PMingLiU" w:hAnsi="PMingLiU"/>
          <w:sz w:val="16"/>
          <w:szCs w:val="16"/>
          <w:color w:val="634140"/>
        </w:rPr>
        <w:t>WXIQ_lbM;H</w:t>
      </w:r>
      <w:r>
        <w:rPr>
          <w:rFonts w:ascii="Arial" w:cs="Arial" w:eastAsia="Arial" w:hAnsi="Arial"/>
          <w:sz w:val="16"/>
          <w:szCs w:val="16"/>
          <w:b w:val="1"/>
          <w:bCs w:val="1"/>
          <w:color w:val="634140"/>
        </w:rPr>
        <w:t>˦˫</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PMingLiU" w:cs="PMingLiU" w:eastAsia="PMingLiU" w:hAnsi="PMingLiU"/>
          <w:sz w:val="16"/>
          <w:szCs w:val="16"/>
          <w:color w:val="634140"/>
        </w:rPr>
        <w:t xml:space="preserve">  &amp;O</w:t>
      </w:r>
      <w:r>
        <w:rPr>
          <w:rFonts w:ascii="Arial" w:cs="Arial" w:eastAsia="Arial" w:hAnsi="Arial"/>
          <w:sz w:val="16"/>
          <w:szCs w:val="16"/>
          <w:b w:val="1"/>
          <w:bCs w:val="1"/>
          <w:color w:val="634140"/>
        </w:rPr>
        <w:t>˦ˮ</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PMingLiU" w:cs="PMingLiU" w:eastAsia="PMingLiU" w:hAnsi="PMingLiU"/>
          <w:sz w:val="16"/>
          <w:szCs w:val="16"/>
          <w:color w:val="634140"/>
        </w:rPr>
        <w:t>ampnmp_rcemtcpl_lac</w:t>
      </w:r>
      <w:r>
        <w:rPr>
          <w:rFonts w:ascii="Arial" w:cs="Arial" w:eastAsia="Arial" w:hAnsi="Arial"/>
          <w:sz w:val="16"/>
          <w:szCs w:val="16"/>
          <w:b w:val="1"/>
          <w:bCs w:val="1"/>
          <w:color w:val="634140"/>
        </w:rPr>
        <w:t>glqgbc</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`_ai</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amtcp</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PMingLiU" w:cs="PMingLiU" w:eastAsia="PMingLiU" w:hAnsi="PMingLiU"/>
          <w:sz w:val="16"/>
          <w:szCs w:val="16"/>
          <w:color w:val="634140"/>
        </w:rPr>
        <w:t>qf_pcfmjbcpgldmpk_rgml</w:t>
      </w:r>
      <w:r>
        <w:rPr>
          <w:rFonts w:ascii="Arial" w:cs="Arial" w:eastAsia="Arial" w:hAnsi="Arial"/>
          <w:sz w:val="16"/>
          <w:szCs w:val="16"/>
          <w:b w:val="1"/>
          <w:bCs w:val="1"/>
          <w:color w:val="634140"/>
        </w:rPr>
        <w:t>`_ai</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amtcp</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ind w:right="80"/>
        <w:spacing w:after="0" w:line="105" w:lineRule="exact"/>
        <w:rPr>
          <w:sz w:val="20"/>
          <w:szCs w:val="20"/>
          <w:color w:val="auto"/>
        </w:rPr>
      </w:pPr>
      <w:r>
        <w:rPr>
          <w:rFonts w:ascii="PMingLiU" w:cs="PMingLiU" w:eastAsia="PMingLiU" w:hAnsi="PMingLiU"/>
          <w:sz w:val="10"/>
          <w:szCs w:val="10"/>
          <w:color w:val="634140"/>
        </w:rPr>
        <w:t/>
      </w:r>
      <w:r>
        <w:rPr>
          <w:rFonts w:ascii="Arial" w:cs="Arial" w:eastAsia="Arial" w:hAnsi="Arial"/>
          <w:sz w:val="10"/>
          <w:szCs w:val="10"/>
          <w:color w:val="634140"/>
        </w:rPr>
        <w:t>Xfgq</w:t>
      </w:r>
      <w:r>
        <w:rPr>
          <w:rFonts w:ascii="PMingLiU" w:cs="PMingLiU" w:eastAsia="PMingLiU" w:hAnsi="PMingLiU"/>
          <w:sz w:val="10"/>
          <w:szCs w:val="10"/>
          <w:color w:val="634140"/>
        </w:rPr>
        <w:t/>
      </w:r>
      <w:r>
        <w:rPr>
          <w:rFonts w:ascii="Arial" w:cs="Arial" w:eastAsia="Arial" w:hAnsi="Arial"/>
          <w:sz w:val="10"/>
          <w:szCs w:val="10"/>
          <w:color w:val="634140"/>
        </w:rPr>
        <w:t>Ells_j</w:t>
      </w:r>
      <w:r>
        <w:rPr>
          <w:rFonts w:ascii="PMingLiU" w:cs="PMingLiU" w:eastAsia="PMingLiU" w:hAnsi="PMingLiU"/>
          <w:sz w:val="10"/>
          <w:szCs w:val="10"/>
          <w:color w:val="634140"/>
        </w:rPr>
        <w:t/>
      </w:r>
      <w:r>
        <w:rPr>
          <w:rFonts w:ascii="Arial" w:cs="Arial" w:eastAsia="Arial" w:hAnsi="Arial"/>
          <w:sz w:val="10"/>
          <w:szCs w:val="10"/>
          <w:color w:val="634140"/>
        </w:rPr>
        <w:t>Vcnmpr</w:t>
      </w:r>
      <w:r>
        <w:rPr>
          <w:rFonts w:ascii="PMingLiU" w:cs="PMingLiU" w:eastAsia="PMingLiU" w:hAnsi="PMingLiU"/>
          <w:sz w:val="10"/>
          <w:szCs w:val="10"/>
          <w:color w:val="634140"/>
        </w:rPr>
        <w:t/>
      </w:r>
      <w:r>
        <w:rPr>
          <w:rFonts w:ascii="Arial" w:cs="Arial" w:eastAsia="Arial" w:hAnsi="Arial"/>
          <w:sz w:val="10"/>
          <w:szCs w:val="10"/>
          <w:color w:val="634140"/>
        </w:rPr>
        <w:t>glajsbcq</w:t>
      </w:r>
      <w:r>
        <w:rPr>
          <w:rFonts w:ascii="PMingLiU" w:cs="PMingLiU" w:eastAsia="PMingLiU" w:hAnsi="PMingLiU"/>
          <w:sz w:val="10"/>
          <w:szCs w:val="10"/>
          <w:color w:val="634140"/>
        </w:rPr>
        <w:t/>
      </w:r>
      <w:r>
        <w:rPr>
          <w:rFonts w:ascii="Arial" w:cs="Arial" w:eastAsia="Arial" w:hAnsi="Arial"/>
          <w:sz w:val="10"/>
          <w:szCs w:val="10"/>
          <w:color w:val="634140"/>
        </w:rPr>
        <w:t>acpr_gl</w:t>
      </w:r>
      <w:r>
        <w:rPr>
          <w:rFonts w:ascii="PMingLiU" w:cs="PMingLiU" w:eastAsia="PMingLiU" w:hAnsi="PMingLiU"/>
          <w:sz w:val="10"/>
          <w:szCs w:val="10"/>
          <w:color w:val="634140"/>
        </w:rPr>
        <w:t/>
      </w:r>
      <w:r>
        <w:rPr>
          <w:rFonts w:ascii="Arial" w:cs="Arial" w:eastAsia="Arial" w:hAnsi="Arial"/>
          <w:sz w:val="10"/>
          <w:szCs w:val="10"/>
          <w:color w:val="634140"/>
        </w:rPr>
        <w:t>lml&amp;KEET</w:t>
      </w:r>
      <w:r>
        <w:rPr>
          <w:rFonts w:ascii="PMingLiU" w:cs="PMingLiU" w:eastAsia="PMingLiU" w:hAnsi="PMingLiU"/>
          <w:sz w:val="10"/>
          <w:szCs w:val="10"/>
          <w:color w:val="634140"/>
        </w:rPr>
        <w:t/>
      </w:r>
      <w:r>
        <w:rPr>
          <w:rFonts w:ascii="Arial" w:cs="Arial" w:eastAsia="Arial" w:hAnsi="Arial"/>
          <w:sz w:val="10"/>
          <w:szCs w:val="10"/>
          <w:color w:val="634140"/>
        </w:rPr>
        <w:t>kc_qspcq</w:t>
      </w:r>
      <w:r>
        <w:rPr>
          <w:rFonts w:ascii="PMingLiU" w:cs="PMingLiU" w:eastAsia="PMingLiU" w:hAnsi="PMingLiU"/>
          <w:sz w:val="10"/>
          <w:szCs w:val="10"/>
          <w:color w:val="634140"/>
        </w:rPr>
        <w:t/>
      </w:r>
      <w:r>
        <w:rPr>
          <w:rFonts w:ascii="Arial" w:cs="Arial" w:eastAsia="Arial" w:hAnsi="Arial"/>
          <w:sz w:val="10"/>
          <w:szCs w:val="10"/>
          <w:color w:val="634140"/>
        </w:rPr>
        <w:t>Wsaf</w:t>
      </w:r>
      <w:r>
        <w:rPr>
          <w:rFonts w:ascii="PMingLiU" w:cs="PMingLiU" w:eastAsia="PMingLiU" w:hAnsi="PMingLiU"/>
          <w:sz w:val="10"/>
          <w:szCs w:val="10"/>
          <w:color w:val="634140"/>
        </w:rPr>
        <w:t/>
      </w:r>
      <w:r>
        <w:rPr>
          <w:rFonts w:ascii="Arial" w:cs="Arial" w:eastAsia="Arial" w:hAnsi="Arial"/>
          <w:sz w:val="10"/>
          <w:szCs w:val="10"/>
          <w:color w:val="634140"/>
        </w:rPr>
        <w:t>kc_qspckclrq</w:t>
      </w:r>
      <w:r>
        <w:rPr>
          <w:rFonts w:ascii="PMingLiU" w:cs="PMingLiU" w:eastAsia="PMingLiU" w:hAnsi="PMingLiU"/>
          <w:sz w:val="10"/>
          <w:szCs w:val="10"/>
          <w:color w:val="634140"/>
        </w:rPr>
        <w:t/>
      </w:r>
      <w:r>
        <w:rPr>
          <w:rFonts w:ascii="Arial" w:cs="Arial" w:eastAsia="Arial" w:hAnsi="Arial"/>
          <w:sz w:val="10"/>
          <w:szCs w:val="10"/>
          <w:color w:val="634140"/>
        </w:rPr>
        <w:t xml:space="preserve"> _pc</w:t>
      </w:r>
      <w:r>
        <w:rPr>
          <w:rFonts w:ascii="PMingLiU" w:cs="PMingLiU" w:eastAsia="PMingLiU" w:hAnsi="PMingLiU"/>
          <w:sz w:val="10"/>
          <w:szCs w:val="10"/>
          <w:color w:val="634140"/>
        </w:rPr>
        <w:t/>
      </w:r>
      <w:r>
        <w:rPr>
          <w:rFonts w:ascii="Arial" w:cs="Arial" w:eastAsia="Arial" w:hAnsi="Arial"/>
          <w:sz w:val="10"/>
          <w:szCs w:val="10"/>
          <w:color w:val="634140"/>
        </w:rPr>
        <w:t xml:space="preserve"> lmr</w:t>
      </w:r>
      <w:r>
        <w:rPr>
          <w:rFonts w:ascii="PMingLiU" w:cs="PMingLiU" w:eastAsia="PMingLiU" w:hAnsi="PMingLiU"/>
          <w:sz w:val="10"/>
          <w:szCs w:val="10"/>
          <w:color w:val="634140"/>
        </w:rPr>
        <w:t/>
      </w:r>
      <w:r>
        <w:rPr>
          <w:rFonts w:ascii="Arial" w:cs="Arial" w:eastAsia="Arial" w:hAnsi="Arial"/>
          <w:sz w:val="10"/>
          <w:szCs w:val="10"/>
          <w:color w:val="634140"/>
        </w:rPr>
        <w:t xml:space="preserve"> npcn_pcb</w:t>
      </w:r>
      <w:r>
        <w:rPr>
          <w:rFonts w:ascii="PMingLiU" w:cs="PMingLiU" w:eastAsia="PMingLiU" w:hAnsi="PMingLiU"/>
          <w:sz w:val="10"/>
          <w:szCs w:val="10"/>
          <w:color w:val="634140"/>
        </w:rPr>
        <w:t/>
      </w:r>
      <w:r>
        <w:rPr>
          <w:rFonts w:ascii="Arial" w:cs="Arial" w:eastAsia="Arial" w:hAnsi="Arial"/>
          <w:sz w:val="10"/>
          <w:szCs w:val="10"/>
          <w:color w:val="634140"/>
        </w:rPr>
        <w:t xml:space="preserve"> gl</w:t>
      </w:r>
      <w:r>
        <w:rPr>
          <w:rFonts w:ascii="PMingLiU" w:cs="PMingLiU" w:eastAsia="PMingLiU" w:hAnsi="PMingLiU"/>
          <w:sz w:val="10"/>
          <w:szCs w:val="10"/>
          <w:color w:val="634140"/>
        </w:rPr>
        <w:t/>
      </w:r>
      <w:r>
        <w:rPr>
          <w:rFonts w:ascii="Arial" w:cs="Arial" w:eastAsia="Arial" w:hAnsi="Arial"/>
          <w:sz w:val="10"/>
          <w:szCs w:val="10"/>
          <w:color w:val="634140"/>
        </w:rPr>
        <w:t xml:space="preserve"> _aampb_lac</w:t>
      </w:r>
      <w:r>
        <w:rPr>
          <w:rFonts w:ascii="PMingLiU" w:cs="PMingLiU" w:eastAsia="PMingLiU" w:hAnsi="PMingLiU"/>
          <w:sz w:val="10"/>
          <w:szCs w:val="10"/>
          <w:color w:val="634140"/>
        </w:rPr>
        <w:t/>
      </w:r>
      <w:r>
        <w:rPr>
          <w:rFonts w:ascii="Arial" w:cs="Arial" w:eastAsia="Arial" w:hAnsi="Arial"/>
          <w:sz w:val="10"/>
          <w:szCs w:val="10"/>
          <w:color w:val="634140"/>
        </w:rPr>
        <w:t xml:space="preserve"> ugrf</w:t>
      </w:r>
      <w:r>
        <w:rPr>
          <w:rFonts w:ascii="PMingLiU" w:cs="PMingLiU" w:eastAsia="PMingLiU" w:hAnsi="PMingLiU"/>
          <w:sz w:val="10"/>
          <w:szCs w:val="10"/>
          <w:color w:val="634140"/>
        </w:rPr>
        <w:t/>
      </w:r>
      <w:r>
        <w:rPr>
          <w:rFonts w:ascii="Arial" w:cs="Arial" w:eastAsia="Arial" w:hAnsi="Arial"/>
          <w:sz w:val="10"/>
          <w:szCs w:val="10"/>
          <w:color w:val="634140"/>
        </w:rPr>
        <w:t xml:space="preserve"> Y</w:t>
      </w:r>
      <w:r>
        <w:rPr>
          <w:rFonts w:ascii="PMingLiU" w:cs="PMingLiU" w:eastAsia="PMingLiU" w:hAnsi="PMingLiU"/>
          <w:sz w:val="10"/>
          <w:szCs w:val="10"/>
          <w:color w:val="634140"/>
        </w:rPr>
        <w:t/>
      </w:r>
      <w:r>
        <w:rPr>
          <w:rFonts w:ascii="Arial" w:cs="Arial" w:eastAsia="Arial" w:hAnsi="Arial"/>
          <w:sz w:val="10"/>
          <w:szCs w:val="10"/>
          <w:color w:val="634140"/>
        </w:rPr>
        <w:t>W</w:t>
      </w:r>
      <w:r>
        <w:rPr>
          <w:rFonts w:ascii="PMingLiU" w:cs="PMingLiU" w:eastAsia="PMingLiU" w:hAnsi="PMingLiU"/>
          <w:sz w:val="10"/>
          <w:szCs w:val="10"/>
          <w:color w:val="634140"/>
        </w:rPr>
        <w:t/>
      </w:r>
      <w:r>
        <w:rPr>
          <w:rFonts w:ascii="Arial" w:cs="Arial" w:eastAsia="Arial" w:hAnsi="Arial"/>
          <w:sz w:val="10"/>
          <w:szCs w:val="10"/>
          <w:color w:val="634140"/>
        </w:rPr>
        <w:t xml:space="preserve"> KEET</w:t>
      </w:r>
      <w:r>
        <w:rPr>
          <w:rFonts w:ascii="PMingLiU" w:cs="PMingLiU" w:eastAsia="PMingLiU" w:hAnsi="PMingLiU"/>
          <w:sz w:val="10"/>
          <w:szCs w:val="10"/>
          <w:color w:val="634140"/>
        </w:rPr>
        <w:t/>
      </w:r>
      <w:r>
        <w:rPr>
          <w:rFonts w:ascii="Arial" w:cs="Arial" w:eastAsia="Arial" w:hAnsi="Arial"/>
          <w:sz w:val="10"/>
          <w:szCs w:val="10"/>
          <w:color w:val="634140"/>
        </w:rPr>
        <w:t xml:space="preserve"> _lb</w:t>
      </w:r>
      <w:r>
        <w:rPr>
          <w:rFonts w:ascii="PMingLiU" w:cs="PMingLiU" w:eastAsia="PMingLiU" w:hAnsi="PMingLiU"/>
          <w:sz w:val="10"/>
          <w:szCs w:val="10"/>
          <w:color w:val="634140"/>
        </w:rPr>
        <w:t/>
      </w:r>
      <w:r>
        <w:rPr>
          <w:rFonts w:ascii="Arial" w:cs="Arial" w:eastAsia="Arial" w:hAnsi="Arial"/>
          <w:sz w:val="10"/>
          <w:szCs w:val="10"/>
          <w:color w:val="634140"/>
        </w:rPr>
        <w:t xml:space="preserve"> qfmsjb</w:t>
      </w:r>
      <w:r>
        <w:rPr>
          <w:rFonts w:ascii="PMingLiU" w:cs="PMingLiU" w:eastAsia="PMingLiU" w:hAnsi="PMingLiU"/>
          <w:sz w:val="10"/>
          <w:szCs w:val="10"/>
          <w:color w:val="634140"/>
        </w:rPr>
        <w:t/>
      </w:r>
      <w:r>
        <w:rPr>
          <w:rFonts w:ascii="Arial" w:cs="Arial" w:eastAsia="Arial" w:hAnsi="Arial"/>
          <w:sz w:val="10"/>
          <w:szCs w:val="10"/>
          <w:color w:val="634140"/>
        </w:rPr>
        <w:t xml:space="preserve"> lmr</w:t>
      </w:r>
      <w:r>
        <w:rPr>
          <w:rFonts w:ascii="PMingLiU" w:cs="PMingLiU" w:eastAsia="PMingLiU" w:hAnsi="PMingLiU"/>
          <w:sz w:val="10"/>
          <w:szCs w:val="10"/>
          <w:color w:val="634140"/>
        </w:rPr>
        <w:t/>
      </w:r>
      <w:r>
        <w:rPr>
          <w:rFonts w:ascii="Arial" w:cs="Arial" w:eastAsia="Arial" w:hAnsi="Arial"/>
          <w:sz w:val="10"/>
          <w:szCs w:val="10"/>
          <w:color w:val="634140"/>
        </w:rPr>
        <w:t xml:space="preserve"> `c</w:t>
      </w:r>
      <w:r>
        <w:rPr>
          <w:rFonts w:ascii="PMingLiU" w:cs="PMingLiU" w:eastAsia="PMingLiU" w:hAnsi="PMingLiU"/>
          <w:sz w:val="10"/>
          <w:szCs w:val="10"/>
          <w:color w:val="634140"/>
        </w:rPr>
        <w:t/>
      </w:r>
      <w:r>
        <w:rPr>
          <w:rFonts w:ascii="Arial" w:cs="Arial" w:eastAsia="Arial" w:hAnsi="Arial"/>
          <w:sz w:val="10"/>
          <w:szCs w:val="10"/>
          <w:color w:val="634140"/>
        </w:rPr>
        <w:t xml:space="preserve"> amlqrpscb</w:t>
      </w:r>
      <w:r>
        <w:rPr>
          <w:rFonts w:ascii="PMingLiU" w:cs="PMingLiU" w:eastAsia="PMingLiU" w:hAnsi="PMingLiU"/>
          <w:sz w:val="10"/>
          <w:szCs w:val="10"/>
          <w:color w:val="634140"/>
        </w:rPr>
        <w:t/>
      </w:r>
      <w:r>
        <w:rPr>
          <w:rFonts w:ascii="Arial" w:cs="Arial" w:eastAsia="Arial" w:hAnsi="Arial"/>
          <w:sz w:val="10"/>
          <w:szCs w:val="10"/>
          <w:color w:val="634140"/>
        </w:rPr>
        <w:t xml:space="preserve"> _q</w:t>
      </w:r>
      <w:r>
        <w:rPr>
          <w:rFonts w:ascii="PMingLiU" w:cs="PMingLiU" w:eastAsia="PMingLiU" w:hAnsi="PMingLiU"/>
          <w:sz w:val="10"/>
          <w:szCs w:val="10"/>
          <w:color w:val="634140"/>
        </w:rPr>
        <w:t/>
      </w:r>
      <w:r>
        <w:rPr>
          <w:rFonts w:ascii="Arial" w:cs="Arial" w:eastAsia="Arial" w:hAnsi="Arial"/>
          <w:sz w:val="10"/>
          <w:szCs w:val="10"/>
          <w:color w:val="634140"/>
        </w:rPr>
        <w:t>_l</w:t>
      </w:r>
      <w:r>
        <w:rPr>
          <w:rFonts w:ascii="PMingLiU" w:cs="PMingLiU" w:eastAsia="PMingLiU" w:hAnsi="PMingLiU"/>
          <w:sz w:val="10"/>
          <w:szCs w:val="10"/>
          <w:color w:val="634140"/>
        </w:rPr>
        <w:t/>
      </w:r>
      <w:r>
        <w:rPr>
          <w:rFonts w:ascii="Arial" w:cs="Arial" w:eastAsia="Arial" w:hAnsi="Arial"/>
          <w:sz w:val="10"/>
          <w:szCs w:val="10"/>
          <w:color w:val="634140"/>
        </w:rPr>
        <w:t>_jrcpl_rgtc</w:t>
      </w:r>
      <w:r>
        <w:rPr>
          <w:rFonts w:ascii="PMingLiU" w:cs="PMingLiU" w:eastAsia="PMingLiU" w:hAnsi="PMingLiU"/>
          <w:sz w:val="10"/>
          <w:szCs w:val="10"/>
          <w:color w:val="634140"/>
        </w:rPr>
        <w:t/>
      </w:r>
      <w:r>
        <w:rPr>
          <w:rFonts w:ascii="Arial" w:cs="Arial" w:eastAsia="Arial" w:hAnsi="Arial"/>
          <w:sz w:val="10"/>
          <w:szCs w:val="10"/>
          <w:color w:val="634140"/>
        </w:rPr>
        <w:t>rm</w:t>
      </w:r>
      <w:r>
        <w:rPr>
          <w:rFonts w:ascii="PMingLiU" w:cs="PMingLiU" w:eastAsia="PMingLiU" w:hAnsi="PMingLiU"/>
          <w:sz w:val="10"/>
          <w:szCs w:val="10"/>
          <w:color w:val="634140"/>
        </w:rPr>
        <w:t/>
      </w:r>
      <w:r>
        <w:rPr>
          <w:rFonts w:ascii="Arial" w:cs="Arial" w:eastAsia="Arial" w:hAnsi="Arial"/>
          <w:sz w:val="10"/>
          <w:szCs w:val="10"/>
          <w:color w:val="634140"/>
        </w:rPr>
        <w:t>pcnmprcb</w:t>
      </w:r>
      <w:r>
        <w:rPr>
          <w:rFonts w:ascii="PMingLiU" w:cs="PMingLiU" w:eastAsia="PMingLiU" w:hAnsi="PMingLiU"/>
          <w:sz w:val="10"/>
          <w:szCs w:val="10"/>
          <w:color w:val="634140"/>
        </w:rPr>
        <w:t/>
      </w:r>
      <w:r>
        <w:rPr>
          <w:rFonts w:ascii="Arial" w:cs="Arial" w:eastAsia="Arial" w:hAnsi="Arial"/>
          <w:sz w:val="10"/>
          <w:szCs w:val="10"/>
          <w:color w:val="634140"/>
        </w:rPr>
        <w:t>pcqsjrq</w:t>
      </w:r>
      <w:r>
        <w:rPr>
          <w:rFonts w:ascii="PMingLiU" w:cs="PMingLiU" w:eastAsia="PMingLiU" w:hAnsi="PMingLiU"/>
          <w:sz w:val="10"/>
          <w:szCs w:val="10"/>
          <w:color w:val="634140"/>
        </w:rPr>
        <w:t/>
      </w:r>
      <w:r>
        <w:rPr>
          <w:rFonts w:ascii="Arial" w:cs="Arial" w:eastAsia="Arial" w:hAnsi="Arial"/>
          <w:sz w:val="10"/>
          <w:szCs w:val="10"/>
          <w:color w:val="634140"/>
        </w:rPr>
        <w:t>bcrcpkglcb</w:t>
      </w:r>
      <w:r>
        <w:rPr>
          <w:rFonts w:ascii="PMingLiU" w:cs="PMingLiU" w:eastAsia="PMingLiU" w:hAnsi="PMingLiU"/>
          <w:sz w:val="10"/>
          <w:szCs w:val="10"/>
          <w:color w:val="634140"/>
        </w:rPr>
        <w:t/>
      </w:r>
      <w:r>
        <w:rPr>
          <w:rFonts w:ascii="Arial" w:cs="Arial" w:eastAsia="Arial" w:hAnsi="Arial"/>
          <w:sz w:val="10"/>
          <w:szCs w:val="10"/>
          <w:color w:val="634140"/>
        </w:rPr>
        <w:t>gl</w:t>
      </w:r>
      <w:r>
        <w:rPr>
          <w:rFonts w:ascii="PMingLiU" w:cs="PMingLiU" w:eastAsia="PMingLiU" w:hAnsi="PMingLiU"/>
          <w:sz w:val="10"/>
          <w:szCs w:val="10"/>
          <w:color w:val="634140"/>
        </w:rPr>
        <w:t/>
      </w:r>
      <w:r>
        <w:rPr>
          <w:rFonts w:ascii="Arial" w:cs="Arial" w:eastAsia="Arial" w:hAnsi="Arial"/>
          <w:sz w:val="10"/>
          <w:szCs w:val="10"/>
          <w:color w:val="634140"/>
        </w:rPr>
        <w:t>_aampb_lac</w:t>
      </w:r>
      <w:r>
        <w:rPr>
          <w:rFonts w:ascii="PMingLiU" w:cs="PMingLiU" w:eastAsia="PMingLiU" w:hAnsi="PMingLiU"/>
          <w:sz w:val="10"/>
          <w:szCs w:val="10"/>
          <w:color w:val="634140"/>
        </w:rPr>
        <w:t/>
      </w:r>
      <w:r>
        <w:rPr>
          <w:rFonts w:ascii="Arial" w:cs="Arial" w:eastAsia="Arial" w:hAnsi="Arial"/>
          <w:sz w:val="10"/>
          <w:szCs w:val="10"/>
          <w:color w:val="634140"/>
        </w:rPr>
        <w:t>ugrf</w:t>
      </w:r>
      <w:r>
        <w:rPr>
          <w:rFonts w:ascii="PMingLiU" w:cs="PMingLiU" w:eastAsia="PMingLiU" w:hAnsi="PMingLiU"/>
          <w:sz w:val="10"/>
          <w:szCs w:val="10"/>
          <w:color w:val="634140"/>
        </w:rPr>
        <w:t/>
      </w:r>
      <w:r>
        <w:rPr>
          <w:rFonts w:ascii="Arial" w:cs="Arial" w:eastAsia="Arial" w:hAnsi="Arial"/>
          <w:sz w:val="10"/>
          <w:szCs w:val="10"/>
          <w:color w:val="634140"/>
        </w:rPr>
        <w:t>Y</w:t>
      </w:r>
      <w:r>
        <w:rPr>
          <w:rFonts w:ascii="PMingLiU" w:cs="PMingLiU" w:eastAsia="PMingLiU" w:hAnsi="PMingLiU"/>
          <w:sz w:val="10"/>
          <w:szCs w:val="10"/>
          <w:color w:val="634140"/>
        </w:rPr>
        <w:t/>
      </w:r>
      <w:r>
        <w:rPr>
          <w:rFonts w:ascii="Arial" w:cs="Arial" w:eastAsia="Arial" w:hAnsi="Arial"/>
          <w:sz w:val="10"/>
          <w:szCs w:val="10"/>
          <w:color w:val="634140"/>
        </w:rPr>
        <w:t>W</w:t>
      </w:r>
      <w:r>
        <w:rPr>
          <w:rFonts w:ascii="PMingLiU" w:cs="PMingLiU" w:eastAsia="PMingLiU" w:hAnsi="PMingLiU"/>
          <w:sz w:val="10"/>
          <w:szCs w:val="10"/>
          <w:color w:val="634140"/>
        </w:rPr>
        <w:t/>
      </w:r>
      <w:r>
        <w:rPr>
          <w:rFonts w:ascii="Arial" w:cs="Arial" w:eastAsia="Arial" w:hAnsi="Arial"/>
          <w:sz w:val="10"/>
          <w:szCs w:val="10"/>
          <w:color w:val="634140"/>
        </w:rPr>
        <w:t>KEET</w:t>
      </w:r>
      <w:r>
        <w:rPr>
          <w:rFonts w:ascii="PMingLiU" w:cs="PMingLiU" w:eastAsia="PMingLiU" w:hAnsi="PMingLiU"/>
          <w:sz w:val="10"/>
          <w:szCs w:val="10"/>
          <w:color w:val="634140"/>
        </w:rPr>
        <w:t/>
      </w:r>
      <w:r>
        <w:rPr>
          <w:rFonts w:ascii="Arial" w:cs="Arial" w:eastAsia="Arial" w:hAnsi="Arial"/>
          <w:sz w:val="10"/>
          <w:szCs w:val="10"/>
          <w:color w:val="634140"/>
        </w:rPr>
        <w:t xml:space="preserve"> Q_l_eckclr</w:t>
      </w:r>
      <w:r>
        <w:rPr>
          <w:rFonts w:ascii="PMingLiU" w:cs="PMingLiU" w:eastAsia="PMingLiU" w:hAnsi="PMingLiU"/>
          <w:sz w:val="10"/>
          <w:szCs w:val="10"/>
          <w:color w:val="634140"/>
        </w:rPr>
        <w:t/>
      </w:r>
      <w:r>
        <w:rPr>
          <w:rFonts w:ascii="Arial" w:cs="Arial" w:eastAsia="Arial" w:hAnsi="Arial"/>
          <w:sz w:val="10"/>
          <w:szCs w:val="10"/>
          <w:color w:val="634140"/>
        </w:rPr>
        <w:t xml:space="preserve"> `cjgctcq</w:t>
      </w:r>
      <w:r>
        <w:rPr>
          <w:rFonts w:ascii="PMingLiU" w:cs="PMingLiU" w:eastAsia="PMingLiU" w:hAnsi="PMingLiU"/>
          <w:sz w:val="10"/>
          <w:szCs w:val="10"/>
          <w:color w:val="634140"/>
        </w:rPr>
        <w:t/>
      </w:r>
      <w:r>
        <w:rPr>
          <w:rFonts w:ascii="Arial" w:cs="Arial" w:eastAsia="Arial" w:hAnsi="Arial"/>
          <w:sz w:val="10"/>
          <w:szCs w:val="10"/>
          <w:color w:val="634140"/>
        </w:rPr>
        <w:t xml:space="preserve"> rfc</w:t>
      </w:r>
      <w:r>
        <w:rPr>
          <w:rFonts w:ascii="PMingLiU" w:cs="PMingLiU" w:eastAsia="PMingLiU" w:hAnsi="PMingLiU"/>
          <w:sz w:val="10"/>
          <w:szCs w:val="10"/>
          <w:color w:val="634140"/>
        </w:rP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w:rPr>
          <w:rFonts w:ascii="Arial" w:cs="Arial" w:eastAsia="Arial" w:hAnsi="Arial"/>
          <w:sz w:val="10"/>
          <w:szCs w:val="10"/>
          <w:color w:val="634140"/>
        </w:rPr>
        <w:t xml:space="preserve"> md</w:t>
      </w:r>
      <w:r>
        <w:rPr>
          <w:rFonts w:ascii="PMingLiU" w:cs="PMingLiU" w:eastAsia="PMingLiU" w:hAnsi="PMingLiU"/>
          <w:sz w:val="10"/>
          <w:szCs w:val="10"/>
          <w:color w:val="634140"/>
        </w:rPr>
        <w:t/>
      </w:r>
      <w:r>
        <w:rPr>
          <w:rFonts w:ascii="Arial" w:cs="Arial" w:eastAsia="Arial" w:hAnsi="Arial"/>
          <w:sz w:val="10"/>
          <w:szCs w:val="10"/>
          <w:color w:val="634140"/>
        </w:rPr>
        <w:t xml:space="preserve"> qsaf</w:t>
      </w:r>
      <w:r>
        <w:rPr>
          <w:rFonts w:ascii="PMingLiU" w:cs="PMingLiU" w:eastAsia="PMingLiU" w:hAnsi="PMingLiU"/>
          <w:sz w:val="10"/>
          <w:szCs w:val="10"/>
          <w:color w:val="634140"/>
        </w:rPr>
        <w:t/>
      </w:r>
      <w:r>
        <w:rPr>
          <w:rFonts w:ascii="Arial" w:cs="Arial" w:eastAsia="Arial" w:hAnsi="Arial"/>
          <w:sz w:val="10"/>
          <w:szCs w:val="10"/>
          <w:color w:val="634140"/>
        </w:rPr>
        <w:t xml:space="preserve"> lml&amp;KEET</w:t>
      </w:r>
      <w:r>
        <w:rPr>
          <w:rFonts w:ascii="PMingLiU" w:cs="PMingLiU" w:eastAsia="PMingLiU" w:hAnsi="PMingLiU"/>
          <w:sz w:val="10"/>
          <w:szCs w:val="10"/>
          <w:color w:val="634140"/>
        </w:rPr>
        <w:t/>
      </w:r>
      <w:r>
        <w:rPr>
          <w:rFonts w:ascii="Arial" w:cs="Arial" w:eastAsia="Arial" w:hAnsi="Arial"/>
          <w:sz w:val="10"/>
          <w:szCs w:val="10"/>
          <w:color w:val="634140"/>
        </w:rPr>
        <w:t xml:space="preserve"> kc_qspcq</w:t>
      </w:r>
      <w:r>
        <w:rPr>
          <w:rFonts w:ascii="PMingLiU" w:cs="PMingLiU" w:eastAsia="PMingLiU" w:hAnsi="PMingLiU"/>
          <w:sz w:val="10"/>
          <w:szCs w:val="10"/>
          <w:color w:val="634140"/>
        </w:rPr>
        <w:t/>
      </w:r>
      <w:r>
        <w:rPr>
          <w:rFonts w:ascii="Arial" w:cs="Arial" w:eastAsia="Arial" w:hAnsi="Arial"/>
          <w:sz w:val="10"/>
          <w:szCs w:val="10"/>
          <w:color w:val="634140"/>
        </w:rPr>
        <w:t xml:space="preserve"> _qqgqrq</w:t>
      </w:r>
      <w:r>
        <w:rPr>
          <w:rFonts w:ascii="PMingLiU" w:cs="PMingLiU" w:eastAsia="PMingLiU" w:hAnsi="PMingLiU"/>
          <w:sz w:val="10"/>
          <w:szCs w:val="10"/>
          <w:color w:val="634140"/>
        </w:rPr>
        <w:t/>
      </w:r>
      <w:r>
        <w:rPr>
          <w:rFonts w:ascii="Arial" w:cs="Arial" w:eastAsia="Arial" w:hAnsi="Arial"/>
          <w:sz w:val="10"/>
          <w:szCs w:val="10"/>
          <w:color w:val="634140"/>
        </w:rPr>
        <w:t xml:space="preserve"> gltcqrmpq</w:t>
      </w:r>
      <w:r>
        <w:rPr>
          <w:rFonts w:ascii="PMingLiU" w:cs="PMingLiU" w:eastAsia="PMingLiU" w:hAnsi="PMingLiU"/>
          <w:sz w:val="10"/>
          <w:szCs w:val="10"/>
          <w:color w:val="634140"/>
        </w:rPr>
        <w:t/>
      </w:r>
      <w:r>
        <w:rPr>
          <w:rFonts w:ascii="Arial" w:cs="Arial" w:eastAsia="Arial" w:hAnsi="Arial"/>
          <w:sz w:val="10"/>
          <w:szCs w:val="10"/>
          <w:color w:val="634140"/>
        </w:rPr>
        <w:t xml:space="preserve"> gl</w:t>
      </w:r>
      <w:r>
        <w:rPr>
          <w:rFonts w:ascii="PMingLiU" w:cs="PMingLiU" w:eastAsia="PMingLiU" w:hAnsi="PMingLiU"/>
          <w:sz w:val="10"/>
          <w:szCs w:val="10"/>
          <w:color w:val="634140"/>
        </w:rPr>
        <w:t/>
      </w:r>
      <w:r>
        <w:rPr>
          <w:rFonts w:ascii="Arial" w:cs="Arial" w:eastAsia="Arial" w:hAnsi="Arial"/>
          <w:sz w:val="10"/>
          <w:szCs w:val="10"/>
          <w:color w:val="634140"/>
        </w:rPr>
        <w:t xml:space="preserve"> slbcpqr_lbgle</w:t>
      </w:r>
      <w:r>
        <w:rPr>
          <w:rFonts w:ascii="PMingLiU" w:cs="PMingLiU" w:eastAsia="PMingLiU" w:hAnsi="PMingLiU"/>
          <w:sz w:val="10"/>
          <w:szCs w:val="10"/>
          <w:color w:val="634140"/>
        </w:rPr>
        <w:t/>
      </w:r>
      <w:r>
        <w:rPr>
          <w:rFonts w:ascii="Arial" w:cs="Arial" w:eastAsia="Arial" w:hAnsi="Arial"/>
          <w:sz w:val="10"/>
          <w:szCs w:val="10"/>
          <w:color w:val="634140"/>
        </w:rPr>
        <w:t xml:space="preserve"> rfc</w:t>
      </w:r>
      <w:r>
        <w:rPr>
          <w:rFonts w:ascii="PMingLiU" w:cs="PMingLiU" w:eastAsia="PMingLiU" w:hAnsi="PMingLiU"/>
          <w:sz w:val="10"/>
          <w:szCs w:val="10"/>
          <w:color w:val="634140"/>
        </w:rPr>
        <w:t/>
      </w:r>
      <w:r>
        <w:rPr>
          <w:rFonts w:ascii="Arial" w:cs="Arial" w:eastAsia="Arial" w:hAnsi="Arial"/>
          <w:sz w:val="10"/>
          <w:szCs w:val="10"/>
          <w:color w:val="634140"/>
        </w:rPr>
        <w:t xml:space="preserve"> mlemgle</w:t>
      </w:r>
      <w:r>
        <w:rPr>
          <w:rFonts w:ascii="PMingLiU" w:cs="PMingLiU" w:eastAsia="PMingLiU" w:hAnsi="PMingLiU"/>
          <w:sz w:val="10"/>
          <w:szCs w:val="10"/>
          <w:color w:val="634140"/>
        </w:rPr>
        <w:t/>
      </w:r>
      <w:r>
        <w:rPr>
          <w:rFonts w:ascii="Arial" w:cs="Arial" w:eastAsia="Arial" w:hAnsi="Arial"/>
          <w:sz w:val="10"/>
          <w:szCs w:val="10"/>
          <w:color w:val="634140"/>
        </w:rPr>
        <w:t xml:space="preserve"> mncp_rgle</w:t>
      </w:r>
      <w:r>
        <w:rPr>
          <w:rFonts w:ascii="PMingLiU" w:cs="PMingLiU" w:eastAsia="PMingLiU" w:hAnsi="PMingLiU"/>
          <w:sz w:val="10"/>
          <w:szCs w:val="10"/>
          <w:color w:val="634140"/>
        </w:rPr>
        <w:t/>
      </w:r>
      <w:r>
        <w:rPr>
          <w:rFonts w:ascii="Arial" w:cs="Arial" w:eastAsia="Arial" w:hAnsi="Arial"/>
          <w:sz w:val="10"/>
          <w:szCs w:val="10"/>
          <w:color w:val="634140"/>
        </w:rPr>
        <w:t xml:space="preserve"> ncpdmpk_lac</w:t>
      </w:r>
      <w:r>
        <w:rPr>
          <w:rFonts w:ascii="PMingLiU" w:cs="PMingLiU" w:eastAsia="PMingLiU" w:hAnsi="PMingLiU"/>
          <w:sz w:val="10"/>
          <w:szCs w:val="10"/>
          <w:color w:val="634140"/>
        </w:rPr>
        <w:t/>
      </w:r>
      <w:r>
        <w:rPr>
          <w:rFonts w:ascii="Arial" w:cs="Arial" w:eastAsia="Arial" w:hAnsi="Arial"/>
          <w:sz w:val="10"/>
          <w:szCs w:val="10"/>
          <w:color w:val="634140"/>
        </w:rPr>
        <w:t xml:space="preserve"> md</w:t>
      </w:r>
      <w:r>
        <w:rPr>
          <w:rFonts w:ascii="PMingLiU" w:cs="PMingLiU" w:eastAsia="PMingLiU" w:hAnsi="PMingLiU"/>
          <w:sz w:val="10"/>
          <w:szCs w:val="10"/>
          <w:color w:val="634140"/>
        </w:rPr>
        <w:t/>
      </w:r>
      <w:r>
        <w:rPr>
          <w:rFonts w:ascii="Arial" w:cs="Arial" w:eastAsia="Arial" w:hAnsi="Arial"/>
          <w:sz w:val="10"/>
          <w:szCs w:val="10"/>
          <w:color w:val="634140"/>
        </w:rPr>
        <w:t xml:space="preserve"> rfc</w:t>
      </w:r>
      <w:r>
        <w:rPr>
          <w:rFonts w:ascii="PMingLiU" w:cs="PMingLiU" w:eastAsia="PMingLiU" w:hAnsi="PMingLiU"/>
          <w:sz w:val="10"/>
          <w:szCs w:val="10"/>
          <w:color w:val="634140"/>
        </w:rPr>
        <w:t/>
      </w:r>
      <w:r>
        <w:rPr>
          <w:rFonts w:ascii="Arial" w:cs="Arial" w:eastAsia="Arial" w:hAnsi="Arial"/>
          <w:sz w:val="10"/>
          <w:szCs w:val="10"/>
          <w:color w:val="634140"/>
        </w:rPr>
        <w:t xml:space="preserve"> amkn_lw</w:t>
      </w:r>
      <w:r>
        <w:rPr>
          <w:rFonts w:ascii="PMingLiU" w:cs="PMingLiU" w:eastAsia="PMingLiU" w:hAnsi="PMingLiU"/>
          <w:sz w:val="10"/>
          <w:szCs w:val="10"/>
          <w:color w:val="634140"/>
        </w:rPr>
        <w:t/>
      </w:r>
      <w:r>
        <w:rPr>
          <w:rFonts w:ascii="Arial" w:cs="Arial" w:eastAsia="Arial" w:hAnsi="Arial"/>
          <w:sz w:val="10"/>
          <w:szCs w:val="10"/>
          <w:color w:val="634140"/>
        </w:rPr>
        <w:t xml:space="preserve"> _lb</w:t>
      </w:r>
      <w:r>
        <w:rPr>
          <w:rFonts w:ascii="PMingLiU" w:cs="PMingLiU" w:eastAsia="PMingLiU" w:hAnsi="PMingLiU"/>
          <w:sz w:val="10"/>
          <w:szCs w:val="10"/>
          <w:color w:val="634140"/>
        </w:rPr>
        <w:t/>
      </w:r>
      <w:r>
        <w:rPr>
          <w:rFonts w:ascii="Arial" w:cs="Arial" w:eastAsia="Arial" w:hAnsi="Arial"/>
          <w:sz w:val="10"/>
          <w:szCs w:val="10"/>
          <w:color w:val="634140"/>
        </w:rPr>
        <w:t xml:space="preserve"> grq</w:t>
      </w:r>
      <w:r>
        <w:rPr>
          <w:rFonts w:ascii="PMingLiU" w:cs="PMingLiU" w:eastAsia="PMingLiU" w:hAnsi="PMingLiU"/>
          <w:sz w:val="10"/>
          <w:szCs w:val="10"/>
          <w:color w:val="634140"/>
        </w:rPr>
        <w:t/>
      </w:r>
      <w:r>
        <w:rPr>
          <w:rFonts w:ascii="Arial" w:cs="Arial" w:eastAsia="Arial" w:hAnsi="Arial"/>
          <w:sz w:val="10"/>
          <w:szCs w:val="10"/>
          <w:color w:val="634140"/>
        </w:rPr>
        <w:t xml:space="preserve"> qcekclrq</w:t>
      </w:r>
      <w:r>
        <w:rPr>
          <w:rFonts w:ascii="PMingLiU" w:cs="PMingLiU" w:eastAsia="PMingLiU" w:hAnsi="PMingLiU"/>
          <w:sz w:val="10"/>
          <w:szCs w:val="10"/>
          <w:color w:val="634140"/>
        </w:rPr>
        <w:t/>
      </w:r>
      <w:r>
        <w:rPr>
          <w:rFonts w:ascii="Arial" w:cs="Arial" w:eastAsia="Arial" w:hAnsi="Arial"/>
          <w:sz w:val="10"/>
          <w:szCs w:val="10"/>
          <w:color w:val="634140"/>
        </w:rPr>
        <w:t xml:space="preserve"> Xfc</w:t>
      </w:r>
      <w:r>
        <w:rPr>
          <w:rFonts w:ascii="PMingLiU" w:cs="PMingLiU" w:eastAsia="PMingLiU" w:hAnsi="PMingLiU"/>
          <w:sz w:val="10"/>
          <w:szCs w:val="10"/>
          <w:color w:val="634140"/>
        </w:rPr>
        <w:t/>
      </w:r>
      <w:r>
        <w:rPr>
          <w:rFonts w:ascii="Arial" w:cs="Arial" w:eastAsia="Arial" w:hAnsi="Arial"/>
          <w:sz w:val="10"/>
          <w:szCs w:val="10"/>
          <w:color w:val="634140"/>
        </w:rPr>
        <w:t xml:space="preserve"> lml&amp;KEET</w:t>
      </w:r>
      <w:r>
        <w:rPr>
          <w:rFonts w:ascii="PMingLiU" w:cs="PMingLiU" w:eastAsia="PMingLiU" w:hAnsi="PMingLiU"/>
          <w:sz w:val="10"/>
          <w:szCs w:val="10"/>
          <w:color w:val="634140"/>
        </w:rPr>
        <w:t/>
      </w:r>
      <w:r>
        <w:rPr>
          <w:rFonts w:ascii="Arial" w:cs="Arial" w:eastAsia="Arial" w:hAnsi="Arial"/>
          <w:sz w:val="10"/>
          <w:szCs w:val="10"/>
          <w:color w:val="634140"/>
        </w:rPr>
        <w:t xml:space="preserve"> gldmpk_rgml</w:t>
      </w:r>
      <w:r>
        <w:rPr>
          <w:rFonts w:ascii="PMingLiU" w:cs="PMingLiU" w:eastAsia="PMingLiU" w:hAnsi="PMingLiU"/>
          <w:sz w:val="10"/>
          <w:szCs w:val="10"/>
          <w:color w:val="634140"/>
        </w:rPr>
        <w:t/>
      </w:r>
      <w:r>
        <w:rPr>
          <w:rFonts w:ascii="Arial" w:cs="Arial" w:eastAsia="Arial" w:hAnsi="Arial"/>
          <w:sz w:val="10"/>
          <w:szCs w:val="10"/>
          <w:color w:val="634140"/>
        </w:rPr>
        <w:t xml:space="preserve"> npmtgbcb</w:t>
      </w:r>
      <w:r>
        <w:rPr>
          <w:rFonts w:ascii="PMingLiU" w:cs="PMingLiU" w:eastAsia="PMingLiU" w:hAnsi="PMingLiU"/>
          <w:sz w:val="10"/>
          <w:szCs w:val="10"/>
          <w:color w:val="634140"/>
        </w:rPr>
        <w:t/>
      </w:r>
      <w:r>
        <w:rPr>
          <w:rFonts w:ascii="Arial" w:cs="Arial" w:eastAsia="Arial" w:hAnsi="Arial"/>
          <w:sz w:val="10"/>
          <w:szCs w:val="10"/>
          <w:color w:val="634140"/>
        </w:rPr>
        <w:t xml:space="preserve"> k_w</w:t>
      </w:r>
      <w:r>
        <w:rPr>
          <w:rFonts w:ascii="PMingLiU" w:cs="PMingLiU" w:eastAsia="PMingLiU" w:hAnsi="PMingLiU"/>
          <w:sz w:val="10"/>
          <w:szCs w:val="10"/>
          <w:color w:val="634140"/>
        </w:rPr>
        <w:t/>
      </w:r>
      <w:r>
        <w:rPr>
          <w:rFonts w:ascii="Arial" w:cs="Arial" w:eastAsia="Arial" w:hAnsi="Arial"/>
          <w:sz w:val="10"/>
          <w:szCs w:val="10"/>
          <w:color w:val="634140"/>
        </w:rPr>
        <w:t xml:space="preserve"> lmr</w:t>
      </w:r>
      <w:r>
        <w:rPr>
          <w:rFonts w:ascii="PMingLiU" w:cs="PMingLiU" w:eastAsia="PMingLiU" w:hAnsi="PMingLiU"/>
          <w:sz w:val="10"/>
          <w:szCs w:val="10"/>
          <w:color w:val="634140"/>
        </w:rPr>
        <w:t/>
      </w:r>
      <w:r>
        <w:rPr>
          <w:rFonts w:ascii="Arial" w:cs="Arial" w:eastAsia="Arial" w:hAnsi="Arial"/>
          <w:sz w:val="10"/>
          <w:szCs w:val="10"/>
          <w:color w:val="634140"/>
        </w:rPr>
        <w:t xml:space="preserve"> `c</w:t>
      </w:r>
      <w:r>
        <w:rPr>
          <w:rFonts w:ascii="PMingLiU" w:cs="PMingLiU" w:eastAsia="PMingLiU" w:hAnsi="PMingLiU"/>
          <w:sz w:val="10"/>
          <w:szCs w:val="10"/>
          <w:color w:val="634140"/>
        </w:rPr>
        <w:t/>
      </w:r>
      <w:r>
        <w:rPr>
          <w:rFonts w:ascii="Arial" w:cs="Arial" w:eastAsia="Arial" w:hAnsi="Arial"/>
          <w:sz w:val="10"/>
          <w:szCs w:val="10"/>
          <w:color w:val="634140"/>
        </w:rPr>
        <w:t xml:space="preserve"> amlqgqrclr</w:t>
      </w:r>
      <w:r>
        <w:rPr>
          <w:rFonts w:ascii="PMingLiU" w:cs="PMingLiU" w:eastAsia="PMingLiU" w:hAnsi="PMingLiU"/>
          <w:sz w:val="10"/>
          <w:szCs w:val="10"/>
          <w:color w:val="634140"/>
        </w:rPr>
        <w:t/>
      </w:r>
      <w:r>
        <w:rPr>
          <w:rFonts w:ascii="Arial" w:cs="Arial" w:eastAsia="Arial" w:hAnsi="Arial"/>
          <w:sz w:val="10"/>
          <w:szCs w:val="10"/>
          <w:color w:val="634140"/>
        </w:rPr>
        <w:t xml:space="preserve"> ugrf</w:t>
      </w:r>
      <w:r>
        <w:rPr>
          <w:rFonts w:ascii="PMingLiU" w:cs="PMingLiU" w:eastAsia="PMingLiU" w:hAnsi="PMingLiU"/>
          <w:sz w:val="10"/>
          <w:szCs w:val="10"/>
          <w:color w:val="634140"/>
        </w:rPr>
        <w:t/>
      </w:r>
      <w:r>
        <w:rPr>
          <w:rFonts w:ascii="Arial" w:cs="Arial" w:eastAsia="Arial" w:hAnsi="Arial"/>
          <w:sz w:val="10"/>
          <w:szCs w:val="10"/>
          <w:color w:val="634140"/>
        </w:rPr>
        <w:t xml:space="preserve"> rfc</w:t>
      </w:r>
      <w:r>
        <w:rPr>
          <w:rFonts w:ascii="PMingLiU" w:cs="PMingLiU" w:eastAsia="PMingLiU" w:hAnsi="PMingLiU"/>
          <w:sz w:val="10"/>
          <w:szCs w:val="10"/>
          <w:color w:val="634140"/>
        </w:rPr>
        <w:t/>
      </w:r>
      <w:r>
        <w:rPr>
          <w:rFonts w:ascii="Arial" w:cs="Arial" w:eastAsia="Arial" w:hAnsi="Arial"/>
          <w:sz w:val="10"/>
          <w:szCs w:val="10"/>
          <w:color w:val="634140"/>
        </w:rPr>
        <w:t xml:space="preserve"> kcrfmbmjmegcq</w:t>
      </w:r>
      <w:r>
        <w:rPr>
          <w:rFonts w:ascii="PMingLiU" w:cs="PMingLiU" w:eastAsia="PMingLiU" w:hAnsi="PMingLiU"/>
          <w:sz w:val="10"/>
          <w:szCs w:val="10"/>
          <w:color w:val="634140"/>
        </w:rPr>
        <w:t/>
      </w:r>
      <w:r>
        <w:rPr>
          <w:rFonts w:ascii="Arial" w:cs="Arial" w:eastAsia="Arial" w:hAnsi="Arial"/>
          <w:sz w:val="10"/>
          <w:szCs w:val="10"/>
          <w:color w:val="634140"/>
        </w:rPr>
        <w:t xml:space="preserve"> sqcb</w:t>
      </w:r>
      <w:r>
        <w:rPr>
          <w:rFonts w:ascii="PMingLiU" w:cs="PMingLiU" w:eastAsia="PMingLiU" w:hAnsi="PMingLiU"/>
          <w:sz w:val="10"/>
          <w:szCs w:val="10"/>
          <w:color w:val="634140"/>
        </w:rPr>
        <w:t/>
      </w:r>
      <w:r>
        <w:rPr>
          <w:rFonts w:ascii="Arial" w:cs="Arial" w:eastAsia="Arial" w:hAnsi="Arial"/>
          <w:sz w:val="10"/>
          <w:szCs w:val="10"/>
          <w:color w:val="634140"/>
        </w:rPr>
        <w:t xml:space="preserve"> `w</w:t>
      </w:r>
      <w:r>
        <w:rPr>
          <w:rFonts w:ascii="PMingLiU" w:cs="PMingLiU" w:eastAsia="PMingLiU" w:hAnsi="PMingLiU"/>
          <w:sz w:val="10"/>
          <w:szCs w:val="10"/>
          <w:color w:val="634140"/>
        </w:rPr>
        <w:t/>
      </w:r>
      <w:r>
        <w:rPr>
          <w:rFonts w:ascii="Arial" w:cs="Arial" w:eastAsia="Arial" w:hAnsi="Arial"/>
          <w:sz w:val="10"/>
          <w:szCs w:val="10"/>
          <w:color w:val="634140"/>
        </w:rPr>
        <w:t xml:space="preserve"> mrfcp</w:t>
      </w:r>
      <w:r>
        <w:rPr>
          <w:rFonts w:ascii="PMingLiU" w:cs="PMingLiU" w:eastAsia="PMingLiU" w:hAnsi="PMingLiU"/>
          <w:sz w:val="10"/>
          <w:szCs w:val="10"/>
          <w:color w:val="634140"/>
        </w:rPr>
        <w:t/>
      </w:r>
      <w:r>
        <w:rPr>
          <w:rFonts w:ascii="Arial" w:cs="Arial" w:eastAsia="Arial" w:hAnsi="Arial"/>
          <w:sz w:val="10"/>
          <w:szCs w:val="10"/>
          <w:color w:val="634140"/>
        </w:rPr>
        <w:t xml:space="preserve"> amkn_lgcq</w:t>
      </w:r>
      <w:r>
        <w:rPr>
          <w:rFonts w:ascii="PMingLiU" w:cs="PMingLiU" w:eastAsia="PMingLiU" w:hAnsi="PMingLiU"/>
          <w:sz w:val="10"/>
          <w:szCs w:val="10"/>
          <w:color w:val="634140"/>
        </w:rPr>
        <w:t/>
      </w:r>
      <w:r>
        <w:rPr>
          <w:rFonts w:ascii="Arial" w:cs="Arial" w:eastAsia="Arial" w:hAnsi="Arial"/>
          <w:sz w:val="10"/>
          <w:szCs w:val="10"/>
          <w:color w:val="634140"/>
        </w:rPr>
        <w:t xml:space="preserve"> Ejj</w:t>
      </w:r>
      <w:r>
        <w:rPr>
          <w:rFonts w:ascii="PMingLiU" w:cs="PMingLiU" w:eastAsia="PMingLiU" w:hAnsi="PMingLiU"/>
          <w:sz w:val="10"/>
          <w:szCs w:val="10"/>
          <w:color w:val="634140"/>
        </w:rPr>
        <w:t/>
      </w:r>
      <w:r>
        <w:rPr>
          <w:rFonts w:ascii="Arial" w:cs="Arial" w:eastAsia="Arial" w:hAnsi="Arial"/>
          <w:sz w:val="10"/>
          <w:szCs w:val="10"/>
          <w:color w:val="634140"/>
        </w:rPr>
        <w:t xml:space="preserve"> lml&amp;KEET</w:t>
      </w:r>
      <w:r>
        <w:rPr>
          <w:rFonts w:ascii="PMingLiU" w:cs="PMingLiU" w:eastAsia="PMingLiU" w:hAnsi="PMingLiU"/>
          <w:sz w:val="10"/>
          <w:szCs w:val="10"/>
          <w:color w:val="634140"/>
        </w:rPr>
        <w:t/>
      </w:r>
      <w:r>
        <w:rPr>
          <w:rFonts w:ascii="Arial" w:cs="Arial" w:eastAsia="Arial" w:hAnsi="Arial"/>
          <w:sz w:val="10"/>
          <w:szCs w:val="10"/>
          <w:color w:val="634140"/>
        </w:rPr>
        <w:t xml:space="preserve"> _kmslrq</w:t>
      </w:r>
      <w:r>
        <w:rPr>
          <w:rFonts w:ascii="PMingLiU" w:cs="PMingLiU" w:eastAsia="PMingLiU" w:hAnsi="PMingLiU"/>
          <w:sz w:val="10"/>
          <w:szCs w:val="10"/>
          <w:color w:val="634140"/>
        </w:rPr>
        <w:t/>
      </w:r>
      <w:r>
        <w:rPr>
          <w:rFonts w:ascii="Arial" w:cs="Arial" w:eastAsia="Arial" w:hAnsi="Arial"/>
          <w:sz w:val="10"/>
          <w:szCs w:val="10"/>
          <w:color w:val="634140"/>
        </w:rPr>
        <w:t xml:space="preserve"> f_tc</w:t>
      </w:r>
      <w:r>
        <w:rPr>
          <w:rFonts w:ascii="PMingLiU" w:cs="PMingLiU" w:eastAsia="PMingLiU" w:hAnsi="PMingLiU"/>
          <w:sz w:val="10"/>
          <w:szCs w:val="10"/>
          <w:color w:val="634140"/>
        </w:rPr>
        <w:t/>
      </w:r>
      <w:r>
        <w:rPr>
          <w:rFonts w:ascii="Arial" w:cs="Arial" w:eastAsia="Arial" w:hAnsi="Arial"/>
          <w:sz w:val="10"/>
          <w:szCs w:val="10"/>
          <w:color w:val="634140"/>
        </w:rPr>
        <w:t xml:space="preserve"> `ccl</w:t>
      </w:r>
      <w:r>
        <w:rPr>
          <w:rFonts w:ascii="PMingLiU" w:cs="PMingLiU" w:eastAsia="PMingLiU" w:hAnsi="PMingLiU"/>
          <w:sz w:val="10"/>
          <w:szCs w:val="10"/>
          <w:color w:val="634140"/>
        </w:rPr>
        <w:t/>
      </w:r>
      <w:r>
        <w:rPr>
          <w:rFonts w:ascii="Arial" w:cs="Arial" w:eastAsia="Arial" w:hAnsi="Arial"/>
          <w:sz w:val="10"/>
          <w:szCs w:val="10"/>
          <w:color w:val="634140"/>
        </w:rPr>
        <w:t xml:space="preserve"> pcamlagjcb</w:t>
      </w:r>
      <w:r>
        <w:rPr>
          <w:rFonts w:ascii="PMingLiU" w:cs="PMingLiU" w:eastAsia="PMingLiU" w:hAnsi="PMingLiU"/>
          <w:sz w:val="10"/>
          <w:szCs w:val="10"/>
          <w:color w:val="634140"/>
        </w:rPr>
        <w:t/>
      </w:r>
      <w:r>
        <w:rPr>
          <w:rFonts w:ascii="Arial" w:cs="Arial" w:eastAsia="Arial" w:hAnsi="Arial"/>
          <w:sz w:val="10"/>
          <w:szCs w:val="10"/>
          <w:color w:val="634140"/>
        </w:rPr>
        <w:t xml:space="preserve"> ugrf</w:t>
      </w:r>
      <w:r>
        <w:rPr>
          <w:rFonts w:ascii="PMingLiU" w:cs="PMingLiU" w:eastAsia="PMingLiU" w:hAnsi="PMingLiU"/>
          <w:sz w:val="10"/>
          <w:szCs w:val="10"/>
          <w:color w:val="634140"/>
        </w:rPr>
        <w:t/>
      </w:r>
      <w:r>
        <w:rPr>
          <w:rFonts w:ascii="Arial" w:cs="Arial" w:eastAsia="Arial" w:hAnsi="Arial"/>
          <w:sz w:val="10"/>
          <w:szCs w:val="10"/>
          <w:color w:val="634140"/>
        </w:rPr>
        <w:t xml:space="preserve"> pcnmprcb</w:t>
      </w:r>
      <w:r>
        <w:rPr>
          <w:rFonts w:ascii="PMingLiU" w:cs="PMingLiU" w:eastAsia="PMingLiU" w:hAnsi="PMingLiU"/>
          <w:sz w:val="10"/>
          <w:szCs w:val="10"/>
          <w:color w:val="634140"/>
        </w:rPr>
        <w:t/>
      </w:r>
      <w:r>
        <w:rPr>
          <w:rFonts w:ascii="Arial" w:cs="Arial" w:eastAsia="Arial" w:hAnsi="Arial"/>
          <w:sz w:val="10"/>
          <w:szCs w:val="10"/>
          <w:color w:val="634140"/>
        </w:rPr>
        <w:t xml:space="preserve"> Y</w:t>
      </w:r>
      <w:r>
        <w:rPr>
          <w:rFonts w:ascii="PMingLiU" w:cs="PMingLiU" w:eastAsia="PMingLiU" w:hAnsi="PMingLiU"/>
          <w:sz w:val="10"/>
          <w:szCs w:val="10"/>
          <w:color w:val="634140"/>
        </w:rPr>
        <w:t/>
      </w:r>
      <w:r>
        <w:rPr>
          <w:rFonts w:ascii="Arial" w:cs="Arial" w:eastAsia="Arial" w:hAnsi="Arial"/>
          <w:sz w:val="10"/>
          <w:szCs w:val="10"/>
          <w:color w:val="634140"/>
        </w:rPr>
        <w:t>W</w:t>
      </w:r>
      <w:r>
        <w:rPr>
          <w:rFonts w:ascii="PMingLiU" w:cs="PMingLiU" w:eastAsia="PMingLiU" w:hAnsi="PMingLiU"/>
          <w:sz w:val="10"/>
          <w:szCs w:val="10"/>
          <w:color w:val="634140"/>
        </w:rPr>
        <w:t/>
      </w:r>
      <w:r>
        <w:rPr>
          <w:rFonts w:ascii="Arial" w:cs="Arial" w:eastAsia="Arial" w:hAnsi="Arial"/>
          <w:sz w:val="10"/>
          <w:szCs w:val="10"/>
          <w:color w:val="634140"/>
        </w:rPr>
        <w:t xml:space="preserve"> KEET</w:t>
      </w:r>
      <w:r>
        <w:rPr>
          <w:rFonts w:ascii="PMingLiU" w:cs="PMingLiU" w:eastAsia="PMingLiU" w:hAnsi="PMingLiU"/>
          <w:sz w:val="10"/>
          <w:szCs w:val="10"/>
          <w:color w:val="634140"/>
        </w:rPr>
        <w:t/>
      </w:r>
      <w:r>
        <w:rPr>
          <w:rFonts w:ascii="Arial" w:cs="Arial" w:eastAsia="Arial" w:hAnsi="Arial"/>
          <w:sz w:val="10"/>
          <w:szCs w:val="10"/>
          <w:color w:val="634140"/>
        </w:rPr>
        <w:t xml:space="preserve"> pcqsjrq</w:t>
      </w:r>
      <w:r>
        <w:rPr>
          <w:rFonts w:ascii="PMingLiU" w:cs="PMingLiU" w:eastAsia="PMingLiU" w:hAnsi="PMingLiU"/>
          <w:sz w:val="10"/>
          <w:szCs w:val="10"/>
          <w:color w:val="634140"/>
        </w:rPr>
        <w:t/>
      </w:r>
      <w:r>
        <w:rPr>
          <w:rFonts w:ascii="Arial" w:cs="Arial" w:eastAsia="Arial" w:hAnsi="Arial"/>
          <w:sz w:val="10"/>
          <w:szCs w:val="10"/>
          <w:color w:val="634140"/>
        </w:rPr>
        <w:t xml:space="preserve"> ufgaf</w:t>
      </w:r>
      <w:r>
        <w:rPr>
          <w:rFonts w:ascii="PMingLiU" w:cs="PMingLiU" w:eastAsia="PMingLiU" w:hAnsi="PMingLiU"/>
          <w:sz w:val="10"/>
          <w:szCs w:val="10"/>
          <w:color w:val="634140"/>
        </w:rPr>
        <w:t/>
      </w:r>
      <w:r>
        <w:rPr>
          <w:rFonts w:ascii="Arial" w:cs="Arial" w:eastAsia="Arial" w:hAnsi="Arial"/>
          <w:sz w:val="10"/>
          <w:szCs w:val="10"/>
          <w:color w:val="634140"/>
        </w:rPr>
        <w:t xml:space="preserve"> _pc</w:t>
      </w:r>
      <w:r>
        <w:rPr>
          <w:rFonts w:ascii="PMingLiU" w:cs="PMingLiU" w:eastAsia="PMingLiU" w:hAnsi="PMingLiU"/>
          <w:sz w:val="10"/>
          <w:szCs w:val="10"/>
          <w:color w:val="634140"/>
        </w:rPr>
        <w:t/>
      </w:r>
      <w:r>
        <w:rPr>
          <w:rFonts w:ascii="Arial" w:cs="Arial" w:eastAsia="Arial" w:hAnsi="Arial"/>
          <w:sz w:val="10"/>
          <w:szCs w:val="10"/>
          <w:color w:val="634140"/>
        </w:rPr>
        <w:t xml:space="preserve"> glajsbcb</w:t>
      </w:r>
      <w:r>
        <w:rPr>
          <w:rFonts w:ascii="PMingLiU" w:cs="PMingLiU" w:eastAsia="PMingLiU" w:hAnsi="PMingLiU"/>
          <w:sz w:val="10"/>
          <w:szCs w:val="10"/>
          <w:color w:val="634140"/>
        </w:rPr>
        <w:t/>
      </w:r>
      <w:r>
        <w:rPr>
          <w:rFonts w:ascii="Arial" w:cs="Arial" w:eastAsia="Arial" w:hAnsi="Arial"/>
          <w:sz w:val="10"/>
          <w:szCs w:val="10"/>
          <w:color w:val="634140"/>
        </w:rPr>
        <w:t xml:space="preserve"> gl</w:t>
      </w:r>
      <w:r>
        <w:rPr>
          <w:rFonts w:ascii="PMingLiU" w:cs="PMingLiU" w:eastAsia="PMingLiU" w:hAnsi="PMingLiU"/>
          <w:sz w:val="10"/>
          <w:szCs w:val="10"/>
          <w:color w:val="634140"/>
        </w:rPr>
        <w:t/>
      </w:r>
      <w:r>
        <w:rPr>
          <w:rFonts w:ascii="Arial" w:cs="Arial" w:eastAsia="Arial" w:hAnsi="Arial"/>
          <w:sz w:val="10"/>
          <w:szCs w:val="10"/>
          <w:color w:val="634140"/>
        </w:rPr>
        <w:t xml:space="preserve"> rfc</w:t>
      </w:r>
      <w:r>
        <w:rPr>
          <w:rFonts w:ascii="PMingLiU" w:cs="PMingLiU" w:eastAsia="PMingLiU" w:hAnsi="PMingLiU"/>
          <w:sz w:val="10"/>
          <w:szCs w:val="10"/>
          <w:color w:val="634140"/>
        </w:rPr>
        <w:t/>
      </w:r>
      <w:r>
        <w:rPr>
          <w:rFonts w:ascii="Arial" w:cs="Arial" w:eastAsia="Arial" w:hAnsi="Arial"/>
          <w:sz w:val="10"/>
          <w:szCs w:val="10"/>
          <w:color w:val="634140"/>
        </w:rPr>
        <w:t xml:space="preserve"> </w:t>
      </w:r>
      <w:r>
        <w:rPr>
          <w:rFonts w:ascii="PMingLiU" w:cs="PMingLiU" w:eastAsia="PMingLiU" w:hAnsi="PMingLiU"/>
          <w:sz w:val="10"/>
          <w:szCs w:val="10"/>
          <w:color w:val="634140"/>
        </w:rPr>
        <w:t/>
      </w:r>
      <w:r>
        <w:rPr>
          <w:rFonts w:ascii="Arial" w:cs="Arial" w:eastAsia="Arial" w:hAnsi="Arial"/>
          <w:sz w:val="10"/>
          <w:szCs w:val="10"/>
          <w:color w:val="634140"/>
        </w:rPr>
        <w:t>Q_l_eckclr</w:t>
      </w:r>
      <w:r>
        <w:rPr>
          <w:rFonts w:ascii="PMingLiU" w:cs="PMingLiU" w:eastAsia="PMingLiU" w:hAnsi="PMingLiU"/>
          <w:sz w:val="10"/>
          <w:szCs w:val="10"/>
          <w:color w:val="634140"/>
        </w:rPr>
        <w:t/>
      </w:r>
      <w:r>
        <w:rPr>
          <w:rFonts w:ascii="Arial" w:cs="Arial" w:eastAsia="Arial" w:hAnsi="Arial"/>
          <w:sz w:val="10"/>
          <w:szCs w:val="10"/>
          <w:color w:val="634140"/>
        </w:rPr>
        <w:t>q</w:t>
      </w:r>
      <w:r>
        <w:rPr>
          <w:rFonts w:ascii="PMingLiU" w:cs="PMingLiU" w:eastAsia="PMingLiU" w:hAnsi="PMingLiU"/>
          <w:sz w:val="10"/>
          <w:szCs w:val="10"/>
          <w:color w:val="634140"/>
        </w:rPr>
        <w:t/>
      </w:r>
      <w:r>
        <w:rPr>
          <w:rFonts w:ascii="Arial" w:cs="Arial" w:eastAsia="Arial" w:hAnsi="Arial"/>
          <w:sz w:val="10"/>
          <w:szCs w:val="10"/>
          <w:color w:val="634140"/>
        </w:rPr>
        <w:t xml:space="preserve"> Hgqasqqgml</w:t>
      </w:r>
      <w:r>
        <w:rPr>
          <w:rFonts w:ascii="PMingLiU" w:cs="PMingLiU" w:eastAsia="PMingLiU" w:hAnsi="PMingLiU"/>
          <w:sz w:val="10"/>
          <w:szCs w:val="10"/>
          <w:color w:val="634140"/>
        </w:rPr>
        <w:t/>
      </w:r>
      <w:r>
        <w:rPr>
          <w:rFonts w:ascii="Arial" w:cs="Arial" w:eastAsia="Arial" w:hAnsi="Arial"/>
          <w:sz w:val="10"/>
          <w:szCs w:val="10"/>
          <w:color w:val="634140"/>
        </w:rPr>
        <w:t xml:space="preserve"> _lb</w:t>
      </w:r>
      <w:r>
        <w:rPr>
          <w:rFonts w:ascii="PMingLiU" w:cs="PMingLiU" w:eastAsia="PMingLiU" w:hAnsi="PMingLiU"/>
          <w:sz w:val="10"/>
          <w:szCs w:val="10"/>
          <w:color w:val="634140"/>
        </w:rPr>
        <w:t/>
      </w:r>
      <w:r>
        <w:rPr>
          <w:rFonts w:ascii="Arial" w:cs="Arial" w:eastAsia="Arial" w:hAnsi="Arial"/>
          <w:sz w:val="10"/>
          <w:szCs w:val="10"/>
          <w:color w:val="634140"/>
        </w:rPr>
        <w:t xml:space="preserve"> El_jwqgq</w:t>
      </w:r>
      <w:r>
        <w:rPr>
          <w:rFonts w:ascii="PMingLiU" w:cs="PMingLiU" w:eastAsia="PMingLiU" w:hAnsi="PMingLiU"/>
          <w:sz w:val="10"/>
          <w:szCs w:val="10"/>
          <w:color w:val="634140"/>
        </w:rPr>
        <w:t/>
      </w:r>
      <w:r>
        <w:rPr>
          <w:rFonts w:ascii="Arial" w:cs="Arial" w:eastAsia="Arial" w:hAnsi="Arial"/>
          <w:sz w:val="10"/>
          <w:szCs w:val="10"/>
          <w:color w:val="634140"/>
        </w:rPr>
        <w:t xml:space="preserve"> md</w:t>
      </w:r>
      <w:r>
        <w:rPr>
          <w:rFonts w:ascii="PMingLiU" w:cs="PMingLiU" w:eastAsia="PMingLiU" w:hAnsi="PMingLiU"/>
          <w:sz w:val="10"/>
          <w:szCs w:val="10"/>
          <w:color w:val="634140"/>
        </w:rPr>
        <w:t/>
      </w:r>
      <w:r>
        <w:rPr>
          <w:rFonts w:ascii="Arial" w:cs="Arial" w:eastAsia="Arial" w:hAnsi="Arial"/>
          <w:sz w:val="10"/>
          <w:szCs w:val="10"/>
          <w:color w:val="634140"/>
        </w:rPr>
        <w:t xml:space="preserve"> Jgl_lag_j</w:t>
      </w:r>
      <w:r>
        <w:rPr>
          <w:rFonts w:ascii="PMingLiU" w:cs="PMingLiU" w:eastAsia="PMingLiU" w:hAnsi="PMingLiU"/>
          <w:sz w:val="10"/>
          <w:szCs w:val="10"/>
          <w:color w:val="634140"/>
        </w:rPr>
        <w:t/>
      </w:r>
      <w:r>
        <w:rPr>
          <w:rFonts w:ascii="Arial" w:cs="Arial" w:eastAsia="Arial" w:hAnsi="Arial"/>
          <w:sz w:val="10"/>
          <w:szCs w:val="10"/>
          <w:color w:val="634140"/>
        </w:rPr>
        <w:t xml:space="preserve"> Gmlbgrgml</w:t>
      </w:r>
      <w:r>
        <w:rPr>
          <w:rFonts w:ascii="PMingLiU" w:cs="PMingLiU" w:eastAsia="PMingLiU" w:hAnsi="PMingLiU"/>
          <w:sz w:val="10"/>
          <w:szCs w:val="10"/>
          <w:color w:val="634140"/>
        </w:rPr>
        <w:t/>
      </w:r>
      <w:r>
        <w:rPr>
          <w:rFonts w:ascii="Arial" w:cs="Arial" w:eastAsia="Arial" w:hAnsi="Arial"/>
          <w:sz w:val="10"/>
          <w:szCs w:val="10"/>
          <w:color w:val="634140"/>
        </w:rPr>
        <w:t xml:space="preserve"> _lb</w:t>
      </w:r>
      <w:r>
        <w:rPr>
          <w:rFonts w:ascii="PMingLiU" w:cs="PMingLiU" w:eastAsia="PMingLiU" w:hAnsi="PMingLiU"/>
          <w:sz w:val="10"/>
          <w:szCs w:val="10"/>
          <w:color w:val="634140"/>
        </w:rPr>
        <w:t/>
      </w:r>
      <w:r>
        <w:rPr>
          <w:rFonts w:ascii="Arial" w:cs="Arial" w:eastAsia="Arial" w:hAnsi="Arial"/>
          <w:sz w:val="10"/>
          <w:szCs w:val="10"/>
          <w:color w:val="634140"/>
        </w:rPr>
        <w:t xml:space="preserve"> Vcqsjrq</w:t>
      </w:r>
      <w:r>
        <w:rPr>
          <w:rFonts w:ascii="PMingLiU" w:cs="PMingLiU" w:eastAsia="PMingLiU" w:hAnsi="PMingLiU"/>
          <w:sz w:val="10"/>
          <w:szCs w:val="10"/>
          <w:color w:val="634140"/>
        </w:rPr>
        <w:t/>
      </w:r>
      <w:r>
        <w:rPr>
          <w:rFonts w:ascii="Arial" w:cs="Arial" w:eastAsia="Arial" w:hAnsi="Arial"/>
          <w:sz w:val="10"/>
          <w:szCs w:val="10"/>
          <w:color w:val="634140"/>
        </w:rPr>
        <w:t xml:space="preserve"> md</w:t>
      </w:r>
      <w:r>
        <w:rPr>
          <w:rFonts w:ascii="PMingLiU" w:cs="PMingLiU" w:eastAsia="PMingLiU" w:hAnsi="PMingLiU"/>
          <w:sz w:val="10"/>
          <w:szCs w:val="10"/>
          <w:color w:val="634140"/>
        </w:rPr>
        <w:t/>
      </w:r>
      <w:r>
        <w:rPr>
          <w:rFonts w:ascii="Arial" w:cs="Arial" w:eastAsia="Arial" w:hAnsi="Arial"/>
          <w:sz w:val="10"/>
          <w:szCs w:val="10"/>
          <w:color w:val="634140"/>
        </w:rPr>
        <w:t xml:space="preserve"> Sncp_rgmlq </w:t>
      </w:r>
      <w:r>
        <w:rPr>
          <w:rFonts w:ascii="PMingLiU" w:cs="PMingLiU" w:eastAsia="PMingLiU" w:hAnsi="PMingLiU"/>
          <w:sz w:val="10"/>
          <w:szCs w:val="10"/>
          <w:color w:val="634140"/>
        </w:rPr>
        <w:t/>
      </w:r>
      <w:r>
        <w:rPr>
          <w:rFonts w:ascii="Arial" w:cs="Arial" w:eastAsia="Arial" w:hAnsi="Arial"/>
          <w:sz w:val="10"/>
          <w:szCs w:val="10"/>
          <w:color w:val="634140"/>
        </w:rPr>
        <w:t>qcargml</w:t>
      </w:r>
      <w:r>
        <w:rPr>
          <w:rFonts w:ascii="PMingLiU" w:cs="PMingLiU" w:eastAsia="PMingLiU" w:hAnsi="PMingLiU"/>
          <w:sz w:val="10"/>
          <w:szCs w:val="10"/>
          <w:color w:val="634140"/>
        </w:rPr>
        <w:t/>
      </w:r>
      <w:r>
        <w:rPr>
          <w:rFonts w:ascii="Arial" w:cs="Arial" w:eastAsia="Arial" w:hAnsi="Arial"/>
          <w:sz w:val="10"/>
          <w:szCs w:val="10"/>
          <w:color w:val="634140"/>
        </w:rPr>
        <w:t>md</w:t>
      </w:r>
      <w:r>
        <w:rPr>
          <w:rFonts w:ascii="PMingLiU" w:cs="PMingLiU" w:eastAsia="PMingLiU" w:hAnsi="PMingLiU"/>
          <w:sz w:val="10"/>
          <w:szCs w:val="10"/>
          <w:color w:val="634140"/>
        </w:rPr>
        <w:t/>
      </w:r>
      <w:r>
        <w:rPr>
          <w:rFonts w:ascii="Arial" w:cs="Arial" w:eastAsia="Arial" w:hAnsi="Arial"/>
          <w:sz w:val="10"/>
          <w:szCs w:val="10"/>
          <w:color w:val="634140"/>
        </w:rPr>
        <w:t>rfgq</w:t>
      </w:r>
      <w:r>
        <w:rPr>
          <w:rFonts w:ascii="PMingLiU" w:cs="PMingLiU" w:eastAsia="PMingLiU" w:hAnsi="PMingLiU"/>
          <w:sz w:val="10"/>
          <w:szCs w:val="10"/>
          <w:color w:val="634140"/>
        </w:rPr>
        <w:t/>
      </w:r>
      <w:r>
        <w:rPr>
          <w:rFonts w:ascii="Arial" w:cs="Arial" w:eastAsia="Arial" w:hAnsi="Arial"/>
          <w:sz w:val="10"/>
          <w:szCs w:val="10"/>
          <w:color w:val="634140"/>
        </w:rPr>
        <w:t>Ells_j</w:t>
      </w:r>
      <w:r>
        <w:rPr>
          <w:rFonts w:ascii="PMingLiU" w:cs="PMingLiU" w:eastAsia="PMingLiU" w:hAnsi="PMingLiU"/>
          <w:sz w:val="10"/>
          <w:szCs w:val="10"/>
          <w:color w:val="634140"/>
        </w:rPr>
        <w:t/>
      </w:r>
      <w:r>
        <w:rPr>
          <w:rFonts w:ascii="Arial" w:cs="Arial" w:eastAsia="Arial" w:hAnsi="Arial"/>
          <w:sz w:val="10"/>
          <w:szCs w:val="10"/>
          <w:color w:val="634140"/>
        </w:rPr>
        <w:t>Vcnmpr</w:t>
      </w:r>
      <w:r>
        <w:rPr>
          <w:rFonts w:ascii="PMingLiU" w:cs="PMingLiU" w:eastAsia="PMingLiU" w:hAnsi="PMingLiU"/>
          <w:sz w:val="10"/>
          <w:szCs w:val="10"/>
          <w:color w:val="634140"/>
        </w:rPr>
        <w:t/>
      </w:r>
    </w:p>
    <w:p>
      <w:pPr>
        <w:spacing w:after="0" w:line="49" w:lineRule="exact"/>
        <w:rPr>
          <w:sz w:val="20"/>
          <w:szCs w:val="20"/>
          <w:color w:val="auto"/>
        </w:rPr>
      </w:pPr>
    </w:p>
    <w:p>
      <w:pPr>
        <w:jc w:val="both"/>
        <w:ind w:right="80"/>
        <w:spacing w:after="0" w:line="105" w:lineRule="exact"/>
        <w:rPr>
          <w:sz w:val="20"/>
          <w:szCs w:val="20"/>
          <w:color w:val="auto"/>
        </w:rPr>
      </w:pPr>
      <w:r>
        <w:rPr>
          <w:rFonts w:ascii="Arial" w:cs="Arial" w:eastAsia="Arial" w:hAnsi="Arial"/>
          <w:sz w:val="10"/>
          <w:szCs w:val="10"/>
          <w:color w:val="634140"/>
        </w:rPr>
        <w:t>Xfgq</w:t>
      </w:r>
      <w:r>
        <w:rPr>
          <w:rFonts w:ascii="PMingLiU" w:cs="PMingLiU" w:eastAsia="PMingLiU" w:hAnsi="PMingLiU"/>
          <w:sz w:val="10"/>
          <w:szCs w:val="10"/>
          <w:color w:val="634140"/>
        </w:rPr>
        <w:t/>
      </w:r>
      <w:r>
        <w:rPr>
          <w:rFonts w:ascii="Arial" w:cs="Arial" w:eastAsia="Arial" w:hAnsi="Arial"/>
          <w:sz w:val="10"/>
          <w:szCs w:val="10"/>
          <w:color w:val="634140"/>
        </w:rPr>
        <w:t xml:space="preserve"> Ells_j</w:t>
      </w:r>
      <w:r>
        <w:rPr>
          <w:rFonts w:ascii="PMingLiU" w:cs="PMingLiU" w:eastAsia="PMingLiU" w:hAnsi="PMingLiU"/>
          <w:sz w:val="10"/>
          <w:szCs w:val="10"/>
          <w:color w:val="634140"/>
        </w:rPr>
        <w:t/>
      </w:r>
      <w:r>
        <w:rPr>
          <w:rFonts w:ascii="Arial" w:cs="Arial" w:eastAsia="Arial" w:hAnsi="Arial"/>
          <w:sz w:val="10"/>
          <w:szCs w:val="10"/>
          <w:color w:val="634140"/>
        </w:rPr>
        <w:t xml:space="preserve"> Vcnmpr</w:t>
      </w:r>
      <w:r>
        <w:rPr>
          <w:rFonts w:ascii="PMingLiU" w:cs="PMingLiU" w:eastAsia="PMingLiU" w:hAnsi="PMingLiU"/>
          <w:sz w:val="10"/>
          <w:szCs w:val="10"/>
          <w:color w:val="634140"/>
        </w:rPr>
        <w:t/>
      </w:r>
      <w:r>
        <w:rPr>
          <w:rFonts w:ascii="Arial" w:cs="Arial" w:eastAsia="Arial" w:hAnsi="Arial"/>
          <w:sz w:val="10"/>
          <w:szCs w:val="10"/>
          <w:color w:val="634140"/>
        </w:rPr>
        <w:t xml:space="preserve"> amlr_glq</w:t>
      </w:r>
      <w:r>
        <w:rPr>
          <w:rFonts w:ascii="PMingLiU" w:cs="PMingLiU" w:eastAsia="PMingLiU" w:hAnsi="PMingLiU"/>
          <w:sz w:val="10"/>
          <w:szCs w:val="10"/>
          <w:color w:val="634140"/>
        </w:rPr>
        <w:t/>
      </w:r>
      <w:r>
        <w:rPr>
          <w:rFonts w:ascii="Arial" w:cs="Arial" w:eastAsia="Arial" w:hAnsi="Arial"/>
          <w:sz w:val="10"/>
          <w:szCs w:val="10"/>
          <w:color w:val="634140"/>
        </w:rPr>
        <w:t xml:space="preserve"> dmpu_pb&amp;jmmigle</w:t>
      </w:r>
      <w:r>
        <w:rPr>
          <w:rFonts w:ascii="PMingLiU" w:cs="PMingLiU" w:eastAsia="PMingLiU" w:hAnsi="PMingLiU"/>
          <w:sz w:val="10"/>
          <w:szCs w:val="10"/>
          <w:color w:val="634140"/>
        </w:rPr>
        <w:t/>
      </w:r>
      <w:r>
        <w:rPr>
          <w:rFonts w:ascii="Arial" w:cs="Arial" w:eastAsia="Arial" w:hAnsi="Arial"/>
          <w:sz w:val="10"/>
          <w:szCs w:val="10"/>
          <w:color w:val="634140"/>
        </w:rPr>
        <w:t xml:space="preserve"> qr_rckclrq</w:t>
      </w:r>
      <w:r>
        <w:rPr>
          <w:rFonts w:ascii="PMingLiU" w:cs="PMingLiU" w:eastAsia="PMingLiU" w:hAnsi="PMingLiU"/>
          <w:sz w:val="10"/>
          <w:szCs w:val="10"/>
          <w:color w:val="634140"/>
        </w:rPr>
        <w:t/>
      </w:r>
      <w:r>
        <w:rPr>
          <w:rFonts w:ascii="Arial" w:cs="Arial" w:eastAsia="Arial" w:hAnsi="Arial"/>
          <w:sz w:val="10"/>
          <w:szCs w:val="10"/>
          <w:color w:val="634140"/>
        </w:rPr>
        <w:t xml:space="preserve"> ugrfgl</w:t>
      </w:r>
      <w:r>
        <w:rPr>
          <w:rFonts w:ascii="PMingLiU" w:cs="PMingLiU" w:eastAsia="PMingLiU" w:hAnsi="PMingLiU"/>
          <w:sz w:val="10"/>
          <w:szCs w:val="10"/>
          <w:color w:val="634140"/>
        </w:rPr>
        <w:t/>
      </w:r>
      <w:r>
        <w:rPr>
          <w:rFonts w:ascii="Arial" w:cs="Arial" w:eastAsia="Arial" w:hAnsi="Arial"/>
          <w:sz w:val="10"/>
          <w:szCs w:val="10"/>
          <w:color w:val="634140"/>
        </w:rPr>
        <w:t xml:space="preserve"> rfc</w:t>
      </w:r>
      <w:r>
        <w:rPr>
          <w:rFonts w:ascii="PMingLiU" w:cs="PMingLiU" w:eastAsia="PMingLiU" w:hAnsi="PMingLiU"/>
          <w:sz w:val="10"/>
          <w:szCs w:val="10"/>
          <w:color w:val="634140"/>
        </w:rPr>
        <w:t/>
      </w:r>
      <w:r>
        <w:rPr>
          <w:rFonts w:ascii="Arial" w:cs="Arial" w:eastAsia="Arial" w:hAnsi="Arial"/>
          <w:sz w:val="10"/>
          <w:szCs w:val="10"/>
          <w:color w:val="634140"/>
        </w:rPr>
        <w:t xml:space="preserve"> kc_lgle</w:t>
      </w:r>
      <w:r>
        <w:rPr>
          <w:rFonts w:ascii="PMingLiU" w:cs="PMingLiU" w:eastAsia="PMingLiU" w:hAnsi="PMingLiU"/>
          <w:sz w:val="10"/>
          <w:szCs w:val="10"/>
          <w:color w:val="634140"/>
        </w:rPr>
        <w:t/>
      </w:r>
      <w:r>
        <w:rPr>
          <w:rFonts w:ascii="Arial" w:cs="Arial" w:eastAsia="Arial" w:hAnsi="Arial"/>
          <w:sz w:val="10"/>
          <w:szCs w:val="10"/>
          <w:color w:val="634140"/>
        </w:rPr>
        <w:t xml:space="preserve"> md</w:t>
      </w:r>
      <w:r>
        <w:rPr>
          <w:rFonts w:ascii="PMingLiU" w:cs="PMingLiU" w:eastAsia="PMingLiU" w:hAnsi="PMingLiU"/>
          <w:sz w:val="10"/>
          <w:szCs w:val="10"/>
          <w:color w:val="634140"/>
        </w:rPr>
        <w:t/>
      </w:r>
      <w:r>
        <w:rPr>
          <w:rFonts w:ascii="Arial" w:cs="Arial" w:eastAsia="Arial" w:hAnsi="Arial"/>
          <w:sz w:val="10"/>
          <w:szCs w:val="10"/>
          <w:color w:val="634140"/>
        </w:rPr>
        <w:t xml:space="preserve"> Wcargml</w:t>
      </w:r>
      <w:r>
        <w:rPr>
          <w:rFonts w:ascii="PMingLiU" w:cs="PMingLiU" w:eastAsia="PMingLiU" w:hAnsi="PMingLiU"/>
          <w:sz w:val="10"/>
          <w:szCs w:val="10"/>
          <w:color w:val="634140"/>
        </w:rPr>
        <w:t/>
      </w:r>
      <w:r>
        <w:rPr>
          <w:rFonts w:ascii="Arial" w:cs="Arial" w:eastAsia="Arial" w:hAnsi="Arial"/>
          <w:sz w:val="10"/>
          <w:szCs w:val="10"/>
          <w:color w:val="634140"/>
        </w:rPr>
        <w:t xml:space="preserve"> ˧ˬE</w:t>
      </w:r>
      <w:r>
        <w:rPr>
          <w:rFonts w:ascii="PMingLiU" w:cs="PMingLiU" w:eastAsia="PMingLiU" w:hAnsi="PMingLiU"/>
          <w:sz w:val="10"/>
          <w:szCs w:val="10"/>
          <w:color w:val="634140"/>
        </w:rPr>
        <w:t/>
      </w:r>
      <w:r>
        <w:rPr>
          <w:rFonts w:ascii="Arial" w:cs="Arial" w:eastAsia="Arial" w:hAnsi="Arial"/>
          <w:sz w:val="10"/>
          <w:szCs w:val="10"/>
          <w:color w:val="634140"/>
        </w:rPr>
        <w:t xml:space="preserve"> md</w:t>
      </w:r>
      <w:r>
        <w:rPr>
          <w:rFonts w:ascii="PMingLiU" w:cs="PMingLiU" w:eastAsia="PMingLiU" w:hAnsi="PMingLiU"/>
          <w:sz w:val="10"/>
          <w:szCs w:val="10"/>
          <w:color w:val="634140"/>
        </w:rPr>
        <w:t/>
      </w:r>
      <w:r>
        <w:rPr>
          <w:rFonts w:ascii="Arial" w:cs="Arial" w:eastAsia="Arial" w:hAnsi="Arial"/>
          <w:sz w:val="10"/>
          <w:szCs w:val="10"/>
          <w:color w:val="634140"/>
        </w:rPr>
        <w:t xml:space="preserve"> rfc</w:t>
      </w:r>
      <w:r>
        <w:rPr>
          <w:rFonts w:ascii="PMingLiU" w:cs="PMingLiU" w:eastAsia="PMingLiU" w:hAnsi="PMingLiU"/>
          <w:sz w:val="10"/>
          <w:szCs w:val="10"/>
          <w:color w:val="634140"/>
        </w:rPr>
        <w:t/>
      </w:r>
      <w:r>
        <w:rPr>
          <w:rFonts w:ascii="Arial" w:cs="Arial" w:eastAsia="Arial" w:hAnsi="Arial"/>
          <w:sz w:val="10"/>
          <w:szCs w:val="10"/>
          <w:color w:val="634140"/>
        </w:rPr>
        <w:t xml:space="preserve"> Wcaspgrgcq</w:t>
      </w:r>
      <w:r>
        <w:rPr>
          <w:rFonts w:ascii="PMingLiU" w:cs="PMingLiU" w:eastAsia="PMingLiU" w:hAnsi="PMingLiU"/>
          <w:sz w:val="10"/>
          <w:szCs w:val="10"/>
          <w:color w:val="634140"/>
        </w:rPr>
        <w:t/>
      </w:r>
      <w:r>
        <w:rPr>
          <w:rFonts w:ascii="Arial" w:cs="Arial" w:eastAsia="Arial" w:hAnsi="Arial"/>
          <w:sz w:val="10"/>
          <w:szCs w:val="10"/>
          <w:color w:val="634140"/>
        </w:rPr>
        <w:t xml:space="preserve"> Ear</w:t>
      </w:r>
      <w:r>
        <w:rPr>
          <w:rFonts w:ascii="PMingLiU" w:cs="PMingLiU" w:eastAsia="PMingLiU" w:hAnsi="PMingLiU"/>
          <w:sz w:val="10"/>
          <w:szCs w:val="10"/>
          <w:color w:val="634140"/>
        </w:rPr>
        <w:t/>
      </w:r>
      <w:r>
        <w:rPr>
          <w:rFonts w:ascii="Arial" w:cs="Arial" w:eastAsia="Arial" w:hAnsi="Arial"/>
          <w:sz w:val="10"/>
          <w:szCs w:val="10"/>
          <w:color w:val="634140"/>
        </w:rPr>
        <w:t xml:space="preserve"> md</w:t>
      </w:r>
      <w:r>
        <w:rPr>
          <w:rFonts w:ascii="PMingLiU" w:cs="PMingLiU" w:eastAsia="PMingLiU" w:hAnsi="PMingLiU"/>
          <w:sz w:val="10"/>
          <w:szCs w:val="10"/>
          <w:color w:val="634140"/>
        </w:rPr>
        <w:t/>
      </w:r>
      <w:r>
        <w:rPr>
          <w:rFonts w:ascii="Arial" w:cs="Arial" w:eastAsia="Arial" w:hAnsi="Arial"/>
          <w:sz w:val="10"/>
          <w:szCs w:val="10"/>
          <w:color w:val="634140"/>
        </w:rPr>
        <w:t xml:space="preserve"> ˦ˮ˨˨</w:t>
      </w:r>
      <w:r>
        <w:rPr>
          <w:rFonts w:ascii="PMingLiU" w:cs="PMingLiU" w:eastAsia="PMingLiU" w:hAnsi="PMingLiU"/>
          <w:sz w:val="10"/>
          <w:szCs w:val="10"/>
          <w:color w:val="634140"/>
        </w:rPr>
        <w:t/>
      </w:r>
      <w:r>
        <w:rPr>
          <w:rFonts w:ascii="Arial" w:cs="Arial" w:eastAsia="Arial" w:hAnsi="Arial"/>
          <w:sz w:val="10"/>
          <w:szCs w:val="10"/>
          <w:color w:val="634140"/>
        </w:rPr>
        <w:t xml:space="preserve"> _q</w:t>
      </w:r>
      <w:r>
        <w:rPr>
          <w:rFonts w:ascii="PMingLiU" w:cs="PMingLiU" w:eastAsia="PMingLiU" w:hAnsi="PMingLiU"/>
          <w:sz w:val="10"/>
          <w:szCs w:val="10"/>
          <w:color w:val="634140"/>
        </w:rPr>
        <w:t/>
      </w:r>
      <w:r>
        <w:rPr>
          <w:rFonts w:ascii="Arial" w:cs="Arial" w:eastAsia="Arial" w:hAnsi="Arial"/>
          <w:sz w:val="10"/>
          <w:szCs w:val="10"/>
          <w:color w:val="634140"/>
        </w:rPr>
        <w:t xml:space="preserve"> _kclbcb</w:t>
      </w:r>
      <w:r>
        <w:rPr>
          <w:rFonts w:ascii="PMingLiU" w:cs="PMingLiU" w:eastAsia="PMingLiU" w:hAnsi="PMingLiU"/>
          <w:sz w:val="10"/>
          <w:szCs w:val="10"/>
          <w:color w:val="634140"/>
        </w:rPr>
        <w:t/>
      </w:r>
      <w:r>
        <w:rPr>
          <w:rFonts w:ascii="Arial" w:cs="Arial" w:eastAsia="Arial" w:hAnsi="Arial"/>
          <w:sz w:val="10"/>
          <w:szCs w:val="10"/>
          <w:color w:val="634140"/>
        </w:rPr>
        <w:t xml:space="preserve"> _lb</w:t>
      </w:r>
      <w:r>
        <w:rPr>
          <w:rFonts w:ascii="PMingLiU" w:cs="PMingLiU" w:eastAsia="PMingLiU" w:hAnsi="PMingLiU"/>
          <w:sz w:val="10"/>
          <w:szCs w:val="10"/>
          <w:color w:val="634140"/>
        </w:rPr>
        <w:t/>
      </w:r>
      <w:r>
        <w:rPr>
          <w:rFonts w:ascii="Arial" w:cs="Arial" w:eastAsia="Arial" w:hAnsi="Arial"/>
          <w:sz w:val="10"/>
          <w:szCs w:val="10"/>
          <w:color w:val="634140"/>
        </w:rPr>
        <w:t xml:space="preserve"> Wcargml</w:t>
      </w:r>
      <w:r>
        <w:rPr>
          <w:rFonts w:ascii="PMingLiU" w:cs="PMingLiU" w:eastAsia="PMingLiU" w:hAnsi="PMingLiU"/>
          <w:sz w:val="10"/>
          <w:szCs w:val="10"/>
          <w:color w:val="634140"/>
        </w:rPr>
        <w:t/>
      </w:r>
      <w:r>
        <w:rPr>
          <w:rFonts w:ascii="Arial" w:cs="Arial" w:eastAsia="Arial" w:hAnsi="Arial"/>
          <w:sz w:val="10"/>
          <w:szCs w:val="10"/>
          <w:color w:val="634140"/>
        </w:rPr>
        <w:t xml:space="preserve"> ˧˦I</w:t>
      </w:r>
      <w:r>
        <w:rPr>
          <w:rFonts w:ascii="PMingLiU" w:cs="PMingLiU" w:eastAsia="PMingLiU" w:hAnsi="PMingLiU"/>
          <w:sz w:val="10"/>
          <w:szCs w:val="10"/>
          <w:color w:val="634140"/>
        </w:rPr>
        <w:t/>
      </w:r>
      <w:r>
        <w:rPr>
          <w:rFonts w:ascii="Arial" w:cs="Arial" w:eastAsia="Arial" w:hAnsi="Arial"/>
          <w:sz w:val="10"/>
          <w:szCs w:val="10"/>
          <w:color w:val="634140"/>
        </w:rPr>
        <w:t xml:space="preserve"> md</w:t>
      </w:r>
      <w:r>
        <w:rPr>
          <w:rFonts w:ascii="PMingLiU" w:cs="PMingLiU" w:eastAsia="PMingLiU" w:hAnsi="PMingLiU"/>
          <w:sz w:val="10"/>
          <w:szCs w:val="10"/>
          <w:color w:val="634140"/>
        </w:rPr>
        <w:t/>
      </w:r>
      <w:r>
        <w:rPr>
          <w:rFonts w:ascii="Arial" w:cs="Arial" w:eastAsia="Arial" w:hAnsi="Arial"/>
          <w:sz w:val="10"/>
          <w:szCs w:val="10"/>
          <w:color w:val="634140"/>
        </w:rPr>
        <w:t xml:space="preserve"> rfc</w:t>
      </w:r>
      <w:r>
        <w:rPr>
          <w:rFonts w:ascii="PMingLiU" w:cs="PMingLiU" w:eastAsia="PMingLiU" w:hAnsi="PMingLiU"/>
          <w:sz w:val="10"/>
          <w:szCs w:val="10"/>
          <w:color w:val="634140"/>
        </w:rPr>
        <w:t/>
      </w:r>
      <w:r>
        <w:rPr>
          <w:rFonts w:ascii="Arial" w:cs="Arial" w:eastAsia="Arial" w:hAnsi="Arial"/>
          <w:sz w:val="10"/>
          <w:szCs w:val="10"/>
          <w:color w:val="634140"/>
        </w:rPr>
        <w:t xml:space="preserve"> Wcaspgrgcq</w:t>
      </w:r>
      <w:r>
        <w:rPr>
          <w:rFonts w:ascii="PMingLiU" w:cs="PMingLiU" w:eastAsia="PMingLiU" w:hAnsi="PMingLiU"/>
          <w:sz w:val="10"/>
          <w:szCs w:val="10"/>
          <w:color w:val="634140"/>
        </w:rPr>
        <w:t/>
      </w:r>
      <w:r>
        <w:rPr>
          <w:rFonts w:ascii="Arial" w:cs="Arial" w:eastAsia="Arial" w:hAnsi="Arial"/>
          <w:sz w:val="10"/>
          <w:szCs w:val="10"/>
          <w:color w:val="634140"/>
        </w:rPr>
        <w:t xml:space="preserve"> Ivaf_lec</w:t>
      </w:r>
      <w:r>
        <w:rPr>
          <w:rFonts w:ascii="PMingLiU" w:cs="PMingLiU" w:eastAsia="PMingLiU" w:hAnsi="PMingLiU"/>
          <w:sz w:val="10"/>
          <w:szCs w:val="10"/>
          <w:color w:val="634140"/>
        </w:rPr>
        <w:t/>
      </w:r>
      <w:r>
        <w:rPr>
          <w:rFonts w:ascii="Arial" w:cs="Arial" w:eastAsia="Arial" w:hAnsi="Arial"/>
          <w:sz w:val="10"/>
          <w:szCs w:val="10"/>
          <w:color w:val="634140"/>
        </w:rPr>
        <w:t xml:space="preserve"> Ear</w:t>
      </w:r>
      <w:r>
        <w:rPr>
          <w:rFonts w:ascii="PMingLiU" w:cs="PMingLiU" w:eastAsia="PMingLiU" w:hAnsi="PMingLiU"/>
          <w:sz w:val="10"/>
          <w:szCs w:val="10"/>
          <w:color w:val="634140"/>
        </w:rPr>
        <w:t/>
      </w:r>
      <w:r>
        <w:rPr>
          <w:rFonts w:ascii="Arial" w:cs="Arial" w:eastAsia="Arial" w:hAnsi="Arial"/>
          <w:sz w:val="10"/>
          <w:szCs w:val="10"/>
          <w:color w:val="634140"/>
        </w:rPr>
        <w:t xml:space="preserve"> md</w:t>
      </w:r>
      <w:r>
        <w:rPr>
          <w:rFonts w:ascii="PMingLiU" w:cs="PMingLiU" w:eastAsia="PMingLiU" w:hAnsi="PMingLiU"/>
          <w:sz w:val="10"/>
          <w:szCs w:val="10"/>
          <w:color w:val="634140"/>
        </w:rPr>
        <w:t/>
      </w:r>
      <w:r>
        <w:rPr>
          <w:rFonts w:ascii="Arial" w:cs="Arial" w:eastAsia="Arial" w:hAnsi="Arial"/>
          <w:sz w:val="10"/>
          <w:szCs w:val="10"/>
          <w:color w:val="634140"/>
        </w:rPr>
        <w:t xml:space="preserve"> ˦ˮ˨˩</w:t>
      </w:r>
      <w:r>
        <w:rPr>
          <w:rFonts w:ascii="PMingLiU" w:cs="PMingLiU" w:eastAsia="PMingLiU" w:hAnsi="PMingLiU"/>
          <w:sz w:val="10"/>
          <w:szCs w:val="10"/>
          <w:color w:val="634140"/>
        </w:rPr>
        <w:t/>
      </w:r>
      <w:r>
        <w:rPr>
          <w:rFonts w:ascii="Arial" w:cs="Arial" w:eastAsia="Arial" w:hAnsi="Arial"/>
          <w:sz w:val="10"/>
          <w:szCs w:val="10"/>
          <w:color w:val="634140"/>
        </w:rPr>
        <w:t xml:space="preserve"> _q</w:t>
      </w:r>
      <w:r>
        <w:rPr>
          <w:rFonts w:ascii="PMingLiU" w:cs="PMingLiU" w:eastAsia="PMingLiU" w:hAnsi="PMingLiU"/>
          <w:sz w:val="10"/>
          <w:szCs w:val="10"/>
          <w:color w:val="634140"/>
        </w:rPr>
        <w:t/>
      </w:r>
      <w:r>
        <w:rPr>
          <w:rFonts w:ascii="Arial" w:cs="Arial" w:eastAsia="Arial" w:hAnsi="Arial"/>
          <w:sz w:val="10"/>
          <w:szCs w:val="10"/>
          <w:color w:val="634140"/>
        </w:rPr>
        <w:t xml:space="preserve"> _kclbcb</w:t>
      </w:r>
      <w:r>
        <w:rPr>
          <w:rFonts w:ascii="PMingLiU" w:cs="PMingLiU" w:eastAsia="PMingLiU" w:hAnsi="PMingLiU"/>
          <w:sz w:val="10"/>
          <w:szCs w:val="10"/>
          <w:color w:val="634140"/>
        </w:rPr>
        <w:t/>
      </w:r>
      <w:r>
        <w:rPr>
          <w:rFonts w:ascii="Arial" w:cs="Arial" w:eastAsia="Arial" w:hAnsi="Arial"/>
          <w:sz w:val="10"/>
          <w:szCs w:val="10"/>
          <w:color w:val="634140"/>
        </w:rPr>
        <w:t xml:space="preserve"> Xfcqc</w:t>
      </w:r>
      <w:r>
        <w:rPr>
          <w:rFonts w:ascii="PMingLiU" w:cs="PMingLiU" w:eastAsia="PMingLiU" w:hAnsi="PMingLiU"/>
          <w:sz w:val="10"/>
          <w:szCs w:val="10"/>
          <w:color w:val="634140"/>
        </w:rPr>
        <w:t/>
      </w:r>
      <w:r>
        <w:rPr>
          <w:rFonts w:ascii="Arial" w:cs="Arial" w:eastAsia="Arial" w:hAnsi="Arial"/>
          <w:sz w:val="10"/>
          <w:szCs w:val="10"/>
          <w:color w:val="634140"/>
        </w:rPr>
        <w:t xml:space="preserve"> dmpu_pb&amp;jmmigle</w:t>
      </w:r>
      <w:r>
        <w:rPr>
          <w:rFonts w:ascii="PMingLiU" w:cs="PMingLiU" w:eastAsia="PMingLiU" w:hAnsi="PMingLiU"/>
          <w:sz w:val="10"/>
          <w:szCs w:val="10"/>
          <w:color w:val="634140"/>
        </w:rPr>
        <w:t/>
      </w:r>
      <w:r>
        <w:rPr>
          <w:rFonts w:ascii="Arial" w:cs="Arial" w:eastAsia="Arial" w:hAnsi="Arial"/>
          <w:sz w:val="10"/>
          <w:szCs w:val="10"/>
          <w:color w:val="634140"/>
        </w:rPr>
        <w:t xml:space="preserve"> qr_rckclrq</w:t>
      </w:r>
      <w:r>
        <w:rPr>
          <w:rFonts w:ascii="PMingLiU" w:cs="PMingLiU" w:eastAsia="PMingLiU" w:hAnsi="PMingLiU"/>
          <w:sz w:val="10"/>
          <w:szCs w:val="10"/>
          <w:color w:val="634140"/>
        </w:rPr>
        <w:t/>
      </w:r>
      <w:r>
        <w:rPr>
          <w:rFonts w:ascii="Arial" w:cs="Arial" w:eastAsia="Arial" w:hAnsi="Arial"/>
          <w:sz w:val="10"/>
          <w:szCs w:val="10"/>
          <w:color w:val="634140"/>
        </w:rPr>
        <w:t xml:space="preserve"> _pc</w:t>
      </w:r>
      <w:r>
        <w:rPr>
          <w:rFonts w:ascii="PMingLiU" w:cs="PMingLiU" w:eastAsia="PMingLiU" w:hAnsi="PMingLiU"/>
          <w:sz w:val="10"/>
          <w:szCs w:val="10"/>
          <w:color w:val="634140"/>
        </w:rPr>
        <w:t/>
      </w:r>
      <w:r>
        <w:rPr>
          <w:rFonts w:ascii="Arial" w:cs="Arial" w:eastAsia="Arial" w:hAnsi="Arial"/>
          <w:sz w:val="10"/>
          <w:szCs w:val="10"/>
          <w:color w:val="634140"/>
        </w:rPr>
        <w:t>lmr</w:t>
      </w:r>
      <w:r>
        <w:rPr>
          <w:rFonts w:ascii="PMingLiU" w:cs="PMingLiU" w:eastAsia="PMingLiU" w:hAnsi="PMingLiU"/>
          <w:sz w:val="10"/>
          <w:szCs w:val="10"/>
          <w:color w:val="634140"/>
        </w:rPr>
        <w:t/>
      </w:r>
      <w:r>
        <w:rPr>
          <w:rFonts w:ascii="Arial" w:cs="Arial" w:eastAsia="Arial" w:hAnsi="Arial"/>
          <w:sz w:val="10"/>
          <w:szCs w:val="10"/>
          <w:color w:val="634140"/>
        </w:rPr>
        <w:t>fgqrmpga_j</w:t>
      </w:r>
      <w:r>
        <w:rPr>
          <w:rFonts w:ascii="PMingLiU" w:cs="PMingLiU" w:eastAsia="PMingLiU" w:hAnsi="PMingLiU"/>
          <w:sz w:val="10"/>
          <w:szCs w:val="10"/>
          <w:color w:val="634140"/>
        </w:rPr>
        <w:t/>
      </w:r>
      <w:r>
        <w:rPr>
          <w:rFonts w:ascii="Arial" w:cs="Arial" w:eastAsia="Arial" w:hAnsi="Arial"/>
          <w:sz w:val="10"/>
          <w:szCs w:val="10"/>
          <w:color w:val="634140"/>
        </w:rPr>
        <w:t>d_arq</w:t>
      </w:r>
      <w:r>
        <w:rPr>
          <w:rFonts w:ascii="PMingLiU" w:cs="PMingLiU" w:eastAsia="PMingLiU" w:hAnsi="PMingLiU"/>
          <w:sz w:val="10"/>
          <w:szCs w:val="10"/>
          <w:color w:val="634140"/>
        </w:rPr>
        <w:t/>
      </w:r>
      <w:r>
        <w:rPr>
          <w:rFonts w:ascii="Arial" w:cs="Arial" w:eastAsia="Arial" w:hAnsi="Arial"/>
          <w:sz w:val="10"/>
          <w:szCs w:val="10"/>
          <w:color w:val="634140"/>
        </w:rPr>
        <w:t>_lb</w:t>
      </w:r>
      <w:r>
        <w:rPr>
          <w:rFonts w:ascii="PMingLiU" w:cs="PMingLiU" w:eastAsia="PMingLiU" w:hAnsi="PMingLiU"/>
          <w:sz w:val="10"/>
          <w:szCs w:val="10"/>
          <w:color w:val="634140"/>
        </w:rPr>
        <w:t/>
      </w:r>
      <w:r>
        <w:rPr>
          <w:rFonts w:ascii="Arial" w:cs="Arial" w:eastAsia="Arial" w:hAnsi="Arial"/>
          <w:sz w:val="10"/>
          <w:szCs w:val="10"/>
          <w:color w:val="634140"/>
        </w:rPr>
        <w:t>eclcp_jjw</w:t>
      </w:r>
      <w:r>
        <w:rPr>
          <w:rFonts w:ascii="PMingLiU" w:cs="PMingLiU" w:eastAsia="PMingLiU" w:hAnsi="PMingLiU"/>
          <w:sz w:val="10"/>
          <w:szCs w:val="10"/>
          <w:color w:val="634140"/>
        </w:rPr>
        <w:t/>
      </w:r>
      <w:r>
        <w:rPr>
          <w:rFonts w:ascii="Arial" w:cs="Arial" w:eastAsia="Arial" w:hAnsi="Arial"/>
          <w:sz w:val="10"/>
          <w:szCs w:val="10"/>
          <w:color w:val="634140"/>
        </w:rPr>
        <w:t>_pc</w:t>
      </w:r>
      <w:r>
        <w:rPr>
          <w:rFonts w:ascii="PMingLiU" w:cs="PMingLiU" w:eastAsia="PMingLiU" w:hAnsi="PMingLiU"/>
          <w:sz w:val="10"/>
          <w:szCs w:val="10"/>
          <w:color w:val="634140"/>
        </w:rPr>
        <w:t/>
      </w:r>
      <w:r>
        <w:rPr>
          <w:rFonts w:ascii="Arial" w:cs="Arial" w:eastAsia="Arial" w:hAnsi="Arial"/>
          <w:sz w:val="10"/>
          <w:szCs w:val="10"/>
          <w:color w:val="634140"/>
        </w:rPr>
        <w:t>gbclrgficb</w:t>
      </w:r>
      <w:r>
        <w:rPr>
          <w:rFonts w:ascii="PMingLiU" w:cs="PMingLiU" w:eastAsia="PMingLiU" w:hAnsi="PMingLiU"/>
          <w:sz w:val="10"/>
          <w:szCs w:val="10"/>
          <w:color w:val="634140"/>
        </w:rPr>
        <w:t/>
      </w:r>
      <w:r>
        <w:rPr>
          <w:rFonts w:ascii="Arial" w:cs="Arial" w:eastAsia="Arial" w:hAnsi="Arial"/>
          <w:sz w:val="10"/>
          <w:szCs w:val="10"/>
          <w:color w:val="634140"/>
        </w:rPr>
        <w:t>`w</w:t>
      </w:r>
      <w:r>
        <w:rPr>
          <w:rFonts w:ascii="PMingLiU" w:cs="PMingLiU" w:eastAsia="PMingLiU" w:hAnsi="PMingLiU"/>
          <w:sz w:val="10"/>
          <w:szCs w:val="10"/>
          <w:color w:val="634140"/>
        </w:rPr>
        <w:t/>
      </w:r>
      <w:r>
        <w:rPr>
          <w:rFonts w:ascii="Arial" w:cs="Arial" w:eastAsia="Arial" w:hAnsi="Arial"/>
          <w:sz w:val="10"/>
          <w:szCs w:val="10"/>
          <w:color w:val="634140"/>
        </w:rPr>
        <w:t>umpbq</w:t>
      </w:r>
      <w:r>
        <w:rPr>
          <w:rFonts w:ascii="PMingLiU" w:cs="PMingLiU" w:eastAsia="PMingLiU" w:hAnsi="PMingLiU"/>
          <w:sz w:val="10"/>
          <w:szCs w:val="10"/>
          <w:color w:val="634140"/>
        </w:rPr>
        <w:t/>
      </w:r>
      <w:r>
        <w:rPr>
          <w:rFonts w:ascii="Arial" w:cs="Arial" w:eastAsia="Arial" w:hAnsi="Arial"/>
          <w:sz w:val="10"/>
          <w:szCs w:val="10"/>
          <w:color w:val="634140"/>
        </w:rPr>
        <w:t>qsaf</w:t>
      </w:r>
      <w:r>
        <w:rPr>
          <w:rFonts w:ascii="PMingLiU" w:cs="PMingLiU" w:eastAsia="PMingLiU" w:hAnsi="PMingLiU"/>
          <w:sz w:val="10"/>
          <w:szCs w:val="10"/>
          <w:color w:val="634140"/>
        </w:rPr>
        <w:t/>
      </w:r>
      <w:r>
        <w:rPr>
          <w:rFonts w:ascii="Arial" w:cs="Arial" w:eastAsia="Arial" w:hAnsi="Arial"/>
          <w:sz w:val="10"/>
          <w:szCs w:val="10"/>
          <w:color w:val="634140"/>
        </w:rPr>
        <w:t>_q</w:t>
      </w:r>
      <w:r>
        <w:rPr>
          <w:rFonts w:ascii="PMingLiU" w:cs="PMingLiU" w:eastAsia="PMingLiU" w:hAnsi="PMingLiU"/>
          <w:sz w:val="10"/>
          <w:szCs w:val="10"/>
          <w:color w:val="634140"/>
        </w:rPr>
        <w:t/>
      </w:r>
      <w:r>
        <w:rPr>
          <w:rFonts w:ascii="Arial" w:cs="Arial" w:eastAsia="Arial" w:hAnsi="Arial"/>
          <w:sz w:val="10"/>
          <w:szCs w:val="10"/>
          <w:color w:val="634140"/>
        </w:rPr>
        <w:t>_lrgagn_rcq</w:t>
      </w:r>
      <w:r>
        <w:rPr>
          <w:rFonts w:ascii="PMingLiU" w:cs="PMingLiU" w:eastAsia="PMingLiU" w:hAnsi="PMingLiU"/>
          <w:sz w:val="10"/>
          <w:szCs w:val="10"/>
          <w:color w:val="634140"/>
        </w:rPr>
        <w:t> </w:t>
      </w:r>
      <w:r>
        <w:rPr>
          <w:rFonts w:ascii="Arial" w:cs="Arial" w:eastAsia="Arial" w:hAnsi="Arial"/>
          <w:sz w:val="10"/>
          <w:szCs w:val="10"/>
          <w:color w:val="634140"/>
        </w:rPr>
        <w:t xml:space="preserve"> </w:t>
      </w:r>
      <w:r>
        <w:rPr>
          <w:rFonts w:ascii="PMingLiU" w:cs="PMingLiU" w:eastAsia="PMingLiU" w:hAnsi="PMingLiU"/>
          <w:sz w:val="10"/>
          <w:szCs w:val="10"/>
          <w:color w:val="634140"/>
        </w:rPr>
        <w:t/>
      </w:r>
      <w:r>
        <w:rPr>
          <w:rFonts w:ascii="Arial" w:cs="Arial" w:eastAsia="Arial" w:hAnsi="Arial"/>
          <w:sz w:val="10"/>
          <w:szCs w:val="10"/>
          <w:color w:val="634140"/>
        </w:rPr>
        <w:t>`cjgctcq</w:t>
      </w:r>
      <w:r>
        <w:rPr>
          <w:rFonts w:ascii="PMingLiU" w:cs="PMingLiU" w:eastAsia="PMingLiU" w:hAnsi="PMingLiU"/>
          <w:sz w:val="10"/>
          <w:szCs w:val="10"/>
          <w:color w:val="634140"/>
        </w:rPr>
        <w:t> </w:t>
      </w:r>
      <w:r>
        <w:rPr>
          <w:rFonts w:ascii="Arial" w:cs="Arial" w:eastAsia="Arial" w:hAnsi="Arial"/>
          <w:sz w:val="10"/>
          <w:szCs w:val="10"/>
          <w:color w:val="634140"/>
        </w:rPr>
        <w:t>cqrgk_rcq</w:t>
      </w:r>
      <w:r>
        <w:rPr>
          <w:rFonts w:ascii="PMingLiU" w:cs="PMingLiU" w:eastAsia="PMingLiU" w:hAnsi="PMingLiU"/>
          <w:sz w:val="10"/>
          <w:szCs w:val="10"/>
          <w:color w:val="634140"/>
        </w:rPr>
        <w:t> </w:t>
      </w:r>
      <w:r>
        <w:rPr>
          <w:rFonts w:ascii="Arial" w:cs="Arial" w:eastAsia="Arial" w:hAnsi="Arial"/>
          <w:sz w:val="10"/>
          <w:szCs w:val="10"/>
          <w:color w:val="634140"/>
        </w:rPr>
        <w:t>cvncarq</w:t>
      </w:r>
      <w:r>
        <w:rPr>
          <w:rFonts w:ascii="PMingLiU" w:cs="PMingLiU" w:eastAsia="PMingLiU" w:hAnsi="PMingLiU"/>
          <w:sz w:val="10"/>
          <w:szCs w:val="10"/>
          <w:color w:val="634140"/>
        </w:rPr>
        <w:t> </w:t>
      </w:r>
      <w:r>
        <w:rPr>
          <w:rFonts w:ascii="Arial" w:cs="Arial" w:eastAsia="Arial" w:hAnsi="Arial"/>
          <w:sz w:val="10"/>
          <w:szCs w:val="10"/>
          <w:color w:val="634140"/>
        </w:rPr>
        <w:t>gq</w:t>
      </w:r>
      <w:r>
        <w:rPr>
          <w:rFonts w:ascii="PMingLiU" w:cs="PMingLiU" w:eastAsia="PMingLiU" w:hAnsi="PMingLiU"/>
          <w:sz w:val="10"/>
          <w:szCs w:val="10"/>
          <w:color w:val="634140"/>
        </w:rPr>
        <w:t/>
      </w:r>
      <w:r>
        <w:rPr>
          <w:rFonts w:ascii="Arial" w:cs="Arial" w:eastAsia="Arial" w:hAnsi="Arial"/>
          <w:sz w:val="10"/>
          <w:szCs w:val="10"/>
          <w:color w:val="634140"/>
        </w:rPr>
        <w:t>jgicjw</w:t>
      </w:r>
      <w:r>
        <w:rPr>
          <w:rFonts w:ascii="PMingLiU" w:cs="PMingLiU" w:eastAsia="PMingLiU" w:hAnsi="PMingLiU"/>
          <w:sz w:val="10"/>
          <w:szCs w:val="10"/>
          <w:color w:val="634140"/>
        </w:rPr>
        <w:t> </w:t>
      </w:r>
      <w:r>
        <w:rPr>
          <w:rFonts w:ascii="Arial" w:cs="Arial" w:eastAsia="Arial" w:hAnsi="Arial"/>
          <w:sz w:val="10"/>
          <w:szCs w:val="10"/>
          <w:color w:val="634140"/>
        </w:rPr>
        <w:t>npcbgarq</w:t>
      </w:r>
      <w:r>
        <w:rPr>
          <w:rFonts w:ascii="PMingLiU" w:cs="PMingLiU" w:eastAsia="PMingLiU" w:hAnsi="PMingLiU"/>
          <w:sz w:val="10"/>
          <w:szCs w:val="10"/>
          <w:color w:val="634140"/>
        </w:rPr>
        <w:t> </w:t>
      </w:r>
      <w:r>
        <w:rPr>
          <w:rFonts w:ascii="Arial" w:cs="Arial" w:eastAsia="Arial" w:hAnsi="Arial"/>
          <w:sz w:val="10"/>
          <w:szCs w:val="10"/>
          <w:color w:val="634140"/>
        </w:rPr>
        <w:t>npmhcarq</w:t>
      </w:r>
      <w:r>
        <w:rPr>
          <w:rFonts w:ascii="PMingLiU" w:cs="PMingLiU" w:eastAsia="PMingLiU" w:hAnsi="PMingLiU"/>
          <w:sz w:val="10"/>
          <w:szCs w:val="10"/>
          <w:color w:val="634140"/>
        </w:rPr>
        <w:t> </w:t>
      </w:r>
      <w:r>
        <w:rPr>
          <w:rFonts w:ascii="Arial" w:cs="Arial" w:eastAsia="Arial" w:hAnsi="Arial"/>
          <w:sz w:val="10"/>
          <w:szCs w:val="10"/>
          <w:color w:val="634140"/>
        </w:rPr>
        <w:t>dmpca_qrq</w:t>
      </w:r>
      <w:r>
        <w:rPr>
          <w:rFonts w:ascii="PMingLiU" w:cs="PMingLiU" w:eastAsia="PMingLiU" w:hAnsi="PMingLiU"/>
          <w:sz w:val="10"/>
          <w:szCs w:val="10"/>
          <w:color w:val="634140"/>
        </w:rPr>
        <w:t> </w:t>
      </w:r>
      <w:r>
        <w:rPr>
          <w:rFonts w:ascii="Arial" w:cs="Arial" w:eastAsia="Arial" w:hAnsi="Arial"/>
          <w:sz w:val="10"/>
          <w:szCs w:val="10"/>
          <w:color w:val="634140"/>
        </w:rPr>
        <w:t>k_w</w:t>
      </w:r>
      <w:r>
        <w:rPr>
          <w:rFonts w:ascii="PMingLiU" w:cs="PMingLiU" w:eastAsia="PMingLiU" w:hAnsi="PMingLiU"/>
          <w:sz w:val="10"/>
          <w:szCs w:val="10"/>
          <w:color w:val="634140"/>
        </w:rPr>
        <w:t> </w:t>
      </w:r>
      <w:r>
        <w:rPr>
          <w:rFonts w:ascii="Arial" w:cs="Arial" w:eastAsia="Arial" w:hAnsi="Arial"/>
          <w:sz w:val="10"/>
          <w:szCs w:val="10"/>
          <w:color w:val="634140"/>
        </w:rPr>
        <w:t xml:space="preserve"> </w:t>
      </w:r>
      <w:r>
        <w:rPr>
          <w:rFonts w:ascii="PMingLiU" w:cs="PMingLiU" w:eastAsia="PMingLiU" w:hAnsi="PMingLiU"/>
          <w:sz w:val="10"/>
          <w:szCs w:val="10"/>
          <w:color w:val="634140"/>
        </w:rPr>
        <w:t/>
      </w:r>
      <w:r>
        <w:rPr>
          <w:rFonts w:ascii="Arial" w:cs="Arial" w:eastAsia="Arial" w:hAnsi="Arial"/>
          <w:sz w:val="10"/>
          <w:szCs w:val="10"/>
          <w:color w:val="634140"/>
        </w:rPr>
        <w:t>ugjj</w:t>
      </w:r>
      <w:r>
        <w:rPr>
          <w:rFonts w:ascii="PMingLiU" w:cs="PMingLiU" w:eastAsia="PMingLiU" w:hAnsi="PMingLiU"/>
          <w:sz w:val="10"/>
          <w:szCs w:val="10"/>
          <w:color w:val="634140"/>
        </w:rPr>
        <w:t> </w:t>
      </w:r>
      <w:r>
        <w:rPr>
          <w:rFonts w:ascii="Arial" w:cs="Arial" w:eastAsia="Arial" w:hAnsi="Arial"/>
          <w:sz w:val="10"/>
          <w:szCs w:val="10"/>
          <w:color w:val="634140"/>
        </w:rPr>
        <w:t>qfmsjb</w:t>
      </w:r>
      <w:r>
        <w:rPr>
          <w:rFonts w:ascii="PMingLiU" w:cs="PMingLiU" w:eastAsia="PMingLiU" w:hAnsi="PMingLiU"/>
          <w:sz w:val="10"/>
          <w:szCs w:val="10"/>
          <w:color w:val="634140"/>
        </w:rPr>
        <w:t> </w:t>
      </w:r>
      <w:r>
        <w:rPr>
          <w:rFonts w:ascii="Arial" w:cs="Arial" w:eastAsia="Arial" w:hAnsi="Arial"/>
          <w:sz w:val="10"/>
          <w:szCs w:val="10"/>
          <w:color w:val="634140"/>
        </w:rPr>
        <w:t>_lb</w:t>
      </w:r>
      <w:r>
        <w:rPr>
          <w:rFonts w:ascii="PMingLiU" w:cs="PMingLiU" w:eastAsia="PMingLiU" w:hAnsi="PMingLiU"/>
          <w:sz w:val="10"/>
          <w:szCs w:val="10"/>
          <w:color w:val="634140"/>
        </w:rPr>
        <w:t/>
      </w:r>
      <w:r>
        <w:rPr>
          <w:rFonts w:ascii="Arial" w:cs="Arial" w:eastAsia="Arial" w:hAnsi="Arial"/>
          <w:sz w:val="10"/>
          <w:szCs w:val="10"/>
          <w:color w:val="634140"/>
        </w:rPr>
        <w:t xml:space="preserve">glrclbq </w:t>
      </w:r>
      <w:r>
        <w:rPr>
          <w:rFonts w:ascii="PMingLiU" w:cs="PMingLiU" w:eastAsia="PMingLiU" w:hAnsi="PMingLiU"/>
          <w:sz w:val="10"/>
          <w:szCs w:val="10"/>
          <w:color w:val="634140"/>
        </w:rPr>
        <w:t/>
      </w:r>
      <w:r>
        <w:rPr>
          <w:rFonts w:ascii="Arial" w:cs="Arial" w:eastAsia="Arial" w:hAnsi="Arial"/>
          <w:sz w:val="10"/>
          <w:szCs w:val="10"/>
          <w:color w:val="634140"/>
        </w:rPr>
        <w:t>_lb</w:t>
      </w:r>
      <w:r>
        <w:rPr>
          <w:rFonts w:ascii="PMingLiU" w:cs="PMingLiU" w:eastAsia="PMingLiU" w:hAnsi="PMingLiU"/>
          <w:sz w:val="10"/>
          <w:szCs w:val="10"/>
          <w:color w:val="634140"/>
        </w:rPr>
        <w:t/>
      </w:r>
      <w:r>
        <w:rPr>
          <w:rFonts w:ascii="Arial" w:cs="Arial" w:eastAsia="Arial" w:hAnsi="Arial"/>
          <w:sz w:val="10"/>
          <w:szCs w:val="10"/>
          <w:color w:val="634140"/>
        </w:rPr>
        <w:t>rfc</w:t>
      </w:r>
      <w:r>
        <w:rPr>
          <w:rFonts w:ascii="PMingLiU" w:cs="PMingLiU" w:eastAsia="PMingLiU" w:hAnsi="PMingLiU"/>
          <w:sz w:val="10"/>
          <w:szCs w:val="10"/>
          <w:color w:val="634140"/>
        </w:rPr>
        <w:t/>
      </w:r>
      <w:r>
        <w:rPr>
          <w:rFonts w:ascii="Arial" w:cs="Arial" w:eastAsia="Arial" w:hAnsi="Arial"/>
          <w:sz w:val="10"/>
          <w:szCs w:val="10"/>
          <w:color w:val="634140"/>
        </w:rPr>
        <w:t>lce_rgtc</w:t>
      </w:r>
      <w:r>
        <w:rPr>
          <w:rFonts w:ascii="PMingLiU" w:cs="PMingLiU" w:eastAsia="PMingLiU" w:hAnsi="PMingLiU"/>
          <w:sz w:val="10"/>
          <w:szCs w:val="10"/>
          <w:color w:val="634140"/>
        </w:rPr>
        <w:t/>
      </w:r>
      <w:r>
        <w:rPr>
          <w:rFonts w:ascii="Arial" w:cs="Arial" w:eastAsia="Arial" w:hAnsi="Arial"/>
          <w:sz w:val="10"/>
          <w:szCs w:val="10"/>
          <w:color w:val="634140"/>
        </w:rPr>
        <w:t>md</w:t>
      </w:r>
      <w:r>
        <w:rPr>
          <w:rFonts w:ascii="PMingLiU" w:cs="PMingLiU" w:eastAsia="PMingLiU" w:hAnsi="PMingLiU"/>
          <w:sz w:val="10"/>
          <w:szCs w:val="10"/>
          <w:color w:val="634140"/>
        </w:rPr>
        <w:t/>
      </w:r>
      <w:r>
        <w:rPr>
          <w:rFonts w:ascii="Arial" w:cs="Arial" w:eastAsia="Arial" w:hAnsi="Arial"/>
          <w:sz w:val="10"/>
          <w:szCs w:val="10"/>
          <w:color w:val="634140"/>
        </w:rPr>
        <w:t>rfcqc</w:t>
      </w:r>
      <w:r>
        <w:rPr>
          <w:rFonts w:ascii="PMingLiU" w:cs="PMingLiU" w:eastAsia="PMingLiU" w:hAnsi="PMingLiU"/>
          <w:sz w:val="10"/>
          <w:szCs w:val="10"/>
          <w:color w:val="634140"/>
        </w:rPr>
        <w:t/>
      </w:r>
      <w:r>
        <w:rPr>
          <w:rFonts w:ascii="Arial" w:cs="Arial" w:eastAsia="Arial" w:hAnsi="Arial"/>
          <w:sz w:val="10"/>
          <w:szCs w:val="10"/>
          <w:color w:val="634140"/>
        </w:rPr>
        <w:t>umpbq</w:t>
      </w:r>
      <w:r>
        <w:rPr>
          <w:rFonts w:ascii="PMingLiU" w:cs="PMingLiU" w:eastAsia="PMingLiU" w:hAnsi="PMingLiU"/>
          <w:sz w:val="10"/>
          <w:szCs w:val="10"/>
          <w:color w:val="634140"/>
        </w:rPr>
        <w:t/>
      </w:r>
      <w:r>
        <w:rPr>
          <w:rFonts w:ascii="Arial" w:cs="Arial" w:eastAsia="Arial" w:hAnsi="Arial"/>
          <w:sz w:val="10"/>
          <w:szCs w:val="10"/>
          <w:color w:val="634140"/>
        </w:rPr>
        <w:t>mp</w:t>
      </w:r>
      <w:r>
        <w:rPr>
          <w:rFonts w:ascii="PMingLiU" w:cs="PMingLiU" w:eastAsia="PMingLiU" w:hAnsi="PMingLiU"/>
          <w:sz w:val="10"/>
          <w:szCs w:val="10"/>
          <w:color w:val="634140"/>
        </w:rPr>
        <w:t/>
      </w:r>
      <w:r>
        <w:rPr>
          <w:rFonts w:ascii="Arial" w:cs="Arial" w:eastAsia="Arial" w:hAnsi="Arial"/>
          <w:sz w:val="10"/>
          <w:szCs w:val="10"/>
          <w:color w:val="634140"/>
        </w:rPr>
        <w:t>mrfcp</w:t>
      </w:r>
      <w:r>
        <w:rPr>
          <w:rFonts w:ascii="PMingLiU" w:cs="PMingLiU" w:eastAsia="PMingLiU" w:hAnsi="PMingLiU"/>
          <w:sz w:val="10"/>
          <w:szCs w:val="10"/>
          <w:color w:val="634140"/>
        </w:rPr>
        <w:t/>
      </w:r>
      <w:r>
        <w:rPr>
          <w:rFonts w:ascii="Arial" w:cs="Arial" w:eastAsia="Arial" w:hAnsi="Arial"/>
          <w:sz w:val="10"/>
          <w:szCs w:val="10"/>
          <w:color w:val="634140"/>
        </w:rPr>
        <w:t>amkn_p_`jc</w:t>
      </w:r>
      <w:r>
        <w:rPr>
          <w:rFonts w:ascii="PMingLiU" w:cs="PMingLiU" w:eastAsia="PMingLiU" w:hAnsi="PMingLiU"/>
          <w:sz w:val="10"/>
          <w:szCs w:val="10"/>
          <w:color w:val="634140"/>
        </w:rPr>
        <w:t/>
      </w:r>
      <w:r>
        <w:rPr>
          <w:rFonts w:ascii="Arial" w:cs="Arial" w:eastAsia="Arial" w:hAnsi="Arial"/>
          <w:sz w:val="10"/>
          <w:szCs w:val="10"/>
          <w:color w:val="634140"/>
        </w:rPr>
        <w:t xml:space="preserve"> rcpkglmjmew</w:t>
      </w:r>
      <w:r>
        <w:rPr>
          <w:rFonts w:ascii="PMingLiU" w:cs="PMingLiU" w:eastAsia="PMingLiU" w:hAnsi="PMingLiU"/>
          <w:sz w:val="10"/>
          <w:szCs w:val="10"/>
          <w:color w:val="634140"/>
        </w:rPr>
        <w:t/>
      </w:r>
      <w:r>
        <w:rPr>
          <w:rFonts w:ascii="Arial" w:cs="Arial" w:eastAsia="Arial" w:hAnsi="Arial"/>
          <w:sz w:val="10"/>
          <w:szCs w:val="10"/>
          <w:color w:val="634140"/>
        </w:rPr>
        <w:t xml:space="preserve"> Ejrfmsef</w:t>
      </w:r>
      <w:r>
        <w:rPr>
          <w:rFonts w:ascii="PMingLiU" w:cs="PMingLiU" w:eastAsia="PMingLiU" w:hAnsi="PMingLiU"/>
          <w:sz w:val="10"/>
          <w:szCs w:val="10"/>
          <w:color w:val="634140"/>
        </w:rPr>
        <w:t/>
      </w:r>
      <w:r>
        <w:rPr>
          <w:rFonts w:ascii="Arial" w:cs="Arial" w:eastAsia="Arial" w:hAnsi="Arial"/>
          <w:sz w:val="10"/>
          <w:szCs w:val="10"/>
          <w:color w:val="634140"/>
        </w:rPr>
        <w:t xml:space="preserve"> Eqfj_lb</w:t>
      </w:r>
      <w:r>
        <w:rPr>
          <w:rFonts w:ascii="PMingLiU" w:cs="PMingLiU" w:eastAsia="PMingLiU" w:hAnsi="PMingLiU"/>
          <w:sz w:val="10"/>
          <w:szCs w:val="10"/>
          <w:color w:val="634140"/>
        </w:rPr>
        <w:t/>
      </w:r>
      <w:r>
        <w:rPr>
          <w:rFonts w:ascii="Arial" w:cs="Arial" w:eastAsia="Arial" w:hAnsi="Arial"/>
          <w:sz w:val="10"/>
          <w:szCs w:val="10"/>
          <w:color w:val="634140"/>
        </w:rPr>
        <w:t xml:space="preserve"> `cjgctcq</w:t>
      </w:r>
      <w:r>
        <w:rPr>
          <w:rFonts w:ascii="PMingLiU" w:cs="PMingLiU" w:eastAsia="PMingLiU" w:hAnsi="PMingLiU"/>
          <w:sz w:val="10"/>
          <w:szCs w:val="10"/>
          <w:color w:val="634140"/>
        </w:rPr>
        <w:t/>
      </w:r>
      <w:r>
        <w:rPr>
          <w:rFonts w:ascii="Arial" w:cs="Arial" w:eastAsia="Arial" w:hAnsi="Arial"/>
          <w:sz w:val="10"/>
          <w:szCs w:val="10"/>
          <w:color w:val="634140"/>
        </w:rPr>
        <w:t xml:space="preserve"> rf_r</w:t>
      </w:r>
      <w:r>
        <w:rPr>
          <w:rFonts w:ascii="PMingLiU" w:cs="PMingLiU" w:eastAsia="PMingLiU" w:hAnsi="PMingLiU"/>
          <w:sz w:val="10"/>
          <w:szCs w:val="10"/>
          <w:color w:val="634140"/>
        </w:rPr>
        <w:t/>
      </w:r>
      <w:r>
        <w:rPr>
          <w:rFonts w:ascii="Arial" w:cs="Arial" w:eastAsia="Arial" w:hAnsi="Arial"/>
          <w:sz w:val="10"/>
          <w:szCs w:val="10"/>
          <w:color w:val="634140"/>
        </w:rPr>
        <w:t xml:space="preserve"> grq</w:t>
      </w:r>
      <w:r>
        <w:rPr>
          <w:rFonts w:ascii="PMingLiU" w:cs="PMingLiU" w:eastAsia="PMingLiU" w:hAnsi="PMingLiU"/>
          <w:sz w:val="10"/>
          <w:szCs w:val="10"/>
          <w:color w:val="634140"/>
        </w:rPr>
        <w:t/>
      </w:r>
      <w:r>
        <w:rPr>
          <w:rFonts w:ascii="Arial" w:cs="Arial" w:eastAsia="Arial" w:hAnsi="Arial"/>
          <w:sz w:val="10"/>
          <w:szCs w:val="10"/>
          <w:color w:val="634140"/>
        </w:rPr>
        <w:t xml:space="preserve"> cvncar_rgmlq</w:t>
      </w:r>
      <w:r>
        <w:rPr>
          <w:rFonts w:ascii="PMingLiU" w:cs="PMingLiU" w:eastAsia="PMingLiU" w:hAnsi="PMingLiU"/>
          <w:sz w:val="10"/>
          <w:szCs w:val="10"/>
          <w:color w:val="634140"/>
        </w:rPr>
        <w:t/>
      </w:r>
      <w:r>
        <w:rPr>
          <w:rFonts w:ascii="Arial" w:cs="Arial" w:eastAsia="Arial" w:hAnsi="Arial"/>
          <w:sz w:val="10"/>
          <w:szCs w:val="10"/>
          <w:color w:val="634140"/>
        </w:rPr>
        <w:t xml:space="preserve"> _pc</w:t>
      </w:r>
      <w:r>
        <w:rPr>
          <w:rFonts w:ascii="PMingLiU" w:cs="PMingLiU" w:eastAsia="PMingLiU" w:hAnsi="PMingLiU"/>
          <w:sz w:val="10"/>
          <w:szCs w:val="10"/>
          <w:color w:val="634140"/>
        </w:rPr>
        <w:t/>
      </w:r>
      <w:r>
        <w:rPr>
          <w:rFonts w:ascii="Arial" w:cs="Arial" w:eastAsia="Arial" w:hAnsi="Arial"/>
          <w:sz w:val="10"/>
          <w:szCs w:val="10"/>
          <w:color w:val="634140"/>
        </w:rPr>
        <w:t xml:space="preserve"> `_qcb</w:t>
      </w:r>
      <w:r>
        <w:rPr>
          <w:rFonts w:ascii="PMingLiU" w:cs="PMingLiU" w:eastAsia="PMingLiU" w:hAnsi="PMingLiU"/>
          <w:sz w:val="10"/>
          <w:szCs w:val="10"/>
          <w:color w:val="634140"/>
        </w:rPr>
        <w:t/>
      </w:r>
      <w:r>
        <w:rPr>
          <w:rFonts w:ascii="Arial" w:cs="Arial" w:eastAsia="Arial" w:hAnsi="Arial"/>
          <w:sz w:val="10"/>
          <w:szCs w:val="10"/>
          <w:color w:val="634140"/>
        </w:rPr>
        <w:t xml:space="preserve"> ml</w:t>
      </w:r>
      <w:r>
        <w:rPr>
          <w:rFonts w:ascii="PMingLiU" w:cs="PMingLiU" w:eastAsia="PMingLiU" w:hAnsi="PMingLiU"/>
          <w:sz w:val="10"/>
          <w:szCs w:val="10"/>
          <w:color w:val="634140"/>
        </w:rPr>
        <w:t/>
      </w:r>
      <w:r>
        <w:rPr>
          <w:rFonts w:ascii="Arial" w:cs="Arial" w:eastAsia="Arial" w:hAnsi="Arial"/>
          <w:sz w:val="10"/>
          <w:szCs w:val="10"/>
          <w:color w:val="634140"/>
        </w:rPr>
        <w:t xml:space="preserve"> pc_qml_`jc</w:t>
      </w:r>
      <w:r>
        <w:rPr>
          <w:rFonts w:ascii="PMingLiU" w:cs="PMingLiU" w:eastAsia="PMingLiU" w:hAnsi="PMingLiU"/>
          <w:sz w:val="10"/>
          <w:szCs w:val="10"/>
          <w:color w:val="634140"/>
        </w:rPr>
        <w:t/>
      </w:r>
      <w:r>
        <w:rPr>
          <w:rFonts w:ascii="Arial" w:cs="Arial" w:eastAsia="Arial" w:hAnsi="Arial"/>
          <w:sz w:val="10"/>
          <w:szCs w:val="10"/>
          <w:color w:val="634140"/>
        </w:rPr>
        <w:t>_qqsknrgmlq</w:t>
      </w:r>
      <w:r>
        <w:rPr>
          <w:rFonts w:ascii="PMingLiU" w:cs="PMingLiU" w:eastAsia="PMingLiU" w:hAnsi="PMingLiU"/>
          <w:sz w:val="10"/>
          <w:szCs w:val="10"/>
          <w:color w:val="634140"/>
        </w:rPr>
        <w:t/>
      </w:r>
      <w:r>
        <w:rPr>
          <w:rFonts w:ascii="Arial" w:cs="Arial" w:eastAsia="Arial" w:hAnsi="Arial"/>
          <w:sz w:val="10"/>
          <w:szCs w:val="10"/>
          <w:color w:val="634140"/>
        </w:rPr>
        <w:t>qsaf</w:t>
      </w:r>
      <w:r>
        <w:rPr>
          <w:rFonts w:ascii="PMingLiU" w:cs="PMingLiU" w:eastAsia="PMingLiU" w:hAnsi="PMingLiU"/>
          <w:sz w:val="10"/>
          <w:szCs w:val="10"/>
          <w:color w:val="634140"/>
        </w:rPr>
        <w:t/>
      </w:r>
      <w:r>
        <w:rPr>
          <w:rFonts w:ascii="Arial" w:cs="Arial" w:eastAsia="Arial" w:hAnsi="Arial"/>
          <w:sz w:val="10"/>
          <w:szCs w:val="10"/>
          <w:color w:val="634140"/>
        </w:rPr>
        <w:t>cvncar_rgmlq</w:t>
      </w:r>
      <w:r>
        <w:rPr>
          <w:rFonts w:ascii="PMingLiU" w:cs="PMingLiU" w:eastAsia="PMingLiU" w:hAnsi="PMingLiU"/>
          <w:sz w:val="10"/>
          <w:szCs w:val="10"/>
          <w:color w:val="634140"/>
        </w:rPr>
        <w:t/>
      </w:r>
      <w:r>
        <w:rPr>
          <w:rFonts w:ascii="Arial" w:cs="Arial" w:eastAsia="Arial" w:hAnsi="Arial"/>
          <w:sz w:val="10"/>
          <w:szCs w:val="10"/>
          <w:color w:val="634140"/>
        </w:rPr>
        <w:t>_pc</w:t>
      </w:r>
      <w:r>
        <w:rPr>
          <w:rFonts w:ascii="PMingLiU" w:cs="PMingLiU" w:eastAsia="PMingLiU" w:hAnsi="PMingLiU"/>
          <w:sz w:val="10"/>
          <w:szCs w:val="10"/>
          <w:color w:val="634140"/>
        </w:rPr>
        <w:t/>
      </w:r>
      <w:r>
        <w:rPr>
          <w:rFonts w:ascii="Arial" w:cs="Arial" w:eastAsia="Arial" w:hAnsi="Arial"/>
          <w:sz w:val="10"/>
          <w:szCs w:val="10"/>
          <w:color w:val="634140"/>
        </w:rPr>
        <w:t>qs`hcar</w:t>
      </w:r>
      <w:r>
        <w:rPr>
          <w:rFonts w:ascii="PMingLiU" w:cs="PMingLiU" w:eastAsia="PMingLiU" w:hAnsi="PMingLiU"/>
          <w:sz w:val="10"/>
          <w:szCs w:val="10"/>
          <w:color w:val="634140"/>
        </w:rPr>
        <w:t/>
      </w:r>
      <w:r>
        <w:rPr>
          <w:rFonts w:ascii="Arial" w:cs="Arial" w:eastAsia="Arial" w:hAnsi="Arial"/>
          <w:sz w:val="10"/>
          <w:szCs w:val="10"/>
          <w:color w:val="634140"/>
        </w:rPr>
        <w:t>rm</w:t>
      </w:r>
      <w:r>
        <w:rPr>
          <w:rFonts w:ascii="PMingLiU" w:cs="PMingLiU" w:eastAsia="PMingLiU" w:hAnsi="PMingLiU"/>
          <w:sz w:val="10"/>
          <w:szCs w:val="10"/>
          <w:color w:val="634140"/>
        </w:rPr>
        <w:t/>
      </w:r>
      <w:r>
        <w:rPr>
          <w:rFonts w:ascii="Arial" w:cs="Arial" w:eastAsia="Arial" w:hAnsi="Arial"/>
          <w:sz w:val="10"/>
          <w:szCs w:val="10"/>
          <w:color w:val="634140"/>
        </w:rPr>
        <w:t>pgqiq</w:t>
      </w:r>
      <w:r>
        <w:rPr>
          <w:rFonts w:ascii="PMingLiU" w:cs="PMingLiU" w:eastAsia="PMingLiU" w:hAnsi="PMingLiU"/>
          <w:sz w:val="10"/>
          <w:szCs w:val="10"/>
          <w:color w:val="634140"/>
        </w:rPr>
        <w:t/>
      </w:r>
      <w:r>
        <w:rPr>
          <w:rFonts w:ascii="Arial" w:cs="Arial" w:eastAsia="Arial" w:hAnsi="Arial"/>
          <w:sz w:val="10"/>
          <w:szCs w:val="10"/>
          <w:color w:val="634140"/>
        </w:rPr>
        <w:t>_lb</w:t>
      </w:r>
      <w:r>
        <w:rPr>
          <w:rFonts w:ascii="PMingLiU" w:cs="PMingLiU" w:eastAsia="PMingLiU" w:hAnsi="PMingLiU"/>
          <w:sz w:val="10"/>
          <w:szCs w:val="10"/>
          <w:color w:val="634140"/>
        </w:rPr>
        <w:t/>
      </w:r>
      <w:r>
        <w:rPr>
          <w:rFonts w:ascii="Arial" w:cs="Arial" w:eastAsia="Arial" w:hAnsi="Arial"/>
          <w:sz w:val="10"/>
          <w:szCs w:val="10"/>
          <w:color w:val="634140"/>
        </w:rPr>
        <w:t>slacpr_glrgcq</w:t>
      </w:r>
      <w:r>
        <w:rPr>
          <w:rFonts w:ascii="PMingLiU" w:cs="PMingLiU" w:eastAsia="PMingLiU" w:hAnsi="PMingLiU"/>
          <w:sz w:val="10"/>
          <w:szCs w:val="10"/>
          <w:color w:val="634140"/>
        </w:rPr>
        <w:t/>
      </w:r>
      <w:r>
        <w:rPr>
          <w:rFonts w:ascii="Arial" w:cs="Arial" w:eastAsia="Arial" w:hAnsi="Arial"/>
          <w:sz w:val="10"/>
          <w:szCs w:val="10"/>
          <w:color w:val="634140"/>
        </w:rPr>
        <w:t xml:space="preserve"> rf_r</w:t>
      </w:r>
      <w:r>
        <w:rPr>
          <w:rFonts w:ascii="PMingLiU" w:cs="PMingLiU" w:eastAsia="PMingLiU" w:hAnsi="PMingLiU"/>
          <w:sz w:val="10"/>
          <w:szCs w:val="10"/>
          <w:color w:val="634140"/>
        </w:rPr>
        <w:t/>
      </w:r>
      <w:r>
        <w:rPr>
          <w:rFonts w:ascii="Arial" w:cs="Arial" w:eastAsia="Arial" w:hAnsi="Arial"/>
          <w:sz w:val="10"/>
          <w:szCs w:val="10"/>
          <w:color w:val="634140"/>
        </w:rPr>
        <w:t>_pc</w:t>
      </w:r>
      <w:r>
        <w:rPr>
          <w:rFonts w:ascii="PMingLiU" w:cs="PMingLiU" w:eastAsia="PMingLiU" w:hAnsi="PMingLiU"/>
          <w:sz w:val="10"/>
          <w:szCs w:val="10"/>
          <w:color w:val="634140"/>
        </w:rPr>
        <w:t/>
      </w:r>
      <w:r>
        <w:rPr>
          <w:rFonts w:ascii="Arial" w:cs="Arial" w:eastAsia="Arial" w:hAnsi="Arial"/>
          <w:sz w:val="10"/>
          <w:szCs w:val="10"/>
          <w:color w:val="634140"/>
        </w:rPr>
        <w:t>bgffiasjr</w:t>
      </w:r>
      <w:r>
        <w:rPr>
          <w:rFonts w:ascii="PMingLiU" w:cs="PMingLiU" w:eastAsia="PMingLiU" w:hAnsi="PMingLiU"/>
          <w:sz w:val="10"/>
          <w:szCs w:val="10"/>
          <w:color w:val="634140"/>
        </w:rPr>
        <w:t/>
      </w:r>
      <w:r>
        <w:rPr>
          <w:rFonts w:ascii="Arial" w:cs="Arial" w:eastAsia="Arial" w:hAnsi="Arial"/>
          <w:sz w:val="10"/>
          <w:szCs w:val="10"/>
          <w:color w:val="634140"/>
        </w:rPr>
        <w:t>rm</w:t>
      </w:r>
      <w:r>
        <w:rPr>
          <w:rFonts w:ascii="PMingLiU" w:cs="PMingLiU" w:eastAsia="PMingLiU" w:hAnsi="PMingLiU"/>
          <w:sz w:val="10"/>
          <w:szCs w:val="10"/>
          <w:color w:val="634140"/>
        </w:rPr>
        <w:t/>
      </w:r>
      <w:r>
        <w:rPr>
          <w:rFonts w:ascii="Arial" w:cs="Arial" w:eastAsia="Arial" w:hAnsi="Arial"/>
          <w:sz w:val="10"/>
          <w:szCs w:val="10"/>
          <w:color w:val="634140"/>
        </w:rPr>
        <w:t>npcbgar</w:t>
      </w:r>
      <w:r>
        <w:rPr>
          <w:rFonts w:ascii="PMingLiU" w:cs="PMingLiU" w:eastAsia="PMingLiU" w:hAnsi="PMingLiU"/>
          <w:sz w:val="10"/>
          <w:szCs w:val="10"/>
          <w:color w:val="634140"/>
        </w:rPr>
        <w:t/>
      </w:r>
      <w:r>
        <w:rPr>
          <w:rFonts w:ascii="Arial" w:cs="Arial" w:eastAsia="Arial" w:hAnsi="Arial"/>
          <w:sz w:val="10"/>
          <w:szCs w:val="10"/>
          <w:color w:val="634140"/>
        </w:rPr>
        <w:t>_lb</w:t>
      </w:r>
      <w:r>
        <w:rPr>
          <w:rFonts w:ascii="PMingLiU" w:cs="PMingLiU" w:eastAsia="PMingLiU" w:hAnsi="PMingLiU"/>
          <w:sz w:val="10"/>
          <w:szCs w:val="10"/>
          <w:color w:val="634140"/>
        </w:rPr>
        <w:t/>
      </w:r>
      <w:r>
        <w:rPr>
          <w:rFonts w:ascii="Arial" w:cs="Arial" w:eastAsia="Arial" w:hAnsi="Arial"/>
          <w:sz w:val="10"/>
          <w:szCs w:val="10"/>
          <w:color w:val="634140"/>
        </w:rPr>
        <w:t>k_w</w:t>
      </w:r>
      <w:r>
        <w:rPr>
          <w:rFonts w:ascii="PMingLiU" w:cs="PMingLiU" w:eastAsia="PMingLiU" w:hAnsi="PMingLiU"/>
          <w:sz w:val="10"/>
          <w:szCs w:val="10"/>
          <w:color w:val="634140"/>
        </w:rPr>
        <w:t/>
      </w:r>
      <w:r>
        <w:rPr>
          <w:rFonts w:ascii="Arial" w:cs="Arial" w:eastAsia="Arial" w:hAnsi="Arial"/>
          <w:sz w:val="10"/>
          <w:szCs w:val="10"/>
          <w:color w:val="634140"/>
        </w:rPr>
        <w:t>`c</w:t>
      </w:r>
      <w:r>
        <w:rPr>
          <w:rFonts w:ascii="PMingLiU" w:cs="PMingLiU" w:eastAsia="PMingLiU" w:hAnsi="PMingLiU"/>
          <w:sz w:val="10"/>
          <w:szCs w:val="10"/>
          <w:color w:val="634140"/>
        </w:rPr>
        <w:t/>
      </w:r>
      <w:r>
        <w:rPr>
          <w:rFonts w:ascii="Arial" w:cs="Arial" w:eastAsia="Arial" w:hAnsi="Arial"/>
          <w:sz w:val="10"/>
          <w:szCs w:val="10"/>
          <w:color w:val="634140"/>
        </w:rPr>
        <w:t>`cwmlb</w:t>
      </w:r>
      <w:r>
        <w:rPr>
          <w:rFonts w:ascii="PMingLiU" w:cs="PMingLiU" w:eastAsia="PMingLiU" w:hAnsi="PMingLiU"/>
          <w:sz w:val="10"/>
          <w:szCs w:val="10"/>
          <w:color w:val="634140"/>
        </w:rPr>
        <w:t/>
      </w:r>
      <w:r>
        <w:rPr>
          <w:rFonts w:ascii="Arial" w:cs="Arial" w:eastAsia="Arial" w:hAnsi="Arial"/>
          <w:sz w:val="10"/>
          <w:szCs w:val="10"/>
          <w:color w:val="634140"/>
        </w:rPr>
        <w:t>Eqfj_lb</w:t>
      </w:r>
      <w:r>
        <w:rPr>
          <w:rFonts w:ascii="PMingLiU" w:cs="PMingLiU" w:eastAsia="PMingLiU" w:hAnsi="PMingLiU"/>
          <w:sz w:val="10"/>
          <w:szCs w:val="10"/>
          <w:color w:val="634140"/>
        </w:rPr>
        <w:t/>
      </w:r>
      <w:r>
        <w:rPr>
          <w:rFonts w:ascii="Arial" w:cs="Arial" w:eastAsia="Arial" w:hAnsi="Arial"/>
          <w:sz w:val="10"/>
          <w:szCs w:val="10"/>
          <w:color w:val="634140"/>
        </w:rPr>
        <w:t>q</w:t>
      </w:r>
      <w:r>
        <w:rPr>
          <w:rFonts w:ascii="PMingLiU" w:cs="PMingLiU" w:eastAsia="PMingLiU" w:hAnsi="PMingLiU"/>
          <w:sz w:val="10"/>
          <w:szCs w:val="10"/>
          <w:color w:val="634140"/>
        </w:rPr>
        <w:t/>
      </w:r>
      <w:r>
        <w:rPr>
          <w:rFonts w:ascii="Arial" w:cs="Arial" w:eastAsia="Arial" w:hAnsi="Arial"/>
          <w:sz w:val="10"/>
          <w:szCs w:val="10"/>
          <w:color w:val="634140"/>
        </w:rPr>
        <w:t>amlrpmj</w:t>
      </w:r>
      <w:r>
        <w:rPr>
          <w:rFonts w:ascii="PMingLiU" w:cs="PMingLiU" w:eastAsia="PMingLiU" w:hAnsi="PMingLiU"/>
          <w:sz w:val="10"/>
          <w:szCs w:val="10"/>
          <w:color w:val="634140"/>
        </w:rPr>
        <w:t/>
      </w:r>
      <w:r>
        <w:rPr>
          <w:rFonts w:ascii="Arial" w:cs="Arial" w:eastAsia="Arial" w:hAnsi="Arial"/>
          <w:sz w:val="10"/>
          <w:szCs w:val="10"/>
          <w:color w:val="634140"/>
        </w:rPr>
        <w:t>Tjc_qc</w:t>
      </w:r>
      <w:r>
        <w:rPr>
          <w:rFonts w:ascii="PMingLiU" w:cs="PMingLiU" w:eastAsia="PMingLiU" w:hAnsi="PMingLiU"/>
          <w:sz w:val="10"/>
          <w:szCs w:val="10"/>
          <w:color w:val="634140"/>
        </w:rPr>
        <w:t/>
      </w:r>
      <w:r>
        <w:rPr>
          <w:rFonts w:ascii="Arial" w:cs="Arial" w:eastAsia="Arial" w:hAnsi="Arial"/>
          <w:sz w:val="10"/>
          <w:szCs w:val="10"/>
          <w:color w:val="634140"/>
        </w:rPr>
        <w:t>qcc</w:t>
      </w:r>
      <w:r>
        <w:rPr>
          <w:rFonts w:ascii="PMingLiU" w:cs="PMingLiU" w:eastAsia="PMingLiU" w:hAnsi="PMingLiU"/>
          <w:sz w:val="10"/>
          <w:szCs w:val="10"/>
          <w:color w:val="634140"/>
        </w:rPr>
        <w:t/>
      </w:r>
      <w:r>
        <w:rPr>
          <w:rFonts w:ascii="Arial" w:cs="Arial" w:eastAsia="Arial" w:hAnsi="Arial"/>
          <w:sz w:val="10"/>
          <w:szCs w:val="10"/>
          <w:color w:val="634140"/>
        </w:rPr>
        <w:t>Mrck</w:t>
      </w:r>
      <w:r>
        <w:rPr>
          <w:rFonts w:ascii="PMingLiU" w:cs="PMingLiU" w:eastAsia="PMingLiU" w:hAnsi="PMingLiU"/>
          <w:sz w:val="10"/>
          <w:szCs w:val="10"/>
          <w:color w:val="634140"/>
        </w:rPr>
        <w:t/>
      </w:r>
      <w:r>
        <w:rPr>
          <w:rFonts w:ascii="Arial" w:cs="Arial" w:eastAsia="Arial" w:hAnsi="Arial"/>
          <w:sz w:val="10"/>
          <w:szCs w:val="10"/>
          <w:color w:val="634140"/>
        </w:rPr>
        <w:t xml:space="preserve"> ˦E</w:t>
      </w:r>
      <w:r>
        <w:rPr>
          <w:rFonts w:ascii="PMingLiU" w:cs="PMingLiU" w:eastAsia="PMingLiU" w:hAnsi="PMingLiU"/>
          <w:sz w:val="10"/>
          <w:szCs w:val="10"/>
          <w:color w:val="634140"/>
        </w:rPr>
        <w:t/>
      </w:r>
      <w:r>
        <w:rPr>
          <w:rFonts w:ascii="Arial" w:cs="Arial" w:eastAsia="Arial" w:hAnsi="Arial"/>
          <w:sz w:val="10"/>
          <w:szCs w:val="10"/>
          <w:color w:val="634140"/>
        </w:rPr>
        <w:t>Vgqi</w:t>
      </w:r>
      <w:r>
        <w:rPr>
          <w:rFonts w:ascii="PMingLiU" w:cs="PMingLiU" w:eastAsia="PMingLiU" w:hAnsi="PMingLiU"/>
          <w:sz w:val="10"/>
          <w:szCs w:val="10"/>
          <w:color w:val="634140"/>
        </w:rPr>
        <w:t/>
      </w:r>
      <w:r>
        <w:rPr>
          <w:rFonts w:ascii="Arial" w:cs="Arial" w:eastAsia="Arial" w:hAnsi="Arial"/>
          <w:sz w:val="10"/>
          <w:szCs w:val="10"/>
          <w:color w:val="634140"/>
        </w:rPr>
        <w:t xml:space="preserve">J_armpq </w:t>
      </w:r>
      <w:r>
        <w:rPr>
          <w:rFonts w:ascii="PMingLiU" w:cs="PMingLiU" w:eastAsia="PMingLiU" w:hAnsi="PMingLiU"/>
          <w:sz w:val="10"/>
          <w:szCs w:val="10"/>
          <w:color w:val="634140"/>
        </w:rPr>
        <w:t/>
      </w:r>
      <w:r>
        <w:rPr>
          <w:rFonts w:ascii="Arial" w:cs="Arial" w:eastAsia="Arial" w:hAnsi="Arial"/>
          <w:sz w:val="10"/>
          <w:szCs w:val="10"/>
          <w:color w:val="634140"/>
        </w:rPr>
        <w:t>_lb</w:t>
      </w:r>
      <w:r>
        <w:rPr>
          <w:rFonts w:ascii="PMingLiU" w:cs="PMingLiU" w:eastAsia="PMingLiU" w:hAnsi="PMingLiU"/>
          <w:sz w:val="10"/>
          <w:szCs w:val="10"/>
          <w:color w:val="634140"/>
        </w:rPr>
        <w:t/>
      </w:r>
      <w:r>
        <w:rPr>
          <w:rFonts w:ascii="Arial" w:cs="Arial" w:eastAsia="Arial" w:hAnsi="Arial"/>
          <w:sz w:val="10"/>
          <w:szCs w:val="10"/>
          <w:color w:val="634140"/>
        </w:rPr>
        <w:t>Yqc</w:t>
      </w:r>
      <w:r>
        <w:rPr>
          <w:rFonts w:ascii="PMingLiU" w:cs="PMingLiU" w:eastAsia="PMingLiU" w:hAnsi="PMingLiU"/>
          <w:sz w:val="10"/>
          <w:szCs w:val="10"/>
          <w:color w:val="634140"/>
        </w:rPr>
        <w:t/>
      </w:r>
      <w:r>
        <w:rPr>
          <w:rFonts w:ascii="Arial" w:cs="Arial" w:eastAsia="Arial" w:hAnsi="Arial"/>
          <w:sz w:val="10"/>
          <w:szCs w:val="10"/>
          <w:color w:val="634140"/>
        </w:rPr>
        <w:t>md</w:t>
      </w:r>
      <w:r>
        <w:rPr>
          <w:rFonts w:ascii="PMingLiU" w:cs="PMingLiU" w:eastAsia="PMingLiU" w:hAnsi="PMingLiU"/>
          <w:sz w:val="10"/>
          <w:szCs w:val="10"/>
          <w:color w:val="634140"/>
        </w:rPr>
        <w:t/>
      </w:r>
      <w:r>
        <w:rPr>
          <w:rFonts w:ascii="Arial" w:cs="Arial" w:eastAsia="Arial" w:hAnsi="Arial"/>
          <w:sz w:val="10"/>
          <w:szCs w:val="10"/>
          <w:color w:val="634140"/>
        </w:rPr>
        <w:t>cqrgk_rcq</w:t>
      </w:r>
      <w:r>
        <w:rPr>
          <w:rFonts w:ascii="PMingLiU" w:cs="PMingLiU" w:eastAsia="PMingLiU" w:hAnsi="PMingLiU"/>
          <w:sz w:val="10"/>
          <w:szCs w:val="10"/>
          <w:color w:val="634140"/>
        </w:rPr>
        <w:t/>
      </w:r>
      <w:r>
        <w:rPr>
          <w:rFonts w:ascii="Arial" w:cs="Arial" w:eastAsia="Arial" w:hAnsi="Arial"/>
          <w:sz w:val="10"/>
          <w:szCs w:val="10"/>
          <w:color w:val="634140"/>
        </w:rPr>
        <w:t>pgqiq</w:t>
      </w:r>
      <w:r>
        <w:rPr>
          <w:rFonts w:ascii="PMingLiU" w:cs="PMingLiU" w:eastAsia="PMingLiU" w:hAnsi="PMingLiU"/>
          <w:sz w:val="10"/>
          <w:szCs w:val="10"/>
          <w:color w:val="634140"/>
        </w:rPr>
        <w:t/>
      </w:r>
      <w:r>
        <w:rPr>
          <w:rFonts w:ascii="Arial" w:cs="Arial" w:eastAsia="Arial" w:hAnsi="Arial"/>
          <w:sz w:val="10"/>
          <w:szCs w:val="10"/>
          <w:color w:val="634140"/>
        </w:rPr>
        <w:t>_lb</w:t>
      </w:r>
      <w:r>
        <w:rPr>
          <w:rFonts w:ascii="PMingLiU" w:cs="PMingLiU" w:eastAsia="PMingLiU" w:hAnsi="PMingLiU"/>
          <w:sz w:val="10"/>
          <w:szCs w:val="10"/>
          <w:color w:val="634140"/>
        </w:rPr>
        <w:t/>
      </w:r>
      <w:r>
        <w:rPr>
          <w:rFonts w:ascii="Arial" w:cs="Arial" w:eastAsia="Arial" w:hAnsi="Arial"/>
          <w:sz w:val="10"/>
          <w:szCs w:val="10"/>
          <w:color w:val="634140"/>
        </w:rPr>
        <w:t xml:space="preserve">slacpr_glrgcq </w:t>
      </w:r>
      <w:r>
        <w:rPr>
          <w:rFonts w:ascii="PMingLiU" w:cs="PMingLiU" w:eastAsia="PMingLiU" w:hAnsi="PMingLiU"/>
          <w:sz w:val="10"/>
          <w:szCs w:val="10"/>
          <w:color w:val="634140"/>
        </w:rPr>
        <w:t/>
      </w:r>
      <w:r>
        <w:rPr>
          <w:rFonts w:ascii="Arial" w:cs="Arial" w:eastAsia="Arial" w:hAnsi="Arial"/>
          <w:sz w:val="10"/>
          <w:szCs w:val="10"/>
          <w:color w:val="634140"/>
        </w:rPr>
        <w:t>gl</w:t>
      </w:r>
      <w:r>
        <w:rPr>
          <w:rFonts w:ascii="PMingLiU" w:cs="PMingLiU" w:eastAsia="PMingLiU" w:hAnsi="PMingLiU"/>
          <w:sz w:val="10"/>
          <w:szCs w:val="10"/>
          <w:color w:val="634140"/>
        </w:rPr>
        <w:t/>
      </w:r>
      <w:r>
        <w:rPr>
          <w:rFonts w:ascii="Arial" w:cs="Arial" w:eastAsia="Arial" w:hAnsi="Arial"/>
          <w:sz w:val="10"/>
          <w:szCs w:val="10"/>
          <w:color w:val="634140"/>
        </w:rPr>
        <w:t>Rmrc</w:t>
      </w:r>
      <w:r>
        <w:rPr>
          <w:rFonts w:ascii="PMingLiU" w:cs="PMingLiU" w:eastAsia="PMingLiU" w:hAnsi="PMingLiU"/>
          <w:sz w:val="10"/>
          <w:szCs w:val="10"/>
          <w:color w:val="634140"/>
        </w:rPr>
        <w:t/>
      </w:r>
      <w:r>
        <w:rPr>
          <w:rFonts w:ascii="Arial" w:cs="Arial" w:eastAsia="Arial" w:hAnsi="Arial"/>
          <w:sz w:val="10"/>
          <w:szCs w:val="10"/>
          <w:color w:val="634140"/>
        </w:rPr>
        <w:t>E</w:t>
      </w:r>
      <w:r>
        <w:rPr>
          <w:rFonts w:ascii="PMingLiU" w:cs="PMingLiU" w:eastAsia="PMingLiU" w:hAnsi="PMingLiU"/>
          <w:sz w:val="10"/>
          <w:szCs w:val="10"/>
          <w:color w:val="634140"/>
        </w:rPr>
        <w:t/>
      </w:r>
      <w:r>
        <w:rPr>
          <w:rFonts w:ascii="Arial" w:cs="Arial" w:eastAsia="Arial" w:hAnsi="Arial"/>
          <w:sz w:val="10"/>
          <w:szCs w:val="10"/>
          <w:color w:val="634140"/>
        </w:rPr>
        <w:t>md</w:t>
      </w:r>
      <w:r>
        <w:rPr>
          <w:rFonts w:ascii="PMingLiU" w:cs="PMingLiU" w:eastAsia="PMingLiU" w:hAnsi="PMingLiU"/>
          <w:sz w:val="10"/>
          <w:szCs w:val="10"/>
          <w:color w:val="634140"/>
        </w:rPr>
        <w:t/>
      </w:r>
      <w:r>
        <w:rPr>
          <w:rFonts w:ascii="Arial" w:cs="Arial" w:eastAsia="Arial" w:hAnsi="Arial"/>
          <w:sz w:val="10"/>
          <w:szCs w:val="10"/>
          <w:color w:val="634140"/>
        </w:rPr>
        <w:t>Rmrcq</w:t>
      </w:r>
      <w:r>
        <w:rPr>
          <w:rFonts w:ascii="PMingLiU" w:cs="PMingLiU" w:eastAsia="PMingLiU" w:hAnsi="PMingLiU"/>
          <w:sz w:val="10"/>
          <w:szCs w:val="10"/>
          <w:color w:val="634140"/>
        </w:rPr>
        <w:t/>
      </w:r>
      <w:r>
        <w:rPr>
          <w:rFonts w:ascii="Arial" w:cs="Arial" w:eastAsia="Arial" w:hAnsi="Arial"/>
          <w:sz w:val="10"/>
          <w:szCs w:val="10"/>
          <w:color w:val="634140"/>
        </w:rPr>
        <w:t xml:space="preserve"> rm</w:t>
      </w:r>
      <w:r>
        <w:rPr>
          <w:rFonts w:ascii="PMingLiU" w:cs="PMingLiU" w:eastAsia="PMingLiU" w:hAnsi="PMingLiU"/>
          <w:sz w:val="10"/>
          <w:szCs w:val="10"/>
          <w:color w:val="634140"/>
        </w:rPr>
        <w:t/>
      </w:r>
      <w:r>
        <w:rPr>
          <w:rFonts w:ascii="Arial" w:cs="Arial" w:eastAsia="Arial" w:hAnsi="Arial"/>
          <w:sz w:val="10"/>
          <w:szCs w:val="10"/>
          <w:color w:val="634140"/>
        </w:rPr>
        <w:t>Gmlqmjgb_rcb</w:t>
      </w:r>
      <w:r>
        <w:rPr>
          <w:rFonts w:ascii="PMingLiU" w:cs="PMingLiU" w:eastAsia="PMingLiU" w:hAnsi="PMingLiU"/>
          <w:sz w:val="10"/>
          <w:szCs w:val="10"/>
          <w:color w:val="634140"/>
        </w:rPr>
        <w:t/>
      </w:r>
      <w:r>
        <w:rPr>
          <w:rFonts w:ascii="Arial" w:cs="Arial" w:eastAsia="Arial" w:hAnsi="Arial"/>
          <w:sz w:val="10"/>
          <w:szCs w:val="10"/>
          <w:color w:val="634140"/>
        </w:rPr>
        <w:t>Jgl_lag_j</w:t>
      </w:r>
      <w:r>
        <w:rPr>
          <w:rFonts w:ascii="PMingLiU" w:cs="PMingLiU" w:eastAsia="PMingLiU" w:hAnsi="PMingLiU"/>
          <w:sz w:val="10"/>
          <w:szCs w:val="10"/>
          <w:color w:val="634140"/>
        </w:rPr>
        <w:t/>
      </w:r>
      <w:r>
        <w:rPr>
          <w:rFonts w:ascii="Arial" w:cs="Arial" w:eastAsia="Arial" w:hAnsi="Arial"/>
          <w:sz w:val="10"/>
          <w:szCs w:val="10"/>
          <w:color w:val="634140"/>
        </w:rPr>
        <w:t>Wr_rckclrq</w:t>
      </w:r>
      <w:r>
        <w:rPr>
          <w:rFonts w:ascii="PMingLiU" w:cs="PMingLiU" w:eastAsia="PMingLiU" w:hAnsi="PMingLiU"/>
          <w:sz w:val="10"/>
          <w:szCs w:val="10"/>
          <w:color w:val="634140"/>
        </w:rPr>
        <w:t/>
      </w:r>
      <w:r>
        <w:rPr>
          <w:rFonts w:ascii="Arial" w:cs="Arial" w:eastAsia="Arial" w:hAnsi="Arial"/>
          <w:sz w:val="10"/>
          <w:szCs w:val="10"/>
          <w:color w:val="634140"/>
        </w:rPr>
        <w:t>gl</w:t>
      </w:r>
      <w:r>
        <w:rPr>
          <w:rFonts w:ascii="PMingLiU" w:cs="PMingLiU" w:eastAsia="PMingLiU" w:hAnsi="PMingLiU"/>
          <w:sz w:val="10"/>
          <w:szCs w:val="10"/>
          <w:color w:val="634140"/>
        </w:rPr>
        <w:t/>
      </w:r>
      <w:r>
        <w:rPr>
          <w:rFonts w:ascii="Arial" w:cs="Arial" w:eastAsia="Arial" w:hAnsi="Arial"/>
          <w:sz w:val="10"/>
          <w:szCs w:val="10"/>
          <w:color w:val="634140"/>
        </w:rPr>
        <w:t>rfgq</w:t>
      </w:r>
      <w:r>
        <w:rPr>
          <w:rFonts w:ascii="PMingLiU" w:cs="PMingLiU" w:eastAsia="PMingLiU" w:hAnsi="PMingLiU"/>
          <w:sz w:val="10"/>
          <w:szCs w:val="10"/>
          <w:color w:val="634140"/>
        </w:rPr>
        <w:t/>
      </w:r>
      <w:r>
        <w:rPr>
          <w:rFonts w:ascii="Arial" w:cs="Arial" w:eastAsia="Arial" w:hAnsi="Arial"/>
          <w:sz w:val="10"/>
          <w:szCs w:val="10"/>
          <w:color w:val="634140"/>
        </w:rPr>
        <w:t>Ells_j</w:t>
      </w:r>
      <w:r>
        <w:rPr>
          <w:rFonts w:ascii="PMingLiU" w:cs="PMingLiU" w:eastAsia="PMingLiU" w:hAnsi="PMingLiU"/>
          <w:sz w:val="10"/>
          <w:szCs w:val="10"/>
          <w:color w:val="634140"/>
        </w:rPr>
        <w:t/>
      </w:r>
      <w:r>
        <w:rPr>
          <w:rFonts w:ascii="Arial" w:cs="Arial" w:eastAsia="Arial" w:hAnsi="Arial"/>
          <w:sz w:val="10"/>
          <w:szCs w:val="10"/>
          <w:color w:val="634140"/>
        </w:rPr>
        <w:t>Vcnmpr</w:t>
      </w:r>
      <w:r>
        <w:rPr>
          <w:rFonts w:ascii="PMingLiU" w:cs="PMingLiU" w:eastAsia="PMingLiU" w:hAnsi="PMingLiU"/>
          <w:sz w:val="10"/>
          <w:szCs w:val="10"/>
          <w:color w:val="634140"/>
        </w:rPr>
        <w:t/>
      </w:r>
      <w:r>
        <w:rPr>
          <w:rFonts w:ascii="Arial" w:cs="Arial" w:eastAsia="Arial" w:hAnsi="Arial"/>
          <w:sz w:val="10"/>
          <w:szCs w:val="10"/>
          <w:color w:val="634140"/>
        </w:rPr>
        <w:t>Yljcqq</w:t>
      </w:r>
      <w:r>
        <w:rPr>
          <w:rFonts w:ascii="PMingLiU" w:cs="PMingLiU" w:eastAsia="PMingLiU" w:hAnsi="PMingLiU"/>
          <w:sz w:val="10"/>
          <w:szCs w:val="10"/>
          <w:color w:val="634140"/>
        </w:rPr>
        <w:t/>
      </w:r>
      <w:r>
        <w:rPr>
          <w:rFonts w:ascii="Arial" w:cs="Arial" w:eastAsia="Arial" w:hAnsi="Arial"/>
          <w:sz w:val="10"/>
          <w:szCs w:val="10"/>
          <w:color w:val="634140"/>
        </w:rPr>
        <w:t>jce_jjw</w:t>
      </w:r>
      <w:r>
        <w:rPr>
          <w:rFonts w:ascii="PMingLiU" w:cs="PMingLiU" w:eastAsia="PMingLiU" w:hAnsi="PMingLiU"/>
          <w:sz w:val="10"/>
          <w:szCs w:val="10"/>
          <w:color w:val="634140"/>
        </w:rPr>
        <w:t/>
      </w:r>
      <w:r>
        <w:rPr>
          <w:rFonts w:ascii="Arial" w:cs="Arial" w:eastAsia="Arial" w:hAnsi="Arial"/>
          <w:sz w:val="10"/>
          <w:szCs w:val="10"/>
          <w:color w:val="634140"/>
        </w:rPr>
        <w:t>pcosgpcb</w:t>
      </w:r>
      <w:r>
        <w:rPr>
          <w:rFonts w:ascii="PMingLiU" w:cs="PMingLiU" w:eastAsia="PMingLiU" w:hAnsi="PMingLiU"/>
          <w:sz w:val="10"/>
          <w:szCs w:val="10"/>
          <w:color w:val="634140"/>
        </w:rPr>
        <w:t/>
      </w:r>
      <w:r>
        <w:rPr>
          <w:rFonts w:ascii="Arial" w:cs="Arial" w:eastAsia="Arial" w:hAnsi="Arial"/>
          <w:sz w:val="10"/>
          <w:szCs w:val="10"/>
          <w:color w:val="634140"/>
        </w:rPr>
        <w:t xml:space="preserve"> Eqfj_lb</w:t>
      </w:r>
      <w:r>
        <w:rPr>
          <w:rFonts w:ascii="PMingLiU" w:cs="PMingLiU" w:eastAsia="PMingLiU" w:hAnsi="PMingLiU"/>
          <w:sz w:val="10"/>
          <w:szCs w:val="10"/>
          <w:color w:val="634140"/>
        </w:rPr>
        <w:t/>
      </w:r>
      <w:r>
        <w:rPr>
          <w:rFonts w:ascii="Arial" w:cs="Arial" w:eastAsia="Arial" w:hAnsi="Arial"/>
          <w:sz w:val="10"/>
          <w:szCs w:val="10"/>
          <w:color w:val="634140"/>
        </w:rPr>
        <w:t xml:space="preserve"> slbcpr_icq</w:t>
      </w:r>
      <w:r>
        <w:rPr>
          <w:rFonts w:ascii="PMingLiU" w:cs="PMingLiU" w:eastAsia="PMingLiU" w:hAnsi="PMingLiU"/>
          <w:sz w:val="10"/>
          <w:szCs w:val="10"/>
          <w:color w:val="634140"/>
        </w:rPr>
        <w:t/>
      </w:r>
      <w:r>
        <w:rPr>
          <w:rFonts w:ascii="Arial" w:cs="Arial" w:eastAsia="Arial" w:hAnsi="Arial"/>
          <w:sz w:val="10"/>
          <w:szCs w:val="10"/>
          <w:color w:val="634140"/>
        </w:rPr>
        <w:t xml:space="preserve"> lm</w:t>
      </w:r>
      <w:r>
        <w:rPr>
          <w:rFonts w:ascii="PMingLiU" w:cs="PMingLiU" w:eastAsia="PMingLiU" w:hAnsi="PMingLiU"/>
          <w:sz w:val="10"/>
          <w:szCs w:val="10"/>
          <w:color w:val="634140"/>
        </w:rPr>
        <w:t/>
      </w:r>
      <w:r>
        <w:rPr>
          <w:rFonts w:ascii="Arial" w:cs="Arial" w:eastAsia="Arial" w:hAnsi="Arial"/>
          <w:sz w:val="10"/>
          <w:szCs w:val="10"/>
          <w:color w:val="634140"/>
        </w:rPr>
        <w:t xml:space="preserve"> m`jge_rgml</w:t>
      </w:r>
      <w:r>
        <w:rPr>
          <w:rFonts w:ascii="PMingLiU" w:cs="PMingLiU" w:eastAsia="PMingLiU" w:hAnsi="PMingLiU"/>
          <w:sz w:val="10"/>
          <w:szCs w:val="10"/>
          <w:color w:val="634140"/>
        </w:rPr>
        <w:t/>
      </w:r>
      <w:r>
        <w:rPr>
          <w:rFonts w:ascii="Arial" w:cs="Arial" w:eastAsia="Arial" w:hAnsi="Arial"/>
          <w:sz w:val="10"/>
          <w:szCs w:val="10"/>
          <w:color w:val="634140"/>
        </w:rPr>
        <w:t xml:space="preserve"> rm</w:t>
      </w:r>
      <w:r>
        <w:rPr>
          <w:rFonts w:ascii="PMingLiU" w:cs="PMingLiU" w:eastAsia="PMingLiU" w:hAnsi="PMingLiU"/>
          <w:sz w:val="10"/>
          <w:szCs w:val="10"/>
          <w:color w:val="634140"/>
        </w:rPr>
        <w:t/>
      </w:r>
      <w:r>
        <w:rPr>
          <w:rFonts w:ascii="Arial" w:cs="Arial" w:eastAsia="Arial" w:hAnsi="Arial"/>
          <w:sz w:val="10"/>
          <w:szCs w:val="10"/>
          <w:color w:val="634140"/>
        </w:rPr>
        <w:t xml:space="preserve"> snb_rc</w:t>
      </w:r>
      <w:r>
        <w:rPr>
          <w:rFonts w:ascii="PMingLiU" w:cs="PMingLiU" w:eastAsia="PMingLiU" w:hAnsi="PMingLiU"/>
          <w:sz w:val="10"/>
          <w:szCs w:val="10"/>
          <w:color w:val="634140"/>
        </w:rPr>
        <w:t/>
      </w:r>
      <w:r>
        <w:rPr>
          <w:rFonts w:ascii="Arial" w:cs="Arial" w:eastAsia="Arial" w:hAnsi="Arial"/>
          <w:sz w:val="10"/>
          <w:szCs w:val="10"/>
          <w:color w:val="634140"/>
        </w:rPr>
        <w:t xml:space="preserve"> _lw</w:t>
      </w:r>
      <w:r>
        <w:rPr>
          <w:rFonts w:ascii="PMingLiU" w:cs="PMingLiU" w:eastAsia="PMingLiU" w:hAnsi="PMingLiU"/>
          <w:sz w:val="10"/>
          <w:szCs w:val="10"/>
          <w:color w:val="634140"/>
        </w:rPr>
        <w:t/>
      </w:r>
      <w:r>
        <w:rPr>
          <w:rFonts w:ascii="Arial" w:cs="Arial" w:eastAsia="Arial" w:hAnsi="Arial"/>
          <w:sz w:val="10"/>
          <w:szCs w:val="10"/>
          <w:color w:val="634140"/>
        </w:rPr>
        <w:t xml:space="preserve"> dmpu_pb&amp;jmmigle</w:t>
      </w:r>
      <w:r>
        <w:rPr>
          <w:rFonts w:ascii="PMingLiU" w:cs="PMingLiU" w:eastAsia="PMingLiU" w:hAnsi="PMingLiU"/>
          <w:sz w:val="10"/>
          <w:szCs w:val="10"/>
          <w:color w:val="634140"/>
        </w:rPr>
        <w:t/>
      </w:r>
      <w:r>
        <w:rPr>
          <w:rFonts w:ascii="Arial" w:cs="Arial" w:eastAsia="Arial" w:hAnsi="Arial"/>
          <w:sz w:val="10"/>
          <w:szCs w:val="10"/>
          <w:color w:val="634140"/>
        </w:rPr>
        <w:t xml:space="preserve"> qr_rckclrq</w:t>
      </w:r>
      <w:r>
        <w:rPr>
          <w:rFonts w:ascii="PMingLiU" w:cs="PMingLiU" w:eastAsia="PMingLiU" w:hAnsi="PMingLiU"/>
          <w:sz w:val="10"/>
          <w:szCs w:val="10"/>
          <w:color w:val="634140"/>
        </w:rPr>
        <w:t/>
      </w:r>
      <w:r>
        <w:rPr>
          <w:rFonts w:ascii="Arial" w:cs="Arial" w:eastAsia="Arial" w:hAnsi="Arial"/>
          <w:sz w:val="10"/>
          <w:szCs w:val="10"/>
          <w:color w:val="634140"/>
        </w:rPr>
        <w:t xml:space="preserve"> k_bc</w:t>
      </w:r>
      <w:r>
        <w:rPr>
          <w:rFonts w:ascii="PMingLiU" w:cs="PMingLiU" w:eastAsia="PMingLiU" w:hAnsi="PMingLiU"/>
          <w:sz w:val="10"/>
          <w:szCs w:val="10"/>
          <w:color w:val="634140"/>
        </w:rPr>
        <w:t/>
      </w:r>
      <w:r>
        <w:rPr>
          <w:rFonts w:ascii="Arial" w:cs="Arial" w:eastAsia="Arial" w:hAnsi="Arial"/>
          <w:sz w:val="10"/>
          <w:szCs w:val="10"/>
          <w:color w:val="634140"/>
        </w:rPr>
        <w:t>gl</w:t>
      </w:r>
      <w:r>
        <w:rPr>
          <w:rFonts w:ascii="PMingLiU" w:cs="PMingLiU" w:eastAsia="PMingLiU" w:hAnsi="PMingLiU"/>
          <w:sz w:val="10"/>
          <w:szCs w:val="10"/>
          <w:color w:val="634140"/>
        </w:rPr>
        <w:t/>
      </w:r>
      <w:r>
        <w:rPr>
          <w:rFonts w:ascii="Arial" w:cs="Arial" w:eastAsia="Arial" w:hAnsi="Arial"/>
          <w:sz w:val="10"/>
          <w:szCs w:val="10"/>
          <w:color w:val="634140"/>
        </w:rPr>
        <w:t>rfgq</w:t>
      </w:r>
      <w:r>
        <w:rPr>
          <w:rFonts w:ascii="PMingLiU" w:cs="PMingLiU" w:eastAsia="PMingLiU" w:hAnsi="PMingLiU"/>
          <w:sz w:val="10"/>
          <w:szCs w:val="10"/>
          <w:color w:val="634140"/>
        </w:rPr>
        <w:t/>
      </w:r>
      <w:r>
        <w:rPr>
          <w:rFonts w:ascii="Arial" w:cs="Arial" w:eastAsia="Arial" w:hAnsi="Arial"/>
          <w:sz w:val="10"/>
          <w:szCs w:val="10"/>
          <w:color w:val="634140"/>
        </w:rPr>
        <w:t>Ells_j</w:t>
      </w:r>
      <w:r>
        <w:rPr>
          <w:rFonts w:ascii="PMingLiU" w:cs="PMingLiU" w:eastAsia="PMingLiU" w:hAnsi="PMingLiU"/>
          <w:sz w:val="10"/>
          <w:szCs w:val="10"/>
          <w:color w:val="634140"/>
        </w:rPr>
        <w:t/>
      </w:r>
      <w:r>
        <w:rPr>
          <w:rFonts w:ascii="Arial" w:cs="Arial" w:eastAsia="Arial" w:hAnsi="Arial"/>
          <w:sz w:val="10"/>
          <w:szCs w:val="10"/>
          <w:color w:val="634140"/>
        </w:rPr>
        <w:t>Vcnmpr</w:t>
      </w:r>
      <w:r>
        <w:rPr>
          <w:rFonts w:ascii="PMingLiU" w:cs="PMingLiU" w:eastAsia="PMingLiU" w:hAnsi="PMingLiU"/>
          <w:sz w:val="10"/>
          <w:szCs w:val="10"/>
          <w:color w:val="634140"/>
        </w:rPr>
        <w:t/>
      </w:r>
      <w:r>
        <w:rPr>
          <w:rFonts w:ascii="Arial" w:cs="Arial" w:eastAsia="Arial" w:hAnsi="Arial"/>
          <w:sz w:val="10"/>
          <w:szCs w:val="10"/>
          <w:color w:val="634140"/>
        </w:rPr>
        <w:t>ufcrfcp</w:t>
      </w:r>
      <w:r>
        <w:rPr>
          <w:rFonts w:ascii="PMingLiU" w:cs="PMingLiU" w:eastAsia="PMingLiU" w:hAnsi="PMingLiU"/>
          <w:sz w:val="10"/>
          <w:szCs w:val="10"/>
          <w:color w:val="634140"/>
        </w:rPr>
        <w:t/>
      </w:r>
      <w:r>
        <w:rPr>
          <w:rFonts w:ascii="Arial" w:cs="Arial" w:eastAsia="Arial" w:hAnsi="Arial"/>
          <w:sz w:val="10"/>
          <w:szCs w:val="10"/>
          <w:color w:val="634140"/>
        </w:rPr>
        <w:t>_q</w:t>
      </w:r>
      <w:r>
        <w:rPr>
          <w:rFonts w:ascii="PMingLiU" w:cs="PMingLiU" w:eastAsia="PMingLiU" w:hAnsi="PMingLiU"/>
          <w:sz w:val="10"/>
          <w:szCs w:val="10"/>
          <w:color w:val="634140"/>
        </w:rPr>
        <w:t/>
      </w:r>
      <w:r>
        <w:rPr>
          <w:rFonts w:ascii="Arial" w:cs="Arial" w:eastAsia="Arial" w:hAnsi="Arial"/>
          <w:sz w:val="10"/>
          <w:szCs w:val="10"/>
          <w:color w:val="634140"/>
        </w:rPr>
        <w:t>_</w:t>
      </w:r>
      <w:r>
        <w:rPr>
          <w:rFonts w:ascii="PMingLiU" w:cs="PMingLiU" w:eastAsia="PMingLiU" w:hAnsi="PMingLiU"/>
          <w:sz w:val="10"/>
          <w:szCs w:val="10"/>
          <w:color w:val="634140"/>
        </w:rPr>
        <w:t/>
      </w:r>
      <w:r>
        <w:rPr>
          <w:rFonts w:ascii="Arial" w:cs="Arial" w:eastAsia="Arial" w:hAnsi="Arial"/>
          <w:sz w:val="10"/>
          <w:szCs w:val="10"/>
          <w:color w:val="634140"/>
        </w:rPr>
        <w:t>pcqsjr</w:t>
      </w:r>
      <w:r>
        <w:rPr>
          <w:rFonts w:ascii="PMingLiU" w:cs="PMingLiU" w:eastAsia="PMingLiU" w:hAnsi="PMingLiU"/>
          <w:sz w:val="10"/>
          <w:szCs w:val="10"/>
          <w:color w:val="634140"/>
        </w:rPr>
        <w:t/>
      </w:r>
      <w:r>
        <w:rPr>
          <w:rFonts w:ascii="Arial" w:cs="Arial" w:eastAsia="Arial" w:hAnsi="Arial"/>
          <w:sz w:val="10"/>
          <w:szCs w:val="10"/>
          <w:color w:val="634140"/>
        </w:rPr>
        <w:t>md</w:t>
      </w:r>
      <w:r>
        <w:rPr>
          <w:rFonts w:ascii="PMingLiU" w:cs="PMingLiU" w:eastAsia="PMingLiU" w:hAnsi="PMingLiU"/>
          <w:sz w:val="10"/>
          <w:szCs w:val="10"/>
          <w:color w:val="634140"/>
        </w:rPr>
        <w:t/>
      </w:r>
      <w:r>
        <w:rPr>
          <w:rFonts w:ascii="Arial" w:cs="Arial" w:eastAsia="Arial" w:hAnsi="Arial"/>
          <w:sz w:val="10"/>
          <w:szCs w:val="10"/>
          <w:color w:val="634140"/>
        </w:rPr>
        <w:t>lcu</w:t>
      </w:r>
      <w:r>
        <w:rPr>
          <w:rFonts w:ascii="PMingLiU" w:cs="PMingLiU" w:eastAsia="PMingLiU" w:hAnsi="PMingLiU"/>
          <w:sz w:val="10"/>
          <w:szCs w:val="10"/>
          <w:color w:val="634140"/>
        </w:rPr>
        <w:t/>
      </w:r>
      <w:r>
        <w:rPr>
          <w:rFonts w:ascii="Arial" w:cs="Arial" w:eastAsia="Arial" w:hAnsi="Arial"/>
          <w:sz w:val="10"/>
          <w:szCs w:val="10"/>
          <w:color w:val="634140"/>
        </w:rPr>
        <w:t>gldmpk_rgml</w:t>
      </w:r>
      <w:r>
        <w:rPr>
          <w:rFonts w:ascii="PMingLiU" w:cs="PMingLiU" w:eastAsia="PMingLiU" w:hAnsi="PMingLiU"/>
          <w:sz w:val="10"/>
          <w:szCs w:val="10"/>
          <w:color w:val="634140"/>
        </w:rPr>
        <w:t/>
      </w:r>
      <w:r>
        <w:rPr>
          <w:rFonts w:ascii="Arial" w:cs="Arial" w:eastAsia="Arial" w:hAnsi="Arial"/>
          <w:sz w:val="10"/>
          <w:szCs w:val="10"/>
          <w:color w:val="634140"/>
        </w:rPr>
        <w:t>dsrspc</w:t>
      </w:r>
      <w:r>
        <w:rPr>
          <w:rFonts w:ascii="PMingLiU" w:cs="PMingLiU" w:eastAsia="PMingLiU" w:hAnsi="PMingLiU"/>
          <w:sz w:val="10"/>
          <w:szCs w:val="10"/>
          <w:color w:val="634140"/>
        </w:rPr>
        <w:t/>
      </w:r>
      <w:r>
        <w:rPr>
          <w:rFonts w:ascii="Arial" w:cs="Arial" w:eastAsia="Arial" w:hAnsi="Arial"/>
          <w:sz w:val="10"/>
          <w:szCs w:val="10"/>
          <w:color w:val="634140"/>
        </w:rPr>
        <w:t>ctclrq</w:t>
      </w:r>
      <w:r>
        <w:rPr>
          <w:rFonts w:ascii="PMingLiU" w:cs="PMingLiU" w:eastAsia="PMingLiU" w:hAnsi="PMingLiU"/>
          <w:sz w:val="10"/>
          <w:szCs w:val="10"/>
          <w:color w:val="634140"/>
        </w:rPr>
        <w:t/>
      </w:r>
      <w:r>
        <w:rPr>
          <w:rFonts w:ascii="Arial" w:cs="Arial" w:eastAsia="Arial" w:hAnsi="Arial"/>
          <w:sz w:val="10"/>
          <w:szCs w:val="10"/>
          <w:color w:val="634140"/>
        </w:rPr>
        <w:t xml:space="preserve"> mp</w:t>
      </w:r>
      <w:r>
        <w:rPr>
          <w:rFonts w:ascii="PMingLiU" w:cs="PMingLiU" w:eastAsia="PMingLiU" w:hAnsi="PMingLiU"/>
          <w:sz w:val="10"/>
          <w:szCs w:val="10"/>
          <w:color w:val="634140"/>
        </w:rPr>
        <w:t/>
      </w:r>
      <w:r>
        <w:rPr>
          <w:rFonts w:ascii="Arial" w:cs="Arial" w:eastAsia="Arial" w:hAnsi="Arial"/>
          <w:sz w:val="10"/>
          <w:szCs w:val="10"/>
          <w:color w:val="634140"/>
        </w:rPr>
        <w:t>mrfcpugqc</w:t>
      </w:r>
      <w:r>
        <w:rPr>
          <w:rFonts w:ascii="PMingLiU" w:cs="PMingLiU" w:eastAsia="PMingLiU" w:hAnsi="PMingLiU"/>
          <w:sz w:val="10"/>
          <w:szCs w:val="10"/>
          <w:color w:val="634140"/>
        </w:rPr>
        <w:t/>
      </w:r>
    </w:p>
    <w:p>
      <w:pPr>
        <w:sectPr>
          <w:pgSz w:w="12240" w:h="15840" w:orient="portrait"/>
          <w:cols w:equalWidth="0" w:num="2">
            <w:col w:w="6600" w:space="300"/>
            <w:col w:w="3700"/>
          </w:cols>
          <w:pgMar w:left="760" w:top="1345" w:right="880" w:bottom="206" w:gutter="0" w:footer="0" w:header="0"/>
          <w:type w:val="continuous"/>
        </w:sectPr>
      </w:pPr>
    </w:p>
    <w:bookmarkStart w:id="2" w:name="page3"/>
    <w:bookmarkEnd w:id="2"/>
    <w:tbl>
      <w:tblPr>
        <w:tblLayout w:type="fixed"/>
        <w:tblInd w:w="300" w:type="dxa"/>
        <w:tblCellMar>
          <w:top w:w="0" w:type="dxa"/>
          <w:left w:w="0" w:type="dxa"/>
          <w:bottom w:w="0" w:type="dxa"/>
          <w:right w:w="0" w:type="dxa"/>
        </w:tblCellMar>
      </w:tblPr>
      <w:tr>
        <w:trPr>
          <w:trHeight w:val="35"/>
        </w:trPr>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gridSpan w:val="4"/>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1"/>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7"/>
          </w:tcPr>
          <w:p>
            <w:pPr>
              <w:ind w:left="320"/>
              <w:spacing w:after="0" w:line="440" w:lineRule="exact"/>
              <w:rPr>
                <w:sz w:val="20"/>
                <w:szCs w:val="20"/>
                <w:color w:val="auto"/>
              </w:rPr>
            </w:pPr>
            <w:r>
              <w:rPr>
                <w:rFonts w:ascii="Arial" w:cs="Arial" w:eastAsia="Arial" w:hAnsi="Arial"/>
                <w:sz w:val="44"/>
                <w:szCs w:val="44"/>
                <w:color w:val="66BF9B"/>
              </w:rPr>
              <w:t>q_jcq</w:t>
            </w:r>
            <w:r>
              <w:rPr>
                <w:rFonts w:ascii="Arial" w:cs="Arial" w:eastAsia="Arial" w:hAnsi="Arial"/>
                <w:sz w:val="51"/>
                <w:szCs w:val="51"/>
                <w:color w:val="66BF9B"/>
                <w:vertAlign w:val="superscript"/>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480" w:type="dxa"/>
            <w:vAlign w:val="bottom"/>
            <w:gridSpan w:val="2"/>
            <w:vMerge w:val="restart"/>
          </w:tcPr>
          <w:p>
            <w:pPr>
              <w:jc w:val="center"/>
              <w:ind w:right="60"/>
              <w:spacing w:after="0"/>
              <w:rPr>
                <w:sz w:val="20"/>
                <w:szCs w:val="20"/>
                <w:color w:val="auto"/>
              </w:rPr>
            </w:pPr>
            <w:r>
              <w:rPr>
                <w:rFonts w:ascii="Arial" w:cs="Arial" w:eastAsia="Arial" w:hAnsi="Arial"/>
                <w:sz w:val="19"/>
                <w:szCs w:val="19"/>
                <w:color w:val="634140"/>
              </w:rPr>
              <w:t>˭˫ˮ</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jc w:val="center"/>
              <w:spacing w:after="0" w:line="231" w:lineRule="exact"/>
              <w:rPr>
                <w:sz w:val="20"/>
                <w:szCs w:val="20"/>
                <w:color w:val="auto"/>
              </w:rPr>
            </w:pPr>
            <w:r>
              <w:rPr>
                <w:rFonts w:ascii="Arial" w:cs="Arial" w:eastAsia="Arial" w:hAnsi="Arial"/>
                <w:sz w:val="19"/>
                <w:szCs w:val="19"/>
                <w:color w:val="634140"/>
              </w:rPr>
              <w:t>˧</w:t>
            </w:r>
            <w:r>
              <w:rPr>
                <w:rFonts w:ascii="PMingLiU" w:cs="PMingLiU" w:eastAsia="PMingLiU" w:hAnsi="PMingLiU"/>
                <w:sz w:val="19"/>
                <w:szCs w:val="19"/>
                <w:color w:val="634140"/>
              </w:rPr>
              <w:t/>
            </w:r>
            <w:r>
              <w:rPr>
                <w:rFonts w:ascii="Arial" w:cs="Arial" w:eastAsia="Arial" w:hAnsi="Arial"/>
                <w:sz w:val="19"/>
                <w:szCs w:val="19"/>
                <w:color w:val="634140"/>
              </w:rPr>
              <w:t>˦ˮ˦</w:t>
            </w:r>
          </w:p>
        </w:tc>
        <w:tc>
          <w:tcPr>
            <w:tcW w:w="40" w:type="dxa"/>
            <w:vAlign w:val="bottom"/>
          </w:tcPr>
          <w:p>
            <w:pPr>
              <w:spacing w:after="0"/>
              <w:rPr>
                <w:sz w:val="24"/>
                <w:szCs w:val="24"/>
                <w:color w:val="auto"/>
              </w:rPr>
            </w:pPr>
          </w:p>
        </w:tc>
        <w:tc>
          <w:tcPr>
            <w:tcW w:w="660" w:type="dxa"/>
            <w:vAlign w:val="bottom"/>
            <w:gridSpan w:val="2"/>
            <w:vMerge w:val="restart"/>
          </w:tcPr>
          <w:p>
            <w:pPr>
              <w:jc w:val="center"/>
              <w:ind w:right="80"/>
              <w:spacing w:after="0" w:line="231" w:lineRule="exact"/>
              <w:rPr>
                <w:sz w:val="20"/>
                <w:szCs w:val="20"/>
                <w:color w:val="auto"/>
              </w:rPr>
            </w:pPr>
            <w:r>
              <w:rPr>
                <w:rFonts w:ascii="Arial" w:cs="Arial" w:eastAsia="Arial" w:hAnsi="Arial"/>
                <w:sz w:val="19"/>
                <w:szCs w:val="19"/>
                <w:color w:val="634140"/>
              </w:rPr>
              <w:t>˧</w:t>
            </w:r>
            <w:r>
              <w:rPr>
                <w:rFonts w:ascii="PMingLiU" w:cs="PMingLiU" w:eastAsia="PMingLiU" w:hAnsi="PMingLiU"/>
                <w:sz w:val="19"/>
                <w:szCs w:val="19"/>
                <w:color w:val="634140"/>
              </w:rPr>
              <w:t/>
            </w:r>
            <w:r>
              <w:rPr>
                <w:rFonts w:ascii="Arial" w:cs="Arial" w:eastAsia="Arial" w:hAnsi="Arial"/>
                <w:sz w:val="19"/>
                <w:szCs w:val="19"/>
                <w:color w:val="634140"/>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634140"/>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vMerge w:val="restart"/>
          </w:tcPr>
          <w:p>
            <w:pPr>
              <w:jc w:val="center"/>
              <w:spacing w:after="0" w:line="231" w:lineRule="exact"/>
              <w:rPr>
                <w:sz w:val="20"/>
                <w:szCs w:val="20"/>
                <w:color w:val="auto"/>
              </w:rPr>
            </w:pPr>
            <w:r>
              <w:rPr>
                <w:rFonts w:ascii="Arial" w:cs="Arial" w:eastAsia="Arial" w:hAnsi="Arial"/>
                <w:sz w:val="19"/>
                <w:szCs w:val="19"/>
                <w:color w:val="634140"/>
              </w:rPr>
              <w:t>˦</w:t>
            </w:r>
            <w:r>
              <w:rPr>
                <w:rFonts w:ascii="PMingLiU" w:cs="PMingLiU" w:eastAsia="PMingLiU" w:hAnsi="PMingLiU"/>
                <w:sz w:val="19"/>
                <w:szCs w:val="19"/>
                <w:color w:val="634140"/>
              </w:rPr>
              <w:t/>
            </w:r>
            <w:r>
              <w:rPr>
                <w:rFonts w:ascii="Arial" w:cs="Arial" w:eastAsia="Arial" w:hAnsi="Arial"/>
                <w:sz w:val="19"/>
                <w:szCs w:val="19"/>
                <w:color w:val="634140"/>
              </w:rPr>
              <w:t>˭˧˩</w:t>
            </w:r>
          </w:p>
        </w:tc>
        <w:tc>
          <w:tcPr>
            <w:tcW w:w="0" w:type="dxa"/>
            <w:vAlign w:val="bottom"/>
          </w:tcPr>
          <w:p>
            <w:pPr>
              <w:spacing w:after="0"/>
              <w:rPr>
                <w:sz w:val="1"/>
                <w:szCs w:val="1"/>
                <w:color w:val="auto"/>
              </w:rPr>
            </w:pPr>
          </w:p>
        </w:tc>
      </w:tr>
      <w:tr>
        <w:trPr>
          <w:trHeight w:val="114"/>
        </w:trPr>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center"/>
              <w:ind w:right="40"/>
              <w:spacing w:after="0"/>
              <w:rPr>
                <w:sz w:val="20"/>
                <w:szCs w:val="20"/>
                <w:color w:val="auto"/>
              </w:rPr>
            </w:pPr>
            <w:r>
              <w:rPr>
                <w:rFonts w:ascii="Arial" w:cs="Arial" w:eastAsia="Arial" w:hAnsi="Arial"/>
                <w:sz w:val="19"/>
                <w:szCs w:val="19"/>
                <w:color w:val="634140"/>
              </w:rPr>
              <w:t>˪ˮ˭</w:t>
            </w:r>
          </w:p>
        </w:tc>
        <w:tc>
          <w:tcPr>
            <w:tcW w:w="440" w:type="dxa"/>
            <w:vAlign w:val="bottom"/>
          </w:tcPr>
          <w:p>
            <w:pPr>
              <w:jc w:val="center"/>
              <w:spacing w:after="0"/>
              <w:rPr>
                <w:sz w:val="20"/>
                <w:szCs w:val="20"/>
                <w:color w:val="auto"/>
              </w:rPr>
            </w:pPr>
            <w:r>
              <w:rPr>
                <w:rFonts w:ascii="Arial" w:cs="Arial" w:eastAsia="Arial" w:hAnsi="Arial"/>
                <w:sz w:val="19"/>
                <w:szCs w:val="19"/>
                <w:color w:val="634140"/>
              </w:rPr>
              <w:t>˫˨˩</w:t>
            </w:r>
          </w:p>
        </w:tc>
        <w:tc>
          <w:tcPr>
            <w:tcW w:w="20" w:type="dxa"/>
            <w:vAlign w:val="bottom"/>
          </w:tcPr>
          <w:p>
            <w:pPr>
              <w:spacing w:after="0"/>
              <w:rPr>
                <w:sz w:val="24"/>
                <w:szCs w:val="2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9"/>
                <w:szCs w:val="19"/>
                <w:color w:val="634140"/>
              </w:rPr>
              <w:t>˪ˬˬ</w:t>
            </w:r>
          </w:p>
        </w:tc>
        <w:tc>
          <w:tcPr>
            <w:tcW w:w="14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9"/>
                <w:szCs w:val="19"/>
                <w:color w:val="634140"/>
              </w:rPr>
              <w:t>˫˥˥</w:t>
            </w:r>
          </w:p>
        </w:tc>
        <w:tc>
          <w:tcPr>
            <w:tcW w:w="340" w:type="dxa"/>
            <w:vAlign w:val="bottom"/>
            <w:vMerge w:val="restart"/>
          </w:tcPr>
          <w:p>
            <w:pPr>
              <w:jc w:val="right"/>
              <w:spacing w:after="0"/>
              <w:rPr>
                <w:sz w:val="20"/>
                <w:szCs w:val="20"/>
                <w:color w:val="auto"/>
              </w:rPr>
            </w:pPr>
            <w:r>
              <w:rPr>
                <w:rFonts w:ascii="Arial" w:cs="Arial" w:eastAsia="Arial" w:hAnsi="Arial"/>
                <w:sz w:val="19"/>
                <w:szCs w:val="19"/>
                <w:color w:val="634140"/>
              </w:rPr>
              <w:t>˪ˬ˧</w:t>
            </w:r>
          </w:p>
        </w:tc>
        <w:tc>
          <w:tcPr>
            <w:tcW w:w="40" w:type="dxa"/>
            <w:vAlign w:val="bottom"/>
          </w:tcPr>
          <w:p>
            <w:pPr>
              <w:spacing w:after="0"/>
              <w:rPr>
                <w:sz w:val="24"/>
                <w:szCs w:val="24"/>
                <w:color w:val="auto"/>
              </w:rPr>
            </w:pPr>
          </w:p>
        </w:tc>
        <w:tc>
          <w:tcPr>
            <w:tcW w:w="900" w:type="dxa"/>
            <w:vAlign w:val="bottom"/>
            <w:gridSpan w:val="2"/>
            <w:vMerge w:val="restart"/>
          </w:tcPr>
          <w:p>
            <w:pPr>
              <w:jc w:val="center"/>
              <w:ind w:right="480"/>
              <w:spacing w:after="0"/>
              <w:rPr>
                <w:sz w:val="20"/>
                <w:szCs w:val="20"/>
                <w:color w:val="auto"/>
              </w:rPr>
            </w:pPr>
            <w:r>
              <w:rPr>
                <w:rFonts w:ascii="Arial" w:cs="Arial" w:eastAsia="Arial" w:hAnsi="Arial"/>
                <w:sz w:val="19"/>
                <w:szCs w:val="19"/>
                <w:color w:val="634140"/>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Arial" w:cs="Arial" w:eastAsia="Arial" w:hAnsi="Arial"/>
                <w:sz w:val="19"/>
                <w:szCs w:val="19"/>
                <w:color w:val="634140"/>
              </w:rPr>
              <w:t>˫˩˦</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8"/>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gridSpan w:val="3"/>
          </w:tcPr>
          <w:p>
            <w:pPr>
              <w:jc w:val="center"/>
              <w:ind w:right="60"/>
              <w:spacing w:after="0"/>
              <w:rPr>
                <w:sz w:val="20"/>
                <w:szCs w:val="20"/>
                <w:color w:val="auto"/>
              </w:rPr>
            </w:pPr>
            <w:r>
              <w:rPr>
                <w:rFonts w:ascii="Arial" w:cs="Arial" w:eastAsia="Arial" w:hAnsi="Arial"/>
                <w:sz w:val="19"/>
                <w:szCs w:val="19"/>
                <w:color w:val="634140"/>
              </w:rPr>
              <w:t>˦˭˪</w:t>
            </w:r>
          </w:p>
        </w:tc>
        <w:tc>
          <w:tcPr>
            <w:tcW w:w="440" w:type="dxa"/>
            <w:vAlign w:val="bottom"/>
            <w:vMerge w:val="restart"/>
          </w:tcPr>
          <w:p>
            <w:pPr>
              <w:jc w:val="center"/>
              <w:spacing w:after="0"/>
              <w:rPr>
                <w:sz w:val="20"/>
                <w:szCs w:val="20"/>
                <w:color w:val="auto"/>
              </w:rPr>
            </w:pPr>
            <w:r>
              <w:rPr>
                <w:rFonts w:ascii="Arial" w:cs="Arial" w:eastAsia="Arial" w:hAnsi="Arial"/>
                <w:sz w:val="19"/>
                <w:szCs w:val="19"/>
                <w:color w:val="634140"/>
              </w:rPr>
              <w:t>˦˩˩</w:t>
            </w:r>
          </w:p>
        </w:tc>
        <w:tc>
          <w:tcPr>
            <w:tcW w:w="40" w:type="dxa"/>
            <w:vAlign w:val="bottom"/>
          </w:tcPr>
          <w:p>
            <w:pPr>
              <w:spacing w:after="0"/>
              <w:rPr>
                <w:sz w:val="24"/>
                <w:szCs w:val="24"/>
                <w:color w:val="auto"/>
              </w:rPr>
            </w:pPr>
          </w:p>
        </w:tc>
        <w:tc>
          <w:tcPr>
            <w:tcW w:w="940" w:type="dxa"/>
            <w:vAlign w:val="bottom"/>
            <w:gridSpan w:val="2"/>
            <w:vMerge w:val="restart"/>
          </w:tcPr>
          <w:p>
            <w:pPr>
              <w:jc w:val="center"/>
              <w:ind w:right="500"/>
              <w:spacing w:after="0"/>
              <w:rPr>
                <w:sz w:val="20"/>
                <w:szCs w:val="20"/>
                <w:color w:val="auto"/>
              </w:rPr>
            </w:pPr>
            <w:r>
              <w:rPr>
                <w:rFonts w:ascii="Arial" w:cs="Arial" w:eastAsia="Arial" w:hAnsi="Arial"/>
                <w:sz w:val="19"/>
                <w:szCs w:val="19"/>
                <w:color w:val="634140"/>
              </w:rPr>
              <w:t>˦˨ˬ</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0" w:type="dxa"/>
            <w:vAlign w:val="bottom"/>
            <w:shd w:val="clear" w:color="auto" w:fill="EFF8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8"/>
                <w:szCs w:val="18"/>
                <w:color w:val="auto"/>
              </w:rPr>
            </w:pPr>
          </w:p>
        </w:tc>
        <w:tc>
          <w:tcPr>
            <w:tcW w:w="440" w:type="dxa"/>
            <w:vAlign w:val="bottom"/>
            <w:shd w:val="clear" w:color="auto" w:fill="D6C9C0"/>
          </w:tcPr>
          <w:p>
            <w:pPr>
              <w:ind w:left="12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20" w:type="dxa"/>
            <w:vAlign w:val="bottom"/>
          </w:tcPr>
          <w:p>
            <w:pPr>
              <w:spacing w:after="0"/>
              <w:rPr>
                <w:sz w:val="18"/>
                <w:szCs w:val="18"/>
                <w:color w:val="auto"/>
              </w:rPr>
            </w:pPr>
          </w:p>
        </w:tc>
        <w:tc>
          <w:tcPr>
            <w:tcW w:w="440" w:type="dxa"/>
            <w:vAlign w:val="bottom"/>
            <w:shd w:val="clear" w:color="auto" w:fill="D5EFEA"/>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500" w:type="dxa"/>
            <w:vAlign w:val="bottom"/>
          </w:tcPr>
          <w:p>
            <w:pPr>
              <w:spacing w:after="0"/>
              <w:rPr>
                <w:sz w:val="18"/>
                <w:szCs w:val="18"/>
                <w:color w:val="auto"/>
              </w:rPr>
            </w:pPr>
          </w:p>
        </w:tc>
        <w:tc>
          <w:tcPr>
            <w:tcW w:w="440" w:type="dxa"/>
            <w:vAlign w:val="bottom"/>
            <w:shd w:val="clear" w:color="auto" w:fill="EFF8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8"/>
                <w:szCs w:val="18"/>
                <w:color w:val="auto"/>
              </w:rPr>
            </w:pPr>
          </w:p>
        </w:tc>
        <w:tc>
          <w:tcPr>
            <w:tcW w:w="440" w:type="dxa"/>
            <w:vAlign w:val="bottom"/>
            <w:shd w:val="clear" w:color="auto" w:fill="D6C9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20" w:type="dxa"/>
            <w:vAlign w:val="bottom"/>
          </w:tcPr>
          <w:p>
            <w:pPr>
              <w:spacing w:after="0"/>
              <w:rPr>
                <w:sz w:val="18"/>
                <w:szCs w:val="18"/>
                <w:color w:val="auto"/>
              </w:rPr>
            </w:pPr>
          </w:p>
        </w:tc>
        <w:tc>
          <w:tcPr>
            <w:tcW w:w="440" w:type="dxa"/>
            <w:vAlign w:val="bottom"/>
            <w:shd w:val="clear" w:color="auto" w:fill="D5EFEA"/>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shd w:val="clear" w:color="auto" w:fill="EFF8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8"/>
                <w:szCs w:val="18"/>
                <w:color w:val="auto"/>
              </w:rPr>
            </w:pPr>
          </w:p>
        </w:tc>
        <w:tc>
          <w:tcPr>
            <w:tcW w:w="100" w:type="dxa"/>
            <w:vAlign w:val="bottom"/>
            <w:shd w:val="clear" w:color="auto" w:fill="D6C9C0"/>
          </w:tcPr>
          <w:p>
            <w:pPr>
              <w:spacing w:after="0"/>
              <w:rPr>
                <w:sz w:val="18"/>
                <w:szCs w:val="18"/>
                <w:color w:val="auto"/>
              </w:rPr>
            </w:pPr>
          </w:p>
        </w:tc>
        <w:tc>
          <w:tcPr>
            <w:tcW w:w="340" w:type="dxa"/>
            <w:vAlign w:val="bottom"/>
            <w:shd w:val="clear" w:color="auto" w:fill="D6C9C0"/>
          </w:tcPr>
          <w:p>
            <w:pPr>
              <w:jc w:val="right"/>
              <w:ind w:right="15"/>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8"/>
                <w:szCs w:val="18"/>
                <w:color w:val="auto"/>
              </w:rPr>
            </w:pPr>
          </w:p>
        </w:tc>
        <w:tc>
          <w:tcPr>
            <w:tcW w:w="440" w:type="dxa"/>
            <w:vAlign w:val="bottom"/>
            <w:shd w:val="clear" w:color="auto" w:fill="D5EFEA"/>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60" w:type="dxa"/>
            <w:vAlign w:val="bottom"/>
          </w:tcPr>
          <w:p>
            <w:pPr>
              <w:spacing w:after="0"/>
              <w:rPr>
                <w:sz w:val="18"/>
                <w:szCs w:val="18"/>
                <w:color w:val="auto"/>
              </w:rPr>
            </w:pPr>
          </w:p>
        </w:tc>
        <w:tc>
          <w:tcPr>
            <w:tcW w:w="80" w:type="dxa"/>
            <w:vAlign w:val="bottom"/>
            <w:shd w:val="clear" w:color="auto" w:fill="EFF8C0"/>
          </w:tcPr>
          <w:p>
            <w:pPr>
              <w:spacing w:after="0"/>
              <w:rPr>
                <w:sz w:val="18"/>
                <w:szCs w:val="18"/>
                <w:color w:val="auto"/>
              </w:rPr>
            </w:pPr>
          </w:p>
        </w:tc>
        <w:tc>
          <w:tcPr>
            <w:tcW w:w="360" w:type="dxa"/>
            <w:vAlign w:val="bottom"/>
            <w:shd w:val="clear" w:color="auto" w:fill="EFF8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8"/>
                <w:szCs w:val="18"/>
                <w:color w:val="auto"/>
              </w:rPr>
            </w:pPr>
          </w:p>
        </w:tc>
        <w:tc>
          <w:tcPr>
            <w:tcW w:w="440" w:type="dxa"/>
            <w:vAlign w:val="bottom"/>
            <w:shd w:val="clear" w:color="auto" w:fill="D6C9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8"/>
                <w:szCs w:val="18"/>
                <w:color w:val="auto"/>
              </w:rPr>
            </w:pPr>
          </w:p>
        </w:tc>
        <w:tc>
          <w:tcPr>
            <w:tcW w:w="440" w:type="dxa"/>
            <w:vAlign w:val="bottom"/>
            <w:shd w:val="clear" w:color="auto" w:fill="D5EFEA"/>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500" w:type="dxa"/>
            <w:vAlign w:val="bottom"/>
          </w:tcPr>
          <w:p>
            <w:pPr>
              <w:spacing w:after="0"/>
              <w:rPr>
                <w:sz w:val="18"/>
                <w:szCs w:val="18"/>
                <w:color w:val="auto"/>
              </w:rPr>
            </w:pPr>
          </w:p>
        </w:tc>
        <w:tc>
          <w:tcPr>
            <w:tcW w:w="600" w:type="dxa"/>
            <w:vAlign w:val="bottom"/>
            <w:shd w:val="clear" w:color="auto" w:fill="EFF8C0"/>
          </w:tcPr>
          <w:p>
            <w:pPr>
              <w:ind w:left="22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8"/>
                <w:szCs w:val="18"/>
                <w:color w:val="auto"/>
              </w:rPr>
            </w:pPr>
          </w:p>
        </w:tc>
        <w:tc>
          <w:tcPr>
            <w:tcW w:w="580" w:type="dxa"/>
            <w:vAlign w:val="bottom"/>
            <w:shd w:val="clear" w:color="auto" w:fill="D6C9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80" w:type="dxa"/>
            <w:vAlign w:val="bottom"/>
            <w:tcBorders>
              <w:right w:val="single" w:sz="8" w:color="D5EFEA"/>
            </w:tcBorders>
          </w:tcPr>
          <w:p>
            <w:pPr>
              <w:spacing w:after="0"/>
              <w:rPr>
                <w:sz w:val="18"/>
                <w:szCs w:val="18"/>
                <w:color w:val="auto"/>
              </w:rPr>
            </w:pPr>
          </w:p>
        </w:tc>
        <w:tc>
          <w:tcPr>
            <w:tcW w:w="540" w:type="dxa"/>
            <w:vAlign w:val="bottom"/>
            <w:shd w:val="clear" w:color="auto" w:fill="D5EFEA"/>
          </w:tcPr>
          <w:p>
            <w:pPr>
              <w:ind w:left="18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0" w:type="dxa"/>
            <w:vAlign w:val="bottom"/>
          </w:tcPr>
          <w:p>
            <w:pPr>
              <w:spacing w:after="0"/>
              <w:rPr>
                <w:sz w:val="1"/>
                <w:szCs w:val="1"/>
                <w:color w:val="auto"/>
              </w:rPr>
            </w:pPr>
          </w:p>
        </w:tc>
      </w:tr>
      <w:tr>
        <w:trPr>
          <w:trHeight w:val="176"/>
        </w:trPr>
        <w:tc>
          <w:tcPr>
            <w:tcW w:w="440" w:type="dxa"/>
            <w:vAlign w:val="bottom"/>
            <w:tcBorders>
              <w:bottom w:val="single" w:sz="8" w:color="EFF8C0"/>
            </w:tcBorders>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15"/>
                <w:szCs w:val="15"/>
                <w:color w:val="auto"/>
              </w:rPr>
            </w:pPr>
          </w:p>
        </w:tc>
        <w:tc>
          <w:tcPr>
            <w:tcW w:w="440" w:type="dxa"/>
            <w:vAlign w:val="bottom"/>
            <w:tcBorders>
              <w:bottom w:val="single" w:sz="8" w:color="D6C9C0"/>
            </w:tcBorders>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20" w:type="dxa"/>
            <w:vAlign w:val="bottom"/>
          </w:tcPr>
          <w:p>
            <w:pPr>
              <w:spacing w:after="0"/>
              <w:rPr>
                <w:sz w:val="15"/>
                <w:szCs w:val="15"/>
                <w:color w:val="auto"/>
              </w:rPr>
            </w:pPr>
          </w:p>
        </w:tc>
        <w:tc>
          <w:tcPr>
            <w:tcW w:w="440" w:type="dxa"/>
            <w:vAlign w:val="bottom"/>
            <w:tcBorders>
              <w:bottom w:val="single" w:sz="8" w:color="D5EFEA"/>
            </w:tcBorders>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500" w:type="dxa"/>
            <w:vAlign w:val="bottom"/>
          </w:tcPr>
          <w:p>
            <w:pPr>
              <w:spacing w:after="0"/>
              <w:rPr>
                <w:sz w:val="15"/>
                <w:szCs w:val="15"/>
                <w:color w:val="auto"/>
              </w:rPr>
            </w:pPr>
          </w:p>
        </w:tc>
        <w:tc>
          <w:tcPr>
            <w:tcW w:w="440" w:type="dxa"/>
            <w:vAlign w:val="bottom"/>
            <w:tcBorders>
              <w:bottom w:val="single" w:sz="8" w:color="EFF8C0"/>
            </w:tcBorders>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15"/>
                <w:szCs w:val="15"/>
                <w:color w:val="auto"/>
              </w:rPr>
            </w:pPr>
          </w:p>
        </w:tc>
        <w:tc>
          <w:tcPr>
            <w:tcW w:w="440" w:type="dxa"/>
            <w:vAlign w:val="bottom"/>
            <w:tcBorders>
              <w:bottom w:val="single" w:sz="8" w:color="D6C9C0"/>
            </w:tcBorders>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20" w:type="dxa"/>
            <w:vAlign w:val="bottom"/>
          </w:tcPr>
          <w:p>
            <w:pPr>
              <w:spacing w:after="0"/>
              <w:rPr>
                <w:sz w:val="15"/>
                <w:szCs w:val="15"/>
                <w:color w:val="auto"/>
              </w:rPr>
            </w:pPr>
          </w:p>
        </w:tc>
        <w:tc>
          <w:tcPr>
            <w:tcW w:w="440" w:type="dxa"/>
            <w:vAlign w:val="bottom"/>
            <w:tcBorders>
              <w:bottom w:val="single" w:sz="8" w:color="D5EFEA"/>
            </w:tcBorders>
            <w:shd w:val="clear" w:color="auto" w:fill="D5EFEA"/>
          </w:tcPr>
          <w:p>
            <w:pPr>
              <w:ind w:left="60"/>
              <w:spacing w:after="0"/>
              <w:rPr>
                <w:sz w:val="20"/>
                <w:szCs w:val="20"/>
                <w:color w:val="auto"/>
              </w:rPr>
            </w:pPr>
            <w:r>
              <w:rPr>
                <w:rFonts w:ascii="Arial" w:cs="Arial" w:eastAsia="Arial" w:hAnsi="Arial"/>
                <w:sz w:val="15"/>
                <w:szCs w:val="15"/>
                <w:b w:val="1"/>
                <w:bCs w:val="1"/>
                <w:color w:val="634140"/>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EFF8C0"/>
            </w:tcBorders>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15"/>
                <w:szCs w:val="15"/>
                <w:color w:val="auto"/>
              </w:rPr>
            </w:pPr>
          </w:p>
        </w:tc>
        <w:tc>
          <w:tcPr>
            <w:tcW w:w="440" w:type="dxa"/>
            <w:vAlign w:val="bottom"/>
            <w:tcBorders>
              <w:bottom w:val="single" w:sz="8" w:color="D6C9C0"/>
            </w:tcBorders>
            <w:gridSpan w:val="2"/>
            <w:shd w:val="clear" w:color="auto" w:fill="D6C9C0"/>
          </w:tcPr>
          <w:p>
            <w:pPr>
              <w:jc w:val="right"/>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15"/>
                <w:szCs w:val="15"/>
                <w:color w:val="auto"/>
              </w:rPr>
            </w:pPr>
          </w:p>
        </w:tc>
        <w:tc>
          <w:tcPr>
            <w:tcW w:w="440" w:type="dxa"/>
            <w:vAlign w:val="bottom"/>
            <w:tcBorders>
              <w:bottom w:val="single" w:sz="8" w:color="D5EFEA"/>
            </w:tcBorders>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460" w:type="dxa"/>
            <w:vAlign w:val="bottom"/>
          </w:tcPr>
          <w:p>
            <w:pPr>
              <w:spacing w:after="0"/>
              <w:rPr>
                <w:sz w:val="15"/>
                <w:szCs w:val="15"/>
                <w:color w:val="auto"/>
              </w:rPr>
            </w:pPr>
          </w:p>
        </w:tc>
        <w:tc>
          <w:tcPr>
            <w:tcW w:w="440" w:type="dxa"/>
            <w:vAlign w:val="bottom"/>
            <w:tcBorders>
              <w:bottom w:val="single" w:sz="8" w:color="EFF8C0"/>
            </w:tcBorders>
            <w:gridSpan w:val="2"/>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15"/>
                <w:szCs w:val="15"/>
                <w:color w:val="auto"/>
              </w:rPr>
            </w:pPr>
          </w:p>
        </w:tc>
        <w:tc>
          <w:tcPr>
            <w:tcW w:w="440" w:type="dxa"/>
            <w:vAlign w:val="bottom"/>
            <w:tcBorders>
              <w:bottom w:val="single" w:sz="8" w:color="D6C9C0"/>
            </w:tcBorders>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15"/>
                <w:szCs w:val="15"/>
                <w:color w:val="auto"/>
              </w:rPr>
            </w:pPr>
          </w:p>
        </w:tc>
        <w:tc>
          <w:tcPr>
            <w:tcW w:w="440" w:type="dxa"/>
            <w:vAlign w:val="bottom"/>
            <w:tcBorders>
              <w:bottom w:val="single" w:sz="8" w:color="D5EFEA"/>
            </w:tcBorders>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500" w:type="dxa"/>
            <w:vAlign w:val="bottom"/>
          </w:tcPr>
          <w:p>
            <w:pPr>
              <w:spacing w:after="0"/>
              <w:rPr>
                <w:sz w:val="15"/>
                <w:szCs w:val="15"/>
                <w:color w:val="auto"/>
              </w:rPr>
            </w:pPr>
          </w:p>
        </w:tc>
        <w:tc>
          <w:tcPr>
            <w:tcW w:w="600" w:type="dxa"/>
            <w:vAlign w:val="bottom"/>
            <w:tcBorders>
              <w:bottom w:val="single" w:sz="8" w:color="EFF8C0"/>
            </w:tcBorders>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15"/>
                <w:szCs w:val="15"/>
                <w:color w:val="auto"/>
              </w:rPr>
            </w:pPr>
          </w:p>
        </w:tc>
        <w:tc>
          <w:tcPr>
            <w:tcW w:w="580" w:type="dxa"/>
            <w:vAlign w:val="bottom"/>
            <w:tcBorders>
              <w:bottom w:val="single" w:sz="8" w:color="D6C9C0"/>
            </w:tcBorders>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80" w:type="dxa"/>
            <w:vAlign w:val="bottom"/>
            <w:tcBorders>
              <w:right w:val="single" w:sz="8" w:color="D5EFEA"/>
            </w:tcBorders>
          </w:tcPr>
          <w:p>
            <w:pPr>
              <w:spacing w:after="0"/>
              <w:rPr>
                <w:sz w:val="15"/>
                <w:szCs w:val="15"/>
                <w:color w:val="auto"/>
              </w:rPr>
            </w:pPr>
          </w:p>
        </w:tc>
        <w:tc>
          <w:tcPr>
            <w:tcW w:w="540" w:type="dxa"/>
            <w:vAlign w:val="bottom"/>
            <w:tcBorders>
              <w:bottom w:val="single" w:sz="8" w:color="D5EFEA"/>
            </w:tcBorders>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0" w:type="dxa"/>
            <w:vAlign w:val="bottom"/>
          </w:tcPr>
          <w:p>
            <w:pPr>
              <w:spacing w:after="0"/>
              <w:rPr>
                <w:sz w:val="1"/>
                <w:szCs w:val="1"/>
                <w:color w:val="auto"/>
              </w:rPr>
            </w:pPr>
          </w:p>
        </w:tc>
      </w:tr>
      <w:tr>
        <w:trPr>
          <w:trHeight w:val="278"/>
        </w:trPr>
        <w:tc>
          <w:tcPr>
            <w:tcW w:w="1380" w:type="dxa"/>
            <w:vAlign w:val="bottom"/>
            <w:gridSpan w:val="5"/>
          </w:tcPr>
          <w:p>
            <w:pPr>
              <w:jc w:val="center"/>
              <w:spacing w:after="0" w:line="219" w:lineRule="exact"/>
              <w:rPr>
                <w:sz w:val="20"/>
                <w:szCs w:val="20"/>
                <w:color w:val="auto"/>
              </w:rPr>
            </w:pPr>
            <w:r>
              <w:rPr>
                <w:rFonts w:ascii="Arial" w:cs="Arial" w:eastAsia="Arial" w:hAnsi="Arial"/>
                <w:sz w:val="18"/>
                <w:szCs w:val="18"/>
                <w:color w:val="634140"/>
                <w:w w:val="91"/>
              </w:rPr>
              <w:t>jgdc</w:t>
            </w:r>
            <w:r>
              <w:rPr>
                <w:rFonts w:ascii="PMingLiU" w:cs="PMingLiU" w:eastAsia="PMingLiU" w:hAnsi="PMingLiU"/>
                <w:sz w:val="18"/>
                <w:szCs w:val="18"/>
                <w:color w:val="634140"/>
                <w:w w:val="91"/>
              </w:rPr>
              <w:t/>
            </w:r>
            <w:r>
              <w:rPr>
                <w:rFonts w:ascii="Arial" w:cs="Arial" w:eastAsia="Arial" w:hAnsi="Arial"/>
                <w:sz w:val="18"/>
                <w:szCs w:val="18"/>
                <w:color w:val="634140"/>
                <w:w w:val="91"/>
              </w:rPr>
              <w:t>qagclacq</w:t>
            </w:r>
          </w:p>
        </w:tc>
        <w:tc>
          <w:tcPr>
            <w:tcW w:w="500" w:type="dxa"/>
            <w:vAlign w:val="bottom"/>
          </w:tcPr>
          <w:p>
            <w:pPr>
              <w:spacing w:after="0"/>
              <w:rPr>
                <w:sz w:val="24"/>
                <w:szCs w:val="24"/>
                <w:color w:val="auto"/>
              </w:rPr>
            </w:pPr>
          </w:p>
        </w:tc>
        <w:tc>
          <w:tcPr>
            <w:tcW w:w="1780" w:type="dxa"/>
            <w:vAlign w:val="bottom"/>
            <w:gridSpan w:val="6"/>
          </w:tcPr>
          <w:p>
            <w:pPr>
              <w:ind w:left="160"/>
              <w:spacing w:after="0" w:line="219" w:lineRule="exact"/>
              <w:rPr>
                <w:sz w:val="20"/>
                <w:szCs w:val="20"/>
                <w:color w:val="auto"/>
              </w:rPr>
            </w:pPr>
            <w:r>
              <w:rPr>
                <w:rFonts w:ascii="Arial" w:cs="Arial" w:eastAsia="Arial" w:hAnsi="Arial"/>
                <w:sz w:val="18"/>
                <w:szCs w:val="18"/>
                <w:color w:val="634140"/>
              </w:rPr>
              <w:t>ncpqml_j</w:t>
            </w:r>
            <w:r>
              <w:rPr>
                <w:rFonts w:ascii="PMingLiU" w:cs="PMingLiU" w:eastAsia="PMingLiU" w:hAnsi="PMingLiU"/>
                <w:sz w:val="18"/>
                <w:szCs w:val="18"/>
                <w:color w:val="634140"/>
              </w:rPr>
              <w:t/>
            </w:r>
            <w:r>
              <w:rPr>
                <w:rFonts w:ascii="Arial" w:cs="Arial" w:eastAsia="Arial" w:hAnsi="Arial"/>
                <w:sz w:val="18"/>
                <w:szCs w:val="18"/>
                <w:color w:val="634140"/>
              </w:rPr>
              <w:t>a_pc</w:t>
            </w:r>
          </w:p>
        </w:tc>
        <w:tc>
          <w:tcPr>
            <w:tcW w:w="140" w:type="dxa"/>
            <w:vAlign w:val="bottom"/>
          </w:tcPr>
          <w:p>
            <w:pPr>
              <w:spacing w:after="0"/>
              <w:rPr>
                <w:sz w:val="24"/>
                <w:szCs w:val="24"/>
                <w:color w:val="auto"/>
              </w:rPr>
            </w:pPr>
          </w:p>
        </w:tc>
        <w:tc>
          <w:tcPr>
            <w:tcW w:w="1860" w:type="dxa"/>
            <w:vAlign w:val="bottom"/>
            <w:gridSpan w:val="7"/>
          </w:tcPr>
          <w:p>
            <w:pPr>
              <w:ind w:left="340"/>
              <w:spacing w:after="0" w:line="219" w:lineRule="exact"/>
              <w:rPr>
                <w:sz w:val="20"/>
                <w:szCs w:val="20"/>
                <w:color w:val="auto"/>
              </w:rPr>
            </w:pPr>
            <w:r>
              <w:rPr>
                <w:rFonts w:ascii="Arial" w:cs="Arial" w:eastAsia="Arial" w:hAnsi="Arial"/>
                <w:sz w:val="18"/>
                <w:szCs w:val="18"/>
                <w:color w:val="634140"/>
              </w:rPr>
              <w:t>qncag_jrw</w:t>
            </w:r>
            <w:r>
              <w:rPr>
                <w:rFonts w:ascii="PMingLiU" w:cs="PMingLiU" w:eastAsia="PMingLiU" w:hAnsi="PMingLiU"/>
                <w:sz w:val="18"/>
                <w:szCs w:val="18"/>
                <w:color w:val="634140"/>
              </w:rPr>
              <w:t/>
            </w:r>
          </w:p>
        </w:tc>
        <w:tc>
          <w:tcPr>
            <w:tcW w:w="80" w:type="dxa"/>
            <w:vAlign w:val="bottom"/>
          </w:tcPr>
          <w:p>
            <w:pPr>
              <w:spacing w:after="0"/>
              <w:rPr>
                <w:sz w:val="24"/>
                <w:szCs w:val="24"/>
                <w:color w:val="auto"/>
              </w:rPr>
            </w:pPr>
          </w:p>
        </w:tc>
        <w:tc>
          <w:tcPr>
            <w:tcW w:w="1820" w:type="dxa"/>
            <w:vAlign w:val="bottom"/>
            <w:gridSpan w:val="6"/>
          </w:tcPr>
          <w:p>
            <w:pPr>
              <w:ind w:left="100"/>
              <w:spacing w:after="0"/>
              <w:rPr>
                <w:sz w:val="20"/>
                <w:szCs w:val="20"/>
                <w:color w:val="auto"/>
              </w:rPr>
            </w:pPr>
            <w:r>
              <w:rPr>
                <w:rFonts w:ascii="Arial" w:cs="Arial" w:eastAsia="Arial" w:hAnsi="Arial"/>
                <w:sz w:val="18"/>
                <w:szCs w:val="18"/>
                <w:color w:val="634140"/>
              </w:rPr>
              <w:t>glrcpkcbg_rcq</w:t>
            </w:r>
          </w:p>
        </w:tc>
        <w:tc>
          <w:tcPr>
            <w:tcW w:w="60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8"/>
                <w:szCs w:val="18"/>
                <w:color w:val="634140"/>
              </w:rPr>
              <w:t>Eqfj_lb</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7"/>
          </w:tcPr>
          <w:p>
            <w:pPr>
              <w:ind w:left="340"/>
              <w:spacing w:after="0"/>
              <w:rPr>
                <w:sz w:val="20"/>
                <w:szCs w:val="20"/>
                <w:color w:val="auto"/>
              </w:rPr>
            </w:pPr>
            <w:r>
              <w:rPr>
                <w:rFonts w:ascii="Arial" w:cs="Arial" w:eastAsia="Arial" w:hAnsi="Arial"/>
                <w:sz w:val="18"/>
                <w:szCs w:val="18"/>
                <w:color w:val="634140"/>
              </w:rPr>
              <w:t>_bbgrgtcq</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-2418715</wp:posOffset>
            </wp:positionV>
            <wp:extent cx="6371590" cy="25222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
                      <a:extLst>
                        <a:ext uri="{28A0092B-C50C-407E-A947-70E740481C1C}"/>
                      </a:extLst>
                    </a:blip>
                    <a:srcRect/>
                    <a:stretch>
                      <a:fillRect/>
                    </a:stretch>
                  </pic:blipFill>
                  <pic:spPr bwMode="auto">
                    <a:xfrm>
                      <a:off x="0" y="0"/>
                      <a:ext cx="6371590" cy="2522220"/>
                    </a:xfrm>
                    <a:prstGeom prst="rect">
                      <a:avLst/>
                    </a:prstGeom>
                    <a:noFill/>
                  </pic:spPr>
                </pic:pic>
              </a:graphicData>
            </a:graphic>
          </wp:anchor>
        </w:drawing>
      </w:r>
    </w:p>
    <w:p>
      <w:pPr>
        <w:spacing w:after="0" w:line="270" w:lineRule="exact"/>
        <w:rPr>
          <w:sz w:val="20"/>
          <w:szCs w:val="20"/>
          <w:color w:val="auto"/>
        </w:rPr>
      </w:pPr>
    </w:p>
    <w:p>
      <w:pPr>
        <w:jc w:val="center"/>
        <w:ind w:right="60"/>
        <w:spacing w:after="0" w:line="644" w:lineRule="exact"/>
        <w:rPr>
          <w:sz w:val="20"/>
          <w:szCs w:val="20"/>
          <w:color w:val="auto"/>
        </w:rPr>
      </w:pPr>
      <w:r>
        <w:rPr>
          <w:rFonts w:ascii="Arial" w:cs="Arial" w:eastAsia="Arial" w:hAnsi="Arial"/>
          <w:sz w:val="49"/>
          <w:szCs w:val="49"/>
          <w:color w:val="66BF9B"/>
        </w:rPr>
        <w:t>_bhsqrcb</w:t>
      </w:r>
      <w:r>
        <w:rPr>
          <w:rFonts w:ascii="PMingLiU" w:cs="PMingLiU" w:eastAsia="PMingLiU" w:hAnsi="PMingLiU"/>
          <w:sz w:val="49"/>
          <w:szCs w:val="49"/>
          <w:color w:val="66BF9B"/>
        </w:rPr>
        <w:t/>
      </w:r>
      <w:r>
        <w:rPr>
          <w:rFonts w:ascii="Arial" w:cs="Arial" w:eastAsia="Arial" w:hAnsi="Arial"/>
          <w:sz w:val="49"/>
          <w:szCs w:val="49"/>
          <w:color w:val="66BF9B"/>
        </w:rPr>
        <w:t>IFMXHE</w:t>
      </w:r>
      <w:r>
        <w:rPr>
          <w:rFonts w:ascii="Arial" w:cs="Arial" w:eastAsia="Arial" w:hAnsi="Arial"/>
          <w:sz w:val="56"/>
          <w:szCs w:val="56"/>
          <w:color w:val="66BF9B"/>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-337820</wp:posOffset>
            </wp:positionV>
            <wp:extent cx="6371590" cy="2458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9">
                      <a:extLst>
                        <a:ext uri="{28A0092B-C50C-407E-A947-70E740481C1C}"/>
                      </a:extLst>
                    </a:blip>
                    <a:srcRect/>
                    <a:stretch>
                      <a:fillRect/>
                    </a:stretch>
                  </pic:blipFill>
                  <pic:spPr bwMode="auto">
                    <a:xfrm>
                      <a:off x="0" y="0"/>
                      <a:ext cx="6371590" cy="245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72"/>
        </w:trPr>
        <w:tc>
          <w:tcPr>
            <w:tcW w:w="480" w:type="dxa"/>
            <w:vAlign w:val="bottom"/>
            <w:gridSpan w:val="2"/>
          </w:tcPr>
          <w:p>
            <w:pPr>
              <w:jc w:val="center"/>
              <w:ind w:right="40"/>
              <w:spacing w:after="0"/>
              <w:rPr>
                <w:sz w:val="20"/>
                <w:szCs w:val="20"/>
                <w:color w:val="auto"/>
              </w:rPr>
            </w:pPr>
            <w:r>
              <w:rPr>
                <w:rFonts w:ascii="Arial" w:cs="Arial" w:eastAsia="Arial" w:hAnsi="Arial"/>
                <w:sz w:val="19"/>
                <w:szCs w:val="19"/>
                <w:color w:val="634140"/>
              </w:rPr>
              <w:t>˧˩ˬ</w:t>
            </w:r>
          </w:p>
        </w:tc>
        <w:tc>
          <w:tcPr>
            <w:tcW w:w="440" w:type="dxa"/>
            <w:vAlign w:val="bottom"/>
            <w:vMerge w:val="restart"/>
          </w:tcPr>
          <w:p>
            <w:pPr>
              <w:jc w:val="center"/>
              <w:spacing w:after="0"/>
              <w:rPr>
                <w:sz w:val="20"/>
                <w:szCs w:val="20"/>
                <w:color w:val="auto"/>
              </w:rPr>
            </w:pPr>
            <w:r>
              <w:rPr>
                <w:rFonts w:ascii="Arial" w:cs="Arial" w:eastAsia="Arial" w:hAnsi="Arial"/>
                <w:sz w:val="19"/>
                <w:szCs w:val="19"/>
                <w:color w:val="634140"/>
              </w:rPr>
              <w:t>˧˨˥</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vMerge w:val="restart"/>
          </w:tcPr>
          <w:p>
            <w:pPr>
              <w:jc w:val="center"/>
              <w:spacing w:after="0"/>
              <w:rPr>
                <w:sz w:val="20"/>
                <w:szCs w:val="20"/>
                <w:color w:val="auto"/>
              </w:rPr>
            </w:pPr>
            <w:r>
              <w:rPr>
                <w:rFonts w:ascii="Arial" w:cs="Arial" w:eastAsia="Arial" w:hAnsi="Arial"/>
                <w:sz w:val="19"/>
                <w:szCs w:val="19"/>
                <w:color w:val="634140"/>
              </w:rPr>
              <w:t>˩˪ˮ</w:t>
            </w:r>
          </w:p>
        </w:tc>
        <w:tc>
          <w:tcPr>
            <w:tcW w:w="20" w:type="dxa"/>
            <w:vAlign w:val="bottom"/>
          </w:tcPr>
          <w:p>
            <w:pPr>
              <w:spacing w:after="0"/>
              <w:rPr>
                <w:sz w:val="23"/>
                <w:szCs w:val="23"/>
                <w:color w:val="auto"/>
              </w:rPr>
            </w:pPr>
          </w:p>
        </w:tc>
        <w:tc>
          <w:tcPr>
            <w:tcW w:w="1200" w:type="dxa"/>
            <w:vAlign w:val="bottom"/>
            <w:gridSpan w:val="3"/>
            <w:vMerge w:val="restart"/>
          </w:tcPr>
          <w:p>
            <w:pPr>
              <w:jc w:val="center"/>
              <w:ind w:right="535"/>
              <w:spacing w:after="0"/>
              <w:rPr>
                <w:sz w:val="20"/>
                <w:szCs w:val="20"/>
                <w:color w:val="auto"/>
              </w:rPr>
            </w:pPr>
            <w:r>
              <w:rPr>
                <w:rFonts w:ascii="Arial" w:cs="Arial" w:eastAsia="Arial" w:hAnsi="Arial"/>
                <w:sz w:val="19"/>
                <w:szCs w:val="19"/>
                <w:color w:val="634140"/>
              </w:rPr>
              <w:t>˩˪ˮ</w:t>
            </w:r>
          </w:p>
        </w:tc>
        <w:tc>
          <w:tcPr>
            <w:tcW w:w="0" w:type="dxa"/>
            <w:vAlign w:val="bottom"/>
          </w:tcPr>
          <w:p>
            <w:pPr>
              <w:spacing w:after="0"/>
              <w:rPr>
                <w:sz w:val="1"/>
                <w:szCs w:val="1"/>
                <w:color w:val="auto"/>
              </w:rPr>
            </w:pPr>
          </w:p>
        </w:tc>
      </w:tr>
      <w:tr>
        <w:trPr>
          <w:trHeight w:val="85"/>
        </w:trPr>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634140"/>
              </w:rPr>
              <w:t>˦ˮ˨</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vMerge w:val="restart"/>
          </w:tcPr>
          <w:p>
            <w:pPr>
              <w:jc w:val="center"/>
              <w:spacing w:after="0"/>
              <w:rPr>
                <w:sz w:val="20"/>
                <w:szCs w:val="20"/>
                <w:color w:val="auto"/>
              </w:rPr>
            </w:pPr>
            <w:r>
              <w:rPr>
                <w:rFonts w:ascii="Arial" w:cs="Arial" w:eastAsia="Arial" w:hAnsi="Arial"/>
                <w:sz w:val="19"/>
                <w:szCs w:val="19"/>
                <w:color w:val="634140"/>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9"/>
                <w:szCs w:val="19"/>
                <w:color w:val="634140"/>
              </w:rPr>
              <w:t>˩˥˦</w:t>
            </w:r>
          </w:p>
        </w:tc>
        <w:tc>
          <w:tcPr>
            <w:tcW w:w="0" w:type="dxa"/>
            <w:vAlign w:val="bottom"/>
          </w:tcPr>
          <w:p>
            <w:pPr>
              <w:spacing w:after="0"/>
              <w:rPr>
                <w:sz w:val="1"/>
                <w:szCs w:val="1"/>
                <w:color w:val="auto"/>
              </w:rPr>
            </w:pPr>
          </w:p>
        </w:tc>
      </w:tr>
      <w:tr>
        <w:trPr>
          <w:trHeight w:val="269"/>
        </w:trPr>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gridSpan w:val="2"/>
            <w:vMerge w:val="restart"/>
          </w:tcPr>
          <w:p>
            <w:pPr>
              <w:jc w:val="center"/>
              <w:ind w:right="100"/>
              <w:spacing w:after="0"/>
              <w:rPr>
                <w:sz w:val="20"/>
                <w:szCs w:val="20"/>
                <w:color w:val="auto"/>
              </w:rPr>
            </w:pPr>
            <w:r>
              <w:rPr>
                <w:rFonts w:ascii="Arial" w:cs="Arial" w:eastAsia="Arial" w:hAnsi="Arial"/>
                <w:sz w:val="19"/>
                <w:szCs w:val="19"/>
                <w:color w:val="634140"/>
              </w:rPr>
              <w:t>˦˨ˬ</w:t>
            </w:r>
          </w:p>
        </w:tc>
        <w:tc>
          <w:tcPr>
            <w:tcW w:w="42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634140"/>
              </w:rPr>
              <w:t>˦˪˭</w:t>
            </w: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vMerge w:val="restart"/>
          </w:tcPr>
          <w:p>
            <w:pPr>
              <w:jc w:val="center"/>
              <w:spacing w:after="0"/>
              <w:rPr>
                <w:sz w:val="20"/>
                <w:szCs w:val="20"/>
                <w:color w:val="auto"/>
              </w:rPr>
            </w:pPr>
            <w:r>
              <w:rPr>
                <w:rFonts w:ascii="Arial" w:cs="Arial" w:eastAsia="Arial" w:hAnsi="Arial"/>
                <w:sz w:val="19"/>
                <w:szCs w:val="19"/>
                <w:color w:val="634140"/>
              </w:rPr>
              <w:t>ˮˮ</w:t>
            </w: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9"/>
                <w:szCs w:val="19"/>
                <w:color w:val="634140"/>
              </w:rPr>
              <w:t>ˮ˩</w:t>
            </w:r>
          </w:p>
        </w:tc>
        <w:tc>
          <w:tcPr>
            <w:tcW w:w="4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9"/>
                <w:szCs w:val="19"/>
                <w:color w:val="634140"/>
              </w:rPr>
              <w:t>ˮ˩</w:t>
            </w:r>
          </w:p>
        </w:tc>
        <w:tc>
          <w:tcPr>
            <w:tcW w:w="460" w:type="dxa"/>
            <w:vAlign w:val="bottom"/>
            <w:gridSpan w:val="2"/>
            <w:vMerge w:val="restart"/>
          </w:tcPr>
          <w:p>
            <w:pPr>
              <w:jc w:val="center"/>
              <w:ind w:right="20"/>
              <w:spacing w:after="0"/>
              <w:rPr>
                <w:sz w:val="20"/>
                <w:szCs w:val="20"/>
                <w:color w:val="auto"/>
              </w:rPr>
            </w:pPr>
            <w:r>
              <w:rPr>
                <w:rFonts w:ascii="Arial" w:cs="Arial" w:eastAsia="Arial" w:hAnsi="Arial"/>
                <w:sz w:val="19"/>
                <w:szCs w:val="19"/>
                <w:color w:val="634140"/>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40" w:type="dxa"/>
            <w:vAlign w:val="bottom"/>
            <w:vMerge w:val="restart"/>
          </w:tcPr>
          <w:p>
            <w:pPr>
              <w:jc w:val="center"/>
              <w:spacing w:after="0"/>
              <w:rPr>
                <w:sz w:val="20"/>
                <w:szCs w:val="20"/>
                <w:color w:val="auto"/>
              </w:rPr>
            </w:pPr>
            <w:r>
              <w:rPr>
                <w:rFonts w:ascii="Arial" w:cs="Arial" w:eastAsia="Arial" w:hAnsi="Arial"/>
                <w:sz w:val="19"/>
                <w:szCs w:val="19"/>
                <w:color w:val="634140"/>
              </w:rPr>
              <w: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vMerge w:val="restart"/>
          </w:tcPr>
          <w:p>
            <w:pPr>
              <w:jc w:val="center"/>
              <w:ind w:right="460"/>
              <w:spacing w:after="0"/>
              <w:rPr>
                <w:sz w:val="20"/>
                <w:szCs w:val="20"/>
                <w:color w:val="auto"/>
              </w:rPr>
            </w:pPr>
            <w:r>
              <w:rPr>
                <w:rFonts w:ascii="Arial" w:cs="Arial" w:eastAsia="Arial" w:hAnsi="Arial"/>
                <w:sz w:val="19"/>
                <w:szCs w:val="19"/>
                <w:color w:val="634140"/>
              </w:rPr>
              <w: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40" w:type="dxa"/>
            <w:vAlign w:val="bottom"/>
            <w:shd w:val="clear" w:color="auto" w:fill="EFF8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7"/>
                <w:szCs w:val="17"/>
                <w:color w:val="auto"/>
              </w:rPr>
            </w:pPr>
          </w:p>
        </w:tc>
        <w:tc>
          <w:tcPr>
            <w:tcW w:w="440" w:type="dxa"/>
            <w:vAlign w:val="bottom"/>
            <w:shd w:val="clear" w:color="auto" w:fill="D6C9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20" w:type="dxa"/>
            <w:vAlign w:val="bottom"/>
          </w:tcPr>
          <w:p>
            <w:pPr>
              <w:spacing w:after="0"/>
              <w:rPr>
                <w:sz w:val="17"/>
                <w:szCs w:val="17"/>
                <w:color w:val="auto"/>
              </w:rPr>
            </w:pPr>
          </w:p>
        </w:tc>
        <w:tc>
          <w:tcPr>
            <w:tcW w:w="440" w:type="dxa"/>
            <w:vAlign w:val="bottom"/>
            <w:shd w:val="clear" w:color="auto" w:fill="D5EFEA"/>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580" w:type="dxa"/>
            <w:vAlign w:val="bottom"/>
          </w:tcPr>
          <w:p>
            <w:pPr>
              <w:spacing w:after="0"/>
              <w:rPr>
                <w:sz w:val="17"/>
                <w:szCs w:val="17"/>
                <w:color w:val="auto"/>
              </w:rPr>
            </w:pPr>
          </w:p>
        </w:tc>
        <w:tc>
          <w:tcPr>
            <w:tcW w:w="120" w:type="dxa"/>
            <w:vAlign w:val="bottom"/>
            <w:shd w:val="clear" w:color="auto" w:fill="EFF8C0"/>
          </w:tcPr>
          <w:p>
            <w:pPr>
              <w:spacing w:after="0"/>
              <w:rPr>
                <w:sz w:val="17"/>
                <w:szCs w:val="17"/>
                <w:color w:val="auto"/>
              </w:rPr>
            </w:pPr>
          </w:p>
        </w:tc>
        <w:tc>
          <w:tcPr>
            <w:tcW w:w="320" w:type="dxa"/>
            <w:vAlign w:val="bottom"/>
            <w:shd w:val="clear" w:color="auto" w:fill="EFF8C0"/>
          </w:tcPr>
          <w:p>
            <w:pPr>
              <w:jc w:val="center"/>
              <w:ind w:right="15"/>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7"/>
                <w:szCs w:val="17"/>
                <w:color w:val="auto"/>
              </w:rPr>
            </w:pPr>
          </w:p>
        </w:tc>
        <w:tc>
          <w:tcPr>
            <w:tcW w:w="420" w:type="dxa"/>
            <w:vAlign w:val="bottom"/>
            <w:shd w:val="clear" w:color="auto" w:fill="D6C9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7"/>
                <w:szCs w:val="17"/>
                <w:color w:val="auto"/>
              </w:rPr>
            </w:pPr>
          </w:p>
        </w:tc>
        <w:tc>
          <w:tcPr>
            <w:tcW w:w="440" w:type="dxa"/>
            <w:vAlign w:val="bottom"/>
            <w:shd w:val="clear" w:color="auto" w:fill="D5EFEA"/>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60" w:type="dxa"/>
            <w:vAlign w:val="bottom"/>
          </w:tcPr>
          <w:p>
            <w:pPr>
              <w:spacing w:after="0"/>
              <w:rPr>
                <w:sz w:val="17"/>
                <w:szCs w:val="17"/>
                <w:color w:val="auto"/>
              </w:rPr>
            </w:pPr>
          </w:p>
        </w:tc>
        <w:tc>
          <w:tcPr>
            <w:tcW w:w="440" w:type="dxa"/>
            <w:vAlign w:val="bottom"/>
            <w:shd w:val="clear" w:color="auto" w:fill="EFF8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7"/>
                <w:szCs w:val="17"/>
                <w:color w:val="auto"/>
              </w:rPr>
            </w:pPr>
          </w:p>
        </w:tc>
        <w:tc>
          <w:tcPr>
            <w:tcW w:w="420" w:type="dxa"/>
            <w:vAlign w:val="bottom"/>
            <w:shd w:val="clear" w:color="auto" w:fill="D6C9C0"/>
          </w:tcPr>
          <w:p>
            <w:pPr>
              <w:ind w:left="12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60" w:type="dxa"/>
            <w:vAlign w:val="bottom"/>
          </w:tcPr>
          <w:p>
            <w:pPr>
              <w:spacing w:after="0"/>
              <w:rPr>
                <w:sz w:val="17"/>
                <w:szCs w:val="17"/>
                <w:color w:val="auto"/>
              </w:rPr>
            </w:pPr>
          </w:p>
        </w:tc>
        <w:tc>
          <w:tcPr>
            <w:tcW w:w="420" w:type="dxa"/>
            <w:vAlign w:val="bottom"/>
            <w:shd w:val="clear" w:color="auto" w:fill="D5EFEA"/>
          </w:tcPr>
          <w:p>
            <w:pPr>
              <w:ind w:left="12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580" w:type="dxa"/>
            <w:vAlign w:val="bottom"/>
          </w:tcPr>
          <w:p>
            <w:pPr>
              <w:spacing w:after="0"/>
              <w:rPr>
                <w:sz w:val="17"/>
                <w:szCs w:val="17"/>
                <w:color w:val="auto"/>
              </w:rPr>
            </w:pPr>
          </w:p>
        </w:tc>
        <w:tc>
          <w:tcPr>
            <w:tcW w:w="440" w:type="dxa"/>
            <w:vAlign w:val="bottom"/>
            <w:shd w:val="clear" w:color="auto" w:fill="EFF8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20" w:type="dxa"/>
            <w:vAlign w:val="bottom"/>
          </w:tcPr>
          <w:p>
            <w:pPr>
              <w:spacing w:after="0"/>
              <w:rPr>
                <w:sz w:val="17"/>
                <w:szCs w:val="17"/>
                <w:color w:val="auto"/>
              </w:rPr>
            </w:pPr>
          </w:p>
        </w:tc>
        <w:tc>
          <w:tcPr>
            <w:tcW w:w="440" w:type="dxa"/>
            <w:vAlign w:val="bottom"/>
            <w:shd w:val="clear" w:color="auto" w:fill="D6C9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20" w:type="dxa"/>
            <w:vAlign w:val="bottom"/>
          </w:tcPr>
          <w:p>
            <w:pPr>
              <w:spacing w:after="0"/>
              <w:rPr>
                <w:sz w:val="17"/>
                <w:szCs w:val="17"/>
                <w:color w:val="auto"/>
              </w:rPr>
            </w:pPr>
          </w:p>
        </w:tc>
        <w:tc>
          <w:tcPr>
            <w:tcW w:w="440" w:type="dxa"/>
            <w:vAlign w:val="bottom"/>
            <w:shd w:val="clear" w:color="auto" w:fill="D5EFEA"/>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60" w:type="dxa"/>
            <w:vAlign w:val="bottom"/>
          </w:tcPr>
          <w:p>
            <w:pPr>
              <w:spacing w:after="0"/>
              <w:rPr>
                <w:sz w:val="17"/>
                <w:szCs w:val="17"/>
                <w:color w:val="auto"/>
              </w:rPr>
            </w:pPr>
          </w:p>
        </w:tc>
        <w:tc>
          <w:tcPr>
            <w:tcW w:w="600" w:type="dxa"/>
            <w:vAlign w:val="bottom"/>
            <w:vMerge w:val="restart"/>
            <w:shd w:val="clear" w:color="auto" w:fill="EFF8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r>
              <w:rPr>
                <w:rFonts w:ascii="Arial" w:cs="Arial" w:eastAsia="Arial" w:hAnsi="Arial"/>
                <w:sz w:val="15"/>
                <w:szCs w:val="15"/>
                <w:b w:val="1"/>
                <w:bCs w:val="1"/>
                <w:color w:val="634140"/>
              </w:rPr>
              <w:t>˧˥˧˨</w:t>
            </w:r>
          </w:p>
        </w:tc>
        <w:tc>
          <w:tcPr>
            <w:tcW w:w="20" w:type="dxa"/>
            <w:vAlign w:val="bottom"/>
          </w:tcPr>
          <w:p>
            <w:pPr>
              <w:spacing w:after="0"/>
              <w:rPr>
                <w:sz w:val="17"/>
                <w:szCs w:val="17"/>
                <w:color w:val="auto"/>
              </w:rPr>
            </w:pPr>
          </w:p>
        </w:tc>
        <w:tc>
          <w:tcPr>
            <w:tcW w:w="580" w:type="dxa"/>
            <w:vAlign w:val="bottom"/>
            <w:vMerge w:val="restart"/>
            <w:shd w:val="clear" w:color="auto" w:fill="D6C9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r>
              <w:rPr>
                <w:rFonts w:ascii="Arial" w:cs="Arial" w:eastAsia="Arial" w:hAnsi="Arial"/>
                <w:sz w:val="15"/>
                <w:szCs w:val="15"/>
                <w:b w:val="1"/>
                <w:bCs w:val="1"/>
                <w:color w:val="634140"/>
              </w:rPr>
              <w:t>˧˥˧˩</w:t>
            </w:r>
          </w:p>
        </w:tc>
        <w:tc>
          <w:tcPr>
            <w:tcW w:w="40" w:type="dxa"/>
            <w:vAlign w:val="bottom"/>
          </w:tcPr>
          <w:p>
            <w:pPr>
              <w:spacing w:after="0"/>
              <w:rPr>
                <w:sz w:val="17"/>
                <w:szCs w:val="17"/>
                <w:color w:val="auto"/>
              </w:rPr>
            </w:pPr>
          </w:p>
        </w:tc>
        <w:tc>
          <w:tcPr>
            <w:tcW w:w="580" w:type="dxa"/>
            <w:vAlign w:val="bottom"/>
            <w:vMerge w:val="restart"/>
            <w:shd w:val="clear" w:color="auto" w:fill="D5EFEA"/>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r>
              <w:rPr>
                <w:rFonts w:ascii="Arial" w:cs="Arial" w:eastAsia="Arial" w:hAnsi="Arial"/>
                <w:sz w:val="15"/>
                <w:szCs w:val="15"/>
                <w:b w:val="1"/>
                <w:bCs w:val="1"/>
                <w:color w:val="634140"/>
              </w:rPr>
              <w:t>˧˥˧˪</w:t>
            </w:r>
          </w:p>
        </w:tc>
        <w:tc>
          <w:tcPr>
            <w:tcW w:w="0" w:type="dxa"/>
            <w:vAlign w:val="bottom"/>
          </w:tcPr>
          <w:p>
            <w:pPr>
              <w:spacing w:after="0"/>
              <w:rPr>
                <w:sz w:val="1"/>
                <w:szCs w:val="1"/>
                <w:color w:val="auto"/>
              </w:rPr>
            </w:pPr>
          </w:p>
        </w:tc>
      </w:tr>
      <w:tr>
        <w:trPr>
          <w:trHeight w:val="105"/>
        </w:trPr>
        <w:tc>
          <w:tcPr>
            <w:tcW w:w="440" w:type="dxa"/>
            <w:vAlign w:val="bottom"/>
            <w:vMerge w:val="restart"/>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9"/>
                <w:szCs w:val="9"/>
                <w:color w:val="auto"/>
              </w:rPr>
            </w:pPr>
          </w:p>
        </w:tc>
        <w:tc>
          <w:tcPr>
            <w:tcW w:w="440" w:type="dxa"/>
            <w:vAlign w:val="bottom"/>
            <w:vMerge w:val="restart"/>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20" w:type="dxa"/>
            <w:vAlign w:val="bottom"/>
          </w:tcPr>
          <w:p>
            <w:pPr>
              <w:spacing w:after="0"/>
              <w:rPr>
                <w:sz w:val="9"/>
                <w:szCs w:val="9"/>
                <w:color w:val="auto"/>
              </w:rPr>
            </w:pPr>
          </w:p>
        </w:tc>
        <w:tc>
          <w:tcPr>
            <w:tcW w:w="440" w:type="dxa"/>
            <w:vAlign w:val="bottom"/>
            <w:vMerge w:val="restart"/>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580" w:type="dxa"/>
            <w:vAlign w:val="bottom"/>
          </w:tcPr>
          <w:p>
            <w:pPr>
              <w:spacing w:after="0"/>
              <w:rPr>
                <w:sz w:val="9"/>
                <w:szCs w:val="9"/>
                <w:color w:val="auto"/>
              </w:rPr>
            </w:pPr>
          </w:p>
        </w:tc>
        <w:tc>
          <w:tcPr>
            <w:tcW w:w="440" w:type="dxa"/>
            <w:vAlign w:val="bottom"/>
            <w:gridSpan w:val="2"/>
            <w:vMerge w:val="restart"/>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9"/>
                <w:szCs w:val="9"/>
                <w:color w:val="auto"/>
              </w:rPr>
            </w:pPr>
          </w:p>
        </w:tc>
        <w:tc>
          <w:tcPr>
            <w:tcW w:w="420" w:type="dxa"/>
            <w:vAlign w:val="bottom"/>
            <w:vMerge w:val="restart"/>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9"/>
                <w:szCs w:val="9"/>
                <w:color w:val="auto"/>
              </w:rPr>
            </w:pPr>
          </w:p>
        </w:tc>
        <w:tc>
          <w:tcPr>
            <w:tcW w:w="440" w:type="dxa"/>
            <w:vAlign w:val="bottom"/>
            <w:vMerge w:val="restart"/>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460" w:type="dxa"/>
            <w:vAlign w:val="bottom"/>
          </w:tcPr>
          <w:p>
            <w:pPr>
              <w:spacing w:after="0"/>
              <w:rPr>
                <w:sz w:val="9"/>
                <w:szCs w:val="9"/>
                <w:color w:val="auto"/>
              </w:rPr>
            </w:pPr>
          </w:p>
        </w:tc>
        <w:tc>
          <w:tcPr>
            <w:tcW w:w="440" w:type="dxa"/>
            <w:vAlign w:val="bottom"/>
            <w:vMerge w:val="restart"/>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9"/>
                <w:szCs w:val="9"/>
                <w:color w:val="auto"/>
              </w:rPr>
            </w:pPr>
          </w:p>
        </w:tc>
        <w:tc>
          <w:tcPr>
            <w:tcW w:w="420" w:type="dxa"/>
            <w:vAlign w:val="bottom"/>
            <w:vMerge w:val="restart"/>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60" w:type="dxa"/>
            <w:vAlign w:val="bottom"/>
          </w:tcPr>
          <w:p>
            <w:pPr>
              <w:spacing w:after="0"/>
              <w:rPr>
                <w:sz w:val="9"/>
                <w:szCs w:val="9"/>
                <w:color w:val="auto"/>
              </w:rPr>
            </w:pPr>
          </w:p>
        </w:tc>
        <w:tc>
          <w:tcPr>
            <w:tcW w:w="420" w:type="dxa"/>
            <w:vAlign w:val="bottom"/>
            <w:vMerge w:val="restart"/>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580" w:type="dxa"/>
            <w:vAlign w:val="bottom"/>
          </w:tcPr>
          <w:p>
            <w:pPr>
              <w:spacing w:after="0"/>
              <w:rPr>
                <w:sz w:val="9"/>
                <w:szCs w:val="9"/>
                <w:color w:val="auto"/>
              </w:rPr>
            </w:pPr>
          </w:p>
        </w:tc>
        <w:tc>
          <w:tcPr>
            <w:tcW w:w="440" w:type="dxa"/>
            <w:vAlign w:val="bottom"/>
            <w:vMerge w:val="restart"/>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20" w:type="dxa"/>
            <w:vAlign w:val="bottom"/>
          </w:tcPr>
          <w:p>
            <w:pPr>
              <w:spacing w:after="0"/>
              <w:rPr>
                <w:sz w:val="9"/>
                <w:szCs w:val="9"/>
                <w:color w:val="auto"/>
              </w:rPr>
            </w:pPr>
          </w:p>
        </w:tc>
        <w:tc>
          <w:tcPr>
            <w:tcW w:w="440" w:type="dxa"/>
            <w:vAlign w:val="bottom"/>
            <w:vMerge w:val="restart"/>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20" w:type="dxa"/>
            <w:vAlign w:val="bottom"/>
          </w:tcPr>
          <w:p>
            <w:pPr>
              <w:spacing w:after="0"/>
              <w:rPr>
                <w:sz w:val="9"/>
                <w:szCs w:val="9"/>
                <w:color w:val="auto"/>
              </w:rPr>
            </w:pPr>
          </w:p>
        </w:tc>
        <w:tc>
          <w:tcPr>
            <w:tcW w:w="440" w:type="dxa"/>
            <w:vAlign w:val="bottom"/>
            <w:vMerge w:val="restart"/>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460" w:type="dxa"/>
            <w:vAlign w:val="bottom"/>
          </w:tcPr>
          <w:p>
            <w:pPr>
              <w:spacing w:after="0"/>
              <w:rPr>
                <w:sz w:val="9"/>
                <w:szCs w:val="9"/>
                <w:color w:val="auto"/>
              </w:rPr>
            </w:pPr>
          </w:p>
        </w:tc>
        <w:tc>
          <w:tcPr>
            <w:tcW w:w="600" w:type="dxa"/>
            <w:vAlign w:val="bottom"/>
            <w:vMerge w:val="continue"/>
            <w:shd w:val="clear" w:color="auto" w:fill="EFF8C0"/>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D6C9C0"/>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continue"/>
            <w:shd w:val="clear" w:color="auto" w:fill="D5EF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40" w:type="dxa"/>
            <w:vAlign w:val="bottom"/>
            <w:tcBorders>
              <w:bottom w:val="single" w:sz="8" w:color="EFF8C0"/>
            </w:tcBorders>
            <w:vMerge w:val="continue"/>
            <w:shd w:val="clear" w:color="auto" w:fill="EFF8C0"/>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D6C9C0"/>
            </w:tcBorders>
            <w:vMerge w:val="continue"/>
            <w:shd w:val="clear" w:color="auto" w:fill="D6C9C0"/>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D5EFEA"/>
            </w:tcBorders>
            <w:vMerge w:val="continue"/>
            <w:shd w:val="clear" w:color="auto" w:fill="D5EFEA"/>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Borders>
              <w:bottom w:val="single" w:sz="8" w:color="EFF8C0"/>
            </w:tcBorders>
            <w:gridSpan w:val="2"/>
            <w:vMerge w:val="continue"/>
            <w:shd w:val="clear" w:color="auto" w:fill="EFF8C0"/>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D6C9C0"/>
            </w:tcBorders>
            <w:vMerge w:val="continue"/>
            <w:shd w:val="clear" w:color="auto" w:fill="D6C9C0"/>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D5EFEA"/>
            </w:tcBorders>
            <w:vMerge w:val="continue"/>
            <w:shd w:val="clear" w:color="auto" w:fill="D5EFEA"/>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Borders>
              <w:bottom w:val="single" w:sz="8" w:color="EFF8C0"/>
            </w:tcBorders>
            <w:vMerge w:val="continue"/>
            <w:shd w:val="clear" w:color="auto" w:fill="EFF8C0"/>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D6C9C0"/>
            </w:tcBorders>
            <w:vMerge w:val="continue"/>
            <w:shd w:val="clear" w:color="auto" w:fill="D6C9C0"/>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Borders>
              <w:bottom w:val="single" w:sz="8" w:color="D5EFEA"/>
            </w:tcBorders>
            <w:vMerge w:val="continue"/>
            <w:shd w:val="clear" w:color="auto" w:fill="D5EFEA"/>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Borders>
              <w:bottom w:val="single" w:sz="8" w:color="EFF8C0"/>
            </w:tcBorders>
            <w:vMerge w:val="continue"/>
            <w:shd w:val="clear" w:color="auto" w:fill="EFF8C0"/>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D6C9C0"/>
            </w:tcBorders>
            <w:vMerge w:val="continue"/>
            <w:shd w:val="clear" w:color="auto" w:fill="D6C9C0"/>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D5EFEA"/>
            </w:tcBorders>
            <w:vMerge w:val="continue"/>
            <w:shd w:val="clear" w:color="auto" w:fill="D5EFEA"/>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Borders>
              <w:bottom w:val="single" w:sz="8" w:color="EFF8C0"/>
            </w:tcBorders>
            <w:shd w:val="clear" w:color="auto" w:fill="EFF8C0"/>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bottom w:val="single" w:sz="8" w:color="D6C9C0"/>
            </w:tcBorders>
            <w:shd w:val="clear" w:color="auto" w:fill="D6C9C0"/>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D5EFEA"/>
            </w:tcBorders>
            <w:shd w:val="clear" w:color="auto" w:fill="D5EFEA"/>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380" w:type="dxa"/>
            <w:vAlign w:val="bottom"/>
            <w:gridSpan w:val="5"/>
          </w:tcPr>
          <w:p>
            <w:pPr>
              <w:ind w:left="200"/>
              <w:spacing w:after="0" w:line="219" w:lineRule="exact"/>
              <w:rPr>
                <w:sz w:val="20"/>
                <w:szCs w:val="20"/>
                <w:color w:val="auto"/>
              </w:rPr>
            </w:pPr>
            <w:r>
              <w:rPr>
                <w:rFonts w:ascii="Arial" w:cs="Arial" w:eastAsia="Arial" w:hAnsi="Arial"/>
                <w:sz w:val="18"/>
                <w:szCs w:val="18"/>
                <w:color w:val="634140"/>
              </w:rPr>
              <w:t>jgdc</w:t>
            </w:r>
            <w:r>
              <w:rPr>
                <w:rFonts w:ascii="PMingLiU" w:cs="PMingLiU" w:eastAsia="PMingLiU" w:hAnsi="PMingLiU"/>
                <w:sz w:val="18"/>
                <w:szCs w:val="18"/>
                <w:color w:val="634140"/>
              </w:rPr>
              <w:t/>
            </w:r>
            <w:r>
              <w:rPr>
                <w:rFonts w:ascii="Arial" w:cs="Arial" w:eastAsia="Arial" w:hAnsi="Arial"/>
                <w:sz w:val="18"/>
                <w:szCs w:val="18"/>
                <w:color w:val="634140"/>
              </w:rPr>
              <w:t>qagclacq</w:t>
            </w:r>
          </w:p>
        </w:tc>
        <w:tc>
          <w:tcPr>
            <w:tcW w:w="580" w:type="dxa"/>
            <w:vAlign w:val="bottom"/>
          </w:tcPr>
          <w:p>
            <w:pPr>
              <w:spacing w:after="0"/>
              <w:rPr>
                <w:sz w:val="24"/>
                <w:szCs w:val="24"/>
                <w:color w:val="auto"/>
              </w:rPr>
            </w:pPr>
          </w:p>
        </w:tc>
        <w:tc>
          <w:tcPr>
            <w:tcW w:w="1380" w:type="dxa"/>
            <w:vAlign w:val="bottom"/>
            <w:gridSpan w:val="6"/>
          </w:tcPr>
          <w:p>
            <w:pPr>
              <w:ind w:left="80"/>
              <w:spacing w:after="0" w:line="219" w:lineRule="exact"/>
              <w:rPr>
                <w:sz w:val="20"/>
                <w:szCs w:val="20"/>
                <w:color w:val="auto"/>
              </w:rPr>
            </w:pPr>
            <w:r>
              <w:rPr>
                <w:rFonts w:ascii="Arial" w:cs="Arial" w:eastAsia="Arial" w:hAnsi="Arial"/>
                <w:sz w:val="18"/>
                <w:szCs w:val="18"/>
                <w:color w:val="634140"/>
              </w:rPr>
              <w:t>ncpqml_j</w:t>
            </w:r>
            <w:r>
              <w:rPr>
                <w:rFonts w:ascii="PMingLiU" w:cs="PMingLiU" w:eastAsia="PMingLiU" w:hAnsi="PMingLiU"/>
                <w:sz w:val="18"/>
                <w:szCs w:val="18"/>
                <w:color w:val="634140"/>
              </w:rPr>
              <w:t/>
            </w:r>
            <w:r>
              <w:rPr>
                <w:rFonts w:ascii="Arial" w:cs="Arial" w:eastAsia="Arial" w:hAnsi="Arial"/>
                <w:sz w:val="18"/>
                <w:szCs w:val="18"/>
                <w:color w:val="634140"/>
              </w:rPr>
              <w:t>a_pc</w:t>
            </w:r>
          </w:p>
        </w:tc>
        <w:tc>
          <w:tcPr>
            <w:tcW w:w="460" w:type="dxa"/>
            <w:vAlign w:val="bottom"/>
          </w:tcPr>
          <w:p>
            <w:pPr>
              <w:spacing w:after="0"/>
              <w:rPr>
                <w:sz w:val="24"/>
                <w:szCs w:val="24"/>
                <w:color w:val="auto"/>
              </w:rPr>
            </w:pPr>
          </w:p>
        </w:tc>
        <w:tc>
          <w:tcPr>
            <w:tcW w:w="1960" w:type="dxa"/>
            <w:vAlign w:val="bottom"/>
            <w:gridSpan w:val="6"/>
          </w:tcPr>
          <w:p>
            <w:pPr>
              <w:ind w:left="340"/>
              <w:spacing w:after="0" w:line="219" w:lineRule="exact"/>
              <w:rPr>
                <w:sz w:val="20"/>
                <w:szCs w:val="20"/>
                <w:color w:val="auto"/>
              </w:rPr>
            </w:pPr>
            <w:r>
              <w:rPr>
                <w:rFonts w:ascii="Arial" w:cs="Arial" w:eastAsia="Arial" w:hAnsi="Arial"/>
                <w:sz w:val="18"/>
                <w:szCs w:val="18"/>
                <w:color w:val="634140"/>
              </w:rPr>
              <w:t>qncag_jrw</w:t>
            </w:r>
            <w:r>
              <w:rPr>
                <w:rFonts w:ascii="PMingLiU" w:cs="PMingLiU" w:eastAsia="PMingLiU" w:hAnsi="PMingLiU"/>
                <w:sz w:val="18"/>
                <w:szCs w:val="18"/>
                <w:color w:val="634140"/>
              </w:rPr>
              <w:t/>
            </w:r>
          </w:p>
        </w:tc>
        <w:tc>
          <w:tcPr>
            <w:tcW w:w="1820" w:type="dxa"/>
            <w:vAlign w:val="bottom"/>
            <w:gridSpan w:val="6"/>
          </w:tcPr>
          <w:p>
            <w:pPr>
              <w:ind w:left="80"/>
              <w:spacing w:after="0"/>
              <w:rPr>
                <w:sz w:val="20"/>
                <w:szCs w:val="20"/>
                <w:color w:val="auto"/>
              </w:rPr>
            </w:pPr>
            <w:r>
              <w:rPr>
                <w:rFonts w:ascii="Arial" w:cs="Arial" w:eastAsia="Arial" w:hAnsi="Arial"/>
                <w:sz w:val="18"/>
                <w:szCs w:val="18"/>
                <w:color w:val="634140"/>
              </w:rPr>
              <w:t>glrcpkcbg_rcq</w:t>
            </w:r>
          </w:p>
        </w:tc>
        <w:tc>
          <w:tcPr>
            <w:tcW w:w="600" w:type="dxa"/>
            <w:vAlign w:val="bottom"/>
          </w:tcPr>
          <w:p>
            <w:pPr>
              <w:spacing w:after="0"/>
              <w:rPr>
                <w:sz w:val="24"/>
                <w:szCs w:val="24"/>
                <w:color w:val="auto"/>
              </w:rPr>
            </w:pPr>
          </w:p>
        </w:tc>
        <w:tc>
          <w:tcPr>
            <w:tcW w:w="1220" w:type="dxa"/>
            <w:vAlign w:val="bottom"/>
            <w:gridSpan w:val="4"/>
          </w:tcPr>
          <w:p>
            <w:pPr>
              <w:jc w:val="center"/>
              <w:ind w:right="495"/>
              <w:spacing w:after="0"/>
              <w:rPr>
                <w:sz w:val="20"/>
                <w:szCs w:val="20"/>
                <w:color w:val="auto"/>
              </w:rPr>
            </w:pPr>
            <w:r>
              <w:rPr>
                <w:rFonts w:ascii="Arial" w:cs="Arial" w:eastAsia="Arial" w:hAnsi="Arial"/>
                <w:sz w:val="18"/>
                <w:szCs w:val="18"/>
                <w:color w:val="634140"/>
              </w:rPr>
              <w:t>Eqfj_lb</w:t>
            </w: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6"/>
          </w:tcPr>
          <w:p>
            <w:pPr>
              <w:ind w:left="340"/>
              <w:spacing w:after="0"/>
              <w:rPr>
                <w:sz w:val="20"/>
                <w:szCs w:val="20"/>
                <w:color w:val="auto"/>
              </w:rPr>
            </w:pPr>
            <w:r>
              <w:rPr>
                <w:rFonts w:ascii="Arial" w:cs="Arial" w:eastAsia="Arial" w:hAnsi="Arial"/>
                <w:sz w:val="18"/>
                <w:szCs w:val="18"/>
                <w:color w:val="634140"/>
              </w:rPr>
              <w:t>_bbgrgtcq</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44450</wp:posOffset>
            </wp:positionV>
            <wp:extent cx="630110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0">
                      <a:extLst>
                        <a:ext uri="{28A0092B-C50C-407E-A947-70E740481C1C}"/>
                      </a:extLst>
                    </a:blip>
                    <a:srcRect/>
                    <a:stretch>
                      <a:fillRect/>
                    </a:stretch>
                  </pic:blipFill>
                  <pic:spPr bwMode="auto">
                    <a:xfrm>
                      <a:off x="0" y="0"/>
                      <a:ext cx="6301105" cy="1270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-1544955</wp:posOffset>
            </wp:positionV>
            <wp:extent cx="6020435" cy="12528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1">
                      <a:extLst>
                        <a:ext uri="{28A0092B-C50C-407E-A947-70E740481C1C}"/>
                      </a:extLst>
                    </a:blip>
                    <a:srcRect/>
                    <a:stretch>
                      <a:fillRect/>
                    </a:stretch>
                  </pic:blipFill>
                  <pic:spPr bwMode="auto">
                    <a:xfrm>
                      <a:off x="0" y="0"/>
                      <a:ext cx="6020435" cy="1252855"/>
                    </a:xfrm>
                    <a:prstGeom prst="rect">
                      <a:avLst/>
                    </a:prstGeom>
                    <a:noFill/>
                  </pic:spPr>
                </pic:pic>
              </a:graphicData>
            </a:graphic>
          </wp:anchor>
        </w:drawing>
      </w:r>
    </w:p>
    <w:p>
      <w:pPr>
        <w:spacing w:after="0" w:line="319" w:lineRule="exact"/>
        <w:rPr>
          <w:sz w:val="20"/>
          <w:szCs w:val="20"/>
          <w:color w:val="auto"/>
        </w:rPr>
      </w:pPr>
    </w:p>
    <w:p>
      <w:pPr>
        <w:jc w:val="center"/>
        <w:ind w:right="60"/>
        <w:spacing w:after="0" w:line="644" w:lineRule="exact"/>
        <w:rPr>
          <w:sz w:val="20"/>
          <w:szCs w:val="20"/>
          <w:color w:val="auto"/>
        </w:rPr>
      </w:pPr>
      <w:r>
        <w:rPr>
          <w:rFonts w:ascii="Arial" w:cs="Arial" w:eastAsia="Arial" w:hAnsi="Arial"/>
          <w:sz w:val="49"/>
          <w:szCs w:val="49"/>
          <w:color w:val="66BF9B"/>
        </w:rPr>
        <w:t>_bhsqrcb</w:t>
      </w:r>
      <w:r>
        <w:rPr>
          <w:rFonts w:ascii="PMingLiU" w:cs="PMingLiU" w:eastAsia="PMingLiU" w:hAnsi="PMingLiU"/>
          <w:sz w:val="49"/>
          <w:szCs w:val="49"/>
          <w:color w:val="66BF9B"/>
        </w:rPr>
        <w:t/>
      </w:r>
      <w:r>
        <w:rPr>
          <w:rFonts w:ascii="Arial" w:cs="Arial" w:eastAsia="Arial" w:hAnsi="Arial"/>
          <w:sz w:val="49"/>
          <w:szCs w:val="49"/>
          <w:color w:val="66BF9B"/>
        </w:rPr>
        <w:t>IFMXHE</w:t>
      </w:r>
      <w:r>
        <w:rPr>
          <w:rFonts w:ascii="PMingLiU" w:cs="PMingLiU" w:eastAsia="PMingLiU" w:hAnsi="PMingLiU"/>
          <w:sz w:val="49"/>
          <w:szCs w:val="49"/>
          <w:color w:val="66BF9B"/>
        </w:rPr>
        <w:t/>
      </w:r>
      <w:r>
        <w:rPr>
          <w:rFonts w:ascii="Arial" w:cs="Arial" w:eastAsia="Arial" w:hAnsi="Arial"/>
          <w:sz w:val="49"/>
          <w:szCs w:val="49"/>
          <w:color w:val="66BF9B"/>
        </w:rPr>
        <w:t>k_pegl</w:t>
      </w:r>
      <w:r>
        <w:rPr>
          <w:rFonts w:ascii="Arial" w:cs="Arial" w:eastAsia="Arial" w:hAnsi="Arial"/>
          <w:sz w:val="56"/>
          <w:szCs w:val="56"/>
          <w:color w:val="66BF9B"/>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-337820</wp:posOffset>
            </wp:positionV>
            <wp:extent cx="6371590" cy="22244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2">
                      <a:extLst>
                        <a:ext uri="{28A0092B-C50C-407E-A947-70E740481C1C}"/>
                      </a:extLst>
                    </a:blip>
                    <a:srcRect/>
                    <a:stretch>
                      <a:fillRect/>
                    </a:stretch>
                  </pic:blipFill>
                  <pic:spPr bwMode="auto">
                    <a:xfrm>
                      <a:off x="0" y="0"/>
                      <a:ext cx="6371590" cy="2224405"/>
                    </a:xfrm>
                    <a:prstGeom prst="rect">
                      <a:avLst/>
                    </a:prstGeom>
                    <a:noFill/>
                  </pic:spPr>
                </pic:pic>
              </a:graphicData>
            </a:graphic>
          </wp:anchor>
        </w:drawing>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gridSpan w:val="2"/>
          </w:tcPr>
          <w:p>
            <w:pPr>
              <w:jc w:val="center"/>
              <w:ind w:right="40"/>
              <w:spacing w:after="0" w:line="194"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˦φ</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380" w:type="dxa"/>
            <w:vAlign w:val="bottom"/>
            <w:gridSpan w:val="5"/>
          </w:tcPr>
          <w:p>
            <w:pPr>
              <w:jc w:val="center"/>
              <w:spacing w:after="0" w:line="296"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˩φ ˧˭</w:t>
            </w:r>
            <w:r>
              <w:rPr>
                <w:rFonts w:ascii="PMingLiU" w:cs="PMingLiU" w:eastAsia="PMingLiU" w:hAnsi="PMingLiU"/>
                <w:sz w:val="16"/>
                <w:szCs w:val="16"/>
                <w:color w:val="634140"/>
              </w:rPr>
              <w:t/>
            </w:r>
            <w:r>
              <w:rPr>
                <w:rFonts w:ascii="Arial" w:cs="Arial" w:eastAsia="Arial" w:hAnsi="Arial"/>
                <w:sz w:val="16"/>
                <w:szCs w:val="16"/>
                <w:color w:val="634140"/>
              </w:rPr>
              <w:t xml:space="preserve">˩φ </w:t>
            </w:r>
            <w:r>
              <w:rPr>
                <w:rFonts w:ascii="Arial" w:cs="Arial" w:eastAsia="Arial" w:hAnsi="Arial"/>
                <w:sz w:val="32"/>
                <w:szCs w:val="32"/>
                <w:color w:val="634140"/>
                <w:vertAlign w:val="superscript"/>
              </w:rPr>
              <w:t>˨˥</w:t>
            </w:r>
            <w:r>
              <w:rPr>
                <w:rFonts w:ascii="PMingLiU" w:cs="PMingLiU" w:eastAsia="PMingLiU" w:hAnsi="PMingLiU"/>
                <w:sz w:val="32"/>
                <w:szCs w:val="32"/>
                <w:color w:val="634140"/>
                <w:vertAlign w:val="superscript"/>
              </w:rPr>
              <w:t/>
            </w:r>
            <w:r>
              <w:rPr>
                <w:rFonts w:ascii="Arial" w:cs="Arial" w:eastAsia="Arial" w:hAnsi="Arial"/>
                <w:sz w:val="32"/>
                <w:szCs w:val="32"/>
                <w:color w:val="634140"/>
                <w:vertAlign w:val="superscript"/>
              </w:rPr>
              <w:t>˦φ</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rPr>
              <w:t>˧ˬ</w:t>
            </w:r>
            <w:r>
              <w:rPr>
                <w:rFonts w:ascii="PMingLiU" w:cs="PMingLiU" w:eastAsia="PMingLiU" w:hAnsi="PMingLiU"/>
                <w:sz w:val="16"/>
                <w:szCs w:val="16"/>
                <w:color w:val="634140"/>
              </w:rPr>
              <w:t/>
            </w:r>
            <w:r>
              <w:rPr>
                <w:rFonts w:ascii="Arial" w:cs="Arial" w:eastAsia="Arial" w:hAnsi="Arial"/>
                <w:sz w:val="16"/>
                <w:szCs w:val="16"/>
                <w:color w:val="634140"/>
              </w:rPr>
              <w:t>˩φ</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jc w:val="center"/>
              <w:spacing w:after="0" w:line="194" w:lineRule="exact"/>
              <w:rPr>
                <w:sz w:val="20"/>
                <w:szCs w:val="20"/>
                <w:color w:val="auto"/>
              </w:rPr>
            </w:pPr>
            <w:r>
              <w:rPr>
                <w:rFonts w:ascii="Arial" w:cs="Arial" w:eastAsia="Arial" w:hAnsi="Arial"/>
                <w:sz w:val="16"/>
                <w:szCs w:val="16"/>
                <w:color w:val="634140"/>
              </w:rPr>
              <w:t>˧ˮ</w:t>
            </w:r>
            <w:r>
              <w:rPr>
                <w:rFonts w:ascii="PMingLiU" w:cs="PMingLiU" w:eastAsia="PMingLiU" w:hAnsi="PMingLiU"/>
                <w:sz w:val="16"/>
                <w:szCs w:val="16"/>
                <w:color w:val="634140"/>
              </w:rPr>
              <w:t/>
            </w:r>
            <w:r>
              <w:rPr>
                <w:rFonts w:ascii="Arial" w:cs="Arial" w:eastAsia="Arial" w:hAnsi="Arial"/>
                <w:sz w:val="16"/>
                <w:szCs w:val="16"/>
                <w:color w:val="634140"/>
              </w:rPr>
              <w:t>˧φ</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vMerge w:val="restart"/>
          </w:tcPr>
          <w:p>
            <w:pPr>
              <w:jc w:val="center"/>
              <w:spacing w:after="0" w:line="188"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ˮφ</w:t>
            </w:r>
          </w:p>
        </w:tc>
        <w:tc>
          <w:tcPr>
            <w:tcW w:w="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vMerge w:val="restart"/>
          </w:tcPr>
          <w:p>
            <w:pPr>
              <w:jc w:val="center"/>
              <w:ind w:right="20"/>
              <w:spacing w:after="0" w:line="194"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ˮφ</w:t>
            </w:r>
          </w:p>
        </w:tc>
        <w:tc>
          <w:tcPr>
            <w:tcW w:w="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rPr>
              <w:t>˦ˬ</w:t>
            </w:r>
            <w:r>
              <w:rPr>
                <w:rFonts w:ascii="PMingLiU" w:cs="PMingLiU" w:eastAsia="PMingLiU" w:hAnsi="PMingLiU"/>
                <w:sz w:val="16"/>
                <w:szCs w:val="16"/>
                <w:color w:val="634140"/>
              </w:rPr>
              <w:t/>
            </w:r>
            <w:r>
              <w:rPr>
                <w:rFonts w:ascii="Arial" w:cs="Arial" w:eastAsia="Arial" w:hAnsi="Arial"/>
                <w:sz w:val="16"/>
                <w:szCs w:val="16"/>
                <w:color w:val="634140"/>
              </w:rPr>
              <w:t>˨φ</w:t>
            </w:r>
          </w:p>
        </w:tc>
        <w:tc>
          <w:tcPr>
            <w:tcW w:w="40" w:type="dxa"/>
            <w:vAlign w:val="bottom"/>
          </w:tcPr>
          <w:p>
            <w:pPr>
              <w:spacing w:after="0"/>
              <w:rPr>
                <w:sz w:val="20"/>
                <w:szCs w:val="20"/>
                <w:color w:val="auto"/>
              </w:rPr>
            </w:pPr>
          </w:p>
        </w:tc>
        <w:tc>
          <w:tcPr>
            <w:tcW w:w="940" w:type="dxa"/>
            <w:vAlign w:val="bottom"/>
            <w:gridSpan w:val="2"/>
            <w:vMerge w:val="restart"/>
          </w:tcPr>
          <w:p>
            <w:pPr>
              <w:jc w:val="center"/>
              <w:ind w:right="520"/>
              <w:spacing w:after="0" w:line="194"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˩φ</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ˮφ</w:t>
            </w:r>
          </w:p>
        </w:tc>
        <w:tc>
          <w:tcPr>
            <w:tcW w:w="20" w:type="dxa"/>
            <w:vAlign w:val="bottom"/>
          </w:tcPr>
          <w:p>
            <w:pPr>
              <w:spacing w:after="0"/>
              <w:rPr>
                <w:sz w:val="20"/>
                <w:szCs w:val="20"/>
                <w:color w:val="auto"/>
              </w:rPr>
            </w:pPr>
          </w:p>
        </w:tc>
        <w:tc>
          <w:tcPr>
            <w:tcW w:w="1200" w:type="dxa"/>
            <w:vAlign w:val="bottom"/>
            <w:gridSpan w:val="3"/>
          </w:tcPr>
          <w:p>
            <w:pPr>
              <w:ind w:left="120"/>
              <w:spacing w:after="0" w:line="234" w:lineRule="exact"/>
              <w:rPr>
                <w:sz w:val="20"/>
                <w:szCs w:val="20"/>
                <w:color w:val="auto"/>
              </w:rPr>
            </w:pPr>
            <w:r>
              <w:rPr>
                <w:rFonts w:ascii="Arial" w:cs="Arial" w:eastAsia="Arial" w:hAnsi="Arial"/>
                <w:sz w:val="14"/>
                <w:szCs w:val="14"/>
                <w:color w:val="634140"/>
              </w:rPr>
              <w:t>˧˦</w:t>
            </w:r>
            <w:r>
              <w:rPr>
                <w:rFonts w:ascii="PMingLiU" w:cs="PMingLiU" w:eastAsia="PMingLiU" w:hAnsi="PMingLiU"/>
                <w:sz w:val="14"/>
                <w:szCs w:val="14"/>
                <w:color w:val="634140"/>
              </w:rPr>
              <w:t/>
            </w:r>
            <w:r>
              <w:rPr>
                <w:rFonts w:ascii="Arial" w:cs="Arial" w:eastAsia="Arial" w:hAnsi="Arial"/>
                <w:sz w:val="14"/>
                <w:szCs w:val="14"/>
                <w:color w:val="634140"/>
              </w:rPr>
              <w:t xml:space="preserve">ˬφ   </w:t>
            </w:r>
            <w:r>
              <w:rPr>
                <w:rFonts w:ascii="Arial" w:cs="Arial" w:eastAsia="Arial" w:hAnsi="Arial"/>
                <w:sz w:val="25"/>
                <w:szCs w:val="25"/>
                <w:color w:val="634140"/>
                <w:vertAlign w:val="superscript"/>
              </w:rPr>
              <w:t>˧˧</w:t>
            </w:r>
            <w:r>
              <w:rPr>
                <w:rFonts w:ascii="PMingLiU" w:cs="PMingLiU" w:eastAsia="PMingLiU" w:hAnsi="PMingLiU"/>
                <w:sz w:val="25"/>
                <w:szCs w:val="25"/>
                <w:color w:val="634140"/>
                <w:vertAlign w:val="superscript"/>
              </w:rPr>
              <w:t/>
            </w:r>
            <w:r>
              <w:rPr>
                <w:rFonts w:ascii="Arial" w:cs="Arial" w:eastAsia="Arial" w:hAnsi="Arial"/>
                <w:sz w:val="25"/>
                <w:szCs w:val="25"/>
                <w:color w:val="634140"/>
                <w:vertAlign w:val="superscript"/>
              </w:rPr>
              <w:t>˥φ</w:t>
            </w:r>
          </w:p>
        </w:tc>
        <w:tc>
          <w:tcPr>
            <w:tcW w:w="0" w:type="dxa"/>
            <w:vAlign w:val="bottom"/>
          </w:tcPr>
          <w:p>
            <w:pPr>
              <w:spacing w:after="0"/>
              <w:rPr>
                <w:sz w:val="1"/>
                <w:szCs w:val="1"/>
                <w:color w:val="auto"/>
              </w:rPr>
            </w:pPr>
          </w:p>
        </w:tc>
      </w:tr>
      <w:tr>
        <w:trPr>
          <w:trHeight w:val="82"/>
        </w:trPr>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gridSpan w:val="2"/>
            <w:vMerge w:val="restart"/>
          </w:tcPr>
          <w:p>
            <w:pPr>
              <w:jc w:val="center"/>
              <w:ind w:right="40"/>
              <w:spacing w:after="0" w:line="192"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ˬφ</w:t>
            </w:r>
          </w:p>
        </w:tc>
        <w:tc>
          <w:tcPr>
            <w:tcW w:w="4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restart"/>
          </w:tcPr>
          <w:p>
            <w:pPr>
              <w:jc w:val="center"/>
              <w:ind w:right="540"/>
              <w:spacing w:after="0" w:line="194"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˨φ</w:t>
            </w: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6"/>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40" w:type="dxa"/>
            <w:vAlign w:val="bottom"/>
            <w:shd w:val="clear" w:color="auto" w:fill="EFF8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20" w:type="dxa"/>
            <w:vAlign w:val="bottom"/>
          </w:tcPr>
          <w:p>
            <w:pPr>
              <w:spacing w:after="0"/>
              <w:rPr>
                <w:sz w:val="17"/>
                <w:szCs w:val="17"/>
                <w:color w:val="auto"/>
              </w:rPr>
            </w:pPr>
          </w:p>
        </w:tc>
        <w:tc>
          <w:tcPr>
            <w:tcW w:w="440" w:type="dxa"/>
            <w:vAlign w:val="bottom"/>
            <w:shd w:val="clear" w:color="auto" w:fill="D6C9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7"/>
                <w:szCs w:val="17"/>
                <w:color w:val="auto"/>
              </w:rPr>
            </w:pPr>
          </w:p>
        </w:tc>
        <w:tc>
          <w:tcPr>
            <w:tcW w:w="440" w:type="dxa"/>
            <w:vAlign w:val="bottom"/>
            <w:shd w:val="clear" w:color="auto" w:fill="D5EFEA"/>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520" w:type="dxa"/>
            <w:vAlign w:val="bottom"/>
          </w:tcPr>
          <w:p>
            <w:pPr>
              <w:spacing w:after="0"/>
              <w:rPr>
                <w:sz w:val="17"/>
                <w:szCs w:val="17"/>
                <w:color w:val="auto"/>
              </w:rPr>
            </w:pPr>
          </w:p>
        </w:tc>
        <w:tc>
          <w:tcPr>
            <w:tcW w:w="440" w:type="dxa"/>
            <w:vAlign w:val="bottom"/>
            <w:shd w:val="clear" w:color="auto" w:fill="EFF8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7"/>
                <w:szCs w:val="17"/>
                <w:color w:val="auto"/>
              </w:rPr>
            </w:pPr>
          </w:p>
        </w:tc>
        <w:tc>
          <w:tcPr>
            <w:tcW w:w="440" w:type="dxa"/>
            <w:vAlign w:val="bottom"/>
            <w:shd w:val="clear" w:color="auto" w:fill="D6C9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20" w:type="dxa"/>
            <w:vAlign w:val="bottom"/>
          </w:tcPr>
          <w:p>
            <w:pPr>
              <w:spacing w:after="0"/>
              <w:rPr>
                <w:sz w:val="17"/>
                <w:szCs w:val="17"/>
                <w:color w:val="auto"/>
              </w:rPr>
            </w:pPr>
          </w:p>
        </w:tc>
        <w:tc>
          <w:tcPr>
            <w:tcW w:w="420" w:type="dxa"/>
            <w:vAlign w:val="bottom"/>
            <w:shd w:val="clear" w:color="auto" w:fill="D5EFEA"/>
          </w:tcPr>
          <w:p>
            <w:pPr>
              <w:ind w:left="12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560" w:type="dxa"/>
            <w:vAlign w:val="bottom"/>
          </w:tcPr>
          <w:p>
            <w:pPr>
              <w:spacing w:after="0"/>
              <w:rPr>
                <w:sz w:val="17"/>
                <w:szCs w:val="17"/>
                <w:color w:val="auto"/>
              </w:rPr>
            </w:pPr>
          </w:p>
        </w:tc>
        <w:tc>
          <w:tcPr>
            <w:tcW w:w="420" w:type="dxa"/>
            <w:vAlign w:val="bottom"/>
            <w:shd w:val="clear" w:color="auto" w:fill="EFF8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7"/>
                <w:szCs w:val="17"/>
                <w:color w:val="auto"/>
              </w:rPr>
            </w:pPr>
          </w:p>
        </w:tc>
        <w:tc>
          <w:tcPr>
            <w:tcW w:w="440" w:type="dxa"/>
            <w:vAlign w:val="bottom"/>
            <w:shd w:val="clear" w:color="auto" w:fill="D6C9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7"/>
                <w:szCs w:val="17"/>
                <w:color w:val="auto"/>
              </w:rPr>
            </w:pPr>
          </w:p>
        </w:tc>
        <w:tc>
          <w:tcPr>
            <w:tcW w:w="420" w:type="dxa"/>
            <w:vAlign w:val="bottom"/>
            <w:shd w:val="clear" w:color="auto" w:fill="D5EFEA"/>
          </w:tcPr>
          <w:p>
            <w:pPr>
              <w:ind w:left="12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520" w:type="dxa"/>
            <w:vAlign w:val="bottom"/>
          </w:tcPr>
          <w:p>
            <w:pPr>
              <w:spacing w:after="0"/>
              <w:rPr>
                <w:sz w:val="17"/>
                <w:szCs w:val="17"/>
                <w:color w:val="auto"/>
              </w:rPr>
            </w:pPr>
          </w:p>
        </w:tc>
        <w:tc>
          <w:tcPr>
            <w:tcW w:w="440" w:type="dxa"/>
            <w:vAlign w:val="bottom"/>
            <w:shd w:val="clear" w:color="auto" w:fill="EFF8C0"/>
          </w:tcPr>
          <w:p>
            <w:pPr>
              <w:ind w:left="14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7"/>
                <w:szCs w:val="17"/>
                <w:color w:val="auto"/>
              </w:rPr>
            </w:pPr>
          </w:p>
        </w:tc>
        <w:tc>
          <w:tcPr>
            <w:tcW w:w="420" w:type="dxa"/>
            <w:vAlign w:val="bottom"/>
            <w:shd w:val="clear" w:color="auto" w:fill="D6C9C0"/>
          </w:tcPr>
          <w:p>
            <w:pPr>
              <w:ind w:left="12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40" w:type="dxa"/>
            <w:vAlign w:val="bottom"/>
          </w:tcPr>
          <w:p>
            <w:pPr>
              <w:spacing w:after="0"/>
              <w:rPr>
                <w:sz w:val="17"/>
                <w:szCs w:val="17"/>
                <w:color w:val="auto"/>
              </w:rPr>
            </w:pPr>
          </w:p>
        </w:tc>
        <w:tc>
          <w:tcPr>
            <w:tcW w:w="420" w:type="dxa"/>
            <w:vAlign w:val="bottom"/>
            <w:shd w:val="clear" w:color="auto" w:fill="D5EFEA"/>
          </w:tcPr>
          <w:p>
            <w:pPr>
              <w:ind w:left="12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p>
        </w:tc>
        <w:tc>
          <w:tcPr>
            <w:tcW w:w="540" w:type="dxa"/>
            <w:vAlign w:val="bottom"/>
          </w:tcPr>
          <w:p>
            <w:pPr>
              <w:spacing w:after="0"/>
              <w:rPr>
                <w:sz w:val="17"/>
                <w:szCs w:val="17"/>
                <w:color w:val="auto"/>
              </w:rPr>
            </w:pPr>
          </w:p>
        </w:tc>
        <w:tc>
          <w:tcPr>
            <w:tcW w:w="580" w:type="dxa"/>
            <w:vAlign w:val="bottom"/>
            <w:vMerge w:val="restart"/>
            <w:shd w:val="clear" w:color="auto" w:fill="EFF8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r>
              <w:rPr>
                <w:rFonts w:ascii="Arial" w:cs="Arial" w:eastAsia="Arial" w:hAnsi="Arial"/>
                <w:sz w:val="15"/>
                <w:szCs w:val="15"/>
                <w:b w:val="1"/>
                <w:bCs w:val="1"/>
                <w:color w:val="634140"/>
              </w:rPr>
              <w:t>˧˥˧˨</w:t>
            </w:r>
          </w:p>
        </w:tc>
        <w:tc>
          <w:tcPr>
            <w:tcW w:w="20" w:type="dxa"/>
            <w:vAlign w:val="bottom"/>
          </w:tcPr>
          <w:p>
            <w:pPr>
              <w:spacing w:after="0"/>
              <w:rPr>
                <w:sz w:val="17"/>
                <w:szCs w:val="17"/>
                <w:color w:val="auto"/>
              </w:rPr>
            </w:pPr>
          </w:p>
        </w:tc>
        <w:tc>
          <w:tcPr>
            <w:tcW w:w="580" w:type="dxa"/>
            <w:vAlign w:val="bottom"/>
            <w:vMerge w:val="restart"/>
            <w:shd w:val="clear" w:color="auto" w:fill="D6C9C0"/>
          </w:tcPr>
          <w:p>
            <w:pPr>
              <w:jc w:val="center"/>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r>
              <w:rPr>
                <w:rFonts w:ascii="Arial" w:cs="Arial" w:eastAsia="Arial" w:hAnsi="Arial"/>
                <w:sz w:val="15"/>
                <w:szCs w:val="15"/>
                <w:b w:val="1"/>
                <w:bCs w:val="1"/>
                <w:color w:val="634140"/>
              </w:rPr>
              <w:t>˧˥˧˩</w:t>
            </w:r>
          </w:p>
        </w:tc>
        <w:tc>
          <w:tcPr>
            <w:tcW w:w="40" w:type="dxa"/>
            <w:vAlign w:val="bottom"/>
          </w:tcPr>
          <w:p>
            <w:pPr>
              <w:spacing w:after="0"/>
              <w:rPr>
                <w:sz w:val="17"/>
                <w:szCs w:val="17"/>
                <w:color w:val="auto"/>
              </w:rPr>
            </w:pPr>
          </w:p>
        </w:tc>
        <w:tc>
          <w:tcPr>
            <w:tcW w:w="580" w:type="dxa"/>
            <w:vAlign w:val="bottom"/>
            <w:vMerge w:val="restart"/>
            <w:shd w:val="clear" w:color="auto" w:fill="D5EFEA"/>
          </w:tcPr>
          <w:p>
            <w:pPr>
              <w:ind w:left="20"/>
              <w:spacing w:after="0" w:line="182" w:lineRule="exact"/>
              <w:rPr>
                <w:sz w:val="20"/>
                <w:szCs w:val="20"/>
                <w:color w:val="auto"/>
              </w:rPr>
            </w:pPr>
            <w:r>
              <w:rPr>
                <w:rFonts w:ascii="Arial" w:cs="Arial" w:eastAsia="Arial" w:hAnsi="Arial"/>
                <w:sz w:val="15"/>
                <w:szCs w:val="15"/>
                <w:b w:val="1"/>
                <w:bCs w:val="1"/>
                <w:color w:val="634140"/>
              </w:rPr>
              <w:t>J]</w:t>
            </w:r>
            <w:r>
              <w:rPr>
                <w:rFonts w:ascii="PMingLiU" w:cs="PMingLiU" w:eastAsia="PMingLiU" w:hAnsi="PMingLiU"/>
                <w:sz w:val="15"/>
                <w:szCs w:val="15"/>
                <w:b w:val="1"/>
                <w:bCs w:val="1"/>
                <w:color w:val="634140"/>
              </w:rPr>
              <w:t/>
            </w:r>
            <w:r>
              <w:rPr>
                <w:rFonts w:ascii="Arial" w:cs="Arial" w:eastAsia="Arial" w:hAnsi="Arial"/>
                <w:sz w:val="15"/>
                <w:szCs w:val="15"/>
                <w:b w:val="1"/>
                <w:bCs w:val="1"/>
                <w:color w:val="634140"/>
              </w:rPr>
              <w:t>˧˥˧˪</w:t>
            </w:r>
          </w:p>
        </w:tc>
        <w:tc>
          <w:tcPr>
            <w:tcW w:w="0" w:type="dxa"/>
            <w:vAlign w:val="bottom"/>
          </w:tcPr>
          <w:p>
            <w:pPr>
              <w:spacing w:after="0"/>
              <w:rPr>
                <w:sz w:val="1"/>
                <w:szCs w:val="1"/>
                <w:color w:val="auto"/>
              </w:rPr>
            </w:pPr>
          </w:p>
        </w:tc>
      </w:tr>
      <w:tr>
        <w:trPr>
          <w:trHeight w:val="105"/>
        </w:trPr>
        <w:tc>
          <w:tcPr>
            <w:tcW w:w="440" w:type="dxa"/>
            <w:vAlign w:val="bottom"/>
            <w:vMerge w:val="restart"/>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20" w:type="dxa"/>
            <w:vAlign w:val="bottom"/>
          </w:tcPr>
          <w:p>
            <w:pPr>
              <w:spacing w:after="0"/>
              <w:rPr>
                <w:sz w:val="9"/>
                <w:szCs w:val="9"/>
                <w:color w:val="auto"/>
              </w:rPr>
            </w:pPr>
          </w:p>
        </w:tc>
        <w:tc>
          <w:tcPr>
            <w:tcW w:w="440" w:type="dxa"/>
            <w:vAlign w:val="bottom"/>
            <w:vMerge w:val="restart"/>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9"/>
                <w:szCs w:val="9"/>
                <w:color w:val="auto"/>
              </w:rPr>
            </w:pPr>
          </w:p>
        </w:tc>
        <w:tc>
          <w:tcPr>
            <w:tcW w:w="440" w:type="dxa"/>
            <w:vAlign w:val="bottom"/>
            <w:vMerge w:val="restart"/>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520" w:type="dxa"/>
            <w:vAlign w:val="bottom"/>
          </w:tcPr>
          <w:p>
            <w:pPr>
              <w:spacing w:after="0"/>
              <w:rPr>
                <w:sz w:val="9"/>
                <w:szCs w:val="9"/>
                <w:color w:val="auto"/>
              </w:rPr>
            </w:pPr>
          </w:p>
        </w:tc>
        <w:tc>
          <w:tcPr>
            <w:tcW w:w="440" w:type="dxa"/>
            <w:vAlign w:val="bottom"/>
            <w:vMerge w:val="restart"/>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9"/>
                <w:szCs w:val="9"/>
                <w:color w:val="auto"/>
              </w:rPr>
            </w:pPr>
          </w:p>
        </w:tc>
        <w:tc>
          <w:tcPr>
            <w:tcW w:w="440" w:type="dxa"/>
            <w:vAlign w:val="bottom"/>
            <w:vMerge w:val="restart"/>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20" w:type="dxa"/>
            <w:vAlign w:val="bottom"/>
          </w:tcPr>
          <w:p>
            <w:pPr>
              <w:spacing w:after="0"/>
              <w:rPr>
                <w:sz w:val="9"/>
                <w:szCs w:val="9"/>
                <w:color w:val="auto"/>
              </w:rPr>
            </w:pPr>
          </w:p>
        </w:tc>
        <w:tc>
          <w:tcPr>
            <w:tcW w:w="420" w:type="dxa"/>
            <w:vAlign w:val="bottom"/>
            <w:vMerge w:val="restart"/>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560" w:type="dxa"/>
            <w:vAlign w:val="bottom"/>
          </w:tcPr>
          <w:p>
            <w:pPr>
              <w:spacing w:after="0"/>
              <w:rPr>
                <w:sz w:val="9"/>
                <w:szCs w:val="9"/>
                <w:color w:val="auto"/>
              </w:rPr>
            </w:pPr>
          </w:p>
        </w:tc>
        <w:tc>
          <w:tcPr>
            <w:tcW w:w="420" w:type="dxa"/>
            <w:vAlign w:val="bottom"/>
            <w:vMerge w:val="restart"/>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9"/>
                <w:szCs w:val="9"/>
                <w:color w:val="auto"/>
              </w:rPr>
            </w:pPr>
          </w:p>
        </w:tc>
        <w:tc>
          <w:tcPr>
            <w:tcW w:w="440" w:type="dxa"/>
            <w:vAlign w:val="bottom"/>
            <w:vMerge w:val="restart"/>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9"/>
                <w:szCs w:val="9"/>
                <w:color w:val="auto"/>
              </w:rPr>
            </w:pPr>
          </w:p>
        </w:tc>
        <w:tc>
          <w:tcPr>
            <w:tcW w:w="420" w:type="dxa"/>
            <w:vAlign w:val="bottom"/>
            <w:vMerge w:val="restart"/>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520" w:type="dxa"/>
            <w:vAlign w:val="bottom"/>
          </w:tcPr>
          <w:p>
            <w:pPr>
              <w:spacing w:after="0"/>
              <w:rPr>
                <w:sz w:val="9"/>
                <w:szCs w:val="9"/>
                <w:color w:val="auto"/>
              </w:rPr>
            </w:pPr>
          </w:p>
        </w:tc>
        <w:tc>
          <w:tcPr>
            <w:tcW w:w="440" w:type="dxa"/>
            <w:vAlign w:val="bottom"/>
            <w:vMerge w:val="restart"/>
            <w:shd w:val="clear" w:color="auto" w:fill="EFF8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9"/>
                <w:szCs w:val="9"/>
                <w:color w:val="auto"/>
              </w:rPr>
            </w:pPr>
          </w:p>
        </w:tc>
        <w:tc>
          <w:tcPr>
            <w:tcW w:w="420" w:type="dxa"/>
            <w:vAlign w:val="bottom"/>
            <w:vMerge w:val="restart"/>
            <w:shd w:val="clear" w:color="auto" w:fill="D6C9C0"/>
          </w:tcPr>
          <w:p>
            <w:pPr>
              <w:jc w:val="center"/>
              <w:spacing w:after="0"/>
              <w:rPr>
                <w:sz w:val="20"/>
                <w:szCs w:val="20"/>
                <w:color w:val="auto"/>
              </w:rPr>
            </w:pPr>
            <w:r>
              <w:rPr>
                <w:rFonts w:ascii="Arial" w:cs="Arial" w:eastAsia="Arial" w:hAnsi="Arial"/>
                <w:sz w:val="15"/>
                <w:szCs w:val="15"/>
                <w:b w:val="1"/>
                <w:bCs w:val="1"/>
                <w:color w:val="634140"/>
              </w:rPr>
              <w:t>˧˥˧˩</w:t>
            </w:r>
          </w:p>
        </w:tc>
        <w:tc>
          <w:tcPr>
            <w:tcW w:w="40" w:type="dxa"/>
            <w:vAlign w:val="bottom"/>
          </w:tcPr>
          <w:p>
            <w:pPr>
              <w:spacing w:after="0"/>
              <w:rPr>
                <w:sz w:val="9"/>
                <w:szCs w:val="9"/>
                <w:color w:val="auto"/>
              </w:rPr>
            </w:pPr>
          </w:p>
        </w:tc>
        <w:tc>
          <w:tcPr>
            <w:tcW w:w="420" w:type="dxa"/>
            <w:vAlign w:val="bottom"/>
            <w:vMerge w:val="restart"/>
            <w:shd w:val="clear" w:color="auto" w:fill="D5EFEA"/>
          </w:tcPr>
          <w:p>
            <w:pPr>
              <w:jc w:val="center"/>
              <w:spacing w:after="0"/>
              <w:rPr>
                <w:sz w:val="20"/>
                <w:szCs w:val="20"/>
                <w:color w:val="auto"/>
              </w:rPr>
            </w:pPr>
            <w:r>
              <w:rPr>
                <w:rFonts w:ascii="Arial" w:cs="Arial" w:eastAsia="Arial" w:hAnsi="Arial"/>
                <w:sz w:val="15"/>
                <w:szCs w:val="15"/>
                <w:b w:val="1"/>
                <w:bCs w:val="1"/>
                <w:color w:val="634140"/>
              </w:rPr>
              <w:t>˧˥˧˪</w:t>
            </w:r>
          </w:p>
        </w:tc>
        <w:tc>
          <w:tcPr>
            <w:tcW w:w="540" w:type="dxa"/>
            <w:vAlign w:val="bottom"/>
          </w:tcPr>
          <w:p>
            <w:pPr>
              <w:spacing w:after="0"/>
              <w:rPr>
                <w:sz w:val="9"/>
                <w:szCs w:val="9"/>
                <w:color w:val="auto"/>
              </w:rPr>
            </w:pPr>
          </w:p>
        </w:tc>
        <w:tc>
          <w:tcPr>
            <w:tcW w:w="580" w:type="dxa"/>
            <w:vAlign w:val="bottom"/>
            <w:vMerge w:val="continue"/>
            <w:shd w:val="clear" w:color="auto" w:fill="EFF8C0"/>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D6C9C0"/>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continue"/>
            <w:shd w:val="clear" w:color="auto" w:fill="D5EF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40" w:type="dxa"/>
            <w:vAlign w:val="bottom"/>
            <w:tcBorders>
              <w:bottom w:val="single" w:sz="8" w:color="EFF8C0"/>
            </w:tcBorders>
            <w:vMerge w:val="continue"/>
            <w:shd w:val="clear" w:color="auto" w:fill="EFF8C0"/>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D6C9C0"/>
            </w:tcBorders>
            <w:vMerge w:val="continue"/>
            <w:shd w:val="clear" w:color="auto" w:fill="D6C9C0"/>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D5EFEA"/>
            </w:tcBorders>
            <w:vMerge w:val="continue"/>
            <w:shd w:val="clear" w:color="auto" w:fill="D5EFEA"/>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Borders>
              <w:bottom w:val="single" w:sz="8" w:color="EFF8C0"/>
            </w:tcBorders>
            <w:vMerge w:val="continue"/>
            <w:shd w:val="clear" w:color="auto" w:fill="EFF8C0"/>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D6C9C0"/>
            </w:tcBorders>
            <w:vMerge w:val="continue"/>
            <w:shd w:val="clear" w:color="auto" w:fill="D6C9C0"/>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D5EFEA"/>
            </w:tcBorders>
            <w:vMerge w:val="continue"/>
            <w:shd w:val="clear" w:color="auto" w:fill="D5EFEA"/>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Borders>
              <w:bottom w:val="single" w:sz="8" w:color="EFF8C0"/>
            </w:tcBorders>
            <w:vMerge w:val="continue"/>
            <w:shd w:val="clear" w:color="auto" w:fill="EFF8C0"/>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D6C9C0"/>
            </w:tcBorders>
            <w:vMerge w:val="continue"/>
            <w:shd w:val="clear" w:color="auto" w:fill="D6C9C0"/>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D5EFEA"/>
            </w:tcBorders>
            <w:vMerge w:val="continue"/>
            <w:shd w:val="clear" w:color="auto" w:fill="D5EFEA"/>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Borders>
              <w:bottom w:val="single" w:sz="8" w:color="EFF8C0"/>
            </w:tcBorders>
            <w:vMerge w:val="continue"/>
            <w:shd w:val="clear" w:color="auto" w:fill="EFF8C0"/>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D6C9C0"/>
            </w:tcBorders>
            <w:vMerge w:val="continue"/>
            <w:shd w:val="clear" w:color="auto" w:fill="D6C9C0"/>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D5EFEA"/>
            </w:tcBorders>
            <w:vMerge w:val="continue"/>
            <w:shd w:val="clear" w:color="auto" w:fill="D5EFEA"/>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Borders>
              <w:bottom w:val="single" w:sz="8" w:color="EFF8C0"/>
            </w:tcBorders>
            <w:shd w:val="clear" w:color="auto" w:fill="EFF8C0"/>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bottom w:val="single" w:sz="8" w:color="D6C9C0"/>
            </w:tcBorders>
            <w:shd w:val="clear" w:color="auto" w:fill="D6C9C0"/>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D5EFEA"/>
            </w:tcBorders>
            <w:shd w:val="clear" w:color="auto" w:fill="D5EFEA"/>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1380" w:type="dxa"/>
            <w:vAlign w:val="bottom"/>
            <w:gridSpan w:val="5"/>
          </w:tcPr>
          <w:p>
            <w:pPr>
              <w:jc w:val="center"/>
              <w:spacing w:after="0" w:line="219" w:lineRule="exact"/>
              <w:rPr>
                <w:sz w:val="20"/>
                <w:szCs w:val="20"/>
                <w:color w:val="auto"/>
              </w:rPr>
            </w:pPr>
            <w:r>
              <w:rPr>
                <w:rFonts w:ascii="Arial" w:cs="Arial" w:eastAsia="Arial" w:hAnsi="Arial"/>
                <w:sz w:val="18"/>
                <w:szCs w:val="18"/>
                <w:color w:val="634140"/>
                <w:w w:val="91"/>
              </w:rPr>
              <w:t>jgdc</w:t>
            </w:r>
            <w:r>
              <w:rPr>
                <w:rFonts w:ascii="PMingLiU" w:cs="PMingLiU" w:eastAsia="PMingLiU" w:hAnsi="PMingLiU"/>
                <w:sz w:val="18"/>
                <w:szCs w:val="18"/>
                <w:color w:val="634140"/>
                <w:w w:val="91"/>
              </w:rPr>
              <w:t/>
            </w:r>
            <w:r>
              <w:rPr>
                <w:rFonts w:ascii="Arial" w:cs="Arial" w:eastAsia="Arial" w:hAnsi="Arial"/>
                <w:sz w:val="18"/>
                <w:szCs w:val="18"/>
                <w:color w:val="634140"/>
                <w:w w:val="91"/>
              </w:rPr>
              <w:t>qagclacq</w:t>
            </w:r>
          </w:p>
        </w:tc>
        <w:tc>
          <w:tcPr>
            <w:tcW w:w="520" w:type="dxa"/>
            <w:vAlign w:val="bottom"/>
          </w:tcPr>
          <w:p>
            <w:pPr>
              <w:spacing w:after="0"/>
              <w:rPr>
                <w:sz w:val="24"/>
                <w:szCs w:val="24"/>
                <w:color w:val="auto"/>
              </w:rPr>
            </w:pPr>
          </w:p>
        </w:tc>
        <w:tc>
          <w:tcPr>
            <w:tcW w:w="1360" w:type="dxa"/>
            <w:vAlign w:val="bottom"/>
            <w:gridSpan w:val="5"/>
          </w:tcPr>
          <w:p>
            <w:pPr>
              <w:ind w:left="140"/>
              <w:spacing w:after="0" w:line="219" w:lineRule="exact"/>
              <w:rPr>
                <w:sz w:val="20"/>
                <w:szCs w:val="20"/>
                <w:color w:val="auto"/>
              </w:rPr>
            </w:pPr>
            <w:r>
              <w:rPr>
                <w:rFonts w:ascii="Arial" w:cs="Arial" w:eastAsia="Arial" w:hAnsi="Arial"/>
                <w:sz w:val="18"/>
                <w:szCs w:val="18"/>
                <w:color w:val="634140"/>
              </w:rPr>
              <w:t>ncpqml_j</w:t>
            </w:r>
            <w:r>
              <w:rPr>
                <w:rFonts w:ascii="PMingLiU" w:cs="PMingLiU" w:eastAsia="PMingLiU" w:hAnsi="PMingLiU"/>
                <w:sz w:val="18"/>
                <w:szCs w:val="18"/>
                <w:color w:val="634140"/>
              </w:rPr>
              <w:t/>
            </w:r>
            <w:r>
              <w:rPr>
                <w:rFonts w:ascii="Arial" w:cs="Arial" w:eastAsia="Arial" w:hAnsi="Arial"/>
                <w:sz w:val="18"/>
                <w:szCs w:val="18"/>
                <w:color w:val="634140"/>
              </w:rPr>
              <w:t>a_pc</w:t>
            </w:r>
          </w:p>
        </w:tc>
        <w:tc>
          <w:tcPr>
            <w:tcW w:w="560" w:type="dxa"/>
            <w:vAlign w:val="bottom"/>
          </w:tcPr>
          <w:p>
            <w:pPr>
              <w:spacing w:after="0"/>
              <w:rPr>
                <w:sz w:val="24"/>
                <w:szCs w:val="24"/>
                <w:color w:val="auto"/>
              </w:rPr>
            </w:pPr>
          </w:p>
        </w:tc>
        <w:tc>
          <w:tcPr>
            <w:tcW w:w="1880" w:type="dxa"/>
            <w:vAlign w:val="bottom"/>
            <w:gridSpan w:val="6"/>
          </w:tcPr>
          <w:p>
            <w:pPr>
              <w:ind w:left="320"/>
              <w:spacing w:after="0" w:line="219" w:lineRule="exact"/>
              <w:rPr>
                <w:sz w:val="20"/>
                <w:szCs w:val="20"/>
                <w:color w:val="auto"/>
              </w:rPr>
            </w:pPr>
            <w:r>
              <w:rPr>
                <w:rFonts w:ascii="Arial" w:cs="Arial" w:eastAsia="Arial" w:hAnsi="Arial"/>
                <w:sz w:val="18"/>
                <w:szCs w:val="18"/>
                <w:color w:val="634140"/>
              </w:rPr>
              <w:t>qncag_jrw</w:t>
            </w:r>
            <w:r>
              <w:rPr>
                <w:rFonts w:ascii="PMingLiU" w:cs="PMingLiU" w:eastAsia="PMingLiU" w:hAnsi="PMingLiU"/>
                <w:sz w:val="18"/>
                <w:szCs w:val="18"/>
                <w:color w:val="634140"/>
              </w:rPr>
              <w:t/>
            </w:r>
          </w:p>
        </w:tc>
        <w:tc>
          <w:tcPr>
            <w:tcW w:w="1900" w:type="dxa"/>
            <w:vAlign w:val="bottom"/>
            <w:gridSpan w:val="6"/>
          </w:tcPr>
          <w:p>
            <w:pPr>
              <w:ind w:left="140"/>
              <w:spacing w:after="0"/>
              <w:rPr>
                <w:sz w:val="20"/>
                <w:szCs w:val="20"/>
                <w:color w:val="auto"/>
              </w:rPr>
            </w:pPr>
            <w:r>
              <w:rPr>
                <w:rFonts w:ascii="Arial" w:cs="Arial" w:eastAsia="Arial" w:hAnsi="Arial"/>
                <w:sz w:val="18"/>
                <w:szCs w:val="18"/>
                <w:color w:val="634140"/>
              </w:rPr>
              <w:t>glrcpkcbg_rcq</w:t>
            </w:r>
          </w:p>
        </w:tc>
        <w:tc>
          <w:tcPr>
            <w:tcW w:w="580" w:type="dxa"/>
            <w:vAlign w:val="bottom"/>
          </w:tcPr>
          <w:p>
            <w:pPr>
              <w:spacing w:after="0"/>
              <w:rPr>
                <w:sz w:val="24"/>
                <w:szCs w:val="24"/>
                <w:color w:val="auto"/>
              </w:rPr>
            </w:pPr>
          </w:p>
        </w:tc>
        <w:tc>
          <w:tcPr>
            <w:tcW w:w="1220" w:type="dxa"/>
            <w:vAlign w:val="bottom"/>
            <w:gridSpan w:val="4"/>
          </w:tcPr>
          <w:p>
            <w:pPr>
              <w:jc w:val="center"/>
              <w:ind w:right="507"/>
              <w:spacing w:after="0"/>
              <w:rPr>
                <w:sz w:val="20"/>
                <w:szCs w:val="20"/>
                <w:color w:val="auto"/>
              </w:rPr>
            </w:pPr>
            <w:r>
              <w:rPr>
                <w:rFonts w:ascii="Arial" w:cs="Arial" w:eastAsia="Arial" w:hAnsi="Arial"/>
                <w:sz w:val="18"/>
                <w:szCs w:val="18"/>
                <w:color w:val="634140"/>
              </w:rPr>
              <w:t>Eqfj_lb</w:t>
            </w: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gridSpan w:val="6"/>
          </w:tcPr>
          <w:p>
            <w:pPr>
              <w:jc w:val="center"/>
              <w:ind w:right="520"/>
              <w:spacing w:after="0"/>
              <w:rPr>
                <w:sz w:val="20"/>
                <w:szCs w:val="20"/>
                <w:color w:val="auto"/>
              </w:rPr>
            </w:pPr>
            <w:r>
              <w:rPr>
                <w:rFonts w:ascii="Arial" w:cs="Arial" w:eastAsia="Arial" w:hAnsi="Arial"/>
                <w:sz w:val="18"/>
                <w:szCs w:val="18"/>
                <w:color w:val="634140"/>
                <w:w w:val="89"/>
              </w:rPr>
              <w:t>_bbgrgtcq</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72390</wp:posOffset>
            </wp:positionV>
            <wp:extent cx="630110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3">
                      <a:extLst>
                        <a:ext uri="{28A0092B-C50C-407E-A947-70E740481C1C}"/>
                      </a:extLst>
                    </a:blip>
                    <a:srcRect/>
                    <a:stretch>
                      <a:fillRect/>
                    </a:stretch>
                  </pic:blipFill>
                  <pic:spPr bwMode="auto">
                    <a:xfrm>
                      <a:off x="0" y="0"/>
                      <a:ext cx="6301105" cy="1270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-1517650</wp:posOffset>
            </wp:positionV>
            <wp:extent cx="6021705" cy="1210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4">
                      <a:extLst>
                        <a:ext uri="{28A0092B-C50C-407E-A947-70E740481C1C}"/>
                      </a:extLst>
                    </a:blip>
                    <a:srcRect/>
                    <a:stretch>
                      <a:fillRect/>
                    </a:stretch>
                  </pic:blipFill>
                  <pic:spPr bwMode="auto">
                    <a:xfrm>
                      <a:off x="0" y="0"/>
                      <a:ext cx="6021705" cy="1210945"/>
                    </a:xfrm>
                    <a:prstGeom prst="rect">
                      <a:avLst/>
                    </a:prstGeom>
                    <a:noFill/>
                  </pic:spPr>
                </pic:pic>
              </a:graphicData>
            </a:graphic>
          </wp:anchor>
        </w:drawing>
      </w:r>
    </w:p>
    <w:p>
      <w:pPr>
        <w:spacing w:after="0" w:line="364" w:lineRule="exact"/>
        <w:rPr>
          <w:sz w:val="20"/>
          <w:szCs w:val="20"/>
          <w:color w:val="auto"/>
        </w:rPr>
      </w:pPr>
    </w:p>
    <w:p>
      <w:pPr>
        <w:jc w:val="both"/>
        <w:ind w:left="60" w:hanging="67"/>
        <w:spacing w:after="0" w:line="129" w:lineRule="exact"/>
        <w:rPr>
          <w:sz w:val="20"/>
          <w:szCs w:val="20"/>
          <w:color w:val="auto"/>
        </w:rPr>
      </w:pPr>
      <w:r>
        <w:rPr>
          <w:rFonts w:ascii="Arial" w:cs="Arial" w:eastAsia="Arial" w:hAnsi="Arial"/>
          <w:sz w:val="12"/>
          <w:szCs w:val="12"/>
          <w:color w:val="634140"/>
        </w:rPr>
        <w:t>˦</w:t>
      </w:r>
      <w:r>
        <w:rPr>
          <w:rFonts w:ascii="PMingLiU" w:cs="PMingLiU" w:eastAsia="PMingLiU" w:hAnsi="PMingLiU"/>
          <w:sz w:val="12"/>
          <w:szCs w:val="12"/>
          <w:color w:val="634140"/>
        </w:rPr>
        <w:t/>
      </w:r>
      <w:r>
        <w:rPr>
          <w:rFonts w:ascii="Arial" w:cs="Arial" w:eastAsia="Arial" w:hAnsi="Arial"/>
          <w:sz w:val="12"/>
          <w:szCs w:val="12"/>
          <w:color w:val="634140"/>
        </w:rPr>
        <w:t>W_jcq</w:t>
      </w:r>
      <w:r>
        <w:rPr>
          <w:rFonts w:ascii="PMingLiU" w:cs="PMingLiU" w:eastAsia="PMingLiU" w:hAnsi="PMingLiU"/>
          <w:sz w:val="12"/>
          <w:szCs w:val="12"/>
          <w:color w:val="634140"/>
        </w:rPr>
        <w:t/>
      </w:r>
      <w:r>
        <w:rPr>
          <w:rFonts w:ascii="Arial" w:cs="Arial" w:eastAsia="Arial" w:hAnsi="Arial"/>
          <w:sz w:val="12"/>
          <w:szCs w:val="12"/>
          <w:color w:val="634140"/>
        </w:rPr>
        <w:t xml:space="preserve"> _bhsqrcb</w:t>
      </w:r>
      <w:r>
        <w:rPr>
          <w:rFonts w:ascii="PMingLiU" w:cs="PMingLiU" w:eastAsia="PMingLiU" w:hAnsi="PMingLiU"/>
          <w:sz w:val="12"/>
          <w:szCs w:val="12"/>
          <w:color w:val="634140"/>
        </w:rPr>
        <w:t/>
      </w:r>
      <w:r>
        <w:rPr>
          <w:rFonts w:ascii="Arial" w:cs="Arial" w:eastAsia="Arial" w:hAnsi="Arial"/>
          <w:sz w:val="12"/>
          <w:szCs w:val="12"/>
          <w:color w:val="634140"/>
        </w:rPr>
        <w:t xml:space="preserve"> IFMXHE</w:t>
      </w:r>
      <w:r>
        <w:rPr>
          <w:rFonts w:ascii="PMingLiU" w:cs="PMingLiU" w:eastAsia="PMingLiU" w:hAnsi="PMingLiU"/>
          <w:sz w:val="12"/>
          <w:szCs w:val="12"/>
          <w:color w:val="634140"/>
        </w:rPr>
        <w:t/>
      </w:r>
      <w:r>
        <w:rPr>
          <w:rFonts w:ascii="Arial" w:cs="Arial" w:eastAsia="Arial" w:hAnsi="Arial"/>
          <w:sz w:val="12"/>
          <w:szCs w:val="12"/>
          <w:color w:val="634140"/>
        </w:rPr>
        <w:t xml:space="preserve"> _lb</w:t>
      </w:r>
      <w:r>
        <w:rPr>
          <w:rFonts w:ascii="PMingLiU" w:cs="PMingLiU" w:eastAsia="PMingLiU" w:hAnsi="PMingLiU"/>
          <w:sz w:val="12"/>
          <w:szCs w:val="12"/>
          <w:color w:val="634140"/>
        </w:rPr>
        <w:t/>
      </w:r>
      <w:r>
        <w:rPr>
          <w:rFonts w:ascii="Arial" w:cs="Arial" w:eastAsia="Arial" w:hAnsi="Arial"/>
          <w:sz w:val="12"/>
          <w:szCs w:val="12"/>
          <w:color w:val="634140"/>
        </w:rPr>
        <w:t xml:space="preserve"> _bhsqrcb</w:t>
      </w:r>
      <w:r>
        <w:rPr>
          <w:rFonts w:ascii="PMingLiU" w:cs="PMingLiU" w:eastAsia="PMingLiU" w:hAnsi="PMingLiU"/>
          <w:sz w:val="12"/>
          <w:szCs w:val="12"/>
          <w:color w:val="634140"/>
        </w:rPr>
        <w:t/>
      </w:r>
      <w:r>
        <w:rPr>
          <w:rFonts w:ascii="Arial" w:cs="Arial" w:eastAsia="Arial" w:hAnsi="Arial"/>
          <w:sz w:val="12"/>
          <w:szCs w:val="12"/>
          <w:color w:val="634140"/>
        </w:rPr>
        <w:t xml:space="preserve"> IFMXHE</w:t>
      </w:r>
      <w:r>
        <w:rPr>
          <w:rFonts w:ascii="PMingLiU" w:cs="PMingLiU" w:eastAsia="PMingLiU" w:hAnsi="PMingLiU"/>
          <w:sz w:val="12"/>
          <w:szCs w:val="12"/>
          <w:color w:val="634140"/>
        </w:rPr>
        <w:t/>
      </w:r>
      <w:r>
        <w:rPr>
          <w:rFonts w:ascii="Arial" w:cs="Arial" w:eastAsia="Arial" w:hAnsi="Arial"/>
          <w:sz w:val="12"/>
          <w:szCs w:val="12"/>
          <w:color w:val="634140"/>
        </w:rPr>
        <w:t xml:space="preserve"> k_peglq</w:t>
      </w:r>
      <w:r>
        <w:rPr>
          <w:rFonts w:ascii="PMingLiU" w:cs="PMingLiU" w:eastAsia="PMingLiU" w:hAnsi="PMingLiU"/>
          <w:sz w:val="12"/>
          <w:szCs w:val="12"/>
          <w:color w:val="634140"/>
        </w:rPr>
        <w:t/>
      </w:r>
      <w:r>
        <w:rPr>
          <w:rFonts w:ascii="Arial" w:cs="Arial" w:eastAsia="Arial" w:hAnsi="Arial"/>
          <w:sz w:val="12"/>
          <w:szCs w:val="12"/>
          <w:color w:val="634140"/>
        </w:rPr>
        <w:t xml:space="preserve"> ucpc</w:t>
      </w:r>
      <w:r>
        <w:rPr>
          <w:rFonts w:ascii="PMingLiU" w:cs="PMingLiU" w:eastAsia="PMingLiU" w:hAnsi="PMingLiU"/>
          <w:sz w:val="12"/>
          <w:szCs w:val="12"/>
          <w:color w:val="634140"/>
        </w:rPr>
        <w:t/>
      </w:r>
      <w:r>
        <w:rPr>
          <w:rFonts w:ascii="Arial" w:cs="Arial" w:eastAsia="Arial" w:hAnsi="Arial"/>
          <w:sz w:val="12"/>
          <w:szCs w:val="12"/>
          <w:color w:val="634140"/>
        </w:rPr>
        <w:t xml:space="preserve"> _jj</w:t>
      </w:r>
      <w:r>
        <w:rPr>
          <w:rFonts w:ascii="PMingLiU" w:cs="PMingLiU" w:eastAsia="PMingLiU" w:hAnsi="PMingLiU"/>
          <w:sz w:val="12"/>
          <w:szCs w:val="12"/>
          <w:color w:val="634140"/>
        </w:rPr>
        <w:t/>
      </w:r>
      <w:r>
        <w:rPr>
          <w:rFonts w:ascii="Arial" w:cs="Arial" w:eastAsia="Arial" w:hAnsi="Arial"/>
          <w:sz w:val="12"/>
          <w:szCs w:val="12"/>
          <w:color w:val="634140"/>
        </w:rPr>
        <w:t xml:space="preserve"> gkn_arcb</w:t>
      </w:r>
      <w:r>
        <w:rPr>
          <w:rFonts w:ascii="PMingLiU" w:cs="PMingLiU" w:eastAsia="PMingLiU" w:hAnsi="PMingLiU"/>
          <w:sz w:val="12"/>
          <w:szCs w:val="12"/>
          <w:color w:val="634140"/>
        </w:rPr>
        <w:t/>
      </w:r>
      <w:r>
        <w:rPr>
          <w:rFonts w:ascii="Arial" w:cs="Arial" w:eastAsia="Arial" w:hAnsi="Arial"/>
          <w:sz w:val="12"/>
          <w:szCs w:val="12"/>
          <w:color w:val="634140"/>
        </w:rPr>
        <w:t xml:space="preserve"> `w</w:t>
      </w:r>
      <w:r>
        <w:rPr>
          <w:rFonts w:ascii="PMingLiU" w:cs="PMingLiU" w:eastAsia="PMingLiU" w:hAnsi="PMingLiU"/>
          <w:sz w:val="12"/>
          <w:szCs w:val="12"/>
          <w:color w:val="634140"/>
        </w:rPr>
        <w:t/>
      </w:r>
      <w:r>
        <w:rPr>
          <w:rFonts w:ascii="Arial" w:cs="Arial" w:eastAsia="Arial" w:hAnsi="Arial"/>
          <w:sz w:val="12"/>
          <w:szCs w:val="12"/>
          <w:color w:val="634140"/>
        </w:rPr>
        <w:t xml:space="preserve"> msp</w:t>
      </w:r>
      <w:r>
        <w:rPr>
          <w:rFonts w:ascii="PMingLiU" w:cs="PMingLiU" w:eastAsia="PMingLiU" w:hAnsi="PMingLiU"/>
          <w:sz w:val="12"/>
          <w:szCs w:val="12"/>
          <w:color w:val="634140"/>
        </w:rPr>
        <w:t/>
      </w:r>
      <w:r>
        <w:rPr>
          <w:rFonts w:ascii="Arial" w:cs="Arial" w:eastAsia="Arial" w:hAnsi="Arial"/>
          <w:sz w:val="12"/>
          <w:szCs w:val="12"/>
          <w:color w:val="634140"/>
        </w:rPr>
        <w:t xml:space="preserve"> Tmprdmjgm</w:t>
      </w:r>
      <w:r>
        <w:rPr>
          <w:rFonts w:ascii="PMingLiU" w:cs="PMingLiU" w:eastAsia="PMingLiU" w:hAnsi="PMingLiU"/>
          <w:sz w:val="12"/>
          <w:szCs w:val="12"/>
          <w:color w:val="634140"/>
        </w:rPr>
        <w:t/>
      </w:r>
      <w:r>
        <w:rPr>
          <w:rFonts w:ascii="Arial" w:cs="Arial" w:eastAsia="Arial" w:hAnsi="Arial"/>
          <w:sz w:val="12"/>
          <w:szCs w:val="12"/>
          <w:color w:val="634140"/>
        </w:rPr>
        <w:t xml:space="preserve"> Snrgkgx_rgml</w:t>
      </w:r>
      <w:r>
        <w:rPr>
          <w:rFonts w:ascii="PMingLiU" w:cs="PMingLiU" w:eastAsia="PMingLiU" w:hAnsi="PMingLiU"/>
          <w:sz w:val="12"/>
          <w:szCs w:val="12"/>
          <w:color w:val="634140"/>
        </w:rPr>
        <w:t/>
      </w:r>
      <w:r>
        <w:rPr>
          <w:rFonts w:ascii="Arial" w:cs="Arial" w:eastAsia="Arial" w:hAnsi="Arial"/>
          <w:sz w:val="12"/>
          <w:szCs w:val="12"/>
          <w:color w:val="634140"/>
        </w:rPr>
        <w:t xml:space="preserve"> glgrg_rgtcq</w:t>
      </w:r>
      <w:r>
        <w:rPr>
          <w:rFonts w:ascii="PMingLiU" w:cs="PMingLiU" w:eastAsia="PMingLiU" w:hAnsi="PMingLiU"/>
          <w:sz w:val="12"/>
          <w:szCs w:val="12"/>
          <w:color w:val="634140"/>
        </w:rPr>
        <w:t/>
      </w:r>
      <w:r>
        <w:rPr>
          <w:rFonts w:ascii="Arial" w:cs="Arial" w:eastAsia="Arial" w:hAnsi="Arial"/>
          <w:sz w:val="12"/>
          <w:szCs w:val="12"/>
          <w:color w:val="634140"/>
        </w:rPr>
        <w:t xml:space="preserve"> Eargmlq</w:t>
      </w:r>
      <w:r>
        <w:rPr>
          <w:rFonts w:ascii="PMingLiU" w:cs="PMingLiU" w:eastAsia="PMingLiU" w:hAnsi="PMingLiU"/>
          <w:sz w:val="12"/>
          <w:szCs w:val="12"/>
          <w:color w:val="634140"/>
        </w:rPr>
        <w:t/>
      </w:r>
      <w:r>
        <w:rPr>
          <w:rFonts w:ascii="Arial" w:cs="Arial" w:eastAsia="Arial" w:hAnsi="Arial"/>
          <w:sz w:val="12"/>
          <w:szCs w:val="12"/>
          <w:color w:val="634140"/>
        </w:rPr>
        <w:t xml:space="preserve"> qsaf</w:t>
      </w:r>
      <w:r>
        <w:rPr>
          <w:rFonts w:ascii="PMingLiU" w:cs="PMingLiU" w:eastAsia="PMingLiU" w:hAnsi="PMingLiU"/>
          <w:sz w:val="12"/>
          <w:szCs w:val="12"/>
          <w:color w:val="634140"/>
        </w:rPr>
        <w:t/>
      </w:r>
      <w:r>
        <w:rPr>
          <w:rFonts w:ascii="Arial" w:cs="Arial" w:eastAsia="Arial" w:hAnsi="Arial"/>
          <w:sz w:val="12"/>
          <w:szCs w:val="12"/>
          <w:color w:val="634140"/>
        </w:rPr>
        <w:t xml:space="preserve"> _q</w:t>
      </w:r>
      <w:r>
        <w:rPr>
          <w:rFonts w:ascii="PMingLiU" w:cs="PMingLiU" w:eastAsia="PMingLiU" w:hAnsi="PMingLiU"/>
          <w:sz w:val="12"/>
          <w:szCs w:val="12"/>
          <w:color w:val="634140"/>
        </w:rPr>
        <w:t/>
      </w:r>
      <w:r>
        <w:rPr>
          <w:rFonts w:ascii="Arial" w:cs="Arial" w:eastAsia="Arial" w:hAnsi="Arial"/>
          <w:sz w:val="12"/>
          <w:szCs w:val="12"/>
          <w:color w:val="634140"/>
        </w:rPr>
        <w:t xml:space="preserve"> aspr_gjgle</w:t>
      </w:r>
      <w:r>
        <w:rPr>
          <w:rFonts w:ascii="PMingLiU" w:cs="PMingLiU" w:eastAsia="PMingLiU" w:hAnsi="PMingLiU"/>
          <w:sz w:val="12"/>
          <w:szCs w:val="12"/>
          <w:color w:val="634140"/>
        </w:rPr>
        <w:t/>
      </w:r>
      <w:r>
        <w:rPr>
          <w:rFonts w:ascii="Arial" w:cs="Arial" w:eastAsia="Arial" w:hAnsi="Arial"/>
          <w:sz w:val="12"/>
          <w:szCs w:val="12"/>
          <w:color w:val="634140"/>
        </w:rPr>
        <w:t xml:space="preserve"> mp</w:t>
      </w:r>
      <w:r>
        <w:rPr>
          <w:rFonts w:ascii="PMingLiU" w:cs="PMingLiU" w:eastAsia="PMingLiU" w:hAnsi="PMingLiU"/>
          <w:sz w:val="12"/>
          <w:szCs w:val="12"/>
          <w:color w:val="634140"/>
        </w:rPr>
        <w:t/>
      </w:r>
      <w:r>
        <w:rPr>
          <w:rFonts w:ascii="Arial" w:cs="Arial" w:eastAsia="Arial" w:hAnsi="Arial"/>
          <w:sz w:val="12"/>
          <w:szCs w:val="12"/>
          <w:color w:val="634140"/>
        </w:rPr>
        <w:t xml:space="preserve"> bgtcqrgle</w:t>
      </w:r>
      <w:r>
        <w:rPr>
          <w:rFonts w:ascii="PMingLiU" w:cs="PMingLiU" w:eastAsia="PMingLiU" w:hAnsi="PMingLiU"/>
          <w:sz w:val="12"/>
          <w:szCs w:val="12"/>
          <w:color w:val="634140"/>
        </w:rPr>
        <w:t/>
      </w:r>
      <w:r>
        <w:rPr>
          <w:rFonts w:ascii="Arial" w:cs="Arial" w:eastAsia="Arial" w:hAnsi="Arial"/>
          <w:sz w:val="12"/>
          <w:szCs w:val="12"/>
          <w:color w:val="634140"/>
        </w:rPr>
        <w:t xml:space="preserve"> jmucp</w:t>
      </w:r>
      <w:r>
        <w:rPr>
          <w:rFonts w:ascii="PMingLiU" w:cs="PMingLiU" w:eastAsia="PMingLiU" w:hAnsi="PMingLiU"/>
          <w:sz w:val="12"/>
          <w:szCs w:val="12"/>
          <w:color w:val="634140"/>
        </w:rPr>
        <w:t/>
      </w:r>
      <w:r>
        <w:rPr>
          <w:rFonts w:ascii="Arial" w:cs="Arial" w:eastAsia="Arial" w:hAnsi="Arial"/>
          <w:sz w:val="12"/>
          <w:szCs w:val="12"/>
          <w:color w:val="634140"/>
        </w:rPr>
        <w:t xml:space="preserve"> k_pegl</w:t>
      </w:r>
      <w:r>
        <w:rPr>
          <w:rFonts w:ascii="PMingLiU" w:cs="PMingLiU" w:eastAsia="PMingLiU" w:hAnsi="PMingLiU"/>
          <w:sz w:val="12"/>
          <w:szCs w:val="12"/>
          <w:color w:val="634140"/>
        </w:rPr>
        <w:t/>
      </w:r>
      <w:r>
        <w:rPr>
          <w:rFonts w:ascii="Arial" w:cs="Arial" w:eastAsia="Arial" w:hAnsi="Arial"/>
          <w:sz w:val="12"/>
          <w:szCs w:val="12"/>
          <w:color w:val="634140"/>
        </w:rPr>
        <w:t xml:space="preserve"> npmbsarq</w:t>
      </w:r>
      <w:r>
        <w:rPr>
          <w:rFonts w:ascii="PMingLiU" w:cs="PMingLiU" w:eastAsia="PMingLiU" w:hAnsi="PMingLiU"/>
          <w:sz w:val="12"/>
          <w:szCs w:val="12"/>
          <w:color w:val="634140"/>
        </w:rPr>
        <w:t/>
      </w:r>
      <w:r>
        <w:rPr>
          <w:rFonts w:ascii="Arial" w:cs="Arial" w:eastAsia="Arial" w:hAnsi="Arial"/>
          <w:sz w:val="12"/>
          <w:szCs w:val="12"/>
          <w:color w:val="634140"/>
        </w:rPr>
        <w:t xml:space="preserve"> _lb</w:t>
      </w:r>
      <w:r>
        <w:rPr>
          <w:rFonts w:ascii="PMingLiU" w:cs="PMingLiU" w:eastAsia="PMingLiU" w:hAnsi="PMingLiU"/>
          <w:sz w:val="12"/>
          <w:szCs w:val="12"/>
          <w:color w:val="634140"/>
        </w:rPr>
        <w:t/>
      </w:r>
      <w:r>
        <w:rPr>
          <w:rFonts w:ascii="Arial" w:cs="Arial" w:eastAsia="Arial" w:hAnsi="Arial"/>
          <w:sz w:val="12"/>
          <w:szCs w:val="12"/>
          <w:color w:val="634140"/>
        </w:rPr>
        <w:t xml:space="preserve"> p_rgml_jgxgle</w:t>
      </w:r>
      <w:r>
        <w:rPr>
          <w:rFonts w:ascii="PMingLiU" w:cs="PMingLiU" w:eastAsia="PMingLiU" w:hAnsi="PMingLiU"/>
          <w:sz w:val="12"/>
          <w:szCs w:val="12"/>
          <w:color w:val="634140"/>
        </w:rPr>
        <w:t/>
      </w:r>
      <w:r>
        <w:rPr>
          <w:rFonts w:ascii="Arial" w:cs="Arial" w:eastAsia="Arial" w:hAnsi="Arial"/>
          <w:sz w:val="12"/>
          <w:szCs w:val="12"/>
          <w:color w:val="634140"/>
        </w:rPr>
        <w:t>npmbsar</w:t>
      </w:r>
      <w:r>
        <w:rPr>
          <w:rFonts w:ascii="PMingLiU" w:cs="PMingLiU" w:eastAsia="PMingLiU" w:hAnsi="PMingLiU"/>
          <w:sz w:val="12"/>
          <w:szCs w:val="12"/>
          <w:color w:val="634140"/>
        </w:rPr>
        <w:t/>
      </w:r>
      <w:r>
        <w:rPr>
          <w:rFonts w:ascii="Arial" w:cs="Arial" w:eastAsia="Arial" w:hAnsi="Arial"/>
          <w:sz w:val="12"/>
          <w:szCs w:val="12"/>
          <w:color w:val="634140"/>
        </w:rPr>
        <w:t>jglcq</w:t>
      </w:r>
      <w:r>
        <w:rPr>
          <w:rFonts w:ascii="PMingLiU" w:cs="PMingLiU" w:eastAsia="PMingLiU" w:hAnsi="PMingLiU"/>
          <w:sz w:val="12"/>
          <w:szCs w:val="12"/>
          <w:color w:val="634140"/>
        </w:rPr>
        <w:t/>
      </w:r>
      <w:r>
        <w:rPr>
          <w:rFonts w:ascii="Arial" w:cs="Arial" w:eastAsia="Arial" w:hAnsi="Arial"/>
          <w:sz w:val="12"/>
          <w:szCs w:val="12"/>
          <w:color w:val="634140"/>
        </w:rPr>
        <w:t>pcbsacb</w:t>
      </w:r>
      <w:r>
        <w:rPr>
          <w:rFonts w:ascii="PMingLiU" w:cs="PMingLiU" w:eastAsia="PMingLiU" w:hAnsi="PMingLiU"/>
          <w:sz w:val="12"/>
          <w:szCs w:val="12"/>
          <w:color w:val="634140"/>
        </w:rPr>
        <w:t/>
      </w:r>
      <w:r>
        <w:rPr>
          <w:rFonts w:ascii="Arial" w:cs="Arial" w:eastAsia="Arial" w:hAnsi="Arial"/>
          <w:sz w:val="12"/>
          <w:szCs w:val="12"/>
          <w:color w:val="634140"/>
        </w:rPr>
        <w:t>q_jcq</w:t>
      </w:r>
      <w:r>
        <w:rPr>
          <w:rFonts w:ascii="PMingLiU" w:cs="PMingLiU" w:eastAsia="PMingLiU" w:hAnsi="PMingLiU"/>
          <w:sz w:val="12"/>
          <w:szCs w:val="12"/>
          <w:color w:val="634140"/>
        </w:rPr>
        <w:t/>
      </w:r>
      <w:r>
        <w:rPr>
          <w:rFonts w:ascii="Arial" w:cs="Arial" w:eastAsia="Arial" w:hAnsi="Arial"/>
          <w:sz w:val="12"/>
          <w:szCs w:val="12"/>
          <w:color w:val="634140"/>
        </w:rPr>
        <w:t>`w</w:t>
      </w:r>
      <w:r>
        <w:rPr>
          <w:rFonts w:ascii="PMingLiU" w:cs="PMingLiU" w:eastAsia="PMingLiU" w:hAnsi="PMingLiU"/>
          <w:sz w:val="12"/>
          <w:szCs w:val="12"/>
          <w:color w:val="634140"/>
        </w:rPr>
        <w:t/>
      </w:r>
      <w:r>
        <w:rPr>
          <w:rFonts w:ascii="Arial" w:cs="Arial" w:eastAsia="Arial" w:hAnsi="Arial"/>
          <w:sz w:val="12"/>
          <w:szCs w:val="12"/>
          <w:color w:val="634140"/>
        </w:rPr>
        <w:t>_nnpmvgk_rcjw</w:t>
      </w:r>
      <w:r>
        <w:rPr>
          <w:rFonts w:ascii="PMingLiU" w:cs="PMingLiU" w:eastAsia="PMingLiU" w:hAnsi="PMingLiU"/>
          <w:sz w:val="12"/>
          <w:szCs w:val="12"/>
          <w:color w:val="634140"/>
        </w:rPr>
        <w:t xml:space="preserve"> </w:t>
      </w:r>
      <w:r>
        <w:rPr>
          <w:rFonts w:ascii="Arial" w:cs="Arial" w:eastAsia="Arial" w:hAnsi="Arial"/>
          <w:sz w:val="12"/>
          <w:szCs w:val="12"/>
          <w:color w:val="634140"/>
        </w:rPr>
        <w:t>˧˥˭</w:t>
      </w:r>
      <w:r>
        <w:rPr>
          <w:rFonts w:ascii="PMingLiU" w:cs="PMingLiU" w:eastAsia="PMingLiU" w:hAnsi="PMingLiU"/>
          <w:sz w:val="12"/>
          <w:szCs w:val="12"/>
          <w:color w:val="634140"/>
        </w:rPr>
        <w:t/>
      </w:r>
      <w:r>
        <w:rPr>
          <w:rFonts w:ascii="Arial" w:cs="Arial" w:eastAsia="Arial" w:hAnsi="Arial"/>
          <w:sz w:val="12"/>
          <w:szCs w:val="12"/>
          <w:color w:val="634140"/>
        </w:rPr>
        <w:t>kgjjgml</w:t>
      </w:r>
      <w:r>
        <w:rPr>
          <w:rFonts w:ascii="PMingLiU" w:cs="PMingLiU" w:eastAsia="PMingLiU" w:hAnsi="PMingLiU"/>
          <w:sz w:val="12"/>
          <w:szCs w:val="12"/>
          <w:color w:val="634140"/>
        </w:rPr>
        <w:t/>
      </w:r>
      <w:r>
        <w:rPr>
          <w:rFonts w:ascii="Arial" w:cs="Arial" w:eastAsia="Arial" w:hAnsi="Arial"/>
          <w:sz w:val="12"/>
          <w:szCs w:val="12"/>
          <w:color w:val="634140"/>
        </w:rPr>
        <w:t>_lb</w:t>
      </w:r>
      <w:r>
        <w:rPr>
          <w:rFonts w:ascii="PMingLiU" w:cs="PMingLiU" w:eastAsia="PMingLiU" w:hAnsi="PMingLiU"/>
          <w:sz w:val="12"/>
          <w:szCs w:val="12"/>
          <w:color w:val="634140"/>
        </w:rPr>
        <w:t/>
      </w:r>
      <w:r>
        <w:rPr>
          <w:rFonts w:ascii="Arial" w:cs="Arial" w:eastAsia="Arial" w:hAnsi="Arial"/>
          <w:sz w:val="12"/>
          <w:szCs w:val="12"/>
          <w:color w:val="634140"/>
        </w:rPr>
        <w:t>_bhsqrcb</w:t>
      </w:r>
      <w:r>
        <w:rPr>
          <w:rFonts w:ascii="PMingLiU" w:cs="PMingLiU" w:eastAsia="PMingLiU" w:hAnsi="PMingLiU"/>
          <w:sz w:val="12"/>
          <w:szCs w:val="12"/>
          <w:color w:val="634140"/>
        </w:rPr>
        <w:t/>
      </w:r>
      <w:r>
        <w:rPr>
          <w:rFonts w:ascii="Arial" w:cs="Arial" w:eastAsia="Arial" w:hAnsi="Arial"/>
          <w:sz w:val="12"/>
          <w:szCs w:val="12"/>
          <w:color w:val="634140"/>
        </w:rPr>
        <w:t>IFMXHE</w:t>
      </w:r>
      <w:r>
        <w:rPr>
          <w:rFonts w:ascii="PMingLiU" w:cs="PMingLiU" w:eastAsia="PMingLiU" w:hAnsi="PMingLiU"/>
          <w:sz w:val="12"/>
          <w:szCs w:val="12"/>
          <w:color w:val="634140"/>
        </w:rPr>
        <w:t/>
      </w:r>
      <w:r>
        <w:rPr>
          <w:rFonts w:ascii="Arial" w:cs="Arial" w:eastAsia="Arial" w:hAnsi="Arial"/>
          <w:sz w:val="12"/>
          <w:szCs w:val="12"/>
          <w:color w:val="634140"/>
        </w:rPr>
        <w:t>`w</w:t>
      </w:r>
      <w:r>
        <w:rPr>
          <w:rFonts w:ascii="PMingLiU" w:cs="PMingLiU" w:eastAsia="PMingLiU" w:hAnsi="PMingLiU"/>
          <w:sz w:val="12"/>
          <w:szCs w:val="12"/>
          <w:color w:val="634140"/>
        </w:rPr>
        <w:t xml:space="preserve"> </w:t>
      </w:r>
      <w:r>
        <w:rPr>
          <w:rFonts w:ascii="Arial" w:cs="Arial" w:eastAsia="Arial" w:hAnsi="Arial"/>
          <w:sz w:val="12"/>
          <w:szCs w:val="12"/>
          <w:color w:val="634140"/>
        </w:rPr>
        <w:t>˩˪</w:t>
      </w:r>
      <w:r>
        <w:rPr>
          <w:rFonts w:ascii="PMingLiU" w:cs="PMingLiU" w:eastAsia="PMingLiU" w:hAnsi="PMingLiU"/>
          <w:sz w:val="12"/>
          <w:szCs w:val="12"/>
          <w:color w:val="634140"/>
        </w:rPr>
        <w:t/>
      </w:r>
      <w:r>
        <w:rPr>
          <w:rFonts w:ascii="Arial" w:cs="Arial" w:eastAsia="Arial" w:hAnsi="Arial"/>
          <w:sz w:val="12"/>
          <w:szCs w:val="12"/>
          <w:color w:val="634140"/>
        </w:rPr>
        <w:t>kgjjgml</w:t>
      </w:r>
      <w:r>
        <w:rPr>
          <w:rFonts w:ascii="PMingLiU" w:cs="PMingLiU" w:eastAsia="PMingLiU" w:hAnsi="PMingLiU"/>
          <w:sz w:val="12"/>
          <w:szCs w:val="12"/>
          <w:color w:val="634140"/>
        </w:rPr>
        <w:t/>
      </w:r>
      <w:r>
        <w:rPr>
          <w:rFonts w:ascii="Arial" w:cs="Arial" w:eastAsia="Arial" w:hAnsi="Arial"/>
          <w:sz w:val="12"/>
          <w:szCs w:val="12"/>
          <w:color w:val="634140"/>
        </w:rPr>
        <w:t>ufgjc</w:t>
      </w:r>
      <w:r>
        <w:rPr>
          <w:rFonts w:ascii="PMingLiU" w:cs="PMingLiU" w:eastAsia="PMingLiU" w:hAnsi="PMingLiU"/>
          <w:sz w:val="12"/>
          <w:szCs w:val="12"/>
          <w:color w:val="634140"/>
        </w:rPr>
        <w:t/>
      </w:r>
      <w:r>
        <w:rPr>
          <w:rFonts w:ascii="Arial" w:cs="Arial" w:eastAsia="Arial" w:hAnsi="Arial"/>
          <w:sz w:val="12"/>
          <w:szCs w:val="12"/>
          <w:color w:val="634140"/>
        </w:rPr>
        <w:t>gknpmtgle</w:t>
      </w:r>
      <w:r>
        <w:rPr>
          <w:rFonts w:ascii="PMingLiU" w:cs="PMingLiU" w:eastAsia="PMingLiU" w:hAnsi="PMingLiU"/>
          <w:sz w:val="12"/>
          <w:szCs w:val="12"/>
          <w:color w:val="634140"/>
        </w:rPr>
        <w:t/>
      </w:r>
      <w:r>
        <w:rPr>
          <w:rFonts w:ascii="Arial" w:cs="Arial" w:eastAsia="Arial" w:hAnsi="Arial"/>
          <w:sz w:val="12"/>
          <w:szCs w:val="12"/>
          <w:color w:val="634140"/>
        </w:rPr>
        <w:t>_bhsqrcb</w:t>
      </w:r>
      <w:r>
        <w:rPr>
          <w:rFonts w:ascii="PMingLiU" w:cs="PMingLiU" w:eastAsia="PMingLiU" w:hAnsi="PMingLiU"/>
          <w:sz w:val="12"/>
          <w:szCs w:val="12"/>
          <w:color w:val="634140"/>
        </w:rPr>
        <w:t/>
      </w:r>
      <w:r>
        <w:rPr>
          <w:rFonts w:ascii="Arial" w:cs="Arial" w:eastAsia="Arial" w:hAnsi="Arial"/>
          <w:sz w:val="12"/>
          <w:szCs w:val="12"/>
          <w:color w:val="634140"/>
        </w:rPr>
        <w:t>IFMXHE</w:t>
      </w:r>
      <w:r>
        <w:rPr>
          <w:rFonts w:ascii="PMingLiU" w:cs="PMingLiU" w:eastAsia="PMingLiU" w:hAnsi="PMingLiU"/>
          <w:sz w:val="12"/>
          <w:szCs w:val="12"/>
          <w:color w:val="634140"/>
        </w:rPr>
        <w:t/>
      </w:r>
      <w:r>
        <w:rPr>
          <w:rFonts w:ascii="Arial" w:cs="Arial" w:eastAsia="Arial" w:hAnsi="Arial"/>
          <w:sz w:val="12"/>
          <w:szCs w:val="12"/>
          <w:color w:val="634140"/>
        </w:rPr>
        <w:t>k_peglq</w:t>
      </w:r>
      <w:r>
        <w:rPr>
          <w:rFonts w:ascii="PMingLiU" w:cs="PMingLiU" w:eastAsia="PMingLiU" w:hAnsi="PMingLiU"/>
          <w:sz w:val="12"/>
          <w:szCs w:val="12"/>
          <w:color w:val="634140"/>
        </w:rPr>
        <w:t/>
      </w:r>
      <w:r>
        <w:rPr>
          <w:rFonts w:ascii="Arial" w:cs="Arial" w:eastAsia="Arial" w:hAnsi="Arial"/>
          <w:sz w:val="12"/>
          <w:szCs w:val="12"/>
          <w:color w:val="634140"/>
        </w:rPr>
        <w:t>`w</w:t>
      </w:r>
      <w:r>
        <w:rPr>
          <w:rFonts w:ascii="PMingLiU" w:cs="PMingLiU" w:eastAsia="PMingLiU" w:hAnsi="PMingLiU"/>
          <w:sz w:val="12"/>
          <w:szCs w:val="12"/>
          <w:color w:val="634140"/>
        </w:rPr>
        <w:t/>
      </w:r>
      <w:r>
        <w:rPr>
          <w:rFonts w:ascii="Arial" w:cs="Arial" w:eastAsia="Arial" w:hAnsi="Arial"/>
          <w:sz w:val="12"/>
          <w:szCs w:val="12"/>
          <w:color w:val="634140"/>
        </w:rPr>
        <w:t>˨˥</w:t>
      </w:r>
      <w:r>
        <w:rPr>
          <w:rFonts w:ascii="PMingLiU" w:cs="PMingLiU" w:eastAsia="PMingLiU" w:hAnsi="PMingLiU"/>
          <w:sz w:val="12"/>
          <w:szCs w:val="12"/>
          <w:color w:val="634140"/>
        </w:rPr>
        <w:t/>
      </w:r>
      <w:r>
        <w:rPr>
          <w:rFonts w:ascii="Arial" w:cs="Arial" w:eastAsia="Arial" w:hAnsi="Arial"/>
          <w:sz w:val="12"/>
          <w:szCs w:val="12"/>
          <w:color w:val="634140"/>
        </w:rPr>
        <w:t>`_qgq</w:t>
      </w:r>
      <w:r>
        <w:rPr>
          <w:rFonts w:ascii="PMingLiU" w:cs="PMingLiU" w:eastAsia="PMingLiU" w:hAnsi="PMingLiU"/>
          <w:sz w:val="12"/>
          <w:szCs w:val="12"/>
          <w:color w:val="634140"/>
        </w:rPr>
        <w:t/>
      </w:r>
      <w:r>
        <w:rPr>
          <w:rFonts w:ascii="Arial" w:cs="Arial" w:eastAsia="Arial" w:hAnsi="Arial"/>
          <w:sz w:val="12"/>
          <w:szCs w:val="12"/>
          <w:color w:val="634140"/>
        </w:rPr>
        <w:t>nmglrq</w:t>
      </w:r>
      <w:r>
        <w:rPr>
          <w:rFonts w:ascii="PMingLiU" w:cs="PMingLiU" w:eastAsia="PMingLiU" w:hAnsi="PMingLiU"/>
          <w:sz w:val="12"/>
          <w:szCs w:val="12"/>
          <w:color w:val="634140"/>
        </w:rPr>
        <w:t/>
      </w:r>
      <w:r>
        <w:rPr>
          <w:rFonts w:ascii="Arial" w:cs="Arial" w:eastAsia="Arial" w:hAnsi="Arial"/>
          <w:sz w:val="12"/>
          <w:szCs w:val="12"/>
          <w:color w:val="634140"/>
        </w:rPr>
        <w:t>gl</w:t>
      </w:r>
      <w:r>
        <w:rPr>
          <w:rFonts w:ascii="PMingLiU" w:cs="PMingLiU" w:eastAsia="PMingLiU" w:hAnsi="PMingLiU"/>
          <w:sz w:val="12"/>
          <w:szCs w:val="12"/>
          <w:color w:val="634140"/>
        </w:rPr>
        <w:t/>
      </w:r>
      <w:r>
        <w:rPr>
          <w:rFonts w:ascii="Arial" w:cs="Arial" w:eastAsia="Arial" w:hAnsi="Arial"/>
          <w:sz w:val="12"/>
          <w:szCs w:val="12"/>
          <w:color w:val="634140"/>
        </w:rPr>
        <w:t>fiqa_j</w:t>
      </w:r>
      <w:r>
        <w:rPr>
          <w:rFonts w:ascii="PMingLiU" w:cs="PMingLiU" w:eastAsia="PMingLiU" w:hAnsi="PMingLiU"/>
          <w:sz w:val="12"/>
          <w:szCs w:val="12"/>
          <w:color w:val="634140"/>
        </w:rPr>
        <w:t/>
      </w:r>
      <w:r>
        <w:rPr>
          <w:rFonts w:ascii="Arial" w:cs="Arial" w:eastAsia="Arial" w:hAnsi="Arial"/>
          <w:sz w:val="12"/>
          <w:szCs w:val="12"/>
          <w:color w:val="634140"/>
        </w:rPr>
        <w:t>wc_p</w:t>
      </w:r>
      <w:r>
        <w:rPr>
          <w:rFonts w:ascii="PMingLiU" w:cs="PMingLiU" w:eastAsia="PMingLiU" w:hAnsi="PMingLiU"/>
          <w:sz w:val="12"/>
          <w:szCs w:val="12"/>
          <w:color w:val="634140"/>
        </w:rPr>
        <w:t/>
      </w:r>
      <w:r>
        <w:rPr>
          <w:rFonts w:ascii="Arial" w:cs="Arial" w:eastAsia="Arial" w:hAnsi="Arial"/>
          <w:sz w:val="12"/>
          <w:szCs w:val="12"/>
          <w:color w:val="634140"/>
        </w:rPr>
        <w:t>˧˥˧˪</w:t>
      </w:r>
      <w:r>
        <w:rPr>
          <w:rFonts w:ascii="PMingLiU" w:cs="PMingLiU" w:eastAsia="PMingLiU" w:hAnsi="PMingLiU"/>
          <w:sz w:val="12"/>
          <w:szCs w:val="12"/>
          <w:color w:val="634140"/>
        </w:rPr>
        <w:t/>
      </w:r>
      <w:r>
        <w:rPr>
          <w:rFonts w:ascii="Arial" w:cs="Arial" w:eastAsia="Arial" w:hAnsi="Arial"/>
          <w:sz w:val="12"/>
          <w:szCs w:val="12"/>
          <w:color w:val="634140"/>
        </w:rPr>
        <w:t xml:space="preserve"> amkn_pcb</w:t>
      </w:r>
      <w:r>
        <w:rPr>
          <w:rFonts w:ascii="PMingLiU" w:cs="PMingLiU" w:eastAsia="PMingLiU" w:hAnsi="PMingLiU"/>
          <w:sz w:val="12"/>
          <w:szCs w:val="12"/>
          <w:color w:val="634140"/>
        </w:rPr>
        <w:t/>
      </w:r>
      <w:r>
        <w:rPr>
          <w:rFonts w:ascii="Arial" w:cs="Arial" w:eastAsia="Arial" w:hAnsi="Arial"/>
          <w:sz w:val="12"/>
          <w:szCs w:val="12"/>
          <w:color w:val="634140"/>
        </w:rPr>
        <w:t>rm</w:t>
      </w:r>
      <w:r>
        <w:rPr>
          <w:rFonts w:ascii="PMingLiU" w:cs="PMingLiU" w:eastAsia="PMingLiU" w:hAnsi="PMingLiU"/>
          <w:sz w:val="12"/>
          <w:szCs w:val="12"/>
          <w:color w:val="634140"/>
        </w:rPr>
        <w:t/>
      </w:r>
      <w:r>
        <w:rPr>
          <w:rFonts w:ascii="Arial" w:cs="Arial" w:eastAsia="Arial" w:hAnsi="Arial"/>
          <w:sz w:val="12"/>
          <w:szCs w:val="12"/>
          <w:color w:val="634140"/>
        </w:rPr>
        <w:t>˧˥˧˩</w:t>
      </w:r>
      <w:r>
        <w:rPr>
          <w:rFonts w:ascii="PMingLiU" w:cs="PMingLiU" w:eastAsia="PMingLiU" w:hAnsi="PMingLiU"/>
          <w:sz w:val="12"/>
          <w:szCs w:val="12"/>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241300</wp:posOffset>
            </wp:positionV>
            <wp:extent cx="1172210" cy="381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5">
                      <a:extLst>
                        <a:ext uri="{28A0092B-C50C-407E-A947-70E740481C1C}"/>
                      </a:extLst>
                    </a:blip>
                    <a:srcRect/>
                    <a:stretch>
                      <a:fillRect/>
                    </a:stretch>
                  </pic:blipFill>
                  <pic:spPr bwMode="auto">
                    <a:xfrm>
                      <a:off x="0" y="0"/>
                      <a:ext cx="1172210" cy="38163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127000</wp:posOffset>
            </wp:positionV>
            <wp:extent cx="630872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6">
                      <a:extLst>
                        <a:ext uri="{28A0092B-C50C-407E-A947-70E740481C1C}"/>
                      </a:extLst>
                    </a:blip>
                    <a:srcRect/>
                    <a:stretch>
                      <a:fillRect/>
                    </a:stretch>
                  </pic:blipFill>
                  <pic:spPr bwMode="auto">
                    <a:xfrm>
                      <a:off x="0" y="0"/>
                      <a:ext cx="6308725" cy="12700"/>
                    </a:xfrm>
                    <a:prstGeom prst="rect">
                      <a:avLst/>
                    </a:prstGeom>
                    <a:noFill/>
                  </pic:spPr>
                </pic:pic>
              </a:graphicData>
            </a:graphic>
          </wp:anchor>
        </w:drawing>
      </w:r>
    </w:p>
    <w:p>
      <w:pPr>
        <w:spacing w:after="0" w:line="363" w:lineRule="exact"/>
        <w:rPr>
          <w:sz w:val="20"/>
          <w:szCs w:val="20"/>
          <w:color w:val="auto"/>
        </w:rPr>
      </w:pPr>
    </w:p>
    <w:p>
      <w:pPr>
        <w:jc w:val="both"/>
        <w:ind w:right="2100"/>
        <w:spacing w:after="0" w:line="127" w:lineRule="exact"/>
        <w:rPr>
          <w:sz w:val="20"/>
          <w:szCs w:val="20"/>
          <w:color w:val="auto"/>
        </w:rPr>
      </w:pPr>
      <w:r>
        <w:rPr>
          <w:rFonts w:ascii="Arial" w:cs="Arial" w:eastAsia="Arial" w:hAnsi="Arial"/>
          <w:sz w:val="12"/>
          <w:szCs w:val="12"/>
          <w:color w:val="634140"/>
        </w:rPr>
        <w:t>Ejj</w:t>
      </w:r>
      <w:r>
        <w:rPr>
          <w:rFonts w:ascii="PMingLiU" w:cs="PMingLiU" w:eastAsia="PMingLiU" w:hAnsi="PMingLiU"/>
          <w:sz w:val="12"/>
          <w:szCs w:val="12"/>
          <w:color w:val="634140"/>
        </w:rPr>
        <w:t/>
      </w:r>
      <w:r>
        <w:rPr>
          <w:rFonts w:ascii="Arial" w:cs="Arial" w:eastAsia="Arial" w:hAnsi="Arial"/>
          <w:sz w:val="12"/>
          <w:szCs w:val="12"/>
          <w:color w:val="634140"/>
        </w:rPr>
        <w:t>fiespcq</w:t>
      </w:r>
      <w:r>
        <w:rPr>
          <w:rFonts w:ascii="PMingLiU" w:cs="PMingLiU" w:eastAsia="PMingLiU" w:hAnsi="PMingLiU"/>
          <w:sz w:val="12"/>
          <w:szCs w:val="12"/>
          <w:color w:val="634140"/>
        </w:rPr>
        <w:t/>
      </w:r>
      <w:r>
        <w:rPr>
          <w:rFonts w:ascii="Arial" w:cs="Arial" w:eastAsia="Arial" w:hAnsi="Arial"/>
          <w:sz w:val="12"/>
          <w:szCs w:val="12"/>
          <w:color w:val="634140"/>
        </w:rPr>
        <w:t>_pc</w:t>
      </w:r>
      <w:r>
        <w:rPr>
          <w:rFonts w:ascii="PMingLiU" w:cs="PMingLiU" w:eastAsia="PMingLiU" w:hAnsi="PMingLiU"/>
          <w:sz w:val="12"/>
          <w:szCs w:val="12"/>
          <w:color w:val="634140"/>
        </w:rPr>
        <w:t/>
      </w:r>
      <w:r>
        <w:rPr>
          <w:rFonts w:ascii="Arial" w:cs="Arial" w:eastAsia="Arial" w:hAnsi="Arial"/>
          <w:sz w:val="12"/>
          <w:szCs w:val="12"/>
          <w:color w:val="634140"/>
        </w:rPr>
        <w:t>npcqclrcb</w:t>
      </w:r>
      <w:r>
        <w:rPr>
          <w:rFonts w:ascii="PMingLiU" w:cs="PMingLiU" w:eastAsia="PMingLiU" w:hAnsi="PMingLiU"/>
          <w:sz w:val="12"/>
          <w:szCs w:val="12"/>
          <w:color w:val="634140"/>
        </w:rPr>
        <w:t/>
      </w:r>
      <w:r>
        <w:rPr>
          <w:rFonts w:ascii="Arial" w:cs="Arial" w:eastAsia="Arial" w:hAnsi="Arial"/>
          <w:sz w:val="12"/>
          <w:szCs w:val="12"/>
          <w:color w:val="634140"/>
        </w:rPr>
        <w:t>ml</w:t>
      </w:r>
      <w:r>
        <w:rPr>
          <w:rFonts w:ascii="PMingLiU" w:cs="PMingLiU" w:eastAsia="PMingLiU" w:hAnsi="PMingLiU"/>
          <w:sz w:val="12"/>
          <w:szCs w:val="12"/>
          <w:color w:val="634140"/>
        </w:rPr>
        <w:t/>
      </w:r>
      <w:r>
        <w:rPr>
          <w:rFonts w:ascii="Arial" w:cs="Arial" w:eastAsia="Arial" w:hAnsi="Arial"/>
          <w:sz w:val="12"/>
          <w:szCs w:val="12"/>
          <w:color w:val="634140"/>
        </w:rPr>
        <w:t>_l</w:t>
      </w:r>
      <w:r>
        <w:rPr>
          <w:rFonts w:ascii="PMingLiU" w:cs="PMingLiU" w:eastAsia="PMingLiU" w:hAnsi="PMingLiU"/>
          <w:sz w:val="12"/>
          <w:szCs w:val="12"/>
          <w:color w:val="634140"/>
        </w:rPr>
        <w:t/>
      </w:r>
      <w:r>
        <w:rPr>
          <w:rFonts w:ascii="Arial" w:cs="Arial" w:eastAsia="Arial" w:hAnsi="Arial"/>
          <w:sz w:val="12"/>
          <w:szCs w:val="12"/>
          <w:color w:val="634140"/>
        </w:rPr>
        <w:t>_bhsqrcb</w:t>
      </w:r>
      <w:r>
        <w:rPr>
          <w:rFonts w:ascii="PMingLiU" w:cs="PMingLiU" w:eastAsia="PMingLiU" w:hAnsi="PMingLiU"/>
          <w:sz w:val="12"/>
          <w:szCs w:val="12"/>
          <w:color w:val="634140"/>
        </w:rPr>
        <w:t/>
      </w:r>
      <w:r>
        <w:rPr>
          <w:rFonts w:ascii="Arial" w:cs="Arial" w:eastAsia="Arial" w:hAnsi="Arial"/>
          <w:sz w:val="12"/>
          <w:szCs w:val="12"/>
          <w:color w:val="634140"/>
        </w:rPr>
        <w:t>`_qgq</w:t>
      </w:r>
      <w:r>
        <w:rPr>
          <w:rFonts w:ascii="PMingLiU" w:cs="PMingLiU" w:eastAsia="PMingLiU" w:hAnsi="PMingLiU"/>
          <w:sz w:val="12"/>
          <w:szCs w:val="12"/>
          <w:color w:val="634140"/>
        </w:rPr>
        <w:t/>
      </w:r>
      <w:r>
        <w:rPr>
          <w:rFonts w:ascii="Arial" w:cs="Arial" w:eastAsia="Arial" w:hAnsi="Arial"/>
          <w:sz w:val="12"/>
          <w:szCs w:val="12"/>
          <w:color w:val="634140"/>
        </w:rPr>
        <w:t>Q_l_eckclr</w:t>
      </w:r>
      <w:r>
        <w:rPr>
          <w:rFonts w:ascii="PMingLiU" w:cs="PMingLiU" w:eastAsia="PMingLiU" w:hAnsi="PMingLiU"/>
          <w:sz w:val="12"/>
          <w:szCs w:val="12"/>
          <w:color w:val="634140"/>
        </w:rPr>
        <w:t/>
      </w:r>
      <w:r>
        <w:rPr>
          <w:rFonts w:ascii="Arial" w:cs="Arial" w:eastAsia="Arial" w:hAnsi="Arial"/>
          <w:sz w:val="12"/>
          <w:szCs w:val="12"/>
          <w:color w:val="634140"/>
        </w:rPr>
        <w:t>q</w:t>
      </w:r>
      <w:r>
        <w:rPr>
          <w:rFonts w:ascii="PMingLiU" w:cs="PMingLiU" w:eastAsia="PMingLiU" w:hAnsi="PMingLiU"/>
          <w:sz w:val="12"/>
          <w:szCs w:val="12"/>
          <w:color w:val="634140"/>
        </w:rPr>
        <w:t/>
      </w:r>
      <w:r>
        <w:rPr>
          <w:rFonts w:ascii="Arial" w:cs="Arial" w:eastAsia="Arial" w:hAnsi="Arial"/>
          <w:sz w:val="12"/>
          <w:szCs w:val="12"/>
          <w:color w:val="634140"/>
        </w:rPr>
        <w:t>Hgqasqqgml</w:t>
      </w:r>
      <w:r>
        <w:rPr>
          <w:rFonts w:ascii="PMingLiU" w:cs="PMingLiU" w:eastAsia="PMingLiU" w:hAnsi="PMingLiU"/>
          <w:sz w:val="12"/>
          <w:szCs w:val="12"/>
          <w:color w:val="634140"/>
        </w:rPr>
        <w:t/>
      </w:r>
      <w:r>
        <w:rPr>
          <w:rFonts w:ascii="Arial" w:cs="Arial" w:eastAsia="Arial" w:hAnsi="Arial"/>
          <w:sz w:val="12"/>
          <w:szCs w:val="12"/>
          <w:color w:val="634140"/>
        </w:rPr>
        <w:t>_lb</w:t>
      </w:r>
      <w:r>
        <w:rPr>
          <w:rFonts w:ascii="PMingLiU" w:cs="PMingLiU" w:eastAsia="PMingLiU" w:hAnsi="PMingLiU"/>
          <w:sz w:val="12"/>
          <w:szCs w:val="12"/>
          <w:color w:val="634140"/>
        </w:rPr>
        <w:t/>
      </w:r>
      <w:r>
        <w:rPr>
          <w:rFonts w:ascii="Arial" w:cs="Arial" w:eastAsia="Arial" w:hAnsi="Arial"/>
          <w:sz w:val="12"/>
          <w:szCs w:val="12"/>
          <w:color w:val="634140"/>
        </w:rPr>
        <w:t>El_jwqgq</w:t>
      </w:r>
      <w:r>
        <w:rPr>
          <w:rFonts w:ascii="PMingLiU" w:cs="PMingLiU" w:eastAsia="PMingLiU" w:hAnsi="PMingLiU"/>
          <w:sz w:val="12"/>
          <w:szCs w:val="12"/>
          <w:color w:val="634140"/>
        </w:rPr>
        <w:t/>
      </w:r>
      <w:r>
        <w:rPr>
          <w:rFonts w:ascii="Arial" w:cs="Arial" w:eastAsia="Arial" w:hAnsi="Arial"/>
          <w:sz w:val="12"/>
          <w:szCs w:val="12"/>
          <w:color w:val="634140"/>
        </w:rPr>
        <w:t>md</w:t>
      </w:r>
      <w:r>
        <w:rPr>
          <w:rFonts w:ascii="PMingLiU" w:cs="PMingLiU" w:eastAsia="PMingLiU" w:hAnsi="PMingLiU"/>
          <w:sz w:val="12"/>
          <w:szCs w:val="12"/>
          <w:color w:val="634140"/>
        </w:rPr>
        <w:t/>
      </w:r>
      <w:r>
        <w:rPr>
          <w:rFonts w:ascii="Arial" w:cs="Arial" w:eastAsia="Arial" w:hAnsi="Arial"/>
          <w:sz w:val="12"/>
          <w:szCs w:val="12"/>
          <w:color w:val="634140"/>
        </w:rPr>
        <w:t>Jgl_lag_j</w:t>
      </w:r>
      <w:r>
        <w:rPr>
          <w:rFonts w:ascii="PMingLiU" w:cs="PMingLiU" w:eastAsia="PMingLiU" w:hAnsi="PMingLiU"/>
          <w:sz w:val="12"/>
          <w:szCs w:val="12"/>
          <w:color w:val="634140"/>
        </w:rPr>
        <w:t/>
      </w:r>
      <w:r>
        <w:rPr>
          <w:rFonts w:ascii="Arial" w:cs="Arial" w:eastAsia="Arial" w:hAnsi="Arial"/>
          <w:sz w:val="12"/>
          <w:szCs w:val="12"/>
          <w:color w:val="634140"/>
        </w:rPr>
        <w:t>Gmlbgrgml</w:t>
      </w:r>
      <w:r>
        <w:rPr>
          <w:rFonts w:ascii="PMingLiU" w:cs="PMingLiU" w:eastAsia="PMingLiU" w:hAnsi="PMingLiU"/>
          <w:sz w:val="12"/>
          <w:szCs w:val="12"/>
          <w:color w:val="634140"/>
        </w:rPr>
        <w:t/>
      </w:r>
      <w:r>
        <w:rPr>
          <w:rFonts w:ascii="Arial" w:cs="Arial" w:eastAsia="Arial" w:hAnsi="Arial"/>
          <w:sz w:val="12"/>
          <w:szCs w:val="12"/>
          <w:color w:val="634140"/>
        </w:rPr>
        <w:t>_lb</w:t>
      </w:r>
      <w:r>
        <w:rPr>
          <w:rFonts w:ascii="PMingLiU" w:cs="PMingLiU" w:eastAsia="PMingLiU" w:hAnsi="PMingLiU"/>
          <w:sz w:val="12"/>
          <w:szCs w:val="12"/>
          <w:color w:val="634140"/>
        </w:rPr>
        <w:t/>
      </w:r>
      <w:r>
        <w:rPr>
          <w:rFonts w:ascii="Arial" w:cs="Arial" w:eastAsia="Arial" w:hAnsi="Arial"/>
          <w:sz w:val="12"/>
          <w:szCs w:val="12"/>
          <w:color w:val="634140"/>
        </w:rPr>
        <w:t>Vcqsjrq</w:t>
      </w:r>
      <w:r>
        <w:rPr>
          <w:rFonts w:ascii="PMingLiU" w:cs="PMingLiU" w:eastAsia="PMingLiU" w:hAnsi="PMingLiU"/>
          <w:sz w:val="12"/>
          <w:szCs w:val="12"/>
          <w:color w:val="634140"/>
        </w:rPr>
        <w:t/>
      </w:r>
      <w:r>
        <w:rPr>
          <w:rFonts w:ascii="Arial" w:cs="Arial" w:eastAsia="Arial" w:hAnsi="Arial"/>
          <w:sz w:val="12"/>
          <w:szCs w:val="12"/>
          <w:color w:val="634140"/>
        </w:rPr>
        <w:t>md</w:t>
      </w:r>
      <w:r>
        <w:rPr>
          <w:rFonts w:ascii="PMingLiU" w:cs="PMingLiU" w:eastAsia="PMingLiU" w:hAnsi="PMingLiU"/>
          <w:sz w:val="12"/>
          <w:szCs w:val="12"/>
          <w:color w:val="634140"/>
        </w:rPr>
        <w:t/>
      </w:r>
      <w:r>
        <w:rPr>
          <w:rFonts w:ascii="Arial" w:cs="Arial" w:eastAsia="Arial" w:hAnsi="Arial"/>
          <w:sz w:val="12"/>
          <w:szCs w:val="12"/>
          <w:color w:val="634140"/>
        </w:rPr>
        <w:t xml:space="preserve">Sncp_rgmlq </w:t>
      </w:r>
      <w:r>
        <w:rPr>
          <w:rFonts w:ascii="PMingLiU" w:cs="PMingLiU" w:eastAsia="PMingLiU" w:hAnsi="PMingLiU"/>
          <w:sz w:val="12"/>
          <w:szCs w:val="12"/>
          <w:color w:val="634140"/>
        </w:rPr>
        <w:t/>
      </w:r>
      <w:r>
        <w:rPr>
          <w:rFonts w:ascii="Arial" w:cs="Arial" w:eastAsia="Arial" w:hAnsi="Arial"/>
          <w:sz w:val="12"/>
          <w:szCs w:val="12"/>
          <w:color w:val="634140"/>
        </w:rPr>
        <w:t>qcargml</w:t>
      </w:r>
      <w:r>
        <w:rPr>
          <w:rFonts w:ascii="PMingLiU" w:cs="PMingLiU" w:eastAsia="PMingLiU" w:hAnsi="PMingLiU"/>
          <w:sz w:val="12"/>
          <w:szCs w:val="12"/>
          <w:color w:val="634140"/>
        </w:rPr>
        <w:t/>
      </w:r>
      <w:r>
        <w:rPr>
          <w:rFonts w:ascii="Arial" w:cs="Arial" w:eastAsia="Arial" w:hAnsi="Arial"/>
          <w:sz w:val="12"/>
          <w:szCs w:val="12"/>
          <w:color w:val="634140"/>
        </w:rPr>
        <w:t>md</w:t>
      </w:r>
      <w:r>
        <w:rPr>
          <w:rFonts w:ascii="PMingLiU" w:cs="PMingLiU" w:eastAsia="PMingLiU" w:hAnsi="PMingLiU"/>
          <w:sz w:val="12"/>
          <w:szCs w:val="12"/>
          <w:color w:val="634140"/>
        </w:rPr>
        <w:t/>
      </w:r>
      <w:r>
        <w:rPr>
          <w:rFonts w:ascii="Arial" w:cs="Arial" w:eastAsia="Arial" w:hAnsi="Arial"/>
          <w:sz w:val="12"/>
          <w:szCs w:val="12"/>
          <w:color w:val="634140"/>
        </w:rPr>
        <w:t xml:space="preserve"> rfgq</w:t>
      </w:r>
      <w:r>
        <w:rPr>
          <w:rFonts w:ascii="PMingLiU" w:cs="PMingLiU" w:eastAsia="PMingLiU" w:hAnsi="PMingLiU"/>
          <w:sz w:val="12"/>
          <w:szCs w:val="12"/>
          <w:color w:val="634140"/>
        </w:rPr>
        <w:t/>
      </w:r>
      <w:r>
        <w:rPr>
          <w:rFonts w:ascii="Arial" w:cs="Arial" w:eastAsia="Arial" w:hAnsi="Arial"/>
          <w:sz w:val="12"/>
          <w:szCs w:val="12"/>
          <w:color w:val="634140"/>
        </w:rPr>
        <w:t>Ells_j</w:t>
      </w:r>
      <w:r>
        <w:rPr>
          <w:rFonts w:ascii="PMingLiU" w:cs="PMingLiU" w:eastAsia="PMingLiU" w:hAnsi="PMingLiU"/>
          <w:sz w:val="12"/>
          <w:szCs w:val="12"/>
          <w:color w:val="634140"/>
        </w:rPr>
        <w:t/>
      </w:r>
      <w:r>
        <w:rPr>
          <w:rFonts w:ascii="Arial" w:cs="Arial" w:eastAsia="Arial" w:hAnsi="Arial"/>
          <w:sz w:val="12"/>
          <w:szCs w:val="12"/>
          <w:color w:val="634140"/>
        </w:rPr>
        <w:t>Vcnmpr</w:t>
      </w:r>
      <w:r>
        <w:rPr>
          <w:rFonts w:ascii="PMingLiU" w:cs="PMingLiU" w:eastAsia="PMingLiU" w:hAnsi="PMingLiU"/>
          <w:sz w:val="12"/>
          <w:szCs w:val="12"/>
          <w:color w:val="634140"/>
        </w:rPr>
        <w:t/>
      </w:r>
      <w:r>
        <w:rPr>
          <w:rFonts w:ascii="Arial" w:cs="Arial" w:eastAsia="Arial" w:hAnsi="Arial"/>
          <w:sz w:val="12"/>
          <w:szCs w:val="12"/>
          <w:color w:val="634140"/>
        </w:rPr>
        <w:t>pcamlagjcq</w:t>
      </w:r>
      <w:r>
        <w:rPr>
          <w:rFonts w:ascii="PMingLiU" w:cs="PMingLiU" w:eastAsia="PMingLiU" w:hAnsi="PMingLiU"/>
          <w:sz w:val="12"/>
          <w:szCs w:val="12"/>
          <w:color w:val="634140"/>
        </w:rPr>
        <w:t/>
      </w:r>
      <w:r>
        <w:rPr>
          <w:rFonts w:ascii="Arial" w:cs="Arial" w:eastAsia="Arial" w:hAnsi="Arial"/>
          <w:sz w:val="12"/>
          <w:szCs w:val="12"/>
          <w:color w:val="634140"/>
        </w:rPr>
        <w:t>_bhsqrcb</w:t>
      </w:r>
      <w:r>
        <w:rPr>
          <w:rFonts w:ascii="PMingLiU" w:cs="PMingLiU" w:eastAsia="PMingLiU" w:hAnsi="PMingLiU"/>
          <w:sz w:val="12"/>
          <w:szCs w:val="12"/>
          <w:color w:val="634140"/>
        </w:rPr>
        <w:t/>
      </w:r>
      <w:r>
        <w:rPr>
          <w:rFonts w:ascii="Arial" w:cs="Arial" w:eastAsia="Arial" w:hAnsi="Arial"/>
          <w:sz w:val="12"/>
          <w:szCs w:val="12"/>
          <w:color w:val="634140"/>
        </w:rPr>
        <w:t>_kmslrq</w:t>
      </w:r>
      <w:r>
        <w:rPr>
          <w:rFonts w:ascii="PMingLiU" w:cs="PMingLiU" w:eastAsia="PMingLiU" w:hAnsi="PMingLiU"/>
          <w:sz w:val="12"/>
          <w:szCs w:val="12"/>
          <w:color w:val="634140"/>
        </w:rPr>
        <w:t/>
      </w:r>
      <w:r>
        <w:rPr>
          <w:rFonts w:ascii="Arial" w:cs="Arial" w:eastAsia="Arial" w:hAnsi="Arial"/>
          <w:sz w:val="12"/>
          <w:szCs w:val="12"/>
          <w:color w:val="634140"/>
        </w:rPr>
        <w:t>rm</w:t>
      </w:r>
      <w:r>
        <w:rPr>
          <w:rFonts w:ascii="PMingLiU" w:cs="PMingLiU" w:eastAsia="PMingLiU" w:hAnsi="PMingLiU"/>
          <w:sz w:val="12"/>
          <w:szCs w:val="12"/>
          <w:color w:val="634140"/>
        </w:rPr>
        <w:t/>
      </w:r>
      <w:r>
        <w:rPr>
          <w:rFonts w:ascii="Arial" w:cs="Arial" w:eastAsia="Arial" w:hAnsi="Arial"/>
          <w:sz w:val="12"/>
          <w:szCs w:val="12"/>
          <w:color w:val="634140"/>
        </w:rPr>
        <w:t>_kmslrq</w:t>
      </w:r>
      <w:r>
        <w:rPr>
          <w:rFonts w:ascii="PMingLiU" w:cs="PMingLiU" w:eastAsia="PMingLiU" w:hAnsi="PMingLiU"/>
          <w:sz w:val="12"/>
          <w:szCs w:val="12"/>
          <w:color w:val="634140"/>
        </w:rPr>
        <w:t/>
      </w:r>
      <w:r>
        <w:rPr>
          <w:rFonts w:ascii="Arial" w:cs="Arial" w:eastAsia="Arial" w:hAnsi="Arial"/>
          <w:sz w:val="12"/>
          <w:szCs w:val="12"/>
          <w:color w:val="634140"/>
        </w:rPr>
        <w:t>pcnmprcb</w:t>
      </w:r>
      <w:r>
        <w:rPr>
          <w:rFonts w:ascii="PMingLiU" w:cs="PMingLiU" w:eastAsia="PMingLiU" w:hAnsi="PMingLiU"/>
          <w:sz w:val="12"/>
          <w:szCs w:val="12"/>
          <w:color w:val="634140"/>
        </w:rPr>
        <w:t/>
      </w:r>
      <w:r>
        <w:rPr>
          <w:rFonts w:ascii="Arial" w:cs="Arial" w:eastAsia="Arial" w:hAnsi="Arial"/>
          <w:sz w:val="12"/>
          <w:szCs w:val="12"/>
          <w:color w:val="634140"/>
        </w:rPr>
        <w:t>slbcp</w:t>
      </w:r>
      <w:r>
        <w:rPr>
          <w:rFonts w:ascii="PMingLiU" w:cs="PMingLiU" w:eastAsia="PMingLiU" w:hAnsi="PMingLiU"/>
          <w:sz w:val="12"/>
          <w:szCs w:val="12"/>
          <w:color w:val="634140"/>
        </w:rPr>
        <w:t/>
      </w:r>
      <w:r>
        <w:rPr>
          <w:rFonts w:ascii="Arial" w:cs="Arial" w:eastAsia="Arial" w:hAnsi="Arial"/>
          <w:sz w:val="12"/>
          <w:szCs w:val="12"/>
          <w:color w:val="634140"/>
        </w:rPr>
        <w:t>KEET</w:t>
      </w:r>
      <w:r>
        <w:rPr>
          <w:rFonts w:ascii="PMingLiU" w:cs="PMingLiU" w:eastAsia="PMingLiU" w:hAnsi="PMingLiU"/>
          <w:sz w:val="12"/>
          <w:szCs w:val="12"/>
          <w:color w:val="634140"/>
        </w:rPr>
        <w:t/>
      </w:r>
      <w:r>
        <w:rPr>
          <w:rFonts w:ascii="Arial" w:cs="Arial" w:eastAsia="Arial" w:hAnsi="Arial"/>
          <w:sz w:val="12"/>
          <w:szCs w:val="12"/>
          <w:color w:val="634140"/>
        </w:rPr>
        <w:t>glajsbgle</w:t>
      </w:r>
      <w:r>
        <w:rPr>
          <w:rFonts w:ascii="PMingLiU" w:cs="PMingLiU" w:eastAsia="PMingLiU" w:hAnsi="PMingLiU"/>
          <w:sz w:val="12"/>
          <w:szCs w:val="12"/>
          <w:color w:val="634140"/>
        </w:rPr>
        <w:t/>
      </w:r>
      <w:r>
        <w:rPr>
          <w:rFonts w:ascii="Arial" w:cs="Arial" w:eastAsia="Arial" w:hAnsi="Arial"/>
          <w:sz w:val="12"/>
          <w:szCs w:val="12"/>
          <w:color w:val="634140"/>
        </w:rPr>
        <w:t>pcamlagjg_rgmlq</w:t>
      </w:r>
      <w:r>
        <w:rPr>
          <w:rFonts w:ascii="PMingLiU" w:cs="PMingLiU" w:eastAsia="PMingLiU" w:hAnsi="PMingLiU"/>
          <w:sz w:val="12"/>
          <w:szCs w:val="12"/>
          <w:color w:val="634140"/>
        </w:rPr>
        <w:t/>
      </w:r>
      <w:r>
        <w:rPr>
          <w:rFonts w:ascii="Arial" w:cs="Arial" w:eastAsia="Arial" w:hAnsi="Arial"/>
          <w:sz w:val="12"/>
          <w:szCs w:val="12"/>
          <w:color w:val="634140"/>
        </w:rPr>
        <w:t>md</w:t>
      </w:r>
      <w:r>
        <w:rPr>
          <w:rFonts w:ascii="PMingLiU" w:cs="PMingLiU" w:eastAsia="PMingLiU" w:hAnsi="PMingLiU"/>
          <w:sz w:val="12"/>
          <w:szCs w:val="12"/>
          <w:color w:val="634140"/>
        </w:rPr>
        <w:t/>
      </w:r>
      <w:r>
        <w:rPr>
          <w:rFonts w:ascii="Arial" w:cs="Arial" w:eastAsia="Arial" w:hAnsi="Arial"/>
          <w:sz w:val="12"/>
          <w:szCs w:val="12"/>
          <w:color w:val="634140"/>
        </w:rPr>
        <w:t>lcr</w:t>
      </w:r>
      <w:r>
        <w:rPr>
          <w:rFonts w:ascii="PMingLiU" w:cs="PMingLiU" w:eastAsia="PMingLiU" w:hAnsi="PMingLiU"/>
          <w:sz w:val="12"/>
          <w:szCs w:val="12"/>
          <w:color w:val="634140"/>
        </w:rPr>
        <w:t/>
      </w:r>
      <w:r>
        <w:rPr>
          <w:rFonts w:ascii="Arial" w:cs="Arial" w:eastAsia="Arial" w:hAnsi="Arial"/>
          <w:sz w:val="12"/>
          <w:szCs w:val="12"/>
          <w:color w:val="634140"/>
        </w:rPr>
        <w:t>glamkc</w:t>
      </w:r>
      <w:r>
        <w:rPr>
          <w:rFonts w:ascii="PMingLiU" w:cs="PMingLiU" w:eastAsia="PMingLiU" w:hAnsi="PMingLiU"/>
          <w:sz w:val="12"/>
          <w:szCs w:val="12"/>
          <w:color w:val="634140"/>
        </w:rPr>
        <w:t/>
      </w:r>
      <w:r>
        <w:rPr>
          <w:rFonts w:ascii="Arial" w:cs="Arial" w:eastAsia="Arial" w:hAnsi="Arial"/>
          <w:sz w:val="12"/>
          <w:szCs w:val="12"/>
          <w:color w:val="634140"/>
        </w:rPr>
        <w:t>rm</w:t>
      </w:r>
      <w:r>
        <w:rPr>
          <w:rFonts w:ascii="PMingLiU" w:cs="PMingLiU" w:eastAsia="PMingLiU" w:hAnsi="PMingLiU"/>
          <w:sz w:val="12"/>
          <w:szCs w:val="12"/>
          <w:color w:val="634140"/>
        </w:rPr>
        <w:t/>
      </w:r>
      <w:r>
        <w:rPr>
          <w:rFonts w:ascii="Arial" w:cs="Arial" w:eastAsia="Arial" w:hAnsi="Arial"/>
          <w:sz w:val="12"/>
          <w:szCs w:val="12"/>
          <w:color w:val="634140"/>
        </w:rPr>
        <w:t>IFMXHE</w:t>
      </w:r>
      <w:r>
        <w:rPr>
          <w:rFonts w:ascii="PMingLiU" w:cs="PMingLiU" w:eastAsia="PMingLiU" w:hAnsi="PMingLiU"/>
          <w:sz w:val="12"/>
          <w:szCs w:val="12"/>
          <w:color w:val="634140"/>
        </w:rPr>
        <w:t/>
      </w:r>
      <w:r>
        <w:rPr>
          <w:rFonts w:ascii="Arial" w:cs="Arial" w:eastAsia="Arial" w:hAnsi="Arial"/>
          <w:sz w:val="12"/>
          <w:szCs w:val="12"/>
          <w:color w:val="634140"/>
        </w:rPr>
        <w:t>_lb</w:t>
      </w:r>
      <w:r>
        <w:rPr>
          <w:rFonts w:ascii="PMingLiU" w:cs="PMingLiU" w:eastAsia="PMingLiU" w:hAnsi="PMingLiU"/>
          <w:sz w:val="12"/>
          <w:szCs w:val="12"/>
          <w:color w:val="634140"/>
        </w:rPr>
        <w:t/>
      </w:r>
      <w:r>
        <w:rPr>
          <w:rFonts w:ascii="Arial" w:cs="Arial" w:eastAsia="Arial" w:hAnsi="Arial"/>
          <w:sz w:val="12"/>
          <w:szCs w:val="12"/>
          <w:color w:val="634140"/>
        </w:rPr>
        <w:t>_bhsqrcb</w:t>
      </w:r>
      <w:r>
        <w:rPr>
          <w:rFonts w:ascii="PMingLiU" w:cs="PMingLiU" w:eastAsia="PMingLiU" w:hAnsi="PMingLiU"/>
          <w:sz w:val="12"/>
          <w:szCs w:val="12"/>
          <w:color w:val="634140"/>
        </w:rPr>
        <w:t/>
      </w:r>
      <w:r>
        <w:rPr>
          <w:rFonts w:ascii="Arial" w:cs="Arial" w:eastAsia="Arial" w:hAnsi="Arial"/>
          <w:sz w:val="12"/>
          <w:szCs w:val="12"/>
          <w:color w:val="634140"/>
        </w:rPr>
        <w:t xml:space="preserve"> IFMXHE</w:t>
      </w:r>
      <w:r>
        <w:rPr>
          <w:rFonts w:ascii="PMingLiU" w:cs="PMingLiU" w:eastAsia="PMingLiU" w:hAnsi="PMingLiU"/>
          <w:sz w:val="12"/>
          <w:szCs w:val="12"/>
          <w:color w:val="634140"/>
        </w:rPr>
        <w:t/>
      </w:r>
      <w:r>
        <w:rPr>
          <w:rFonts w:ascii="Arial" w:cs="Arial" w:eastAsia="Arial" w:hAnsi="Arial"/>
          <w:sz w:val="12"/>
          <w:szCs w:val="12"/>
          <w:color w:val="634140"/>
        </w:rPr>
        <w:t>mncp_rgle</w:t>
      </w:r>
      <w:r>
        <w:rPr>
          <w:rFonts w:ascii="PMingLiU" w:cs="PMingLiU" w:eastAsia="PMingLiU" w:hAnsi="PMingLiU"/>
          <w:sz w:val="12"/>
          <w:szCs w:val="12"/>
          <w:color w:val="634140"/>
        </w:rPr>
        <w:t/>
      </w:r>
      <w:r>
        <w:rPr>
          <w:rFonts w:ascii="Arial" w:cs="Arial" w:eastAsia="Arial" w:hAnsi="Arial"/>
          <w:sz w:val="12"/>
          <w:szCs w:val="12"/>
          <w:color w:val="634140"/>
        </w:rPr>
        <w:t>glamkc</w:t>
      </w:r>
      <w:r>
        <w:rPr>
          <w:rFonts w:ascii="PMingLiU" w:cs="PMingLiU" w:eastAsia="PMingLiU" w:hAnsi="PMingLiU"/>
          <w:sz w:val="12"/>
          <w:szCs w:val="12"/>
          <w:color w:val="634140"/>
        </w:rPr>
        <w:t/>
      </w:r>
      <w:r>
        <w:rPr>
          <w:rFonts w:ascii="Arial" w:cs="Arial" w:eastAsia="Arial" w:hAnsi="Arial"/>
          <w:sz w:val="12"/>
          <w:szCs w:val="12"/>
          <w:color w:val="634140"/>
        </w:rPr>
        <w:t>rm</w:t>
      </w:r>
      <w:r>
        <w:rPr>
          <w:rFonts w:ascii="PMingLiU" w:cs="PMingLiU" w:eastAsia="PMingLiU" w:hAnsi="PMingLiU"/>
          <w:sz w:val="12"/>
          <w:szCs w:val="12"/>
          <w:color w:val="634140"/>
        </w:rPr>
        <w:t/>
      </w:r>
      <w:r>
        <w:rPr>
          <w:rFonts w:ascii="Arial" w:cs="Arial" w:eastAsia="Arial" w:hAnsi="Arial"/>
          <w:sz w:val="12"/>
          <w:szCs w:val="12"/>
          <w:color w:val="634140"/>
        </w:rPr>
        <w:t>_bhsqrcb</w:t>
      </w:r>
      <w:r>
        <w:rPr>
          <w:rFonts w:ascii="PMingLiU" w:cs="PMingLiU" w:eastAsia="PMingLiU" w:hAnsi="PMingLiU"/>
          <w:sz w:val="12"/>
          <w:szCs w:val="12"/>
          <w:color w:val="634140"/>
        </w:rPr>
        <w:t/>
      </w:r>
      <w:r>
        <w:rPr>
          <w:rFonts w:ascii="Arial" w:cs="Arial" w:eastAsia="Arial" w:hAnsi="Arial"/>
          <w:sz w:val="12"/>
          <w:szCs w:val="12"/>
          <w:color w:val="634140"/>
        </w:rPr>
        <w:t>mncp_rgle</w:t>
      </w:r>
      <w:r>
        <w:rPr>
          <w:rFonts w:ascii="PMingLiU" w:cs="PMingLiU" w:eastAsia="PMingLiU" w:hAnsi="PMingLiU"/>
          <w:sz w:val="12"/>
          <w:szCs w:val="12"/>
          <w:color w:val="634140"/>
        </w:rPr>
        <w:t/>
      </w:r>
      <w:r>
        <w:rPr>
          <w:rFonts w:ascii="Arial" w:cs="Arial" w:eastAsia="Arial" w:hAnsi="Arial"/>
          <w:sz w:val="12"/>
          <w:szCs w:val="12"/>
          <w:color w:val="634140"/>
        </w:rPr>
        <w:t>glamkc</w:t>
      </w:r>
      <w:r>
        <w:rPr>
          <w:rFonts w:ascii="PMingLiU" w:cs="PMingLiU" w:eastAsia="PMingLiU" w:hAnsi="PMingLiU"/>
          <w:sz w:val="12"/>
          <w:szCs w:val="12"/>
          <w:color w:val="634140"/>
        </w:rPr>
        <w:t/>
      </w:r>
      <w:r>
        <w:rPr>
          <w:rFonts w:ascii="Arial" w:cs="Arial" w:eastAsia="Arial" w:hAnsi="Arial"/>
          <w:sz w:val="12"/>
          <w:szCs w:val="12"/>
          <w:color w:val="634140"/>
        </w:rPr>
        <w:t>glamkc</w:t>
      </w:r>
      <w:r>
        <w:rPr>
          <w:rFonts w:ascii="PMingLiU" w:cs="PMingLiU" w:eastAsia="PMingLiU" w:hAnsi="PMingLiU"/>
          <w:sz w:val="12"/>
          <w:szCs w:val="12"/>
          <w:color w:val="634140"/>
        </w:rPr>
        <w:t/>
      </w:r>
      <w:r>
        <w:rPr>
          <w:rFonts w:ascii="Arial" w:cs="Arial" w:eastAsia="Arial" w:hAnsi="Arial"/>
          <w:sz w:val="12"/>
          <w:szCs w:val="12"/>
          <w:color w:val="634140"/>
        </w:rPr>
        <w:t>dpmk</w:t>
      </w:r>
      <w:r>
        <w:rPr>
          <w:rFonts w:ascii="PMingLiU" w:cs="PMingLiU" w:eastAsia="PMingLiU" w:hAnsi="PMingLiU"/>
          <w:sz w:val="12"/>
          <w:szCs w:val="12"/>
          <w:color w:val="634140"/>
        </w:rPr>
        <w:t/>
      </w:r>
      <w:r>
        <w:rPr>
          <w:rFonts w:ascii="Arial" w:cs="Arial" w:eastAsia="Arial" w:hAnsi="Arial"/>
          <w:sz w:val="12"/>
          <w:szCs w:val="12"/>
          <w:color w:val="634140"/>
        </w:rPr>
        <w:t>amlrglsgle</w:t>
      </w:r>
      <w:r>
        <w:rPr>
          <w:rFonts w:ascii="PMingLiU" w:cs="PMingLiU" w:eastAsia="PMingLiU" w:hAnsi="PMingLiU"/>
          <w:sz w:val="12"/>
          <w:szCs w:val="12"/>
          <w:color w:val="634140"/>
        </w:rPr>
        <w:t/>
      </w:r>
      <w:r>
        <w:rPr>
          <w:rFonts w:ascii="Arial" w:cs="Arial" w:eastAsia="Arial" w:hAnsi="Arial"/>
          <w:sz w:val="12"/>
          <w:szCs w:val="12"/>
          <w:color w:val="634140"/>
        </w:rPr>
        <w:t>mncp_rgmlq</w:t>
      </w:r>
      <w:r>
        <w:rPr>
          <w:rFonts w:ascii="PMingLiU" w:cs="PMingLiU" w:eastAsia="PMingLiU" w:hAnsi="PMingLiU"/>
          <w:sz w:val="12"/>
          <w:szCs w:val="12"/>
          <w:color w:val="634140"/>
        </w:rPr>
        <w:t/>
      </w:r>
      <w:r>
        <w:rPr>
          <w:rFonts w:ascii="Arial" w:cs="Arial" w:eastAsia="Arial" w:hAnsi="Arial"/>
          <w:sz w:val="12"/>
          <w:szCs w:val="12"/>
          <w:color w:val="634140"/>
        </w:rPr>
        <w:t>rm</w:t>
      </w:r>
      <w:r>
        <w:rPr>
          <w:rFonts w:ascii="PMingLiU" w:cs="PMingLiU" w:eastAsia="PMingLiU" w:hAnsi="PMingLiU"/>
          <w:sz w:val="12"/>
          <w:szCs w:val="12"/>
          <w:color w:val="634140"/>
        </w:rPr>
        <w:t/>
      </w:r>
      <w:r>
        <w:rPr>
          <w:rFonts w:ascii="Arial" w:cs="Arial" w:eastAsia="Arial" w:hAnsi="Arial"/>
          <w:sz w:val="12"/>
          <w:szCs w:val="12"/>
          <w:color w:val="634140"/>
        </w:rPr>
        <w:t>_bhsqrcb</w:t>
      </w:r>
      <w:r>
        <w:rPr>
          <w:rFonts w:ascii="PMingLiU" w:cs="PMingLiU" w:eastAsia="PMingLiU" w:hAnsi="PMingLiU"/>
          <w:sz w:val="12"/>
          <w:szCs w:val="12"/>
          <w:color w:val="634140"/>
        </w:rPr>
        <w:t/>
      </w:r>
      <w:r>
        <w:rPr>
          <w:rFonts w:ascii="Arial" w:cs="Arial" w:eastAsia="Arial" w:hAnsi="Arial"/>
          <w:sz w:val="12"/>
          <w:szCs w:val="12"/>
          <w:color w:val="634140"/>
        </w:rPr>
        <w:t>glamkc</w:t>
      </w:r>
      <w:r>
        <w:rPr>
          <w:rFonts w:ascii="PMingLiU" w:cs="PMingLiU" w:eastAsia="PMingLiU" w:hAnsi="PMingLiU"/>
          <w:sz w:val="12"/>
          <w:szCs w:val="12"/>
          <w:color w:val="634140"/>
        </w:rPr>
        <w:t/>
      </w:r>
      <w:r>
        <w:rPr>
          <w:rFonts w:ascii="Arial" w:cs="Arial" w:eastAsia="Arial" w:hAnsi="Arial"/>
          <w:sz w:val="12"/>
          <w:szCs w:val="12"/>
          <w:color w:val="634140"/>
        </w:rPr>
        <w:t>dpmk</w:t>
      </w:r>
      <w:r>
        <w:rPr>
          <w:rFonts w:ascii="PMingLiU" w:cs="PMingLiU" w:eastAsia="PMingLiU" w:hAnsi="PMingLiU"/>
          <w:sz w:val="12"/>
          <w:szCs w:val="12"/>
          <w:color w:val="634140"/>
        </w:rPr>
        <w:t/>
      </w:r>
      <w:r>
        <w:rPr>
          <w:rFonts w:ascii="Arial" w:cs="Arial" w:eastAsia="Arial" w:hAnsi="Arial"/>
          <w:sz w:val="12"/>
          <w:szCs w:val="12"/>
          <w:color w:val="634140"/>
        </w:rPr>
        <w:t>amlrglsgle</w:t>
      </w:r>
      <w:r>
        <w:rPr>
          <w:rFonts w:ascii="PMingLiU" w:cs="PMingLiU" w:eastAsia="PMingLiU" w:hAnsi="PMingLiU"/>
          <w:sz w:val="12"/>
          <w:szCs w:val="12"/>
          <w:color w:val="634140"/>
        </w:rPr>
        <w:t/>
      </w:r>
      <w:r>
        <w:rPr>
          <w:rFonts w:ascii="Arial" w:cs="Arial" w:eastAsia="Arial" w:hAnsi="Arial"/>
          <w:sz w:val="12"/>
          <w:szCs w:val="12"/>
          <w:color w:val="634140"/>
        </w:rPr>
        <w:t>mncp_rgmlq</w:t>
      </w:r>
      <w:r>
        <w:rPr>
          <w:rFonts w:ascii="PMingLiU" w:cs="PMingLiU" w:eastAsia="PMingLiU" w:hAnsi="PMingLiU"/>
          <w:sz w:val="12"/>
          <w:szCs w:val="12"/>
          <w:color w:val="634140"/>
        </w:rPr>
        <w:t/>
      </w:r>
      <w:r>
        <w:rPr>
          <w:rFonts w:ascii="Arial" w:cs="Arial" w:eastAsia="Arial" w:hAnsi="Arial"/>
          <w:sz w:val="12"/>
          <w:szCs w:val="12"/>
          <w:color w:val="634140"/>
        </w:rPr>
        <w:t>bgjsrcb</w:t>
      </w:r>
      <w:r>
        <w:rPr>
          <w:rFonts w:ascii="PMingLiU" w:cs="PMingLiU" w:eastAsia="PMingLiU" w:hAnsi="PMingLiU"/>
          <w:sz w:val="12"/>
          <w:szCs w:val="12"/>
          <w:color w:val="634140"/>
        </w:rPr>
        <w:t/>
      </w:r>
      <w:r>
        <w:rPr>
          <w:rFonts w:ascii="Arial" w:cs="Arial" w:eastAsia="Arial" w:hAnsi="Arial"/>
          <w:sz w:val="12"/>
          <w:szCs w:val="12"/>
          <w:color w:val="634140"/>
        </w:rPr>
        <w:t xml:space="preserve"> c_plgleq</w:t>
      </w:r>
      <w:r>
        <w:rPr>
          <w:rFonts w:ascii="PMingLiU" w:cs="PMingLiU" w:eastAsia="PMingLiU" w:hAnsi="PMingLiU"/>
          <w:sz w:val="12"/>
          <w:szCs w:val="12"/>
          <w:color w:val="634140"/>
        </w:rPr>
        <w:t/>
      </w:r>
      <w:r>
        <w:rPr>
          <w:rFonts w:ascii="Arial" w:cs="Arial" w:eastAsia="Arial" w:hAnsi="Arial"/>
          <w:sz w:val="12"/>
          <w:szCs w:val="12"/>
          <w:color w:val="634140"/>
        </w:rPr>
        <w:t>ncp</w:t>
      </w:r>
      <w:r>
        <w:rPr>
          <w:rFonts w:ascii="PMingLiU" w:cs="PMingLiU" w:eastAsia="PMingLiU" w:hAnsi="PMingLiU"/>
          <w:sz w:val="12"/>
          <w:szCs w:val="12"/>
          <w:color w:val="634140"/>
        </w:rPr>
        <w:t/>
      </w:r>
      <w:r>
        <w:rPr>
          <w:rFonts w:ascii="Arial" w:cs="Arial" w:eastAsia="Arial" w:hAnsi="Arial"/>
          <w:sz w:val="12"/>
          <w:szCs w:val="12"/>
          <w:color w:val="634140"/>
        </w:rPr>
        <w:t>qf_pc</w:t>
      </w:r>
      <w:r>
        <w:rPr>
          <w:rFonts w:ascii="PMingLiU" w:cs="PMingLiU" w:eastAsia="PMingLiU" w:hAnsi="PMingLiU"/>
          <w:sz w:val="12"/>
          <w:szCs w:val="12"/>
          <w:color w:val="634140"/>
        </w:rPr>
        <w:t/>
      </w:r>
      <w:r>
        <w:rPr>
          <w:rFonts w:ascii="Arial" w:cs="Arial" w:eastAsia="Arial" w:hAnsi="Arial"/>
          <w:sz w:val="12"/>
          <w:szCs w:val="12"/>
          <w:color w:val="634140"/>
        </w:rPr>
        <w:t>rm</w:t>
      </w:r>
      <w:r>
        <w:rPr>
          <w:rFonts w:ascii="PMingLiU" w:cs="PMingLiU" w:eastAsia="PMingLiU" w:hAnsi="PMingLiU"/>
          <w:sz w:val="12"/>
          <w:szCs w:val="12"/>
          <w:color w:val="634140"/>
        </w:rPr>
        <w:t/>
      </w:r>
      <w:r>
        <w:rPr>
          <w:rFonts w:ascii="Arial" w:cs="Arial" w:eastAsia="Arial" w:hAnsi="Arial"/>
          <w:sz w:val="12"/>
          <w:szCs w:val="12"/>
          <w:color w:val="634140"/>
        </w:rPr>
        <w:t>_bhsqrcb</w:t>
      </w:r>
      <w:r>
        <w:rPr>
          <w:rFonts w:ascii="PMingLiU" w:cs="PMingLiU" w:eastAsia="PMingLiU" w:hAnsi="PMingLiU"/>
          <w:sz w:val="12"/>
          <w:szCs w:val="12"/>
          <w:color w:val="634140"/>
        </w:rPr>
        <w:t/>
      </w:r>
      <w:r>
        <w:rPr>
          <w:rFonts w:ascii="Arial" w:cs="Arial" w:eastAsia="Arial" w:hAnsi="Arial"/>
          <w:sz w:val="12"/>
          <w:szCs w:val="12"/>
          <w:color w:val="634140"/>
        </w:rPr>
        <w:t>bgjsrcb</w:t>
      </w:r>
      <w:r>
        <w:rPr>
          <w:rFonts w:ascii="PMingLiU" w:cs="PMingLiU" w:eastAsia="PMingLiU" w:hAnsi="PMingLiU"/>
          <w:sz w:val="12"/>
          <w:szCs w:val="12"/>
          <w:color w:val="634140"/>
        </w:rPr>
        <w:t/>
      </w:r>
      <w:r>
        <w:rPr>
          <w:rFonts w:ascii="Arial" w:cs="Arial" w:eastAsia="Arial" w:hAnsi="Arial"/>
          <w:sz w:val="12"/>
          <w:szCs w:val="12"/>
          <w:color w:val="634140"/>
        </w:rPr>
        <w:t>c_plgleq</w:t>
      </w:r>
      <w:r>
        <w:rPr>
          <w:rFonts w:ascii="PMingLiU" w:cs="PMingLiU" w:eastAsia="PMingLiU" w:hAnsi="PMingLiU"/>
          <w:sz w:val="12"/>
          <w:szCs w:val="12"/>
          <w:color w:val="634140"/>
        </w:rPr>
        <w:t/>
      </w:r>
      <w:r>
        <w:rPr>
          <w:rFonts w:ascii="Arial" w:cs="Arial" w:eastAsia="Arial" w:hAnsi="Arial"/>
          <w:sz w:val="12"/>
          <w:szCs w:val="12"/>
          <w:color w:val="634140"/>
        </w:rPr>
        <w:t>ncp</w:t>
      </w:r>
      <w:r>
        <w:rPr>
          <w:rFonts w:ascii="PMingLiU" w:cs="PMingLiU" w:eastAsia="PMingLiU" w:hAnsi="PMingLiU"/>
          <w:sz w:val="12"/>
          <w:szCs w:val="12"/>
          <w:color w:val="634140"/>
        </w:rPr>
        <w:t/>
      </w:r>
      <w:r>
        <w:rPr>
          <w:rFonts w:ascii="Arial" w:cs="Arial" w:eastAsia="Arial" w:hAnsi="Arial"/>
          <w:sz w:val="12"/>
          <w:szCs w:val="12"/>
          <w:color w:val="634140"/>
        </w:rPr>
        <w:t>qf_pc</w:t>
      </w:r>
      <w:r>
        <w:rPr>
          <w:rFonts w:ascii="PMingLiU" w:cs="PMingLiU" w:eastAsia="PMingLiU" w:hAnsi="PMingLiU"/>
          <w:sz w:val="12"/>
          <w:szCs w:val="12"/>
          <w:color w:val="634140"/>
        </w:rPr>
        <w:t/>
      </w:r>
      <w:r>
        <w:rPr>
          <w:rFonts w:ascii="Arial" w:cs="Arial" w:eastAsia="Arial" w:hAnsi="Arial"/>
          <w:sz w:val="12"/>
          <w:szCs w:val="12"/>
          <w:color w:val="634140"/>
        </w:rPr>
        <w:t>_lb</w:t>
      </w:r>
      <w:r>
        <w:rPr>
          <w:rFonts w:ascii="PMingLiU" w:cs="PMingLiU" w:eastAsia="PMingLiU" w:hAnsi="PMingLiU"/>
          <w:sz w:val="12"/>
          <w:szCs w:val="12"/>
          <w:color w:val="634140"/>
        </w:rPr>
        <w:t/>
      </w:r>
      <w:r>
        <w:rPr>
          <w:rFonts w:ascii="Arial" w:cs="Arial" w:eastAsia="Arial" w:hAnsi="Arial"/>
          <w:sz w:val="12"/>
          <w:szCs w:val="12"/>
          <w:color w:val="634140"/>
        </w:rPr>
        <w:t>_bhsqrcb</w:t>
      </w:r>
      <w:r>
        <w:rPr>
          <w:rFonts w:ascii="PMingLiU" w:cs="PMingLiU" w:eastAsia="PMingLiU" w:hAnsi="PMingLiU"/>
          <w:sz w:val="12"/>
          <w:szCs w:val="12"/>
          <w:color w:val="634140"/>
        </w:rPr>
        <w:t/>
      </w:r>
      <w:r>
        <w:rPr>
          <w:rFonts w:ascii="Arial" w:cs="Arial" w:eastAsia="Arial" w:hAnsi="Arial"/>
          <w:sz w:val="12"/>
          <w:szCs w:val="12"/>
          <w:color w:val="634140"/>
        </w:rPr>
        <w:t>bgjsrcb</w:t>
      </w:r>
      <w:r>
        <w:rPr>
          <w:rFonts w:ascii="PMingLiU" w:cs="PMingLiU" w:eastAsia="PMingLiU" w:hAnsi="PMingLiU"/>
          <w:sz w:val="12"/>
          <w:szCs w:val="12"/>
          <w:color w:val="634140"/>
        </w:rPr>
        <w:t/>
      </w:r>
      <w:r>
        <w:rPr>
          <w:rFonts w:ascii="Arial" w:cs="Arial" w:eastAsia="Arial" w:hAnsi="Arial"/>
          <w:sz w:val="12"/>
          <w:szCs w:val="12"/>
          <w:color w:val="634140"/>
        </w:rPr>
        <w:t>c_plgleq</w:t>
      </w:r>
      <w:r>
        <w:rPr>
          <w:rFonts w:ascii="PMingLiU" w:cs="PMingLiU" w:eastAsia="PMingLiU" w:hAnsi="PMingLiU"/>
          <w:sz w:val="12"/>
          <w:szCs w:val="12"/>
          <w:color w:val="634140"/>
        </w:rPr>
        <w:t/>
      </w:r>
      <w:r>
        <w:rPr>
          <w:rFonts w:ascii="Arial" w:cs="Arial" w:eastAsia="Arial" w:hAnsi="Arial"/>
          <w:sz w:val="12"/>
          <w:szCs w:val="12"/>
          <w:color w:val="634140"/>
        </w:rPr>
        <w:t>ncp</w:t>
      </w:r>
      <w:r>
        <w:rPr>
          <w:rFonts w:ascii="PMingLiU" w:cs="PMingLiU" w:eastAsia="PMingLiU" w:hAnsi="PMingLiU"/>
          <w:sz w:val="12"/>
          <w:szCs w:val="12"/>
          <w:color w:val="634140"/>
        </w:rPr>
        <w:t/>
      </w:r>
      <w:r>
        <w:rPr>
          <w:rFonts w:ascii="Arial" w:cs="Arial" w:eastAsia="Arial" w:hAnsi="Arial"/>
          <w:sz w:val="12"/>
          <w:szCs w:val="12"/>
          <w:color w:val="634140"/>
        </w:rPr>
        <w:t>qf_pc</w:t>
      </w:r>
      <w:r>
        <w:rPr>
          <w:rFonts w:ascii="PMingLiU" w:cs="PMingLiU" w:eastAsia="PMingLiU" w:hAnsi="PMingLiU"/>
          <w:sz w:val="12"/>
          <w:szCs w:val="12"/>
          <w:color w:val="634140"/>
        </w:rPr>
        <w:t/>
      </w:r>
      <w:r>
        <w:rPr>
          <w:rFonts w:ascii="Arial" w:cs="Arial" w:eastAsia="Arial" w:hAnsi="Arial"/>
          <w:sz w:val="12"/>
          <w:szCs w:val="12"/>
          <w:color w:val="634140"/>
        </w:rPr>
        <w:t>cvajsbgle</w:t>
      </w:r>
      <w:r>
        <w:rPr>
          <w:rFonts w:ascii="PMingLiU" w:cs="PMingLiU" w:eastAsia="PMingLiU" w:hAnsi="PMingLiU"/>
          <w:sz w:val="12"/>
          <w:szCs w:val="12"/>
          <w:color w:val="634140"/>
        </w:rPr>
        <w:t/>
      </w:r>
      <w:r>
        <w:rPr>
          <w:rFonts w:ascii="Arial" w:cs="Arial" w:eastAsia="Arial" w:hAnsi="Arial"/>
          <w:sz w:val="12"/>
          <w:szCs w:val="12"/>
          <w:color w:val="634140"/>
        </w:rPr>
        <w:t>_kmprgx_rgml</w:t>
      </w:r>
      <w:r>
        <w:rPr>
          <w:rFonts w:ascii="PMingLiU" w:cs="PMingLiU" w:eastAsia="PMingLiU" w:hAnsi="PMingLiU"/>
          <w:sz w:val="12"/>
          <w:szCs w:val="12"/>
          <w:color w:val="634140"/>
        </w:rPr>
        <w:t/>
      </w:r>
      <w:r>
        <w:rPr>
          <w:rFonts w:ascii="Arial" w:cs="Arial" w:eastAsia="Arial" w:hAnsi="Arial"/>
          <w:sz w:val="12"/>
          <w:szCs w:val="12"/>
          <w:color w:val="634140"/>
        </w:rPr>
        <w:t>cvnclqc</w:t>
      </w:r>
      <w:r>
        <w:rPr>
          <w:rFonts w:ascii="PMingLiU" w:cs="PMingLiU" w:eastAsia="PMingLiU" w:hAnsi="PMingLiU"/>
          <w:sz w:val="12"/>
          <w:szCs w:val="12"/>
          <w:color w:val="634140"/>
        </w:rPr>
        <w:t/>
      </w:r>
    </w:p>
    <w:p>
      <w:pPr>
        <w:sectPr>
          <w:pgSz w:w="12240" w:h="15840" w:orient="portrait"/>
          <w:cols w:equalWidth="0" w:num="1">
            <w:col w:w="10060"/>
          </w:cols>
          <w:pgMar w:left="1120" w:top="1421" w:right="1060" w:bottom="18"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039610" cy="10058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7">
                      <a:extLst>
                        <a:ext uri="{28A0092B-C50C-407E-A947-70E740481C1C}"/>
                      </a:extLst>
                    </a:blip>
                    <a:srcRect/>
                    <a:stretch>
                      <a:fillRect/>
                    </a:stretch>
                  </pic:blipFill>
                  <pic:spPr bwMode="auto">
                    <a:xfrm>
                      <a:off x="0" y="0"/>
                      <a:ext cx="703961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Jcjjmu</w:t>
      </w:r>
      <w:r>
        <w:rPr>
          <w:rFonts w:ascii="PMingLiU" w:cs="PMingLiU" w:eastAsia="PMingLiU" w:hAnsi="PMingLiU"/>
          <w:sz w:val="20"/>
          <w:szCs w:val="20"/>
          <w:color w:val="634140"/>
        </w:rPr>
        <w:t/>
      </w:r>
      <w:r>
        <w:rPr>
          <w:rFonts w:ascii="Arial" w:cs="Arial" w:eastAsia="Arial" w:hAnsi="Arial"/>
          <w:sz w:val="20"/>
          <w:szCs w:val="20"/>
          <w:color w:val="634140"/>
        </w:rPr>
        <w:t>qf_pcfmjbcpq</w:t>
      </w:r>
      <w:r>
        <w:rPr>
          <w:rFonts w:ascii="PMingLiU" w:cs="PMingLiU" w:eastAsia="PMingLiU" w:hAnsi="PMingLiU"/>
          <w:sz w:val="20"/>
          <w:szCs w:val="20"/>
          <w:color w:val="634140"/>
        </w:rPr>
        <w:t/>
      </w:r>
    </w:p>
    <w:p>
      <w:pPr>
        <w:spacing w:after="0" w:line="294" w:lineRule="exact"/>
        <w:rPr>
          <w:sz w:val="20"/>
          <w:szCs w:val="20"/>
          <w:color w:val="auto"/>
        </w:rPr>
      </w:pPr>
    </w:p>
    <w:p>
      <w:pPr>
        <w:ind w:left="4800" w:right="100"/>
        <w:spacing w:after="0" w:line="261" w:lineRule="exact"/>
        <w:rPr>
          <w:sz w:val="20"/>
          <w:szCs w:val="20"/>
          <w:color w:val="auto"/>
        </w:rPr>
      </w:pPr>
      <w:r>
        <w:rPr>
          <w:rFonts w:ascii="Arial" w:cs="Arial" w:eastAsia="Arial" w:hAnsi="Arial"/>
          <w:sz w:val="20"/>
          <w:szCs w:val="20"/>
          <w:color w:val="634140"/>
        </w:rPr>
        <w:t>Ml</w:t>
      </w:r>
      <w:r>
        <w:rPr>
          <w:rFonts w:ascii="PMingLiU" w:cs="PMingLiU" w:eastAsia="PMingLiU" w:hAnsi="PMingLiU"/>
          <w:sz w:val="20"/>
          <w:szCs w:val="20"/>
          <w:color w:val="634140"/>
        </w:rPr>
        <w:t/>
      </w:r>
      <w:r>
        <w:rPr>
          <w:rFonts w:ascii="Arial" w:cs="Arial" w:eastAsia="Arial" w:hAnsi="Arial"/>
          <w:sz w:val="20"/>
          <w:szCs w:val="20"/>
          <w:color w:val="634140"/>
        </w:rPr>
        <w:t>_</w:t>
      </w:r>
      <w:r>
        <w:rPr>
          <w:rFonts w:ascii="PMingLiU" w:cs="PMingLiU" w:eastAsia="PMingLiU" w:hAnsi="PMingLiU"/>
          <w:sz w:val="20"/>
          <w:szCs w:val="20"/>
          <w:color w:val="634140"/>
        </w:rPr>
        <w:t/>
      </w:r>
      <w:r>
        <w:rPr>
          <w:rFonts w:ascii="Arial" w:cs="Arial" w:eastAsia="Arial" w:hAnsi="Arial"/>
          <w:sz w:val="20"/>
          <w:szCs w:val="20"/>
          <w:color w:val="634140"/>
        </w:rPr>
        <w:t>af_jjclegle</w:t>
      </w:r>
      <w:r>
        <w:rPr>
          <w:rFonts w:ascii="PMingLiU" w:cs="PMingLiU" w:eastAsia="PMingLiU" w:hAnsi="PMingLiU"/>
          <w:sz w:val="20"/>
          <w:szCs w:val="20"/>
          <w:color w:val="634140"/>
        </w:rPr>
        <w:t/>
      </w:r>
      <w:r>
        <w:rPr>
          <w:rFonts w:ascii="Arial" w:cs="Arial" w:eastAsia="Arial" w:hAnsi="Arial"/>
          <w:sz w:val="20"/>
          <w:szCs w:val="20"/>
          <w:color w:val="634140"/>
        </w:rPr>
        <w:t>wc_p</w:t>
      </w:r>
      <w:r>
        <w:rPr>
          <w:rFonts w:ascii="PMingLiU" w:cs="PMingLiU" w:eastAsia="PMingLiU" w:hAnsi="PMingLiU"/>
          <w:sz w:val="20"/>
          <w:szCs w:val="20"/>
          <w:color w:val="634140"/>
        </w:rPr>
        <w:t/>
      </w:r>
      <w:r>
        <w:rPr>
          <w:rFonts w:ascii="Arial" w:cs="Arial" w:eastAsia="Arial" w:hAnsi="Arial"/>
          <w:sz w:val="20"/>
          <w:szCs w:val="20"/>
          <w:color w:val="634140"/>
        </w:rPr>
        <w:t>rf_r</w:t>
      </w:r>
      <w:r>
        <w:rPr>
          <w:rFonts w:ascii="PMingLiU" w:cs="PMingLiU" w:eastAsia="PMingLiU" w:hAnsi="PMingLiU"/>
          <w:sz w:val="20"/>
          <w:szCs w:val="20"/>
          <w:color w:val="634140"/>
        </w:rPr>
        <w:t/>
      </w:r>
      <w:r>
        <w:rPr>
          <w:rFonts w:ascii="Arial" w:cs="Arial" w:eastAsia="Arial" w:hAnsi="Arial"/>
          <w:sz w:val="20"/>
          <w:szCs w:val="20"/>
          <w:color w:val="634140"/>
        </w:rPr>
        <w:t>rcqrcb</w:t>
      </w:r>
      <w:r>
        <w:rPr>
          <w:rFonts w:ascii="PMingLiU" w:cs="PMingLiU" w:eastAsia="PMingLiU" w:hAnsi="PMingLiU"/>
          <w:sz w:val="20"/>
          <w:szCs w:val="20"/>
          <w:color w:val="634140"/>
        </w:rPr>
        <w:t/>
      </w:r>
      <w:r>
        <w:rPr>
          <w:rFonts w:ascii="Arial" w:cs="Arial" w:eastAsia="Arial" w:hAnsi="Arial"/>
          <w:sz w:val="20"/>
          <w:szCs w:val="20"/>
          <w:color w:val="634140"/>
        </w:rPr>
        <w:t>_egjgrw</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pcu_pbcb</w:t>
      </w:r>
      <w:r>
        <w:rPr>
          <w:rFonts w:ascii="PMingLiU" w:cs="PMingLiU" w:eastAsia="PMingLiU" w:hAnsi="PMingLiU"/>
          <w:sz w:val="20"/>
          <w:szCs w:val="20"/>
          <w:color w:val="634140"/>
        </w:rPr>
        <w:t/>
      </w:r>
      <w:r>
        <w:rPr>
          <w:rFonts w:ascii="Arial" w:cs="Arial" w:eastAsia="Arial" w:hAnsi="Arial"/>
          <w:sz w:val="20"/>
          <w:szCs w:val="20"/>
          <w:color w:val="634140"/>
        </w:rPr>
        <w:t xml:space="preserve"> bgqagnjglc</w:t>
      </w:r>
      <w:r>
        <w:rPr>
          <w:rFonts w:ascii="PMingLiU" w:cs="PMingLiU" w:eastAsia="PMingLiU" w:hAnsi="PMingLiU"/>
          <w:sz w:val="20"/>
          <w:szCs w:val="20"/>
          <w:color w:val="634140"/>
        </w:rPr>
        <w:t/>
      </w:r>
      <w:r>
        <w:rPr>
          <w:rFonts w:ascii="Arial" w:cs="Arial" w:eastAsia="Arial" w:hAnsi="Arial"/>
          <w:sz w:val="20"/>
          <w:szCs w:val="20"/>
          <w:color w:val="634140"/>
        </w:rPr>
        <w:t>Eqfj_lb</w:t>
      </w:r>
      <w:r>
        <w:rPr>
          <w:rFonts w:ascii="PMingLiU" w:cs="PMingLiU" w:eastAsia="PMingLiU" w:hAnsi="PMingLiU"/>
          <w:sz w:val="20"/>
          <w:szCs w:val="20"/>
          <w:color w:val="634140"/>
        </w:rPr>
        <w:t/>
      </w:r>
      <w:r>
        <w:rPr>
          <w:rFonts w:ascii="Arial" w:cs="Arial" w:eastAsia="Arial" w:hAnsi="Arial"/>
          <w:sz w:val="20"/>
          <w:szCs w:val="20"/>
          <w:color w:val="634140"/>
        </w:rPr>
        <w:t>qr_wcb</w:t>
      </w:r>
      <w:r>
        <w:rPr>
          <w:rFonts w:ascii="PMingLiU" w:cs="PMingLiU" w:eastAsia="PMingLiU" w:hAnsi="PMingLiU"/>
          <w:sz w:val="20"/>
          <w:szCs w:val="20"/>
          <w:color w:val="634140"/>
        </w:rPr>
        <w:t/>
      </w:r>
      <w:r>
        <w:rPr>
          <w:rFonts w:ascii="Arial" w:cs="Arial" w:eastAsia="Arial" w:hAnsi="Arial"/>
          <w:sz w:val="20"/>
          <w:szCs w:val="20"/>
          <w:color w:val="634140"/>
        </w:rPr>
        <w:t>dmasqcb</w:t>
      </w:r>
      <w:r>
        <w:rPr>
          <w:rFonts w:ascii="PMingLiU" w:cs="PMingLiU" w:eastAsia="PMingLiU" w:hAnsi="PMingLiU"/>
          <w:sz w:val="20"/>
          <w:szCs w:val="20"/>
          <w:color w:val="634140"/>
        </w:rPr>
        <w:t/>
      </w:r>
      <w:r>
        <w:rPr>
          <w:rFonts w:ascii="Arial" w:cs="Arial" w:eastAsia="Arial" w:hAnsi="Arial"/>
          <w:sz w:val="20"/>
          <w:szCs w:val="20"/>
          <w:color w:val="634140"/>
        </w:rPr>
        <w:t>ml</w:t>
      </w:r>
      <w:r>
        <w:rPr>
          <w:rFonts w:ascii="PMingLiU" w:cs="PMingLiU" w:eastAsia="PMingLiU" w:hAnsi="PMingLiU"/>
          <w:sz w:val="20"/>
          <w:szCs w:val="20"/>
          <w:color w:val="634140"/>
        </w:rPr>
        <w:t/>
      </w:r>
      <w:r>
        <w:rPr>
          <w:rFonts w:ascii="Arial" w:cs="Arial" w:eastAsia="Arial" w:hAnsi="Arial"/>
          <w:sz w:val="20"/>
          <w:szCs w:val="20"/>
          <w:color w:val="634140"/>
        </w:rPr>
        <w:t>uf_r</w:t>
      </w:r>
      <w:r>
        <w:rPr>
          <w:rFonts w:ascii="PMingLiU" w:cs="PMingLiU" w:eastAsia="PMingLiU" w:hAnsi="PMingLiU"/>
          <w:sz w:val="20"/>
          <w:szCs w:val="20"/>
          <w:color w:val="634140"/>
        </w:rPr>
        <w:t/>
      </w:r>
      <w:r>
        <w:rPr>
          <w:rFonts w:ascii="Arial" w:cs="Arial" w:eastAsia="Arial" w:hAnsi="Arial"/>
          <w:sz w:val="20"/>
          <w:szCs w:val="20"/>
          <w:color w:val="634140"/>
        </w:rPr>
        <w:t>k_rrcpq</w:t>
      </w:r>
      <w:r>
        <w:rPr>
          <w:rFonts w:ascii="PMingLiU" w:cs="PMingLiU" w:eastAsia="PMingLiU" w:hAnsi="PMingLiU"/>
          <w:sz w:val="20"/>
          <w:szCs w:val="20"/>
          <w:color w:val="634140"/>
        </w:rPr>
        <w:t/>
      </w:r>
      <w:r>
        <w:rPr>
          <w:rFonts w:ascii="Arial" w:cs="Arial" w:eastAsia="Arial" w:hAnsi="Arial"/>
          <w:sz w:val="20"/>
          <w:szCs w:val="20"/>
          <w:color w:val="634140"/>
        </w:rPr>
        <w:t xml:space="preserve"> kmqr </w:t>
      </w:r>
      <w:r>
        <w:rPr>
          <w:rFonts w:ascii="PMingLiU" w:cs="PMingLiU" w:eastAsia="PMingLiU" w:hAnsi="PMingLiU"/>
          <w:sz w:val="20"/>
          <w:szCs w:val="20"/>
          <w:color w:val="634140"/>
        </w:rPr>
        <w:t/>
      </w:r>
      <w:r>
        <w:rPr>
          <w:rFonts w:ascii="Arial" w:cs="Arial" w:eastAsia="Arial" w:hAnsi="Arial"/>
          <w:sz w:val="20"/>
          <w:szCs w:val="20"/>
          <w:color w:val="634140"/>
        </w:rPr>
        <w:t>cvcasrgle</w:t>
      </w:r>
      <w:r>
        <w:rPr>
          <w:rFonts w:ascii="PMingLiU" w:cs="PMingLiU" w:eastAsia="PMingLiU" w:hAnsi="PMingLiU"/>
          <w:sz w:val="20"/>
          <w:szCs w:val="20"/>
          <w:color w:val="634140"/>
        </w:rPr>
        <w:t/>
      </w:r>
      <w:r>
        <w:rPr>
          <w:rFonts w:ascii="Arial" w:cs="Arial" w:eastAsia="Arial" w:hAnsi="Arial"/>
          <w:sz w:val="20"/>
          <w:szCs w:val="20"/>
          <w:color w:val="634140"/>
        </w:rPr>
        <w:t>ugrf</w:t>
      </w:r>
      <w:r>
        <w:rPr>
          <w:rFonts w:ascii="PMingLiU" w:cs="PMingLiU" w:eastAsia="PMingLiU" w:hAnsi="PMingLiU"/>
          <w:sz w:val="20"/>
          <w:szCs w:val="20"/>
          <w:color w:val="634140"/>
        </w:rPr>
        <w:t/>
      </w:r>
      <w:r>
        <w:rPr>
          <w:rFonts w:ascii="Arial" w:cs="Arial" w:eastAsia="Arial" w:hAnsi="Arial"/>
          <w:sz w:val="20"/>
          <w:szCs w:val="20"/>
          <w:color w:val="634140"/>
        </w:rPr>
        <w:t>npcagqgml</w:t>
      </w:r>
      <w:r>
        <w:rPr>
          <w:rFonts w:ascii="PMingLiU" w:cs="PMingLiU" w:eastAsia="PMingLiU" w:hAnsi="PMingLiU"/>
          <w:sz w:val="20"/>
          <w:szCs w:val="20"/>
          <w:color w:val="634140"/>
        </w:rPr>
        <w:t/>
      </w:r>
      <w:r>
        <w:rPr>
          <w:rFonts w:ascii="Arial" w:cs="Arial" w:eastAsia="Arial" w:hAnsi="Arial"/>
          <w:sz w:val="20"/>
          <w:szCs w:val="20"/>
          <w:color w:val="634140"/>
        </w:rPr>
        <w:t>gllmt_rgle</w:t>
      </w:r>
      <w:r>
        <w:rPr>
          <w:rFonts w:ascii="PMingLiU" w:cs="PMingLiU" w:eastAsia="PMingLiU" w:hAnsi="PMingLiU"/>
          <w:sz w:val="20"/>
          <w:szCs w:val="20"/>
          <w:color w:val="634140"/>
        </w:rPr>
        <w:t/>
      </w:r>
      <w:r>
        <w:rPr>
          <w:rFonts w:ascii="Arial" w:cs="Arial" w:eastAsia="Arial" w:hAnsi="Arial"/>
          <w:sz w:val="20"/>
          <w:szCs w:val="20"/>
          <w:color w:val="634140"/>
        </w:rPr>
        <w:t>ugrf</w:t>
      </w:r>
      <w:r>
        <w:rPr>
          <w:rFonts w:ascii="PMingLiU" w:cs="PMingLiU" w:eastAsia="PMingLiU" w:hAnsi="PMingLiU"/>
          <w:sz w:val="20"/>
          <w:szCs w:val="20"/>
          <w:color w:val="634140"/>
        </w:rPr>
        <w:t/>
      </w:r>
      <w:r>
        <w:rPr>
          <w:rFonts w:ascii="Arial" w:cs="Arial" w:eastAsia="Arial" w:hAnsi="Arial"/>
          <w:sz w:val="20"/>
          <w:szCs w:val="20"/>
          <w:color w:val="634140"/>
        </w:rPr>
        <w:t>nspnmqc</w:t>
      </w:r>
      <w:r>
        <w:rPr>
          <w:rFonts w:ascii="PMingLiU" w:cs="PMingLiU" w:eastAsia="PMingLiU" w:hAnsi="PMingLiU"/>
          <w:sz w:val="20"/>
          <w:szCs w:val="20"/>
          <w:color w:val="634140"/>
        </w:rPr>
        <w:t/>
      </w:r>
      <w:r>
        <w:rPr>
          <w:rFonts w:ascii="Arial" w:cs="Arial" w:eastAsia="Arial" w:hAnsi="Arial"/>
          <w:sz w:val="20"/>
          <w:szCs w:val="20"/>
          <w:color w:val="634140"/>
        </w:rPr>
        <w:t xml:space="preserve"> _lb</w:t>
      </w:r>
      <w:r>
        <w:rPr>
          <w:rFonts w:ascii="PMingLiU" w:cs="PMingLiU" w:eastAsia="PMingLiU" w:hAnsi="PMingLiU"/>
          <w:sz w:val="20"/>
          <w:szCs w:val="20"/>
          <w:color w:val="634140"/>
        </w:rPr>
        <w:t/>
      </w:r>
      <w:r>
        <w:rPr>
          <w:rFonts w:ascii="Arial" w:cs="Arial" w:eastAsia="Arial" w:hAnsi="Arial"/>
          <w:sz w:val="20"/>
          <w:szCs w:val="20"/>
          <w:color w:val="634140"/>
        </w:rPr>
        <w:t>gltcqrgle</w:t>
      </w:r>
      <w:r>
        <w:rPr>
          <w:rFonts w:ascii="PMingLiU" w:cs="PMingLiU" w:eastAsia="PMingLiU" w:hAnsi="PMingLiU"/>
          <w:sz w:val="20"/>
          <w:szCs w:val="20"/>
          <w:color w:val="634140"/>
        </w:rPr>
        <w:t/>
      </w:r>
      <w:r>
        <w:rPr>
          <w:rFonts w:ascii="Arial" w:cs="Arial" w:eastAsia="Arial" w:hAnsi="Arial"/>
          <w:sz w:val="20"/>
          <w:szCs w:val="20"/>
          <w:color w:val="634140"/>
        </w:rPr>
        <w:t>gl</w:t>
      </w:r>
      <w:r>
        <w:rPr>
          <w:rFonts w:ascii="PMingLiU" w:cs="PMingLiU" w:eastAsia="PMingLiU" w:hAnsi="PMingLiU"/>
          <w:sz w:val="20"/>
          <w:szCs w:val="20"/>
          <w:color w:val="634140"/>
        </w:rPr>
        <w:t/>
      </w:r>
      <w:r>
        <w:rPr>
          <w:rFonts w:ascii="Arial" w:cs="Arial" w:eastAsia="Arial" w:hAnsi="Arial"/>
          <w:sz w:val="20"/>
          <w:szCs w:val="20"/>
          <w:color w:val="634140"/>
        </w:rPr>
        <w:t>msp</w:t>
      </w:r>
      <w:r>
        <w:rPr>
          <w:rFonts w:ascii="PMingLiU" w:cs="PMingLiU" w:eastAsia="PMingLiU" w:hAnsi="PMingLiU"/>
          <w:sz w:val="20"/>
          <w:szCs w:val="20"/>
          <w:color w:val="634140"/>
        </w:rPr>
        <w:t/>
      </w:r>
      <w:r>
        <w:rPr>
          <w:rFonts w:ascii="Arial" w:cs="Arial" w:eastAsia="Arial" w:hAnsi="Arial"/>
          <w:sz w:val="20"/>
          <w:szCs w:val="20"/>
          <w:color w:val="634140"/>
        </w:rPr>
        <w:t>ncmnjc</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a_n_`gjgrgcq</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r>
        <w:rPr>
          <w:rFonts w:ascii="Arial" w:cs="Arial" w:eastAsia="Arial" w:hAnsi="Arial"/>
          <w:sz w:val="20"/>
          <w:szCs w:val="20"/>
          <w:color w:val="634140"/>
        </w:rPr>
        <w:t>bcjgtcp</w:t>
      </w:r>
      <w:r>
        <w:rPr>
          <w:rFonts w:ascii="PMingLiU" w:cs="PMingLiU" w:eastAsia="PMingLiU" w:hAnsi="PMingLiU"/>
          <w:sz w:val="20"/>
          <w:szCs w:val="20"/>
          <w:color w:val="634140"/>
        </w:rPr>
        <w:t/>
      </w:r>
      <w:r>
        <w:rPr>
          <w:rFonts w:ascii="Arial" w:cs="Arial" w:eastAsia="Arial" w:hAnsi="Arial"/>
          <w:sz w:val="20"/>
          <w:szCs w:val="20"/>
          <w:color w:val="634140"/>
        </w:rPr>
        <w:t xml:space="preserve"> qsqr_gl_`jc</w:t>
      </w:r>
      <w:r>
        <w:rPr>
          <w:rFonts w:ascii="PMingLiU" w:cs="PMingLiU" w:eastAsia="PMingLiU" w:hAnsi="PMingLiU"/>
          <w:sz w:val="20"/>
          <w:szCs w:val="20"/>
          <w:color w:val="634140"/>
        </w:rPr>
        <w:t/>
      </w:r>
      <w:r>
        <w:rPr>
          <w:rFonts w:ascii="Arial" w:cs="Arial" w:eastAsia="Arial" w:hAnsi="Arial"/>
          <w:sz w:val="20"/>
          <w:szCs w:val="20"/>
          <w:color w:val="634140"/>
        </w:rPr>
        <w:t>t_jsc</w:t>
      </w:r>
      <w:r>
        <w:rPr>
          <w:rFonts w:ascii="PMingLiU" w:cs="PMingLiU" w:eastAsia="PMingLiU" w:hAnsi="PMingLiU"/>
          <w:sz w:val="20"/>
          <w:szCs w:val="20"/>
          <w:color w:val="634140"/>
        </w:rPr>
        <w:t/>
      </w:r>
      <w:r>
        <w:rPr>
          <w:rFonts w:ascii="Arial" w:cs="Arial" w:eastAsia="Arial" w:hAnsi="Arial"/>
          <w:sz w:val="20"/>
          <w:szCs w:val="20"/>
          <w:color w:val="634140"/>
        </w:rPr>
        <w:t>[grf</w:t>
      </w:r>
      <w:r>
        <w:rPr>
          <w:rFonts w:ascii="PMingLiU" w:cs="PMingLiU" w:eastAsia="PMingLiU" w:hAnsi="PMingLiU"/>
          <w:sz w:val="20"/>
          <w:szCs w:val="20"/>
          <w:color w:val="634140"/>
        </w:rPr>
        <w:t/>
      </w:r>
      <w:r>
        <w:rPr>
          <w:rFonts w:ascii="Arial" w:cs="Arial" w:eastAsia="Arial" w:hAnsi="Arial"/>
          <w:sz w:val="20"/>
          <w:szCs w:val="20"/>
          <w:color w:val="634140"/>
        </w:rPr>
        <w:t>_</w:t>
      </w:r>
      <w:r>
        <w:rPr>
          <w:rFonts w:ascii="PMingLiU" w:cs="PMingLiU" w:eastAsia="PMingLiU" w:hAnsi="PMingLiU"/>
          <w:sz w:val="20"/>
          <w:szCs w:val="20"/>
          <w:color w:val="634140"/>
        </w:rPr>
        <w:t/>
      </w:r>
      <w:r>
        <w:rPr>
          <w:rFonts w:ascii="Arial" w:cs="Arial" w:eastAsia="Arial" w:hAnsi="Arial"/>
          <w:sz w:val="20"/>
          <w:szCs w:val="20"/>
          <w:color w:val="634140"/>
        </w:rPr>
        <w:t>qfgdrgle</w:t>
      </w:r>
      <w:r>
        <w:rPr>
          <w:rFonts w:ascii="PMingLiU" w:cs="PMingLiU" w:eastAsia="PMingLiU" w:hAnsi="PMingLiU"/>
          <w:sz w:val="20"/>
          <w:szCs w:val="20"/>
          <w:color w:val="634140"/>
        </w:rPr>
        <w:t/>
      </w:r>
      <w:r>
        <w:rPr>
          <w:rFonts w:ascii="Arial" w:cs="Arial" w:eastAsia="Arial" w:hAnsi="Arial"/>
          <w:sz w:val="20"/>
          <w:szCs w:val="20"/>
          <w:color w:val="634140"/>
        </w:rPr>
        <w:t>ecmnmjgrga_j</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 xml:space="preserve"> camlmkga</w:t>
      </w:r>
      <w:r>
        <w:rPr>
          <w:rFonts w:ascii="PMingLiU" w:cs="PMingLiU" w:eastAsia="PMingLiU" w:hAnsi="PMingLiU"/>
          <w:sz w:val="20"/>
          <w:szCs w:val="20"/>
          <w:color w:val="634140"/>
        </w:rPr>
        <w:t/>
      </w:r>
      <w:r>
        <w:rPr>
          <w:rFonts w:ascii="Arial" w:cs="Arial" w:eastAsia="Arial" w:hAnsi="Arial"/>
          <w:sz w:val="20"/>
          <w:szCs w:val="20"/>
          <w:color w:val="634140"/>
        </w:rPr>
        <w:t>j_lbqa_nc</w:t>
      </w:r>
      <w:r>
        <w:rPr>
          <w:rFonts w:ascii="PMingLiU" w:cs="PMingLiU" w:eastAsia="PMingLiU" w:hAnsi="PMingLiU"/>
          <w:sz w:val="20"/>
          <w:szCs w:val="20"/>
          <w:color w:val="634140"/>
        </w:rPr>
        <w:t/>
      </w:r>
      <w:r>
        <w:rPr>
          <w:rFonts w:ascii="Arial" w:cs="Arial" w:eastAsia="Arial" w:hAnsi="Arial"/>
          <w:sz w:val="20"/>
          <w:szCs w:val="20"/>
          <w:color w:val="634140"/>
        </w:rPr>
        <w:t>befilcb</w:t>
      </w:r>
      <w:r>
        <w:rPr>
          <w:rFonts w:ascii="PMingLiU" w:cs="PMingLiU" w:eastAsia="PMingLiU" w:hAnsi="PMingLiU"/>
          <w:sz w:val="20"/>
          <w:szCs w:val="20"/>
          <w:color w:val="634140"/>
        </w:rPr>
        <w:t/>
      </w:r>
      <w:r>
        <w:rPr>
          <w:rFonts w:ascii="Arial" w:cs="Arial" w:eastAsia="Arial" w:hAnsi="Arial"/>
          <w:sz w:val="20"/>
          <w:szCs w:val="20"/>
          <w:color w:val="634140"/>
        </w:rPr>
        <w:t>`w</w:t>
      </w:r>
      <w:r>
        <w:rPr>
          <w:rFonts w:ascii="PMingLiU" w:cs="PMingLiU" w:eastAsia="PMingLiU" w:hAnsi="PMingLiU"/>
          <w:sz w:val="20"/>
          <w:szCs w:val="20"/>
          <w:color w:val="634140"/>
        </w:rPr>
        <w:t/>
      </w:r>
      <w:r>
        <w:rPr>
          <w:rFonts w:ascii="Arial" w:cs="Arial" w:eastAsia="Arial" w:hAnsi="Arial"/>
          <w:sz w:val="20"/>
          <w:szCs w:val="20"/>
          <w:color w:val="634140"/>
        </w:rPr>
        <w:t>r_piffq</w:t>
      </w:r>
      <w:r>
        <w:rPr>
          <w:rFonts w:ascii="PMingLiU" w:cs="PMingLiU" w:eastAsia="PMingLiU" w:hAnsi="PMingLiU"/>
          <w:sz w:val="20"/>
          <w:szCs w:val="20"/>
          <w:color w:val="634140"/>
        </w:rPr>
        <w:t/>
      </w:r>
      <w:r>
        <w:rPr>
          <w:rFonts w:ascii="Arial" w:cs="Arial" w:eastAsia="Arial" w:hAnsi="Arial"/>
          <w:sz w:val="20"/>
          <w:szCs w:val="20"/>
          <w:color w:val="634140"/>
        </w:rPr>
        <w:t>glfl_rgml</w:t>
      </w:r>
      <w:r>
        <w:rPr>
          <w:rFonts w:ascii="PMingLiU" w:cs="PMingLiU" w:eastAsia="PMingLiU" w:hAnsi="PMingLiU"/>
          <w:sz w:val="20"/>
          <w:szCs w:val="20"/>
          <w:color w:val="634140"/>
        </w:rPr>
        <w:t/>
      </w:r>
      <w:r>
        <w:rPr>
          <w:rFonts w:ascii="Arial" w:cs="Arial" w:eastAsia="Arial" w:hAnsi="Arial"/>
          <w:sz w:val="20"/>
          <w:szCs w:val="20"/>
          <w:color w:val="634140"/>
        </w:rPr>
        <w:t>qsnnjw&amp; af_gl</w:t>
      </w:r>
      <w:r>
        <w:rPr>
          <w:rFonts w:ascii="PMingLiU" w:cs="PMingLiU" w:eastAsia="PMingLiU" w:hAnsi="PMingLiU"/>
          <w:sz w:val="20"/>
          <w:szCs w:val="20"/>
          <w:color w:val="634140"/>
        </w:rPr>
        <w:t/>
      </w:r>
      <w:r>
        <w:rPr>
          <w:rFonts w:ascii="Arial" w:cs="Arial" w:eastAsia="Arial" w:hAnsi="Arial"/>
          <w:sz w:val="20"/>
          <w:szCs w:val="20"/>
          <w:color w:val="634140"/>
        </w:rPr>
        <w:t>pc_jgelkclr</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slctcl</w:t>
      </w:r>
      <w:r>
        <w:rPr>
          <w:rFonts w:ascii="PMingLiU" w:cs="PMingLiU" w:eastAsia="PMingLiU" w:hAnsi="PMingLiU"/>
          <w:sz w:val="20"/>
          <w:szCs w:val="20"/>
          <w:color w:val="634140"/>
        </w:rPr>
        <w:t/>
      </w:r>
      <w:r>
        <w:rPr>
          <w:rFonts w:ascii="Arial" w:cs="Arial" w:eastAsia="Arial" w:hAnsi="Arial"/>
          <w:sz w:val="20"/>
          <w:szCs w:val="20"/>
          <w:color w:val="634140"/>
        </w:rPr>
        <w:t>ejm`_j</w:t>
      </w:r>
      <w:r>
        <w:rPr>
          <w:rFonts w:ascii="PMingLiU" w:cs="PMingLiU" w:eastAsia="PMingLiU" w:hAnsi="PMingLiU"/>
          <w:sz w:val="20"/>
          <w:szCs w:val="20"/>
          <w:color w:val="634140"/>
        </w:rPr>
        <w:t/>
      </w:r>
      <w:r>
        <w:rPr>
          <w:rFonts w:ascii="Arial" w:cs="Arial" w:eastAsia="Arial" w:hAnsi="Arial"/>
          <w:sz w:val="20"/>
          <w:szCs w:val="20"/>
          <w:color w:val="634140"/>
        </w:rPr>
        <w:t>epmurf</w:t>
      </w:r>
      <w:r>
        <w:rPr>
          <w:rFonts w:ascii="PMingLiU" w:cs="PMingLiU" w:eastAsia="PMingLiU" w:hAnsi="PMingLiU"/>
          <w:sz w:val="20"/>
          <w:szCs w:val="20"/>
          <w:color w:val="634140"/>
        </w:rPr>
        <w:t/>
      </w:r>
      <w:r>
        <w:rPr>
          <w:rFonts w:ascii="Arial" w:cs="Arial" w:eastAsia="Arial" w:hAnsi="Arial"/>
          <w:sz w:val="20"/>
          <w:szCs w:val="20"/>
          <w:color w:val="634140"/>
        </w:rPr>
        <w:t>Eqfj_lb</w:t>
      </w:r>
      <w:r>
        <w:rPr>
          <w:rFonts w:ascii="PMingLiU" w:cs="PMingLiU" w:eastAsia="PMingLiU" w:hAnsi="PMingLiU"/>
          <w:sz w:val="20"/>
          <w:szCs w:val="20"/>
          <w:color w:val="634140"/>
        </w:rPr>
        <w:t/>
      </w:r>
      <w:r>
        <w:rPr>
          <w:rFonts w:ascii="Arial" w:cs="Arial" w:eastAsia="Arial" w:hAnsi="Arial"/>
          <w:sz w:val="20"/>
          <w:szCs w:val="20"/>
          <w:color w:val="634140"/>
        </w:rPr>
        <w:t>q</w:t>
      </w:r>
      <w:r>
        <w:rPr>
          <w:rFonts w:ascii="PMingLiU" w:cs="PMingLiU" w:eastAsia="PMingLiU" w:hAnsi="PMingLiU"/>
          <w:sz w:val="20"/>
          <w:szCs w:val="20"/>
          <w:color w:val="634140"/>
        </w:rPr>
        <w:t/>
      </w:r>
      <w:r>
        <w:rPr>
          <w:rFonts w:ascii="Arial" w:cs="Arial" w:eastAsia="Arial" w:hAnsi="Arial"/>
          <w:sz w:val="20"/>
          <w:szCs w:val="20"/>
          <w:color w:val="634140"/>
        </w:rPr>
        <w:t xml:space="preserve"> _bt_lacb</w:t>
      </w:r>
      <w:r>
        <w:rPr>
          <w:rFonts w:ascii="PMingLiU" w:cs="PMingLiU" w:eastAsia="PMingLiU" w:hAnsi="PMingLiU"/>
          <w:sz w:val="20"/>
          <w:szCs w:val="20"/>
          <w:color w:val="634140"/>
        </w:rPr>
        <w:t/>
      </w:r>
      <w:r>
        <w:rPr>
          <w:rFonts w:ascii="Arial" w:cs="Arial" w:eastAsia="Arial" w:hAnsi="Arial"/>
          <w:sz w:val="20"/>
          <w:szCs w:val="20"/>
          <w:color w:val="634140"/>
        </w:rPr>
        <w:t>rcaflmjmegcq</w:t>
      </w:r>
      <w:r>
        <w:rPr>
          <w:rFonts w:ascii="PMingLiU" w:cs="PMingLiU" w:eastAsia="PMingLiU" w:hAnsi="PMingLiU"/>
          <w:sz w:val="20"/>
          <w:szCs w:val="20"/>
          <w:color w:val="634140"/>
        </w:rPr>
        <w:t/>
      </w:r>
      <w:r>
        <w:rPr>
          <w:rFonts w:ascii="Arial" w:cs="Arial" w:eastAsia="Arial" w:hAnsi="Arial"/>
          <w:sz w:val="20"/>
          <w:szCs w:val="20"/>
          <w:color w:val="634140"/>
        </w:rPr>
        <w:t>amlrglscb</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r>
        <w:rPr>
          <w:rFonts w:ascii="Arial" w:cs="Arial" w:eastAsia="Arial" w:hAnsi="Arial"/>
          <w:sz w:val="20"/>
          <w:szCs w:val="20"/>
          <w:color w:val="634140"/>
        </w:rPr>
        <w:t>gknpmtc</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 xml:space="preserve"> jgtcq</w:t>
      </w:r>
      <w:r>
        <w:rPr>
          <w:rFonts w:ascii="PMingLiU" w:cs="PMingLiU" w:eastAsia="PMingLiU" w:hAnsi="PMingLiU"/>
          <w:sz w:val="20"/>
          <w:szCs w:val="20"/>
          <w:color w:val="634140"/>
        </w:rPr>
        <w:t/>
      </w:r>
      <w:r>
        <w:rPr>
          <w:rFonts w:ascii="Arial" w:cs="Arial" w:eastAsia="Arial" w:hAnsi="Arial"/>
          <w:sz w:val="20"/>
          <w:szCs w:val="20"/>
          <w:color w:val="634140"/>
        </w:rPr>
        <w:t>md</w:t>
      </w:r>
      <w:r>
        <w:rPr>
          <w:rFonts w:ascii="PMingLiU" w:cs="PMingLiU" w:eastAsia="PMingLiU" w:hAnsi="PMingLiU"/>
          <w:sz w:val="20"/>
          <w:szCs w:val="20"/>
          <w:color w:val="634140"/>
        </w:rPr>
        <w:t/>
      </w:r>
      <w:r>
        <w:rPr>
          <w:rFonts w:ascii="Arial" w:cs="Arial" w:eastAsia="Arial" w:hAnsi="Arial"/>
          <w:sz w:val="20"/>
          <w:szCs w:val="20"/>
          <w:color w:val="634140"/>
        </w:rPr>
        <w:t>ncmnjc</w:t>
      </w:r>
      <w:r>
        <w:rPr>
          <w:rFonts w:ascii="PMingLiU" w:cs="PMingLiU" w:eastAsia="PMingLiU" w:hAnsi="PMingLiU"/>
          <w:sz w:val="20"/>
          <w:szCs w:val="20"/>
          <w:color w:val="634140"/>
        </w:rPr>
        <w:t/>
      </w:r>
      <w:r>
        <w:rPr>
          <w:rFonts w:ascii="Arial" w:cs="Arial" w:eastAsia="Arial" w:hAnsi="Arial"/>
          <w:sz w:val="20"/>
          <w:szCs w:val="20"/>
          <w:color w:val="634140"/>
        </w:rPr>
        <w:t>gl</w:t>
      </w:r>
      <w:r>
        <w:rPr>
          <w:rFonts w:ascii="PMingLiU" w:cs="PMingLiU" w:eastAsia="PMingLiU" w:hAnsi="PMingLiU"/>
          <w:sz w:val="20"/>
          <w:szCs w:val="20"/>
          <w:color w:val="634140"/>
        </w:rPr>
        <w:t/>
      </w:r>
      <w:r>
        <w:rPr>
          <w:rFonts w:ascii="Arial" w:cs="Arial" w:eastAsia="Arial" w:hAnsi="Arial"/>
          <w:sz w:val="20"/>
          <w:szCs w:val="20"/>
          <w:color w:val="634140"/>
        </w:rPr>
        <w:t>ctcpw</w:t>
      </w:r>
      <w:r>
        <w:rPr>
          <w:rFonts w:ascii="PMingLiU" w:cs="PMingLiU" w:eastAsia="PMingLiU" w:hAnsi="PMingLiU"/>
          <w:sz w:val="20"/>
          <w:szCs w:val="20"/>
          <w:color w:val="634140"/>
        </w:rPr>
        <w:t/>
      </w:r>
      <w:r>
        <w:rPr>
          <w:rFonts w:ascii="Arial" w:cs="Arial" w:eastAsia="Arial" w:hAnsi="Arial"/>
          <w:sz w:val="20"/>
          <w:szCs w:val="20"/>
          <w:color w:val="634140"/>
        </w:rPr>
        <w:t>amslrpw</w:t>
      </w:r>
      <w:r>
        <w:rPr>
          <w:rFonts w:ascii="PMingLiU" w:cs="PMingLiU" w:eastAsia="PMingLiU" w:hAnsi="PMingLiU"/>
          <w:sz w:val="20"/>
          <w:szCs w:val="20"/>
          <w:color w:val="634140"/>
        </w:rPr>
        <w:t/>
      </w:r>
      <w:r>
        <w:rPr>
          <w:rFonts w:ascii="Arial" w:cs="Arial" w:eastAsia="Arial" w:hAnsi="Arial"/>
          <w:sz w:val="20"/>
          <w:szCs w:val="20"/>
          <w:color w:val="634140"/>
        </w:rPr>
        <w:t>asjrspc</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amlqskcp</w:t>
      </w:r>
      <w:r>
        <w:rPr>
          <w:rFonts w:ascii="PMingLiU" w:cs="PMingLiU" w:eastAsia="PMingLiU" w:hAnsi="PMingLiU"/>
          <w:sz w:val="20"/>
          <w:szCs w:val="20"/>
          <w:color w:val="634140"/>
        </w:rPr>
        <w:t/>
      </w:r>
      <w:r>
        <w:rPr>
          <w:rFonts w:ascii="Arial" w:cs="Arial" w:eastAsia="Arial" w:hAnsi="Arial"/>
          <w:sz w:val="20"/>
          <w:szCs w:val="20"/>
          <w:color w:val="634140"/>
        </w:rPr>
        <w:t xml:space="preserve"> k_picrnj_ac</w:t>
      </w:r>
      <w:r>
        <w:rPr>
          <w:rFonts w:ascii="PMingLiU" w:cs="PMingLiU" w:eastAsia="PMingLiU" w:hAnsi="PMingLiU"/>
          <w:sz w:val="20"/>
          <w:szCs w:val="20"/>
          <w:color w:val="634140"/>
        </w:rPr>
        <w:t/>
      </w:r>
      <w:r>
        <w:rPr>
          <w:rFonts w:ascii="Arial" w:cs="Arial" w:eastAsia="Arial" w:hAnsi="Arial"/>
          <w:sz w:val="20"/>
          <w:szCs w:val="20"/>
          <w:color w:val="634140"/>
        </w:rPr>
        <w:t>_pmslb</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umpjb</w:t>
      </w:r>
      <w:r>
        <w:rPr>
          <w:rFonts w:ascii="PMingLiU" w:cs="PMingLiU" w:eastAsia="PMingLiU" w:hAnsi="PMingLiU"/>
          <w:sz w:val="20"/>
          <w:szCs w:val="20"/>
          <w:color w:val="634140"/>
        </w:rPr>
        <w:t/>
      </w:r>
    </w:p>
    <w:p>
      <w:pPr>
        <w:spacing w:after="0" w:line="364"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b w:val="1"/>
          <w:bCs w:val="1"/>
          <w:color w:val="59BDB6"/>
        </w:rPr>
        <w:t>l_tge_rgle</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_</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af_legle</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umpjb</w:t>
      </w:r>
    </w:p>
    <w:p>
      <w:pPr>
        <w:spacing w:after="0" w:line="146"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Eq</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ejm`_j</w:t>
      </w:r>
      <w:r>
        <w:rPr>
          <w:rFonts w:ascii="PMingLiU" w:cs="PMingLiU" w:eastAsia="PMingLiU" w:hAnsi="PMingLiU"/>
          <w:sz w:val="20"/>
          <w:szCs w:val="20"/>
          <w:color w:val="634140"/>
        </w:rPr>
        <w:t/>
      </w:r>
      <w:r>
        <w:rPr>
          <w:rFonts w:ascii="Arial" w:cs="Arial" w:eastAsia="Arial" w:hAnsi="Arial"/>
          <w:sz w:val="20"/>
          <w:szCs w:val="20"/>
          <w:color w:val="634140"/>
        </w:rPr>
        <w:t>camlmkw</w:t>
      </w:r>
      <w:r>
        <w:rPr>
          <w:rFonts w:ascii="PMingLiU" w:cs="PMingLiU" w:eastAsia="PMingLiU" w:hAnsi="PMingLiU"/>
          <w:sz w:val="20"/>
          <w:szCs w:val="20"/>
          <w:color w:val="634140"/>
        </w:rPr>
        <w:t/>
      </w:r>
      <w:r>
        <w:rPr>
          <w:rFonts w:ascii="Arial" w:cs="Arial" w:eastAsia="Arial" w:hAnsi="Arial"/>
          <w:sz w:val="20"/>
          <w:szCs w:val="20"/>
          <w:color w:val="634140"/>
        </w:rPr>
        <w:t>amlrglscq</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r>
        <w:rPr>
          <w:rFonts w:ascii="Arial" w:cs="Arial" w:eastAsia="Arial" w:hAnsi="Arial"/>
          <w:sz w:val="20"/>
          <w:szCs w:val="20"/>
          <w:color w:val="634140"/>
        </w:rPr>
        <w:t>ctmjtc</w:t>
      </w:r>
      <w:r>
        <w:rPr>
          <w:rFonts w:ascii="PMingLiU" w:cs="PMingLiU" w:eastAsia="PMingLiU" w:hAnsi="PMingLiU"/>
          <w:sz w:val="20"/>
          <w:szCs w:val="20"/>
          <w:color w:val="634140"/>
        </w:rPr>
        <w:t/>
      </w:r>
      <w:r>
        <w:rPr>
          <w:rFonts w:ascii="Arial" w:cs="Arial" w:eastAsia="Arial" w:hAnsi="Arial"/>
          <w:sz w:val="20"/>
          <w:szCs w:val="20"/>
          <w:color w:val="634140"/>
        </w:rPr>
        <w:t>_prifiag_j</w:t>
      </w:r>
      <w:r>
        <w:rPr>
          <w:rFonts w:ascii="PMingLiU" w:cs="PMingLiU" w:eastAsia="PMingLiU" w:hAnsi="PMingLiU"/>
          <w:sz w:val="20"/>
          <w:szCs w:val="20"/>
          <w:color w:val="634140"/>
        </w:rPr>
        <w:t/>
      </w:r>
    </w:p>
    <w:p>
      <w:pPr>
        <w:spacing w:after="0" w:line="21"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glrcjjgeclac</w:t>
      </w:r>
      <w:r>
        <w:rPr>
          <w:rFonts w:ascii="PMingLiU" w:cs="PMingLiU" w:eastAsia="PMingLiU" w:hAnsi="PMingLiU"/>
          <w:sz w:val="20"/>
          <w:szCs w:val="20"/>
          <w:color w:val="634140"/>
        </w:rPr>
        <w:t/>
      </w:r>
      <w:r>
        <w:rPr>
          <w:rFonts w:ascii="Arial" w:cs="Arial" w:eastAsia="Arial" w:hAnsi="Arial"/>
          <w:sz w:val="20"/>
          <w:szCs w:val="20"/>
          <w:color w:val="634140"/>
        </w:rPr>
        <w:t>+EM,</w:t>
      </w:r>
      <w:r>
        <w:rPr>
          <w:rFonts w:ascii="PMingLiU" w:cs="PMingLiU" w:eastAsia="PMingLiU" w:hAnsi="PMingLiU"/>
          <w:sz w:val="20"/>
          <w:szCs w:val="20"/>
          <w:color w:val="634140"/>
        </w:rPr>
        <w:t/>
      </w:r>
      <w:r>
        <w:rPr>
          <w:rFonts w:ascii="Arial" w:cs="Arial" w:eastAsia="Arial" w:hAnsi="Arial"/>
          <w:sz w:val="20"/>
          <w:szCs w:val="20"/>
          <w:color w:val="634140"/>
        </w:rPr>
        <w:t>_srmk_rgml</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_l_jwrgaq</w:t>
      </w:r>
      <w:r>
        <w:rPr>
          <w:rFonts w:ascii="PMingLiU" w:cs="PMingLiU" w:eastAsia="PMingLiU" w:hAnsi="PMingLiU"/>
          <w:sz w:val="20"/>
          <w:szCs w:val="20"/>
          <w:color w:val="634140"/>
        </w:rPr>
        <w:t/>
      </w:r>
      <w:r>
        <w:rPr>
          <w:rFonts w:ascii="Arial" w:cs="Arial" w:eastAsia="Arial" w:hAnsi="Arial"/>
          <w:sz w:val="20"/>
          <w:szCs w:val="20"/>
          <w:color w:val="634140"/>
        </w:rPr>
        <w:t>_pc</w:t>
      </w:r>
      <w:r>
        <w:rPr>
          <w:rFonts w:ascii="PMingLiU" w:cs="PMingLiU" w:eastAsia="PMingLiU" w:hAnsi="PMingLiU"/>
          <w:sz w:val="20"/>
          <w:szCs w:val="20"/>
          <w:color w:val="634140"/>
        </w:rPr>
        <w:t/>
      </w:r>
      <w:r>
        <w:rPr>
          <w:rFonts w:ascii="Arial" w:cs="Arial" w:eastAsia="Arial" w:hAnsi="Arial"/>
          <w:sz w:val="20"/>
          <w:szCs w:val="20"/>
          <w:color w:val="634140"/>
        </w:rPr>
        <w:t>pcqf_ngle</w:t>
      </w:r>
      <w:r>
        <w:rPr>
          <w:rFonts w:ascii="PMingLiU" w:cs="PMingLiU" w:eastAsia="PMingLiU" w:hAnsi="PMingLiU"/>
          <w:sz w:val="20"/>
          <w:szCs w:val="20"/>
          <w:color w:val="634140"/>
        </w:rPr>
        <w:t/>
      </w:r>
    </w:p>
    <w:p>
      <w:pPr>
        <w:spacing w:after="0" w:line="21"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ctcpw</w:t>
      </w:r>
      <w:r>
        <w:rPr>
          <w:rFonts w:ascii="PMingLiU" w:cs="PMingLiU" w:eastAsia="PMingLiU" w:hAnsi="PMingLiU"/>
          <w:sz w:val="20"/>
          <w:szCs w:val="20"/>
          <w:color w:val="634140"/>
        </w:rPr>
        <w:t/>
      </w:r>
      <w:r>
        <w:rPr>
          <w:rFonts w:ascii="Arial" w:cs="Arial" w:eastAsia="Arial" w:hAnsi="Arial"/>
          <w:sz w:val="20"/>
          <w:szCs w:val="20"/>
          <w:color w:val="634140"/>
        </w:rPr>
        <w:t>glbsqrpw</w:t>
      </w:r>
      <w:r>
        <w:rPr>
          <w:rFonts w:ascii="PMingLiU" w:cs="PMingLiU" w:eastAsia="PMingLiU" w:hAnsi="PMingLiU"/>
          <w:sz w:val="20"/>
          <w:szCs w:val="20"/>
          <w:color w:val="634140"/>
        </w:rPr>
        <w:t/>
      </w:r>
      <w:r>
        <w:rPr>
          <w:rFonts w:ascii="Arial" w:cs="Arial" w:eastAsia="Arial" w:hAnsi="Arial"/>
          <w:sz w:val="20"/>
          <w:szCs w:val="20"/>
          <w:color w:val="634140"/>
        </w:rPr>
        <w:t>glajsbgle</w:t>
      </w:r>
      <w:r>
        <w:rPr>
          <w:rFonts w:ascii="PMingLiU" w:cs="PMingLiU" w:eastAsia="PMingLiU" w:hAnsi="PMingLiU"/>
          <w:sz w:val="20"/>
          <w:szCs w:val="20"/>
          <w:color w:val="634140"/>
        </w:rPr>
        <w:t/>
      </w:r>
      <w:r>
        <w:rPr>
          <w:rFonts w:ascii="Arial" w:cs="Arial" w:eastAsia="Arial" w:hAnsi="Arial"/>
          <w:sz w:val="20"/>
          <w:szCs w:val="20"/>
          <w:color w:val="634140"/>
        </w:rPr>
        <w:t>mspq</w:t>
      </w:r>
      <w:r>
        <w:rPr>
          <w:rFonts w:ascii="PMingLiU" w:cs="PMingLiU" w:eastAsia="PMingLiU" w:hAnsi="PMingLiU"/>
          <w:sz w:val="20"/>
          <w:szCs w:val="20"/>
          <w:color w:val="634140"/>
        </w:rPr>
        <w:t/>
      </w:r>
      <w:r>
        <w:rPr>
          <w:rFonts w:ascii="Arial" w:cs="Arial" w:eastAsia="Arial" w:hAnsi="Arial"/>
          <w:sz w:val="20"/>
          <w:szCs w:val="20"/>
          <w:color w:val="634140"/>
        </w:rPr>
        <w:t>apc_rgle</w:t>
      </w:r>
      <w:r>
        <w:rPr>
          <w:rFonts w:ascii="PMingLiU" w:cs="PMingLiU" w:eastAsia="PMingLiU" w:hAnsi="PMingLiU"/>
          <w:sz w:val="20"/>
          <w:szCs w:val="20"/>
          <w:color w:val="634140"/>
        </w:rPr>
        <w:t/>
      </w:r>
      <w:r>
        <w:rPr>
          <w:rFonts w:ascii="Arial" w:cs="Arial" w:eastAsia="Arial" w:hAnsi="Arial"/>
          <w:sz w:val="20"/>
          <w:szCs w:val="20"/>
          <w:color w:val="634140"/>
        </w:rPr>
        <w:t>`mrf</w:t>
      </w:r>
      <w:r>
        <w:rPr>
          <w:rFonts w:ascii="PMingLiU" w:cs="PMingLiU" w:eastAsia="PMingLiU" w:hAnsi="PMingLiU"/>
          <w:sz w:val="20"/>
          <w:szCs w:val="20"/>
          <w:color w:val="634140"/>
        </w:rPr>
        <w:t/>
      </w:r>
      <w:r>
        <w:rPr>
          <w:rFonts w:ascii="Arial" w:cs="Arial" w:eastAsia="Arial" w:hAnsi="Arial"/>
          <w:sz w:val="20"/>
          <w:szCs w:val="20"/>
          <w:color w:val="634140"/>
        </w:rPr>
        <w:t>bgqpsnrgml</w:t>
      </w:r>
      <w:r>
        <w:rPr>
          <w:rFonts w:ascii="PMingLiU" w:cs="PMingLiU" w:eastAsia="PMingLiU" w:hAnsi="PMingLiU"/>
          <w:sz w:val="20"/>
          <w:szCs w:val="20"/>
          <w:color w:val="634140"/>
        </w:rPr>
        <w:t/>
      </w:r>
    </w:p>
    <w:p>
      <w:pPr>
        <w:spacing w:after="0" w:line="21"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mnnmprslgrw</w:t>
      </w:r>
      <w:r>
        <w:rPr>
          <w:rFonts w:ascii="PMingLiU" w:cs="PMingLiU" w:eastAsia="PMingLiU" w:hAnsi="PMingLiU"/>
          <w:sz w:val="20"/>
          <w:szCs w:val="20"/>
          <w:color w:val="634140"/>
        </w:rPr>
        <w:t/>
      </w:r>
      <w:r>
        <w:rPr>
          <w:rFonts w:ascii="Arial" w:cs="Arial" w:eastAsia="Arial" w:hAnsi="Arial"/>
          <w:sz w:val="20"/>
          <w:szCs w:val="20"/>
          <w:color w:val="634140"/>
        </w:rPr>
        <w:t>Er</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q_kc</w:t>
      </w:r>
      <w:r>
        <w:rPr>
          <w:rFonts w:ascii="PMingLiU" w:cs="PMingLiU" w:eastAsia="PMingLiU" w:hAnsi="PMingLiU"/>
          <w:sz w:val="20"/>
          <w:szCs w:val="20"/>
          <w:color w:val="634140"/>
        </w:rPr>
        <w:t/>
      </w:r>
      <w:r>
        <w:rPr>
          <w:rFonts w:ascii="Arial" w:cs="Arial" w:eastAsia="Arial" w:hAnsi="Arial"/>
          <w:sz w:val="20"/>
          <w:szCs w:val="20"/>
          <w:color w:val="634140"/>
        </w:rPr>
        <w:t>rgkc</w:t>
      </w:r>
      <w:r>
        <w:rPr>
          <w:rFonts w:ascii="PMingLiU" w:cs="PMingLiU" w:eastAsia="PMingLiU" w:hAnsi="PMingLiU"/>
          <w:sz w:val="20"/>
          <w:szCs w:val="20"/>
          <w:color w:val="634140"/>
        </w:rPr>
        <w:t/>
      </w:r>
      <w:r>
        <w:rPr>
          <w:rFonts w:ascii="Arial" w:cs="Arial" w:eastAsia="Arial" w:hAnsi="Arial"/>
          <w:sz w:val="20"/>
          <w:szCs w:val="20"/>
          <w:color w:val="634140"/>
        </w:rPr>
        <w:t>ncpqgqrclr</w:t>
      </w:r>
      <w:r>
        <w:rPr>
          <w:rFonts w:ascii="PMingLiU" w:cs="PMingLiU" w:eastAsia="PMingLiU" w:hAnsi="PMingLiU"/>
          <w:sz w:val="20"/>
          <w:szCs w:val="20"/>
          <w:color w:val="634140"/>
        </w:rPr>
        <w:t/>
      </w:r>
      <w:r>
        <w:rPr>
          <w:rFonts w:ascii="Arial" w:cs="Arial" w:eastAsia="Arial" w:hAnsi="Arial"/>
          <w:sz w:val="20"/>
          <w:szCs w:val="20"/>
          <w:color w:val="634140"/>
        </w:rPr>
        <w:t>glfl_rgml</w:t>
      </w:r>
      <w:r>
        <w:rPr>
          <w:rFonts w:ascii="PMingLiU" w:cs="PMingLiU" w:eastAsia="PMingLiU" w:hAnsi="PMingLiU"/>
          <w:sz w:val="20"/>
          <w:szCs w:val="20"/>
          <w:color w:val="634140"/>
        </w:rPr>
        <w:t/>
      </w:r>
    </w:p>
    <w:p>
      <w:pPr>
        <w:spacing w:after="0" w:line="21"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clcpew</w:t>
      </w:r>
      <w:r>
        <w:rPr>
          <w:rFonts w:ascii="PMingLiU" w:cs="PMingLiU" w:eastAsia="PMingLiU" w:hAnsi="PMingLiU"/>
          <w:sz w:val="20"/>
          <w:szCs w:val="20"/>
          <w:color w:val="634140"/>
        </w:rPr>
        <w:t/>
      </w:r>
      <w:r>
        <w:rPr>
          <w:rFonts w:ascii="Arial" w:cs="Arial" w:eastAsia="Arial" w:hAnsi="Arial"/>
          <w:sz w:val="20"/>
          <w:szCs w:val="20"/>
          <w:color w:val="634140"/>
        </w:rPr>
        <w:t>rp_lqgrgmlq</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pgqgle</w:t>
      </w:r>
      <w:r>
        <w:rPr>
          <w:rFonts w:ascii="PMingLiU" w:cs="PMingLiU" w:eastAsia="PMingLiU" w:hAnsi="PMingLiU"/>
          <w:sz w:val="20"/>
          <w:szCs w:val="20"/>
          <w:color w:val="634140"/>
        </w:rPr>
        <w:t/>
      </w:r>
      <w:r>
        <w:rPr>
          <w:rFonts w:ascii="Arial" w:cs="Arial" w:eastAsia="Arial" w:hAnsi="Arial"/>
          <w:sz w:val="20"/>
          <w:szCs w:val="20"/>
          <w:color w:val="634140"/>
        </w:rPr>
        <w:t>ecmnmjgrga_j</w:t>
      </w:r>
      <w:r>
        <w:rPr>
          <w:rFonts w:ascii="PMingLiU" w:cs="PMingLiU" w:eastAsia="PMingLiU" w:hAnsi="PMingLiU"/>
          <w:sz w:val="20"/>
          <w:szCs w:val="20"/>
          <w:color w:val="634140"/>
        </w:rPr>
        <w:t/>
      </w:r>
      <w:r>
        <w:rPr>
          <w:rFonts w:ascii="Arial" w:cs="Arial" w:eastAsia="Arial" w:hAnsi="Arial"/>
          <w:sz w:val="20"/>
          <w:szCs w:val="20"/>
          <w:color w:val="634140"/>
        </w:rPr>
        <w:t>rclqgmlq</w:t>
      </w:r>
      <w:r>
        <w:rPr>
          <w:rFonts w:ascii="PMingLiU" w:cs="PMingLiU" w:eastAsia="PMingLiU" w:hAnsi="PMingLiU"/>
          <w:sz w:val="20"/>
          <w:szCs w:val="20"/>
          <w:color w:val="634140"/>
        </w:rPr>
        <w:t/>
      </w:r>
      <w:r>
        <w:rPr>
          <w:rFonts w:ascii="Arial" w:cs="Arial" w:eastAsia="Arial" w:hAnsi="Arial"/>
          <w:sz w:val="20"/>
          <w:szCs w:val="20"/>
          <w:color w:val="634140"/>
        </w:rPr>
        <w:t>_pc</w:t>
      </w:r>
      <w:r>
        <w:rPr>
          <w:rFonts w:ascii="PMingLiU" w:cs="PMingLiU" w:eastAsia="PMingLiU" w:hAnsi="PMingLiU"/>
          <w:sz w:val="20"/>
          <w:szCs w:val="20"/>
          <w:color w:val="634140"/>
        </w:rPr>
        <w:t/>
      </w:r>
    </w:p>
    <w:p>
      <w:pPr>
        <w:spacing w:after="0" w:line="21"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pcupgrgle</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psjcq</w:t>
      </w:r>
      <w:r>
        <w:rPr>
          <w:rFonts w:ascii="PMingLiU" w:cs="PMingLiU" w:eastAsia="PMingLiU" w:hAnsi="PMingLiU"/>
          <w:sz w:val="20"/>
          <w:szCs w:val="20"/>
          <w:color w:val="634140"/>
        </w:rPr>
        <w:t/>
      </w:r>
      <w:r>
        <w:rPr>
          <w:rFonts w:ascii="Arial" w:cs="Arial" w:eastAsia="Arial" w:hAnsi="Arial"/>
          <w:sz w:val="20"/>
          <w:szCs w:val="20"/>
          <w:color w:val="634140"/>
        </w:rPr>
        <w:t>md</w:t>
      </w:r>
      <w:r>
        <w:rPr>
          <w:rFonts w:ascii="PMingLiU" w:cs="PMingLiU" w:eastAsia="PMingLiU" w:hAnsi="PMingLiU"/>
          <w:sz w:val="20"/>
          <w:szCs w:val="20"/>
          <w:color w:val="634140"/>
        </w:rPr>
        <w:t/>
      </w:r>
      <w:r>
        <w:rPr>
          <w:rFonts w:ascii="Arial" w:cs="Arial" w:eastAsia="Arial" w:hAnsi="Arial"/>
          <w:sz w:val="20"/>
          <w:szCs w:val="20"/>
          <w:color w:val="634140"/>
        </w:rPr>
        <w:t>ejm`_j</w:t>
      </w:r>
      <w:r>
        <w:rPr>
          <w:rFonts w:ascii="PMingLiU" w:cs="PMingLiU" w:eastAsia="PMingLiU" w:hAnsi="PMingLiU"/>
          <w:sz w:val="20"/>
          <w:szCs w:val="20"/>
          <w:color w:val="634140"/>
        </w:rPr>
        <w:t/>
      </w:r>
      <w:r>
        <w:rPr>
          <w:rFonts w:ascii="Arial" w:cs="Arial" w:eastAsia="Arial" w:hAnsi="Arial"/>
          <w:sz w:val="20"/>
          <w:szCs w:val="20"/>
          <w:color w:val="634140"/>
        </w:rPr>
        <w:t>rp_bc</w:t>
      </w:r>
      <w:r>
        <w:rPr>
          <w:rFonts w:ascii="PMingLiU" w:cs="PMingLiU" w:eastAsia="PMingLiU" w:hAnsi="PMingLiU"/>
          <w:sz w:val="20"/>
          <w:szCs w:val="20"/>
          <w:color w:val="634140"/>
        </w:rPr>
        <w:t/>
      </w:r>
      <w:r>
        <w:rPr>
          <w:rFonts w:ascii="Arial" w:cs="Arial" w:eastAsia="Arial" w:hAnsi="Arial"/>
          <w:sz w:val="20"/>
          <w:szCs w:val="20"/>
          <w:color w:val="634140"/>
        </w:rPr>
        <w:t>Xfpmsef</w:t>
      </w:r>
      <w:r>
        <w:rPr>
          <w:rFonts w:ascii="PMingLiU" w:cs="PMingLiU" w:eastAsia="PMingLiU" w:hAnsi="PMingLiU"/>
          <w:sz w:val="20"/>
          <w:szCs w:val="20"/>
          <w:color w:val="634140"/>
        </w:rPr>
        <w:t/>
      </w:r>
      <w:r>
        <w:rPr>
          <w:rFonts w:ascii="Arial" w:cs="Arial" w:eastAsia="Arial" w:hAnsi="Arial"/>
          <w:sz w:val="20"/>
          <w:szCs w:val="20"/>
          <w:color w:val="634140"/>
        </w:rPr>
        <w:t>gr</w:t>
      </w:r>
      <w:r>
        <w:rPr>
          <w:rFonts w:ascii="PMingLiU" w:cs="PMingLiU" w:eastAsia="PMingLiU" w:hAnsi="PMingLiU"/>
          <w:sz w:val="20"/>
          <w:szCs w:val="20"/>
          <w:color w:val="634140"/>
        </w:rPr>
        <w:t/>
      </w:r>
      <w:r>
        <w:rPr>
          <w:rFonts w:ascii="Arial" w:cs="Arial" w:eastAsia="Arial" w:hAnsi="Arial"/>
          <w:sz w:val="20"/>
          <w:szCs w:val="20"/>
          <w:color w:val="634140"/>
        </w:rPr>
        <w:t>_jj</w:t>
      </w:r>
      <w:r>
        <w:rPr>
          <w:rFonts w:ascii="PMingLiU" w:cs="PMingLiU" w:eastAsia="PMingLiU" w:hAnsi="PMingLiU"/>
          <w:sz w:val="20"/>
          <w:szCs w:val="20"/>
          <w:color w:val="634140"/>
        </w:rPr>
        <w:t/>
      </w:r>
    </w:p>
    <w:p>
      <w:pPr>
        <w:spacing w:after="0" w:line="21"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Eqfj_lb</w:t>
      </w:r>
      <w:r>
        <w:rPr>
          <w:rFonts w:ascii="PMingLiU" w:cs="PMingLiU" w:eastAsia="PMingLiU" w:hAnsi="PMingLiU"/>
          <w:sz w:val="20"/>
          <w:szCs w:val="20"/>
          <w:color w:val="634140"/>
        </w:rPr>
        <w:t/>
      </w:r>
      <w:r>
        <w:rPr>
          <w:rFonts w:ascii="Arial" w:cs="Arial" w:eastAsia="Arial" w:hAnsi="Arial"/>
          <w:sz w:val="20"/>
          <w:szCs w:val="20"/>
          <w:color w:val="634140"/>
        </w:rPr>
        <w:t>q</w:t>
      </w:r>
      <w:r>
        <w:rPr>
          <w:rFonts w:ascii="PMingLiU" w:cs="PMingLiU" w:eastAsia="PMingLiU" w:hAnsi="PMingLiU"/>
          <w:sz w:val="20"/>
          <w:szCs w:val="20"/>
          <w:color w:val="634140"/>
        </w:rPr>
        <w:t/>
      </w:r>
      <w:r>
        <w:rPr>
          <w:rFonts w:ascii="Arial" w:cs="Arial" w:eastAsia="Arial" w:hAnsi="Arial"/>
          <w:sz w:val="20"/>
          <w:szCs w:val="20"/>
          <w:color w:val="634140"/>
        </w:rPr>
        <w:t>bgtcpqificb</w:t>
      </w:r>
      <w:r>
        <w:rPr>
          <w:rFonts w:ascii="PMingLiU" w:cs="PMingLiU" w:eastAsia="PMingLiU" w:hAnsi="PMingLiU"/>
          <w:sz w:val="20"/>
          <w:szCs w:val="20"/>
          <w:color w:val="634140"/>
        </w:rPr>
        <w:t/>
      </w:r>
      <w:r>
        <w:rPr>
          <w:rFonts w:ascii="Arial" w:cs="Arial" w:eastAsia="Arial" w:hAnsi="Arial"/>
          <w:sz w:val="20"/>
          <w:szCs w:val="20"/>
          <w:color w:val="634140"/>
        </w:rPr>
        <w:t>nmprdmjgm</w:t>
      </w:r>
      <w:r>
        <w:rPr>
          <w:rFonts w:ascii="PMingLiU" w:cs="PMingLiU" w:eastAsia="PMingLiU" w:hAnsi="PMingLiU"/>
          <w:sz w:val="20"/>
          <w:szCs w:val="20"/>
          <w:color w:val="634140"/>
        </w:rPr>
        <w:t/>
      </w:r>
      <w:r>
        <w:rPr>
          <w:rFonts w:ascii="Arial" w:cs="Arial" w:eastAsia="Arial" w:hAnsi="Arial"/>
          <w:sz w:val="20"/>
          <w:szCs w:val="20"/>
          <w:color w:val="634140"/>
        </w:rPr>
        <w:t>pcqgjgclr</w:t>
      </w:r>
      <w:r>
        <w:rPr>
          <w:rFonts w:ascii="PMingLiU" w:cs="PMingLiU" w:eastAsia="PMingLiU" w:hAnsi="PMingLiU"/>
          <w:sz w:val="20"/>
          <w:szCs w:val="20"/>
          <w:color w:val="634140"/>
        </w:rPr>
        <w:t/>
      </w:r>
      <w:r>
        <w:rPr>
          <w:rFonts w:ascii="Arial" w:cs="Arial" w:eastAsia="Arial" w:hAnsi="Arial"/>
          <w:sz w:val="20"/>
          <w:szCs w:val="20"/>
          <w:color w:val="634140"/>
        </w:rPr>
        <w:t>clb&amp;k_picrq</w:t>
      </w:r>
      <w:r>
        <w:rPr>
          <w:rFonts w:ascii="PMingLiU" w:cs="PMingLiU" w:eastAsia="PMingLiU" w:hAnsi="PMingLiU"/>
          <w:sz w:val="20"/>
          <w:szCs w:val="20"/>
          <w:color w:val="634140"/>
        </w:rPr>
        <w:t/>
      </w:r>
    </w:p>
    <w:p>
      <w:pPr>
        <w:spacing w:after="0" w:line="21"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qrpmle</w:t>
      </w:r>
      <w:r>
        <w:rPr>
          <w:rFonts w:ascii="PMingLiU" w:cs="PMingLiU" w:eastAsia="PMingLiU" w:hAnsi="PMingLiU"/>
          <w:sz w:val="20"/>
          <w:szCs w:val="20"/>
          <w:color w:val="634140"/>
        </w:rPr>
        <w:t/>
      </w:r>
      <w:r>
        <w:rPr>
          <w:rFonts w:ascii="Arial" w:cs="Arial" w:eastAsia="Arial" w:hAnsi="Arial"/>
          <w:sz w:val="20"/>
          <w:szCs w:val="20"/>
          <w:color w:val="634140"/>
        </w:rPr>
        <w:t>`_j_lac</w:t>
      </w:r>
      <w:r>
        <w:rPr>
          <w:rFonts w:ascii="PMingLiU" w:cs="PMingLiU" w:eastAsia="PMingLiU" w:hAnsi="PMingLiU"/>
          <w:sz w:val="20"/>
          <w:szCs w:val="20"/>
          <w:color w:val="634140"/>
        </w:rPr>
        <w:t/>
      </w:r>
      <w:r>
        <w:rPr>
          <w:rFonts w:ascii="Arial" w:cs="Arial" w:eastAsia="Arial" w:hAnsi="Arial"/>
          <w:sz w:val="20"/>
          <w:szCs w:val="20"/>
          <w:color w:val="634140"/>
        </w:rPr>
        <w:t>qfccr</w:t>
      </w:r>
      <w:r>
        <w:rPr>
          <w:rFonts w:ascii="PMingLiU" w:cs="PMingLiU" w:eastAsia="PMingLiU" w:hAnsi="PMingLiU"/>
          <w:sz w:val="20"/>
          <w:szCs w:val="20"/>
          <w:color w:val="634140"/>
        </w:rPr>
        <w:t/>
      </w:r>
      <w:r>
        <w:rPr>
          <w:rFonts w:ascii="Arial" w:cs="Arial" w:eastAsia="Arial" w:hAnsi="Arial"/>
          <w:sz w:val="20"/>
          <w:szCs w:val="20"/>
          <w:color w:val="634140"/>
        </w:rPr>
        <w:t>_jjmucb</w:t>
      </w:r>
      <w:r>
        <w:rPr>
          <w:rFonts w:ascii="PMingLiU" w:cs="PMingLiU" w:eastAsia="PMingLiU" w:hAnsi="PMingLiU"/>
          <w:sz w:val="20"/>
          <w:szCs w:val="20"/>
          <w:color w:val="634140"/>
        </w:rPr>
        <w:t/>
      </w:r>
      <w:r>
        <w:rPr>
          <w:rFonts w:ascii="Arial" w:cs="Arial" w:eastAsia="Arial" w:hAnsi="Arial"/>
          <w:sz w:val="20"/>
          <w:szCs w:val="20"/>
          <w:color w:val="634140"/>
        </w:rPr>
        <w:t>sq</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r>
        <w:rPr>
          <w:rFonts w:ascii="Arial" w:cs="Arial" w:eastAsia="Arial" w:hAnsi="Arial"/>
          <w:sz w:val="20"/>
          <w:szCs w:val="20"/>
          <w:color w:val="634140"/>
        </w:rPr>
        <w:t>qr_w</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amspqc</w:t>
      </w:r>
      <w:r>
        <w:rPr>
          <w:rFonts w:ascii="PMingLiU" w:cs="PMingLiU" w:eastAsia="PMingLiU" w:hAnsi="PMingLiU"/>
          <w:sz w:val="20"/>
          <w:szCs w:val="20"/>
          <w:color w:val="634140"/>
        </w:rPr>
        <w:t/>
      </w:r>
    </w:p>
    <w:p>
      <w:pPr>
        <w:spacing w:after="0" w:line="21"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bcjgtcp</w:t>
      </w:r>
      <w:r>
        <w:rPr>
          <w:rFonts w:ascii="PMingLiU" w:cs="PMingLiU" w:eastAsia="PMingLiU" w:hAnsi="PMingLiU"/>
          <w:sz w:val="20"/>
          <w:szCs w:val="20"/>
          <w:color w:val="634140"/>
        </w:rPr>
        <w:t/>
      </w:r>
      <w:r>
        <w:rPr>
          <w:rFonts w:ascii="Arial" w:cs="Arial" w:eastAsia="Arial" w:hAnsi="Arial"/>
          <w:sz w:val="20"/>
          <w:szCs w:val="20"/>
          <w:color w:val="634140"/>
        </w:rPr>
        <w:t>lc_p&amp;rcpk</w:t>
      </w:r>
      <w:r>
        <w:rPr>
          <w:rFonts w:ascii="PMingLiU" w:cs="PMingLiU" w:eastAsia="PMingLiU" w:hAnsi="PMingLiU"/>
          <w:sz w:val="20"/>
          <w:szCs w:val="20"/>
          <w:color w:val="634140"/>
        </w:rPr>
        <w:t/>
      </w:r>
      <w:r>
        <w:rPr>
          <w:rFonts w:ascii="Arial" w:cs="Arial" w:eastAsia="Arial" w:hAnsi="Arial"/>
          <w:sz w:val="20"/>
          <w:szCs w:val="20"/>
          <w:color w:val="634140"/>
        </w:rPr>
        <w:t>ncpdmpk_lac</w:t>
      </w:r>
      <w:r>
        <w:rPr>
          <w:rFonts w:ascii="PMingLiU" w:cs="PMingLiU" w:eastAsia="PMingLiU" w:hAnsi="PMingLiU"/>
          <w:sz w:val="20"/>
          <w:szCs w:val="20"/>
          <w:color w:val="634140"/>
        </w:rPr>
        <w:t/>
      </w:r>
      <w:r>
        <w:rPr>
          <w:rFonts w:ascii="Arial" w:cs="Arial" w:eastAsia="Arial" w:hAnsi="Arial"/>
          <w:sz w:val="20"/>
          <w:szCs w:val="20"/>
          <w:color w:val="634140"/>
        </w:rPr>
        <w:t>ufgjc</w:t>
      </w:r>
      <w:r>
        <w:rPr>
          <w:rFonts w:ascii="PMingLiU" w:cs="PMingLiU" w:eastAsia="PMingLiU" w:hAnsi="PMingLiU"/>
          <w:sz w:val="20"/>
          <w:szCs w:val="20"/>
          <w:color w:val="634140"/>
        </w:rPr>
        <w:t/>
      </w:r>
      <w:r>
        <w:rPr>
          <w:rFonts w:ascii="Arial" w:cs="Arial" w:eastAsia="Arial" w:hAnsi="Arial"/>
          <w:sz w:val="20"/>
          <w:szCs w:val="20"/>
          <w:color w:val="634140"/>
        </w:rPr>
        <w:t>qrpclerfclgle</w:t>
      </w:r>
      <w:r>
        <w:rPr>
          <w:rFonts w:ascii="PMingLiU" w:cs="PMingLiU" w:eastAsia="PMingLiU" w:hAnsi="PMingLiU"/>
          <w:sz w:val="20"/>
          <w:szCs w:val="20"/>
          <w:color w:val="634140"/>
        </w:rPr>
        <w:t/>
      </w:r>
    </w:p>
    <w:p>
      <w:pPr>
        <w:spacing w:after="0" w:line="21"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msp</w:t>
      </w:r>
      <w:r>
        <w:rPr>
          <w:rFonts w:ascii="PMingLiU" w:cs="PMingLiU" w:eastAsia="PMingLiU" w:hAnsi="PMingLiU"/>
          <w:sz w:val="20"/>
          <w:szCs w:val="20"/>
          <w:color w:val="634140"/>
        </w:rPr>
        <w:t/>
      </w:r>
      <w:r>
        <w:rPr>
          <w:rFonts w:ascii="Arial" w:cs="Arial" w:eastAsia="Arial" w:hAnsi="Arial"/>
          <w:sz w:val="20"/>
          <w:szCs w:val="20"/>
          <w:color w:val="634140"/>
        </w:rPr>
        <w:t>jmle&amp;rcpk</w:t>
      </w:r>
      <w:r>
        <w:rPr>
          <w:rFonts w:ascii="PMingLiU" w:cs="PMingLiU" w:eastAsia="PMingLiU" w:hAnsi="PMingLiU"/>
          <w:sz w:val="20"/>
          <w:szCs w:val="20"/>
          <w:color w:val="634140"/>
        </w:rPr>
        <w:t/>
      </w:r>
      <w:r>
        <w:rPr>
          <w:rFonts w:ascii="Arial" w:cs="Arial" w:eastAsia="Arial" w:hAnsi="Arial"/>
          <w:sz w:val="20"/>
          <w:szCs w:val="20"/>
          <w:color w:val="634140"/>
        </w:rPr>
        <w:t>dmslb_rgml</w:t>
      </w:r>
      <w:r>
        <w:rPr>
          <w:rFonts w:ascii="PMingLiU" w:cs="PMingLiU" w:eastAsia="PMingLiU" w:hAnsi="PMingLiU"/>
          <w:sz w:val="20"/>
          <w:szCs w:val="20"/>
          <w:color w:val="634140"/>
        </w:rPr>
        <w:t/>
      </w:r>
    </w:p>
    <w:p>
      <w:pPr>
        <w:spacing w:after="0" w:line="361"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b w:val="1"/>
          <w:bCs w:val="1"/>
          <w:color w:val="59BDB6"/>
        </w:rPr>
        <w:t>bcjgtcpgle</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ncpdmpk_lac</w:t>
      </w:r>
      <w:r>
        <w:rPr>
          <w:rFonts w:ascii="PMingLiU" w:cs="PMingLiU" w:eastAsia="PMingLiU" w:hAnsi="PMingLiU"/>
          <w:sz w:val="20"/>
          <w:szCs w:val="20"/>
          <w:b w:val="1"/>
          <w:bCs w:val="1"/>
          <w:color w:val="59BDB6"/>
        </w:rPr>
        <w:t/>
      </w:r>
    </w:p>
    <w:p>
      <w:pPr>
        <w:spacing w:after="0" w:line="146" w:lineRule="exact"/>
        <w:rPr>
          <w:sz w:val="20"/>
          <w:szCs w:val="20"/>
          <w:color w:val="auto"/>
        </w:rPr>
      </w:pPr>
    </w:p>
    <w:p>
      <w:pPr>
        <w:ind w:left="4800"/>
        <w:spacing w:after="0" w:line="243" w:lineRule="exact"/>
        <w:rPr>
          <w:sz w:val="20"/>
          <w:szCs w:val="20"/>
          <w:color w:val="auto"/>
        </w:rPr>
      </w:pPr>
      <w:r>
        <w:rPr>
          <w:rFonts w:ascii="Arial" w:cs="Arial" w:eastAsia="Arial" w:hAnsi="Arial"/>
          <w:sz w:val="20"/>
          <w:szCs w:val="20"/>
          <w:color w:val="634140"/>
        </w:rPr>
        <w:t>Ml</w:t>
      </w:r>
      <w:r>
        <w:rPr>
          <w:rFonts w:ascii="PMingLiU" w:cs="PMingLiU" w:eastAsia="PMingLiU" w:hAnsi="PMingLiU"/>
          <w:sz w:val="20"/>
          <w:szCs w:val="20"/>
          <w:color w:val="634140"/>
        </w:rPr>
        <w:t/>
      </w:r>
      <w:r>
        <w:rPr>
          <w:rFonts w:ascii="Arial" w:cs="Arial" w:eastAsia="Arial" w:hAnsi="Arial"/>
          <w:sz w:val="20"/>
          <w:szCs w:val="20"/>
          <w:color w:val="634140"/>
        </w:rPr>
        <w:t>J]˧˪</w:t>
      </w:r>
      <w:r>
        <w:rPr>
          <w:rFonts w:ascii="PMingLiU" w:cs="PMingLiU" w:eastAsia="PMingLiU" w:hAnsi="PMingLiU"/>
          <w:sz w:val="20"/>
          <w:szCs w:val="20"/>
          <w:color w:val="634140"/>
        </w:rPr>
        <w:t/>
      </w:r>
      <w:r>
        <w:rPr>
          <w:rFonts w:ascii="Arial" w:cs="Arial" w:eastAsia="Arial" w:hAnsi="Arial"/>
          <w:sz w:val="20"/>
          <w:szCs w:val="20"/>
          <w:color w:val="634140"/>
        </w:rPr>
        <w:t>uc</w:t>
      </w:r>
      <w:r>
        <w:rPr>
          <w:rFonts w:ascii="PMingLiU" w:cs="PMingLiU" w:eastAsia="PMingLiU" w:hAnsi="PMingLiU"/>
          <w:sz w:val="20"/>
          <w:szCs w:val="20"/>
          <w:color w:val="634140"/>
        </w:rPr>
        <w:t/>
      </w:r>
      <w:r>
        <w:rPr>
          <w:rFonts w:ascii="Arial" w:cs="Arial" w:eastAsia="Arial" w:hAnsi="Arial"/>
          <w:sz w:val="20"/>
          <w:szCs w:val="20"/>
          <w:color w:val="634140"/>
        </w:rPr>
        <w:t>_afgctcb</w:t>
      </w:r>
      <w:r>
        <w:rPr>
          <w:rFonts w:ascii="PMingLiU" w:cs="PMingLiU" w:eastAsia="PMingLiU" w:hAnsi="PMingLiU"/>
          <w:sz w:val="20"/>
          <w:szCs w:val="20"/>
          <w:color w:val="634140"/>
        </w:rPr>
        <w:t/>
      </w:r>
      <w:r>
        <w:rPr>
          <w:rFonts w:ascii="Arial" w:cs="Arial" w:eastAsia="Arial" w:hAnsi="Arial"/>
          <w:sz w:val="20"/>
          <w:szCs w:val="20"/>
          <w:color w:val="634140"/>
        </w:rPr>
        <w:t>gknmpr_lr</w:t>
      </w:r>
      <w:r>
        <w:rPr>
          <w:rFonts w:ascii="PMingLiU" w:cs="PMingLiU" w:eastAsia="PMingLiU" w:hAnsi="PMingLiU"/>
          <w:sz w:val="20"/>
          <w:szCs w:val="20"/>
          <w:color w:val="634140"/>
        </w:rPr>
        <w:t/>
      </w:r>
      <w:r>
        <w:rPr>
          <w:rFonts w:ascii="Arial" w:cs="Arial" w:eastAsia="Arial" w:hAnsi="Arial"/>
          <w:sz w:val="20"/>
          <w:szCs w:val="20"/>
          <w:color w:val="634140"/>
        </w:rPr>
        <w:t xml:space="preserve">kgjcqrmlcq </w:t>
      </w:r>
      <w:r>
        <w:rPr>
          <w:rFonts w:ascii="PMingLiU" w:cs="PMingLiU" w:eastAsia="PMingLiU" w:hAnsi="PMingLiU"/>
          <w:sz w:val="20"/>
          <w:szCs w:val="20"/>
          <w:color w:val="634140"/>
        </w:rPr>
        <w:t/>
      </w:r>
    </w:p>
    <w:p>
      <w:pPr>
        <w:spacing w:after="0" w:line="203" w:lineRule="exact"/>
        <w:rPr>
          <w:sz w:val="20"/>
          <w:szCs w:val="20"/>
          <w:color w:val="auto"/>
        </w:rPr>
      </w:pPr>
    </w:p>
    <w:p>
      <w:pPr>
        <w:ind w:left="5120" w:right="60" w:hanging="319"/>
        <w:spacing w:after="0" w:line="253" w:lineRule="exact"/>
        <w:tabs>
          <w:tab w:leader="none" w:pos="5120" w:val="left"/>
        </w:tabs>
        <w:numPr>
          <w:ilvl w:val="0"/>
          <w:numId w:val="1"/>
        </w:numPr>
        <w:rPr>
          <w:rFonts w:ascii="Wingdings" w:cs="Wingdings" w:eastAsia="Wingdings" w:hAnsi="Wingdings"/>
          <w:sz w:val="17"/>
          <w:szCs w:val="17"/>
          <w:color w:val="59BDB6"/>
        </w:rPr>
      </w:pPr>
      <w:r>
        <w:rPr>
          <w:rFonts w:ascii="Arial" w:cs="Arial" w:eastAsia="Arial" w:hAnsi="Arial"/>
          <w:sz w:val="19"/>
          <w:szCs w:val="19"/>
          <w:color w:val="634140"/>
        </w:rPr>
        <w:t>Hgtcqrcb</w:t>
      </w:r>
      <w:r>
        <w:rPr>
          <w:rFonts w:ascii="PMingLiU" w:cs="PMingLiU" w:eastAsia="PMingLiU" w:hAnsi="PMingLiU"/>
          <w:sz w:val="19"/>
          <w:szCs w:val="19"/>
          <w:color w:val="634140"/>
        </w:rPr>
        <w:t/>
      </w:r>
      <w:r>
        <w:rPr>
          <w:rFonts w:ascii="Arial" w:cs="Arial" w:eastAsia="Arial" w:hAnsi="Arial"/>
          <w:sz w:val="19"/>
          <w:szCs w:val="19"/>
          <w:color w:val="634140"/>
        </w:rPr>
        <w:t>rfc</w:t>
      </w:r>
      <w:r>
        <w:rPr>
          <w:rFonts w:ascii="PMingLiU" w:cs="PMingLiU" w:eastAsia="PMingLiU" w:hAnsi="PMingLiU"/>
          <w:sz w:val="19"/>
          <w:szCs w:val="19"/>
          <w:color w:val="634140"/>
        </w:rPr>
        <w:t/>
      </w:r>
      <w:r>
        <w:rPr>
          <w:rFonts w:ascii="Arial" w:cs="Arial" w:eastAsia="Arial" w:hAnsi="Arial"/>
          <w:sz w:val="19"/>
          <w:szCs w:val="19"/>
          <w:color w:val="634140"/>
        </w:rPr>
        <w:t>Etma_</w:t>
      </w:r>
      <w:r>
        <w:rPr>
          <w:rFonts w:ascii="PMingLiU" w:cs="PMingLiU" w:eastAsia="PMingLiU" w:hAnsi="PMingLiU"/>
          <w:sz w:val="19"/>
          <w:szCs w:val="19"/>
          <w:color w:val="634140"/>
        </w:rPr>
        <w:t/>
      </w:r>
      <w:r>
        <w:rPr>
          <w:rFonts w:ascii="Arial" w:cs="Arial" w:eastAsia="Arial" w:hAnsi="Arial"/>
          <w:sz w:val="19"/>
          <w:szCs w:val="19"/>
          <w:color w:val="634140"/>
        </w:rPr>
        <w:t>`sqglcqq</w:t>
      </w:r>
      <w:r>
        <w:rPr>
          <w:rFonts w:ascii="PMingLiU" w:cs="PMingLiU" w:eastAsia="PMingLiU" w:hAnsi="PMingLiU"/>
          <w:sz w:val="19"/>
          <w:szCs w:val="19"/>
          <w:color w:val="634140"/>
        </w:rPr>
        <w:t/>
      </w:r>
      <w:r>
        <w:rPr>
          <w:rFonts w:ascii="Arial" w:cs="Arial" w:eastAsia="Arial" w:hAnsi="Arial"/>
          <w:sz w:val="19"/>
          <w:szCs w:val="19"/>
          <w:color w:val="634140"/>
        </w:rPr>
        <w:t>rm</w:t>
      </w:r>
      <w:r>
        <w:rPr>
          <w:rFonts w:ascii="PMingLiU" w:cs="PMingLiU" w:eastAsia="PMingLiU" w:hAnsi="PMingLiU"/>
          <w:sz w:val="19"/>
          <w:szCs w:val="19"/>
          <w:color w:val="634140"/>
        </w:rPr>
        <w:t/>
      </w:r>
      <w:r>
        <w:rPr>
          <w:rFonts w:ascii="Arial" w:cs="Arial" w:eastAsia="Arial" w:hAnsi="Arial"/>
          <w:sz w:val="19"/>
          <w:szCs w:val="19"/>
          <w:color w:val="634140"/>
        </w:rPr>
        <w:t>qrpc_kjglc</w:t>
      </w:r>
      <w:r>
        <w:rPr>
          <w:rFonts w:ascii="PMingLiU" w:cs="PMingLiU" w:eastAsia="PMingLiU" w:hAnsi="PMingLiU"/>
          <w:sz w:val="19"/>
          <w:szCs w:val="19"/>
          <w:color w:val="634140"/>
        </w:rPr>
        <w:t/>
      </w:r>
      <w:r>
        <w:rPr>
          <w:rFonts w:ascii="Arial" w:cs="Arial" w:eastAsia="Arial" w:hAnsi="Arial"/>
          <w:sz w:val="19"/>
          <w:szCs w:val="19"/>
          <w:color w:val="634140"/>
        </w:rPr>
        <w:t>rfc</w:t>
      </w:r>
      <w:r>
        <w:rPr>
          <w:rFonts w:ascii="PMingLiU" w:cs="PMingLiU" w:eastAsia="PMingLiU" w:hAnsi="PMingLiU"/>
          <w:sz w:val="19"/>
          <w:szCs w:val="19"/>
          <w:color w:val="634140"/>
        </w:rPr>
        <w:t/>
      </w:r>
      <w:r>
        <w:rPr>
          <w:rFonts w:ascii="Arial" w:cs="Arial" w:eastAsia="Arial" w:hAnsi="Arial"/>
          <w:sz w:val="19"/>
          <w:szCs w:val="19"/>
          <w:color w:val="634140"/>
        </w:rPr>
        <w:t xml:space="preserve"> nmprdmjgm</w:t>
      </w:r>
      <w:r>
        <w:rPr>
          <w:rFonts w:ascii="PMingLiU" w:cs="PMingLiU" w:eastAsia="PMingLiU" w:hAnsi="PMingLiU"/>
          <w:sz w:val="19"/>
          <w:szCs w:val="19"/>
          <w:color w:val="634140"/>
        </w:rPr>
        <w:t/>
      </w:r>
      <w:r>
        <w:rPr>
          <w:rFonts w:ascii="Arial" w:cs="Arial" w:eastAsia="Arial" w:hAnsi="Arial"/>
          <w:sz w:val="19"/>
          <w:szCs w:val="19"/>
          <w:color w:val="634140"/>
        </w:rPr>
        <w:t>_lb</w:t>
      </w:r>
      <w:r>
        <w:rPr>
          <w:rFonts w:ascii="PMingLiU" w:cs="PMingLiU" w:eastAsia="PMingLiU" w:hAnsi="PMingLiU"/>
          <w:sz w:val="19"/>
          <w:szCs w:val="19"/>
          <w:color w:val="634140"/>
        </w:rPr>
        <w:t/>
      </w:r>
      <w:r>
        <w:rPr>
          <w:rFonts w:ascii="Arial" w:cs="Arial" w:eastAsia="Arial" w:hAnsi="Arial"/>
          <w:sz w:val="19"/>
          <w:szCs w:val="19"/>
          <w:color w:val="634140"/>
        </w:rPr>
        <w:t>dmasq</w:t>
      </w:r>
      <w:r>
        <w:rPr>
          <w:rFonts w:ascii="PMingLiU" w:cs="PMingLiU" w:eastAsia="PMingLiU" w:hAnsi="PMingLiU"/>
          <w:sz w:val="19"/>
          <w:szCs w:val="19"/>
          <w:color w:val="634140"/>
        </w:rPr>
        <w:t/>
      </w:r>
      <w:r>
        <w:rPr>
          <w:rFonts w:ascii="Arial" w:cs="Arial" w:eastAsia="Arial" w:hAnsi="Arial"/>
          <w:sz w:val="19"/>
          <w:szCs w:val="19"/>
          <w:color w:val="634140"/>
        </w:rPr>
        <w:t>ml</w:t>
      </w:r>
      <w:r>
        <w:rPr>
          <w:rFonts w:ascii="PMingLiU" w:cs="PMingLiU" w:eastAsia="PMingLiU" w:hAnsi="PMingLiU"/>
          <w:sz w:val="19"/>
          <w:szCs w:val="19"/>
          <w:color w:val="634140"/>
        </w:rPr>
        <w:t/>
      </w:r>
      <w:r>
        <w:rPr>
          <w:rFonts w:ascii="Arial" w:cs="Arial" w:eastAsia="Arial" w:hAnsi="Arial"/>
          <w:sz w:val="19"/>
          <w:szCs w:val="19"/>
          <w:color w:val="634140"/>
        </w:rPr>
        <w:t>fgefcp&amp;t_jsc</w:t>
      </w:r>
      <w:r>
        <w:rPr>
          <w:rFonts w:ascii="PMingLiU" w:cs="PMingLiU" w:eastAsia="PMingLiU" w:hAnsi="PMingLiU"/>
          <w:sz w:val="19"/>
          <w:szCs w:val="19"/>
          <w:color w:val="634140"/>
        </w:rPr>
        <w:t/>
      </w:r>
      <w:r>
        <w:rPr>
          <w:rFonts w:ascii="Arial" w:cs="Arial" w:eastAsia="Arial" w:hAnsi="Arial"/>
          <w:sz w:val="19"/>
          <w:szCs w:val="19"/>
          <w:color w:val="634140"/>
        </w:rPr>
        <w:t>epmurf</w:t>
      </w:r>
      <w:r>
        <w:rPr>
          <w:rFonts w:ascii="PMingLiU" w:cs="PMingLiU" w:eastAsia="PMingLiU" w:hAnsi="PMingLiU"/>
          <w:sz w:val="19"/>
          <w:szCs w:val="19"/>
          <w:color w:val="634140"/>
        </w:rPr>
        <w:t/>
      </w:r>
      <w:r>
        <w:rPr>
          <w:rFonts w:ascii="Arial" w:cs="Arial" w:eastAsia="Arial" w:hAnsi="Arial"/>
          <w:sz w:val="19"/>
          <w:szCs w:val="19"/>
          <w:color w:val="634140"/>
        </w:rPr>
        <w:t>nj_rdmpkq</w:t>
      </w:r>
      <w:r>
        <w:rPr>
          <w:rFonts w:ascii="PMingLiU" w:cs="PMingLiU" w:eastAsia="PMingLiU" w:hAnsi="PMingLiU"/>
          <w:sz w:val="19"/>
          <w:szCs w:val="19"/>
          <w:color w:val="634140"/>
        </w:rPr>
        <w:t/>
      </w:r>
    </w:p>
    <w:p>
      <w:pPr>
        <w:spacing w:after="0" w:line="203" w:lineRule="exact"/>
        <w:rPr>
          <w:sz w:val="20"/>
          <w:szCs w:val="20"/>
          <w:color w:val="auto"/>
        </w:rPr>
      </w:pPr>
    </w:p>
    <w:p>
      <w:pPr>
        <w:ind w:left="5120" w:hanging="319"/>
        <w:spacing w:after="0" w:line="243" w:lineRule="exact"/>
        <w:tabs>
          <w:tab w:leader="none" w:pos="5120" w:val="left"/>
        </w:tabs>
        <w:numPr>
          <w:ilvl w:val="0"/>
          <w:numId w:val="2"/>
        </w:numPr>
        <w:rPr>
          <w:rFonts w:ascii="Wingdings" w:cs="Wingdings" w:eastAsia="Wingdings" w:hAnsi="Wingdings"/>
          <w:sz w:val="18"/>
          <w:szCs w:val="18"/>
          <w:color w:val="59BDB6"/>
        </w:rPr>
      </w:pPr>
      <w:r>
        <w:rPr>
          <w:rFonts w:ascii="Arial" w:cs="Arial" w:eastAsia="Arial" w:hAnsi="Arial"/>
          <w:sz w:val="20"/>
          <w:szCs w:val="20"/>
          <w:color w:val="634140"/>
        </w:rPr>
        <w:t>Ivcasrcb</w:t>
      </w:r>
      <w:r>
        <w:rPr>
          <w:rFonts w:ascii="PMingLiU" w:cs="PMingLiU" w:eastAsia="PMingLiU" w:hAnsi="PMingLiU"/>
          <w:sz w:val="20"/>
          <w:szCs w:val="20"/>
          <w:color w:val="634140"/>
        </w:rPr>
        <w:t/>
      </w:r>
      <w:r>
        <w:rPr>
          <w:rFonts w:ascii="Arial" w:cs="Arial" w:eastAsia="Arial" w:hAnsi="Arial"/>
          <w:sz w:val="20"/>
          <w:szCs w:val="20"/>
          <w:color w:val="634140"/>
        </w:rPr>
        <w:t>_</w:t>
      </w:r>
      <w:r>
        <w:rPr>
          <w:rFonts w:ascii="PMingLiU" w:cs="PMingLiU" w:eastAsia="PMingLiU" w:hAnsi="PMingLiU"/>
          <w:sz w:val="20"/>
          <w:szCs w:val="20"/>
          <w:color w:val="634140"/>
        </w:rPr>
        <w:t xml:space="preserve"> </w:t>
      </w:r>
      <w:r>
        <w:rPr>
          <w:rFonts w:ascii="Arial" w:cs="Arial" w:eastAsia="Arial" w:hAnsi="Arial"/>
          <w:sz w:val="20"/>
          <w:szCs w:val="20"/>
          <w:color w:val="634140"/>
        </w:rPr>
        <w:t>˨˥</w:t>
      </w:r>
      <w:r>
        <w:rPr>
          <w:rFonts w:ascii="PMingLiU" w:cs="PMingLiU" w:eastAsia="PMingLiU" w:hAnsi="PMingLiU"/>
          <w:sz w:val="20"/>
          <w:szCs w:val="20"/>
          <w:color w:val="634140"/>
        </w:rPr>
        <w:t/>
      </w:r>
      <w:r>
        <w:rPr>
          <w:rFonts w:ascii="Arial" w:cs="Arial" w:eastAsia="Arial" w:hAnsi="Arial"/>
          <w:sz w:val="20"/>
          <w:szCs w:val="20"/>
          <w:color w:val="634140"/>
        </w:rPr>
        <w:t>kgjjgml</w:t>
      </w:r>
      <w:r>
        <w:rPr>
          <w:rFonts w:ascii="PMingLiU" w:cs="PMingLiU" w:eastAsia="PMingLiU" w:hAnsi="PMingLiU"/>
          <w:sz w:val="20"/>
          <w:szCs w:val="20"/>
          <w:color w:val="634140"/>
        </w:rPr>
        <w:t/>
      </w:r>
      <w:r>
        <w:rPr>
          <w:rFonts w:ascii="Arial" w:cs="Arial" w:eastAsia="Arial" w:hAnsi="Arial"/>
          <w:sz w:val="20"/>
          <w:szCs w:val="20"/>
          <w:color w:val="634140"/>
        </w:rPr>
        <w:t>pcqrpsarspgle</w:t>
      </w:r>
      <w:r>
        <w:rPr>
          <w:rFonts w:ascii="PMingLiU" w:cs="PMingLiU" w:eastAsia="PMingLiU" w:hAnsi="PMingLiU"/>
          <w:sz w:val="20"/>
          <w:szCs w:val="20"/>
          <w:color w:val="634140"/>
        </w:rPr>
        <w:t/>
      </w:r>
      <w:r>
        <w:rPr>
          <w:rFonts w:ascii="Arial" w:cs="Arial" w:eastAsia="Arial" w:hAnsi="Arial"/>
          <w:sz w:val="20"/>
          <w:szCs w:val="20"/>
          <w:color w:val="634140"/>
        </w:rPr>
        <w:t>npmep_k</w:t>
      </w:r>
      <w:r>
        <w:rPr>
          <w:rFonts w:ascii="PMingLiU" w:cs="PMingLiU" w:eastAsia="PMingLiU" w:hAnsi="PMingLiU"/>
          <w:sz w:val="20"/>
          <w:szCs w:val="20"/>
          <w:color w:val="634140"/>
        </w:rPr>
        <w:t/>
      </w:r>
    </w:p>
    <w:p>
      <w:pPr>
        <w:spacing w:after="0" w:line="203" w:lineRule="exact"/>
        <w:rPr>
          <w:sz w:val="20"/>
          <w:szCs w:val="20"/>
          <w:color w:val="auto"/>
        </w:rPr>
      </w:pPr>
    </w:p>
    <w:p>
      <w:pPr>
        <w:ind w:left="5120" w:hanging="319"/>
        <w:spacing w:after="0" w:line="264" w:lineRule="exact"/>
        <w:tabs>
          <w:tab w:leader="none" w:pos="5120" w:val="left"/>
        </w:tabs>
        <w:numPr>
          <w:ilvl w:val="0"/>
          <w:numId w:val="3"/>
        </w:numPr>
        <w:rPr>
          <w:rFonts w:ascii="Wingdings" w:cs="Wingdings" w:eastAsia="Wingdings" w:hAnsi="Wingdings"/>
          <w:sz w:val="18"/>
          <w:szCs w:val="18"/>
          <w:color w:val="59BDB6"/>
        </w:rPr>
      </w:pPr>
      <w:r>
        <w:rPr>
          <w:rFonts w:ascii="Arial" w:cs="Arial" w:eastAsia="Arial" w:hAnsi="Arial"/>
          <w:sz w:val="20"/>
          <w:szCs w:val="20"/>
          <w:color w:val="634140"/>
        </w:rPr>
        <w:t>Ebt_lacb</w:t>
      </w:r>
      <w:r>
        <w:rPr>
          <w:rFonts w:ascii="PMingLiU" w:cs="PMingLiU" w:eastAsia="PMingLiU" w:hAnsi="PMingLiU"/>
          <w:sz w:val="20"/>
          <w:szCs w:val="20"/>
          <w:color w:val="634140"/>
        </w:rPr>
        <w:t/>
      </w:r>
      <w:r>
        <w:rPr>
          <w:rFonts w:ascii="Arial" w:cs="Arial" w:eastAsia="Arial" w:hAnsi="Arial"/>
          <w:sz w:val="20"/>
          <w:szCs w:val="20"/>
          <w:color w:val="634140"/>
        </w:rPr>
        <w:t>_</w:t>
      </w:r>
      <w:r>
        <w:rPr>
          <w:rFonts w:ascii="PMingLiU" w:cs="PMingLiU" w:eastAsia="PMingLiU" w:hAnsi="PMingLiU"/>
          <w:sz w:val="20"/>
          <w:szCs w:val="20"/>
          <w:color w:val="634140"/>
        </w:rPr>
        <w:t xml:space="preserve"> </w:t>
      </w:r>
      <w:r>
        <w:rPr>
          <w:rFonts w:ascii="Arial" w:cs="Arial" w:eastAsia="Arial" w:hAnsi="Arial"/>
          <w:sz w:val="20"/>
          <w:szCs w:val="20"/>
          <w:color w:val="634140"/>
        </w:rPr>
        <w:t>˫˥</w:t>
      </w:r>
      <w:r>
        <w:rPr>
          <w:rFonts w:ascii="PMingLiU" w:cs="PMingLiU" w:eastAsia="PMingLiU" w:hAnsi="PMingLiU"/>
          <w:sz w:val="20"/>
          <w:szCs w:val="20"/>
          <w:color w:val="634140"/>
        </w:rPr>
        <w:t/>
      </w:r>
      <w:r>
        <w:rPr>
          <w:rFonts w:ascii="Arial" w:cs="Arial" w:eastAsia="Arial" w:hAnsi="Arial"/>
          <w:sz w:val="20"/>
          <w:szCs w:val="20"/>
          <w:color w:val="634140"/>
        </w:rPr>
        <w:t>kgjjgml</w:t>
      </w:r>
      <w:r>
        <w:rPr>
          <w:rFonts w:ascii="PMingLiU" w:cs="PMingLiU" w:eastAsia="PMingLiU" w:hAnsi="PMingLiU"/>
          <w:sz w:val="20"/>
          <w:szCs w:val="20"/>
          <w:color w:val="634140"/>
        </w:rPr>
        <w:t/>
      </w:r>
      <w:r>
        <w:rPr>
          <w:rFonts w:ascii="Arial" w:cs="Arial" w:eastAsia="Arial" w:hAnsi="Arial"/>
          <w:sz w:val="20"/>
          <w:szCs w:val="20"/>
          <w:color w:val="634140"/>
        </w:rPr>
        <w:t>k_lsd_arspgle&amp;mnrgkgx_rgml</w:t>
      </w:r>
      <w:r>
        <w:rPr>
          <w:rFonts w:ascii="PMingLiU" w:cs="PMingLiU" w:eastAsia="PMingLiU" w:hAnsi="PMingLiU"/>
          <w:sz w:val="20"/>
          <w:szCs w:val="20"/>
          <w:color w:val="634140"/>
        </w:rPr>
        <w:t/>
      </w:r>
      <w:r>
        <w:rPr>
          <w:rFonts w:ascii="Arial" w:cs="Arial" w:eastAsia="Arial" w:hAnsi="Arial"/>
          <w:sz w:val="20"/>
          <w:szCs w:val="20"/>
          <w:color w:val="634140"/>
        </w:rPr>
        <w:t xml:space="preserve"> glgrg_rgtc</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r>
        <w:rPr>
          <w:rFonts w:ascii="Arial" w:cs="Arial" w:eastAsia="Arial" w:hAnsi="Arial"/>
          <w:sz w:val="20"/>
          <w:szCs w:val="20"/>
          <w:color w:val="634140"/>
        </w:rPr>
        <w:t>`mjqrcp</w:t>
      </w:r>
      <w:r>
        <w:rPr>
          <w:rFonts w:ascii="PMingLiU" w:cs="PMingLiU" w:eastAsia="PMingLiU" w:hAnsi="PMingLiU"/>
          <w:sz w:val="20"/>
          <w:szCs w:val="20"/>
          <w:color w:val="634140"/>
        </w:rPr>
        <w:t/>
      </w:r>
      <w:r>
        <w:rPr>
          <w:rFonts w:ascii="Arial" w:cs="Arial" w:eastAsia="Arial" w:hAnsi="Arial"/>
          <w:sz w:val="20"/>
          <w:szCs w:val="20"/>
          <w:color w:val="634140"/>
        </w:rPr>
        <w:t>amkncrgrgtclcqq</w:t>
      </w:r>
      <w:r>
        <w:rPr>
          <w:rFonts w:ascii="PMingLiU" w:cs="PMingLiU" w:eastAsia="PMingLiU" w:hAnsi="PMingLiU"/>
          <w:sz w:val="20"/>
          <w:szCs w:val="20"/>
          <w:color w:val="634140"/>
        </w:rPr>
        <w:t/>
      </w:r>
      <w:r>
        <w:rPr>
          <w:rFonts w:ascii="Arial" w:cs="Arial" w:eastAsia="Arial" w:hAnsi="Arial"/>
          <w:sz w:val="20"/>
          <w:szCs w:val="20"/>
          <w:color w:val="634140"/>
        </w:rPr>
        <w:t>gl</w:t>
      </w:r>
      <w:r>
        <w:rPr>
          <w:rFonts w:ascii="PMingLiU" w:cs="PMingLiU" w:eastAsia="PMingLiU" w:hAnsi="PMingLiU"/>
          <w:sz w:val="20"/>
          <w:szCs w:val="20"/>
          <w:color w:val="634140"/>
        </w:rPr>
        <w:t/>
      </w:r>
      <w:r>
        <w:rPr>
          <w:rFonts w:ascii="Arial" w:cs="Arial" w:eastAsia="Arial" w:hAnsi="Arial"/>
          <w:sz w:val="20"/>
          <w:szCs w:val="20"/>
          <w:color w:val="634140"/>
        </w:rPr>
        <w:t>LIG</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ZT;H</w:t>
      </w:r>
      <w:r>
        <w:rPr>
          <w:rFonts w:ascii="PMingLiU" w:cs="PMingLiU" w:eastAsia="PMingLiU" w:hAnsi="PMingLiU"/>
          <w:sz w:val="20"/>
          <w:szCs w:val="20"/>
          <w:color w:val="634140"/>
        </w:rPr>
        <w:t/>
      </w:r>
      <w:r>
        <w:rPr>
          <w:rFonts w:ascii="Arial" w:cs="Arial" w:eastAsia="Arial" w:hAnsi="Arial"/>
          <w:sz w:val="20"/>
          <w:szCs w:val="20"/>
          <w:color w:val="634140"/>
        </w:rPr>
        <w:t xml:space="preserve"> +rfgq</w:t>
      </w:r>
      <w:r>
        <w:rPr>
          <w:rFonts w:ascii="PMingLiU" w:cs="PMingLiU" w:eastAsia="PMingLiU" w:hAnsi="PMingLiU"/>
          <w:sz w:val="20"/>
          <w:szCs w:val="20"/>
          <w:color w:val="634140"/>
        </w:rPr>
        <w:t/>
      </w:r>
      <w:r>
        <w:rPr>
          <w:rFonts w:ascii="Arial" w:cs="Arial" w:eastAsia="Arial" w:hAnsi="Arial"/>
          <w:sz w:val="20"/>
          <w:szCs w:val="20"/>
          <w:color w:val="634140"/>
        </w:rPr>
        <w:t>glajsbcb</w:t>
      </w:r>
      <w:r>
        <w:rPr>
          <w:rFonts w:ascii="PMingLiU" w:cs="PMingLiU" w:eastAsia="PMingLiU" w:hAnsi="PMingLiU"/>
          <w:sz w:val="20"/>
          <w:szCs w:val="20"/>
          <w:color w:val="634140"/>
        </w:rPr>
        <w:t/>
      </w:r>
      <w:r>
        <w:rPr>
          <w:rFonts w:ascii="Arial" w:cs="Arial" w:eastAsia="Arial" w:hAnsi="Arial"/>
          <w:sz w:val="20"/>
          <w:szCs w:val="20"/>
          <w:color w:val="634140"/>
        </w:rPr>
        <w:t>amknjcrgle</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mnrgkgx_rgml</w:t>
      </w:r>
      <w:r>
        <w:rPr>
          <w:rFonts w:ascii="PMingLiU" w:cs="PMingLiU" w:eastAsia="PMingLiU" w:hAnsi="PMingLiU"/>
          <w:sz w:val="20"/>
          <w:szCs w:val="20"/>
          <w:color w:val="634140"/>
        </w:rPr>
        <w:t/>
      </w:r>
      <w:r>
        <w:rPr>
          <w:rFonts w:ascii="Arial" w:cs="Arial" w:eastAsia="Arial" w:hAnsi="Arial"/>
          <w:sz w:val="20"/>
          <w:szCs w:val="20"/>
          <w:color w:val="634140"/>
        </w:rPr>
        <w:t>md</w:t>
      </w:r>
      <w:r>
        <w:rPr>
          <w:rFonts w:ascii="PMingLiU" w:cs="PMingLiU" w:eastAsia="PMingLiU" w:hAnsi="PMingLiU"/>
          <w:sz w:val="20"/>
          <w:szCs w:val="20"/>
          <w:color w:val="634140"/>
        </w:rPr>
        <w:t/>
      </w:r>
      <w:r>
        <w:rPr>
          <w:rFonts w:ascii="Arial" w:cs="Arial" w:eastAsia="Arial" w:hAnsi="Arial"/>
          <w:sz w:val="20"/>
          <w:szCs w:val="20"/>
          <w:color w:val="634140"/>
        </w:rPr>
        <w:t>msp</w:t>
      </w:r>
      <w:r>
        <w:rPr>
          <w:rFonts w:ascii="PMingLiU" w:cs="PMingLiU" w:eastAsia="PMingLiU" w:hAnsi="PMingLiU"/>
          <w:sz w:val="20"/>
          <w:szCs w:val="20"/>
          <w:color w:val="634140"/>
        </w:rPr>
        <w:t/>
      </w:r>
      <w:r>
        <w:rPr>
          <w:rFonts w:ascii="Arial" w:cs="Arial" w:eastAsia="Arial" w:hAnsi="Arial"/>
          <w:sz w:val="20"/>
          <w:szCs w:val="20"/>
          <w:color w:val="634140"/>
        </w:rPr>
        <w:t>LIG</w:t>
      </w:r>
      <w:r>
        <w:rPr>
          <w:rFonts w:ascii="PMingLiU" w:cs="PMingLiU" w:eastAsia="PMingLiU" w:hAnsi="PMingLiU"/>
          <w:sz w:val="20"/>
          <w:szCs w:val="20"/>
          <w:color w:val="634140"/>
        </w:rPr>
        <w:t/>
      </w:r>
      <w:r>
        <w:rPr>
          <w:rFonts w:ascii="Arial" w:cs="Arial" w:eastAsia="Arial" w:hAnsi="Arial"/>
          <w:sz w:val="20"/>
          <w:szCs w:val="20"/>
          <w:color w:val="634140"/>
        </w:rPr>
        <w:t xml:space="preserve"> _lb</w:t>
      </w:r>
      <w:r>
        <w:rPr>
          <w:rFonts w:ascii="PMingLiU" w:cs="PMingLiU" w:eastAsia="PMingLiU" w:hAnsi="PMingLiU"/>
          <w:sz w:val="20"/>
          <w:szCs w:val="20"/>
          <w:color w:val="634140"/>
        </w:rPr>
        <w:t/>
      </w:r>
      <w:r>
        <w:rPr>
          <w:rFonts w:ascii="Arial" w:cs="Arial" w:eastAsia="Arial" w:hAnsi="Arial"/>
          <w:sz w:val="20"/>
          <w:szCs w:val="20"/>
          <w:color w:val="634140"/>
        </w:rPr>
        <w:t>ZT;H</w:t>
      </w:r>
      <w:r>
        <w:rPr>
          <w:rFonts w:ascii="PMingLiU" w:cs="PMingLiU" w:eastAsia="PMingLiU" w:hAnsi="PMingLiU"/>
          <w:sz w:val="20"/>
          <w:szCs w:val="20"/>
          <w:color w:val="634140"/>
        </w:rPr>
        <w:t/>
      </w:r>
      <w:r>
        <w:rPr>
          <w:rFonts w:ascii="Arial" w:cs="Arial" w:eastAsia="Arial" w:hAnsi="Arial"/>
          <w:sz w:val="20"/>
          <w:szCs w:val="20"/>
          <w:color w:val="634140"/>
        </w:rPr>
        <w:t>lcrumpi</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amlqmjgb_rgml</w:t>
      </w:r>
      <w:r>
        <w:rPr>
          <w:rFonts w:ascii="PMingLiU" w:cs="PMingLiU" w:eastAsia="PMingLiU" w:hAnsi="PMingLiU"/>
          <w:sz w:val="20"/>
          <w:szCs w:val="20"/>
          <w:color w:val="634140"/>
        </w:rPr>
        <w:t/>
      </w:r>
      <w:r>
        <w:rPr>
          <w:rFonts w:ascii="Arial" w:cs="Arial" w:eastAsia="Arial" w:hAnsi="Arial"/>
          <w:sz w:val="20"/>
          <w:szCs w:val="20"/>
          <w:color w:val="634140"/>
        </w:rPr>
        <w:t>md</w:t>
      </w:r>
      <w:r>
        <w:rPr>
          <w:rFonts w:ascii="PMingLiU" w:cs="PMingLiU" w:eastAsia="PMingLiU" w:hAnsi="PMingLiU"/>
          <w:sz w:val="20"/>
          <w:szCs w:val="20"/>
          <w:color w:val="634140"/>
        </w:rPr>
        <w:t/>
      </w:r>
      <w:r>
        <w:rPr>
          <w:rFonts w:ascii="Arial" w:cs="Arial" w:eastAsia="Arial" w:hAnsi="Arial"/>
          <w:sz w:val="20"/>
          <w:szCs w:val="20"/>
          <w:color w:val="634140"/>
        </w:rPr>
        <w:t xml:space="preserve"> qk_jjcp</w:t>
      </w:r>
      <w:r>
        <w:rPr>
          <w:rFonts w:ascii="PMingLiU" w:cs="PMingLiU" w:eastAsia="PMingLiU" w:hAnsi="PMingLiU"/>
          <w:sz w:val="20"/>
          <w:szCs w:val="20"/>
          <w:color w:val="634140"/>
        </w:rPr>
        <w:t/>
      </w:r>
      <w:r>
        <w:rPr>
          <w:rFonts w:ascii="Arial" w:cs="Arial" w:eastAsia="Arial" w:hAnsi="Arial"/>
          <w:sz w:val="20"/>
          <w:szCs w:val="20"/>
          <w:color w:val="634140"/>
        </w:rPr>
        <w:t>nj_lrq,</w:t>
      </w:r>
      <w:r>
        <w:rPr>
          <w:rFonts w:ascii="PMingLiU" w:cs="PMingLiU" w:eastAsia="PMingLiU" w:hAnsi="PMingLiU"/>
          <w:sz w:val="20"/>
          <w:szCs w:val="20"/>
          <w:color w:val="634140"/>
        </w:rPr>
        <w:t/>
      </w:r>
    </w:p>
    <w:p>
      <w:pPr>
        <w:spacing w:after="0" w:line="200" w:lineRule="exact"/>
        <w:rPr>
          <w:sz w:val="20"/>
          <w:szCs w:val="20"/>
          <w:color w:val="auto"/>
        </w:rPr>
      </w:pPr>
    </w:p>
    <w:p>
      <w:pPr>
        <w:spacing w:after="0" w:line="242" w:lineRule="exact"/>
        <w:rPr>
          <w:sz w:val="20"/>
          <w:szCs w:val="20"/>
          <w:color w:val="auto"/>
        </w:rPr>
      </w:pPr>
    </w:p>
    <w:p>
      <w:pPr>
        <w:ind w:left="5120" w:hanging="319"/>
        <w:spacing w:after="0" w:line="243" w:lineRule="exact"/>
        <w:tabs>
          <w:tab w:leader="none" w:pos="5120" w:val="left"/>
        </w:tabs>
        <w:numPr>
          <w:ilvl w:val="0"/>
          <w:numId w:val="4"/>
        </w:numPr>
        <w:rPr>
          <w:rFonts w:ascii="Wingdings" w:cs="Wingdings" w:eastAsia="Wingdings" w:hAnsi="Wingdings"/>
          <w:sz w:val="18"/>
          <w:szCs w:val="18"/>
          <w:color w:val="59BDB6"/>
        </w:rPr>
      </w:pPr>
      <w:r>
        <w:rPr>
          <w:rFonts w:ascii="Arial" w:cs="Arial" w:eastAsia="Arial" w:hAnsi="Arial"/>
          <w:sz w:val="20"/>
          <w:szCs w:val="20"/>
          <w:color w:val="634140"/>
        </w:rPr>
        <w:t>Gmlrglscb</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r>
        <w:rPr>
          <w:rFonts w:ascii="Arial" w:cs="Arial" w:eastAsia="Arial" w:hAnsi="Arial"/>
          <w:sz w:val="20"/>
          <w:szCs w:val="20"/>
          <w:color w:val="634140"/>
        </w:rPr>
        <w:t>ejm`_jgxc</w:t>
      </w:r>
      <w:r>
        <w:rPr>
          <w:rFonts w:ascii="PMingLiU" w:cs="PMingLiU" w:eastAsia="PMingLiU" w:hAnsi="PMingLiU"/>
          <w:sz w:val="20"/>
          <w:szCs w:val="20"/>
          <w:color w:val="634140"/>
        </w:rPr>
        <w:t/>
      </w:r>
      <w:r>
        <w:rPr>
          <w:rFonts w:ascii="Arial" w:cs="Arial" w:eastAsia="Arial" w:hAnsi="Arial"/>
          <w:sz w:val="20"/>
          <w:szCs w:val="20"/>
          <w:color w:val="634140"/>
        </w:rPr>
        <w:t>fgef&amp;t_jsc</w:t>
      </w:r>
      <w:r>
        <w:rPr>
          <w:rFonts w:ascii="PMingLiU" w:cs="PMingLiU" w:eastAsia="PMingLiU" w:hAnsi="PMingLiU"/>
          <w:sz w:val="20"/>
          <w:szCs w:val="20"/>
          <w:color w:val="634140"/>
        </w:rPr>
        <w:t/>
      </w:r>
      <w:r>
        <w:rPr>
          <w:rFonts w:ascii="Arial" w:cs="Arial" w:eastAsia="Arial" w:hAnsi="Arial"/>
          <w:sz w:val="20"/>
          <w:szCs w:val="20"/>
          <w:color w:val="634140"/>
        </w:rPr>
        <w:t>`sqglcqqcq</w:t>
      </w:r>
      <w:r>
        <w:rPr>
          <w:rFonts w:ascii="PMingLiU" w:cs="PMingLiU" w:eastAsia="PMingLiU" w:hAnsi="PMingLiU"/>
          <w:sz w:val="20"/>
          <w:szCs w:val="20"/>
          <w:color w:val="634140"/>
        </w:rPr>
        <w:t/>
      </w:r>
    </w:p>
    <w:p>
      <w:pPr>
        <w:spacing w:after="0" w:line="203" w:lineRule="exact"/>
        <w:rPr>
          <w:sz w:val="20"/>
          <w:szCs w:val="20"/>
          <w:color w:val="auto"/>
        </w:rPr>
      </w:pPr>
    </w:p>
    <w:p>
      <w:pPr>
        <w:ind w:left="5120" w:right="160" w:hanging="319"/>
        <w:spacing w:after="0" w:line="253" w:lineRule="exact"/>
        <w:tabs>
          <w:tab w:leader="none" w:pos="5120" w:val="left"/>
        </w:tabs>
        <w:numPr>
          <w:ilvl w:val="0"/>
          <w:numId w:val="5"/>
        </w:numPr>
        <w:rPr>
          <w:rFonts w:ascii="Wingdings" w:cs="Wingdings" w:eastAsia="Wingdings" w:hAnsi="Wingdings"/>
          <w:sz w:val="18"/>
          <w:szCs w:val="18"/>
          <w:color w:val="59BDB6"/>
        </w:rPr>
      </w:pPr>
      <w:r>
        <w:rPr>
          <w:rFonts w:ascii="Arial" w:cs="Arial" w:eastAsia="Arial" w:hAnsi="Arial"/>
          <w:sz w:val="20"/>
          <w:szCs w:val="20"/>
          <w:color w:val="634140"/>
        </w:rPr>
        <w:t>Mlapc_qcb</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lsk`cp</w:t>
      </w:r>
      <w:r>
        <w:rPr>
          <w:rFonts w:ascii="PMingLiU" w:cs="PMingLiU" w:eastAsia="PMingLiU" w:hAnsi="PMingLiU"/>
          <w:sz w:val="20"/>
          <w:szCs w:val="20"/>
          <w:color w:val="634140"/>
        </w:rPr>
        <w:t/>
      </w:r>
      <w:r>
        <w:rPr>
          <w:rFonts w:ascii="Arial" w:cs="Arial" w:eastAsia="Arial" w:hAnsi="Arial"/>
          <w:sz w:val="20"/>
          <w:szCs w:val="20"/>
          <w:color w:val="634140"/>
        </w:rPr>
        <w:t>md</w:t>
      </w:r>
      <w:r>
        <w:rPr>
          <w:rFonts w:ascii="PMingLiU" w:cs="PMingLiU" w:eastAsia="PMingLiU" w:hAnsi="PMingLiU"/>
          <w:sz w:val="20"/>
          <w:szCs w:val="20"/>
          <w:color w:val="634140"/>
        </w:rPr>
        <w:t/>
      </w:r>
      <w:r>
        <w:rPr>
          <w:rFonts w:ascii="Arial" w:cs="Arial" w:eastAsia="Arial" w:hAnsi="Arial"/>
          <w:sz w:val="20"/>
          <w:szCs w:val="20"/>
          <w:color w:val="634140"/>
        </w:rPr>
        <w:t>amkkcpag_j</w:t>
      </w:r>
      <w:r>
        <w:rPr>
          <w:rFonts w:ascii="PMingLiU" w:cs="PMingLiU" w:eastAsia="PMingLiU" w:hAnsi="PMingLiU"/>
          <w:sz w:val="20"/>
          <w:szCs w:val="20"/>
          <w:color w:val="634140"/>
        </w:rPr>
        <w:t/>
      </w:r>
      <w:r>
        <w:rPr>
          <w:rFonts w:ascii="Arial" w:cs="Arial" w:eastAsia="Arial" w:hAnsi="Arial"/>
          <w:sz w:val="20"/>
          <w:szCs w:val="20"/>
          <w:color w:val="634140"/>
        </w:rPr>
        <w:t>gllmt_rgmlq</w:t>
      </w:r>
      <w:r>
        <w:rPr>
          <w:rFonts w:ascii="PMingLiU" w:cs="PMingLiU" w:eastAsia="PMingLiU" w:hAnsi="PMingLiU"/>
          <w:sz w:val="20"/>
          <w:szCs w:val="20"/>
          <w:color w:val="634140"/>
        </w:rPr>
        <w:t/>
      </w:r>
      <w:r>
        <w:rPr>
          <w:rFonts w:ascii="Arial" w:cs="Arial" w:eastAsia="Arial" w:hAnsi="Arial"/>
          <w:sz w:val="20"/>
          <w:szCs w:val="20"/>
          <w:color w:val="634140"/>
        </w:rPr>
        <w:t xml:space="preserve"> _lb</w:t>
      </w:r>
      <w:r>
        <w:rPr>
          <w:rFonts w:ascii="PMingLiU" w:cs="PMingLiU" w:eastAsia="PMingLiU" w:hAnsi="PMingLiU"/>
          <w:sz w:val="20"/>
          <w:szCs w:val="20"/>
          <w:color w:val="634140"/>
        </w:rPr>
        <w:t/>
      </w:r>
      <w:r>
        <w:rPr>
          <w:rFonts w:ascii="Arial" w:cs="Arial" w:eastAsia="Arial" w:hAnsi="Arial"/>
          <w:sz w:val="20"/>
          <w:szCs w:val="20"/>
          <w:color w:val="634140"/>
        </w:rPr>
        <w:t>n_rclrq</w:t>
      </w:r>
      <w:r>
        <w:rPr>
          <w:rFonts w:ascii="PMingLiU" w:cs="PMingLiU" w:eastAsia="PMingLiU" w:hAnsi="PMingLiU"/>
          <w:sz w:val="20"/>
          <w:szCs w:val="20"/>
          <w:color w:val="634140"/>
        </w:rPr>
        <w:t/>
      </w:r>
      <w:r>
        <w:rPr>
          <w:rFonts w:ascii="Arial" w:cs="Arial" w:eastAsia="Arial" w:hAnsi="Arial"/>
          <w:sz w:val="20"/>
          <w:szCs w:val="20"/>
          <w:color w:val="634140"/>
        </w:rPr>
        <w:t>slbcp</w:t>
      </w:r>
      <w:r>
        <w:rPr>
          <w:rFonts w:ascii="PMingLiU" w:cs="PMingLiU" w:eastAsia="PMingLiU" w:hAnsi="PMingLiU"/>
          <w:sz w:val="20"/>
          <w:szCs w:val="20"/>
          <w:color w:val="634140"/>
        </w:rPr>
        <w:t/>
      </w:r>
      <w:r>
        <w:rPr>
          <w:rFonts w:ascii="Arial" w:cs="Arial" w:eastAsia="Arial" w:hAnsi="Arial"/>
          <w:sz w:val="20"/>
          <w:szCs w:val="20"/>
          <w:color w:val="634140"/>
        </w:rPr>
        <w:t>msp</w:t>
      </w:r>
      <w:r>
        <w:rPr>
          <w:rFonts w:ascii="PMingLiU" w:cs="PMingLiU" w:eastAsia="PMingLiU" w:hAnsi="PMingLiU"/>
          <w:sz w:val="20"/>
          <w:szCs w:val="20"/>
          <w:color w:val="634140"/>
        </w:rPr>
        <w:t/>
      </w:r>
      <w:r>
        <w:rPr>
          <w:rFonts w:ascii="Arial" w:cs="Arial" w:eastAsia="Arial" w:hAnsi="Arial"/>
          <w:sz w:val="20"/>
          <w:szCs w:val="20"/>
          <w:color w:val="634140"/>
        </w:rPr>
        <w:t>qctcl</w:t>
      </w:r>
      <w:r>
        <w:rPr>
          <w:rFonts w:ascii="PMingLiU" w:cs="PMingLiU" w:eastAsia="PMingLiU" w:hAnsi="PMingLiU"/>
          <w:sz w:val="20"/>
          <w:szCs w:val="20"/>
          <w:color w:val="634140"/>
        </w:rPr>
        <w:t/>
      </w:r>
      <w:r>
        <w:rPr>
          <w:rFonts w:ascii="Arial" w:cs="Arial" w:eastAsia="Arial" w:hAnsi="Arial"/>
          <w:sz w:val="20"/>
          <w:szCs w:val="20"/>
          <w:color w:val="634140"/>
        </w:rPr>
        <w:t>rcaflmjmew</w:t>
      </w:r>
      <w:r>
        <w:rPr>
          <w:rFonts w:ascii="PMingLiU" w:cs="PMingLiU" w:eastAsia="PMingLiU" w:hAnsi="PMingLiU"/>
          <w:sz w:val="20"/>
          <w:szCs w:val="20"/>
          <w:color w:val="634140"/>
        </w:rPr>
        <w:t/>
      </w:r>
      <w:r>
        <w:rPr>
          <w:rFonts w:ascii="Arial" w:cs="Arial" w:eastAsia="Arial" w:hAnsi="Arial"/>
          <w:sz w:val="20"/>
          <w:szCs w:val="20"/>
          <w:color w:val="634140"/>
        </w:rPr>
        <w:t>nj_rdmpkq</w:t>
      </w:r>
      <w:r>
        <w:rPr>
          <w:rFonts w:ascii="PMingLiU" w:cs="PMingLiU" w:eastAsia="PMingLiU" w:hAnsi="PMingLiU"/>
          <w:sz w:val="20"/>
          <w:szCs w:val="20"/>
          <w:color w:val="634140"/>
        </w:rPr>
        <w:t/>
      </w:r>
    </w:p>
    <w:p>
      <w:pPr>
        <w:sectPr>
          <w:pgSz w:w="12240" w:h="15840" w:orient="portrait"/>
          <w:cols w:equalWidth="0" w:num="1">
            <w:col w:w="9840"/>
          </w:cols>
          <w:pgMar w:left="144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spacing w:after="0" w:line="339" w:lineRule="exact"/>
        <w:rPr>
          <w:sz w:val="20"/>
          <w:szCs w:val="20"/>
          <w:color w:val="auto"/>
        </w:rPr>
      </w:pPr>
      <w:r>
        <w:rPr>
          <w:rFonts w:ascii="PMingLiU" w:cs="PMingLiU" w:eastAsia="PMingLiU" w:hAnsi="PMingLiU"/>
          <w:sz w:val="19"/>
          <w:szCs w:val="19"/>
          <w:b w:val="1"/>
          <w:bCs w:val="1"/>
          <w:color w:val="66BF9B"/>
        </w:rPr>
        <w:t/>
      </w:r>
      <w:r>
        <w:rPr>
          <w:sz w:val="1"/>
          <w:szCs w:val="1"/>
          <w:color w:val="auto"/>
        </w:rPr>
        <w:drawing>
          <wp:inline distT="0" distB="0" distL="0" distR="0">
            <wp:extent cx="93345" cy="19113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8">
                      <a:extLst>
                        <a:ext uri="{28A0092B-C50C-407E-A947-70E740481C1C}"/>
                      </a:extLst>
                    </a:blip>
                    <a:srcRect/>
                    <a:stretch>
                      <a:fillRect/>
                    </a:stretch>
                  </pic:blipFill>
                  <pic:spPr bwMode="auto">
                    <a:xfrm>
                      <a:off x="0" y="0"/>
                      <a:ext cx="93345" cy="191135"/>
                    </a:xfrm>
                    <a:prstGeom prst="rect">
                      <a:avLst/>
                    </a:prstGeom>
                    <a:noFill/>
                    <a:ln>
                      <a:noFill/>
                    </a:ln>
                  </pic:spPr>
                </pic:pic>
              </a:graphicData>
            </a:graphic>
          </wp:inline>
        </w:drawing>
      </w:r>
      <w:r>
        <w:rPr>
          <w:rFonts w:ascii="PMingLiU" w:cs="PMingLiU" w:eastAsia="PMingLiU" w:hAnsi="PMingLiU"/>
          <w:sz w:val="19"/>
          <w:szCs w:val="19"/>
          <w:b w:val="1"/>
          <w:bCs w:val="1"/>
          <w:color w:val="66BF9B"/>
        </w:rPr>
        <w:t xml:space="preserve"> </w:t>
      </w:r>
    </w:p>
    <w:p>
      <w:pPr>
        <w:sectPr>
          <w:pgSz w:w="12240" w:h="15840" w:orient="portrait"/>
          <w:cols w:equalWidth="0" w:num="1">
            <w:col w:w="9840"/>
          </w:cols>
          <w:pgMar w:left="1440" w:top="1440" w:right="96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1720850</wp:posOffset>
            </wp:positionH>
            <wp:positionV relativeFrom="page">
              <wp:posOffset>0</wp:posOffset>
            </wp:positionV>
            <wp:extent cx="361315" cy="1790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9">
                      <a:extLst>
                        <a:ext uri="{28A0092B-C50C-407E-A947-70E740481C1C}"/>
                      </a:extLst>
                    </a:blip>
                    <a:srcRect/>
                    <a:stretch>
                      <a:fillRect/>
                    </a:stretch>
                  </pic:blipFill>
                  <pic:spPr bwMode="auto">
                    <a:xfrm>
                      <a:off x="0" y="0"/>
                      <a:ext cx="361315" cy="179070"/>
                    </a:xfrm>
                    <a:prstGeom prst="rect">
                      <a:avLst/>
                    </a:prstGeom>
                    <a:noFill/>
                  </pic:spPr>
                </pic:pic>
              </a:graphicData>
            </a:graphic>
          </wp:anchor>
        </w:drawing>
        <w:drawing>
          <wp:anchor simplePos="0" relativeHeight="251657728" behindDoc="1" locked="0" layoutInCell="0" allowOverlap="1">
            <wp:simplePos x="0" y="0"/>
            <wp:positionH relativeFrom="page">
              <wp:posOffset>462915</wp:posOffset>
            </wp:positionH>
            <wp:positionV relativeFrom="page">
              <wp:posOffset>256540</wp:posOffset>
            </wp:positionV>
            <wp:extent cx="361315" cy="3575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0">
                      <a:extLst>
                        <a:ext uri="{28A0092B-C50C-407E-A947-70E740481C1C}"/>
                      </a:extLst>
                    </a:blip>
                    <a:srcRect/>
                    <a:stretch>
                      <a:fillRect/>
                    </a:stretch>
                  </pic:blipFill>
                  <pic:spPr bwMode="auto">
                    <a:xfrm>
                      <a:off x="0" y="0"/>
                      <a:ext cx="361315" cy="35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 w:right="320"/>
        <w:spacing w:after="0" w:line="256" w:lineRule="exact"/>
        <w:rPr>
          <w:sz w:val="20"/>
          <w:szCs w:val="20"/>
          <w:color w:val="auto"/>
        </w:rPr>
      </w:pPr>
      <w:r>
        <w:rPr>
          <w:rFonts w:ascii="Arial" w:cs="Arial" w:eastAsia="Arial" w:hAnsi="Arial"/>
          <w:sz w:val="20"/>
          <w:szCs w:val="20"/>
          <w:color w:val="634140"/>
        </w:rPr>
        <w:t>Xfcqc</w:t>
      </w:r>
      <w:r>
        <w:rPr>
          <w:rFonts w:ascii="PMingLiU" w:cs="PMingLiU" w:eastAsia="PMingLiU" w:hAnsi="PMingLiU"/>
          <w:sz w:val="20"/>
          <w:szCs w:val="20"/>
          <w:color w:val="634140"/>
        </w:rPr>
        <w:t/>
      </w:r>
      <w:r>
        <w:rPr>
          <w:rFonts w:ascii="Arial" w:cs="Arial" w:eastAsia="Arial" w:hAnsi="Arial"/>
          <w:sz w:val="20"/>
          <w:szCs w:val="20"/>
          <w:color w:val="634140"/>
        </w:rPr>
        <w:t>_argmlq</w:t>
      </w:r>
      <w:r>
        <w:rPr>
          <w:rFonts w:ascii="PMingLiU" w:cs="PMingLiU" w:eastAsia="PMingLiU" w:hAnsi="PMingLiU"/>
          <w:sz w:val="20"/>
          <w:szCs w:val="20"/>
          <w:color w:val="634140"/>
        </w:rPr>
        <w:t/>
      </w:r>
      <w:r>
        <w:rPr>
          <w:rFonts w:ascii="Arial" w:cs="Arial" w:eastAsia="Arial" w:hAnsi="Arial"/>
          <w:sz w:val="20"/>
          <w:szCs w:val="20"/>
          <w:color w:val="634140"/>
        </w:rPr>
        <w:t>peflcar</w:t>
      </w:r>
      <w:r>
        <w:rPr>
          <w:rFonts w:ascii="PMingLiU" w:cs="PMingLiU" w:eastAsia="PMingLiU" w:hAnsi="PMingLiU"/>
          <w:sz w:val="20"/>
          <w:szCs w:val="20"/>
          <w:color w:val="634140"/>
        </w:rPr>
        <w:t/>
      </w:r>
      <w:r>
        <w:rPr>
          <w:rFonts w:ascii="Arial" w:cs="Arial" w:eastAsia="Arial" w:hAnsi="Arial"/>
          <w:sz w:val="20"/>
          <w:szCs w:val="20"/>
          <w:color w:val="634140"/>
        </w:rPr>
        <w:t>_</w:t>
      </w:r>
      <w:r>
        <w:rPr>
          <w:rFonts w:ascii="PMingLiU" w:cs="PMingLiU" w:eastAsia="PMingLiU" w:hAnsi="PMingLiU"/>
          <w:sz w:val="20"/>
          <w:szCs w:val="20"/>
          <w:color w:val="634140"/>
        </w:rPr>
        <w:t/>
      </w:r>
      <w:r>
        <w:rPr>
          <w:rFonts w:ascii="Arial" w:cs="Arial" w:eastAsia="Arial" w:hAnsi="Arial"/>
          <w:sz w:val="20"/>
          <w:szCs w:val="20"/>
          <w:color w:val="634140"/>
        </w:rPr>
        <w:t>amkn_lw</w:t>
      </w:r>
      <w:r>
        <w:rPr>
          <w:rFonts w:ascii="PMingLiU" w:cs="PMingLiU" w:eastAsia="PMingLiU" w:hAnsi="PMingLiU"/>
          <w:sz w:val="20"/>
          <w:szCs w:val="20"/>
          <w:color w:val="634140"/>
        </w:rPr>
        <w:t/>
      </w:r>
      <w:r>
        <w:rPr>
          <w:rFonts w:ascii="Arial" w:cs="Arial" w:eastAsia="Arial" w:hAnsi="Arial"/>
          <w:sz w:val="20"/>
          <w:szCs w:val="20"/>
          <w:color w:val="634140"/>
        </w:rPr>
        <w:t>rf_r</w:t>
      </w:r>
      <w:r>
        <w:rPr>
          <w:rFonts w:ascii="PMingLiU" w:cs="PMingLiU" w:eastAsia="PMingLiU" w:hAnsi="PMingLiU"/>
          <w:sz w:val="20"/>
          <w:szCs w:val="20"/>
          <w:color w:val="634140"/>
        </w:rPr>
        <w:t/>
      </w:r>
      <w:r>
        <w:rPr>
          <w:rFonts w:ascii="Arial" w:cs="Arial" w:eastAsia="Arial" w:hAnsi="Arial"/>
          <w:sz w:val="20"/>
          <w:szCs w:val="20"/>
          <w:color w:val="634140"/>
        </w:rPr>
        <w:t>gq</w:t>
      </w:r>
      <w:r>
        <w:rPr>
          <w:rFonts w:ascii="PMingLiU" w:cs="PMingLiU" w:eastAsia="PMingLiU" w:hAnsi="PMingLiU"/>
          <w:sz w:val="20"/>
          <w:szCs w:val="20"/>
          <w:color w:val="634140"/>
        </w:rPr>
        <w:t/>
      </w:r>
      <w:r>
        <w:rPr>
          <w:rFonts w:ascii="Arial" w:cs="Arial" w:eastAsia="Arial" w:hAnsi="Arial"/>
          <w:sz w:val="20"/>
          <w:szCs w:val="20"/>
          <w:color w:val="634140"/>
        </w:rPr>
        <w:t>l_tge_rgle</w:t>
      </w:r>
      <w:r>
        <w:rPr>
          <w:rFonts w:ascii="PMingLiU" w:cs="PMingLiU" w:eastAsia="PMingLiU" w:hAnsi="PMingLiU"/>
          <w:sz w:val="20"/>
          <w:szCs w:val="20"/>
          <w:color w:val="634140"/>
        </w:rPr>
        <w:t/>
      </w:r>
      <w:r>
        <w:rPr>
          <w:rFonts w:ascii="Arial" w:cs="Arial" w:eastAsia="Arial" w:hAnsi="Arial"/>
          <w:sz w:val="20"/>
          <w:szCs w:val="20"/>
          <w:color w:val="634140"/>
        </w:rPr>
        <w:t xml:space="preserve"> pmsef</w:t>
      </w:r>
      <w:r>
        <w:rPr>
          <w:rFonts w:ascii="PMingLiU" w:cs="PMingLiU" w:eastAsia="PMingLiU" w:hAnsi="PMingLiU"/>
          <w:sz w:val="20"/>
          <w:szCs w:val="20"/>
          <w:color w:val="634140"/>
        </w:rPr>
        <w:t/>
      </w:r>
      <w:r>
        <w:rPr>
          <w:rFonts w:ascii="Arial" w:cs="Arial" w:eastAsia="Arial" w:hAnsi="Arial"/>
          <w:sz w:val="20"/>
          <w:szCs w:val="20"/>
          <w:color w:val="634140"/>
        </w:rPr>
        <w:t>u_rcpq</w:t>
      </w:r>
      <w:r>
        <w:rPr>
          <w:rFonts w:ascii="PMingLiU" w:cs="PMingLiU" w:eastAsia="PMingLiU" w:hAnsi="PMingLiU"/>
          <w:sz w:val="20"/>
          <w:szCs w:val="20"/>
          <w:color w:val="634140"/>
        </w:rPr>
        <w:t/>
      </w:r>
      <w:r>
        <w:rPr>
          <w:rFonts w:ascii="Arial" w:cs="Arial" w:eastAsia="Arial" w:hAnsi="Arial"/>
          <w:sz w:val="20"/>
          <w:szCs w:val="20"/>
          <w:color w:val="634140"/>
        </w:rPr>
        <w:t>ugrf</w:t>
      </w:r>
      <w:r>
        <w:rPr>
          <w:rFonts w:ascii="PMingLiU" w:cs="PMingLiU" w:eastAsia="PMingLiU" w:hAnsi="PMingLiU"/>
          <w:sz w:val="20"/>
          <w:szCs w:val="20"/>
          <w:color w:val="634140"/>
        </w:rPr>
        <w:t/>
      </w:r>
      <w:r>
        <w:rPr>
          <w:rFonts w:ascii="Arial" w:cs="Arial" w:eastAsia="Arial" w:hAnsi="Arial"/>
          <w:sz w:val="20"/>
          <w:szCs w:val="20"/>
          <w:color w:val="634140"/>
        </w:rPr>
        <w:t>a_n_`gjgrw</w:t>
      </w:r>
      <w:r>
        <w:rPr>
          <w:rFonts w:ascii="PMingLiU" w:cs="PMingLiU" w:eastAsia="PMingLiU" w:hAnsi="PMingLiU"/>
          <w:sz w:val="20"/>
          <w:szCs w:val="20"/>
          <w:color w:val="634140"/>
        </w:rPr>
        <w:t/>
      </w:r>
      <w:r>
        <w:rPr>
          <w:rFonts w:ascii="Arial" w:cs="Arial" w:eastAsia="Arial" w:hAnsi="Arial"/>
          <w:sz w:val="20"/>
          <w:szCs w:val="20"/>
          <w:color w:val="634140"/>
        </w:rPr>
        <w:t>_egjgrw</w:t>
      </w:r>
      <w:r>
        <w:rPr>
          <w:rFonts w:ascii="PMingLiU" w:cs="PMingLiU" w:eastAsia="PMingLiU" w:hAnsi="PMingLiU"/>
          <w:sz w:val="20"/>
          <w:szCs w:val="20"/>
          <w:color w:val="634140"/>
        </w:rPr>
        <w:t/>
      </w:r>
      <w:r>
        <w:rPr>
          <w:rFonts w:ascii="Arial" w:cs="Arial" w:eastAsia="Arial" w:hAnsi="Arial"/>
          <w:sz w:val="20"/>
          <w:szCs w:val="20"/>
          <w:color w:val="634140"/>
        </w:rPr>
        <w:t>pcqgjgclac</w:t>
      </w:r>
      <w:r>
        <w:rPr>
          <w:rFonts w:ascii="PMingLiU" w:cs="PMingLiU" w:eastAsia="PMingLiU" w:hAnsi="PMingLiU"/>
          <w:sz w:val="20"/>
          <w:szCs w:val="20"/>
          <w:color w:val="634140"/>
        </w:rPr>
        <w:t/>
      </w:r>
      <w:r>
        <w:rPr>
          <w:rFonts w:ascii="Arial" w:cs="Arial" w:eastAsia="Arial" w:hAnsi="Arial"/>
          <w:sz w:val="20"/>
          <w:szCs w:val="20"/>
          <w:color w:val="634140"/>
        </w:rPr>
        <w:t xml:space="preserve"> _lb</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ugjj</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r>
        <w:rPr>
          <w:rFonts w:ascii="Arial" w:cs="Arial" w:eastAsia="Arial" w:hAnsi="Arial"/>
          <w:sz w:val="20"/>
          <w:szCs w:val="20"/>
          <w:color w:val="634140"/>
        </w:rPr>
        <w:t>qsaaccb</w:t>
      </w:r>
      <w:r>
        <w:rPr>
          <w:rFonts w:ascii="PMingLiU" w:cs="PMingLiU" w:eastAsia="PMingLiU" w:hAnsi="PMingLiU"/>
          <w:sz w:val="20"/>
          <w:szCs w:val="20"/>
          <w:color w:val="634140"/>
        </w:rPr>
        <w:t/>
      </w:r>
    </w:p>
    <w:p>
      <w:pPr>
        <w:spacing w:after="0" w:line="362" w:lineRule="exact"/>
        <w:rPr>
          <w:sz w:val="20"/>
          <w:szCs w:val="20"/>
          <w:color w:val="auto"/>
        </w:rPr>
      </w:pPr>
    </w:p>
    <w:p>
      <w:pPr>
        <w:ind w:left="7"/>
        <w:spacing w:after="0" w:line="243" w:lineRule="exact"/>
        <w:rPr>
          <w:sz w:val="20"/>
          <w:szCs w:val="20"/>
          <w:color w:val="auto"/>
        </w:rPr>
      </w:pPr>
      <w:r>
        <w:rPr>
          <w:rFonts w:ascii="Arial" w:cs="Arial" w:eastAsia="Arial" w:hAnsi="Arial"/>
          <w:sz w:val="20"/>
          <w:szCs w:val="20"/>
          <w:b w:val="1"/>
          <w:bCs w:val="1"/>
          <w:color w:val="59BDB6"/>
        </w:rPr>
        <w:t>nmqgrgmlcb</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dmp</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rfc</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dsrspc</w:t>
      </w:r>
    </w:p>
    <w:p>
      <w:pPr>
        <w:spacing w:after="0" w:line="146" w:lineRule="exact"/>
        <w:rPr>
          <w:sz w:val="20"/>
          <w:szCs w:val="20"/>
          <w:color w:val="auto"/>
        </w:rPr>
      </w:pPr>
    </w:p>
    <w:p>
      <w:pPr>
        <w:ind w:left="7" w:right="60"/>
        <w:spacing w:after="0" w:line="258" w:lineRule="exact"/>
        <w:rPr>
          <w:sz w:val="20"/>
          <w:szCs w:val="20"/>
          <w:color w:val="auto"/>
        </w:rPr>
      </w:pPr>
      <w:r>
        <w:rPr>
          <w:rFonts w:ascii="Arial" w:cs="Arial" w:eastAsia="Arial" w:hAnsi="Arial"/>
          <w:sz w:val="20"/>
          <w:szCs w:val="20"/>
          <w:color w:val="634140"/>
        </w:rPr>
        <w:t>Eqfj_lb</w:t>
      </w:r>
      <w:r>
        <w:rPr>
          <w:rFonts w:ascii="PMingLiU" w:cs="PMingLiU" w:eastAsia="PMingLiU" w:hAnsi="PMingLiU"/>
          <w:sz w:val="20"/>
          <w:szCs w:val="20"/>
          <w:color w:val="634140"/>
        </w:rPr>
        <w:t/>
      </w:r>
      <w:r>
        <w:rPr>
          <w:rFonts w:ascii="Arial" w:cs="Arial" w:eastAsia="Arial" w:hAnsi="Arial"/>
          <w:sz w:val="20"/>
          <w:szCs w:val="20"/>
          <w:color w:val="634140"/>
        </w:rPr>
        <w:t>clrcpq</w:t>
      </w:r>
      <w:r>
        <w:rPr>
          <w:rFonts w:ascii="PMingLiU" w:cs="PMingLiU" w:eastAsia="PMingLiU" w:hAnsi="PMingLiU"/>
          <w:sz w:val="20"/>
          <w:szCs w:val="20"/>
          <w:color w:val="634140"/>
        </w:rPr>
        <w:t/>
      </w:r>
      <w:r>
        <w:rPr>
          <w:rFonts w:ascii="Arial" w:cs="Arial" w:eastAsia="Arial" w:hAnsi="Arial"/>
          <w:sz w:val="20"/>
          <w:szCs w:val="20"/>
          <w:color w:val="634140"/>
        </w:rPr>
        <w:t>J]˧˫</w:t>
      </w:r>
      <w:r>
        <w:rPr>
          <w:rFonts w:ascii="PMingLiU" w:cs="PMingLiU" w:eastAsia="PMingLiU" w:hAnsi="PMingLiU"/>
          <w:sz w:val="20"/>
          <w:szCs w:val="20"/>
          <w:color w:val="634140"/>
        </w:rPr>
        <w:t/>
      </w:r>
      <w:r>
        <w:rPr>
          <w:rFonts w:ascii="Arial" w:cs="Arial" w:eastAsia="Arial" w:hAnsi="Arial"/>
          <w:sz w:val="20"/>
          <w:szCs w:val="20"/>
          <w:color w:val="634140"/>
        </w:rPr>
        <w:t>dpmk</w:t>
      </w:r>
      <w:r>
        <w:rPr>
          <w:rFonts w:ascii="PMingLiU" w:cs="PMingLiU" w:eastAsia="PMingLiU" w:hAnsi="PMingLiU"/>
          <w:sz w:val="20"/>
          <w:szCs w:val="20"/>
          <w:color w:val="634140"/>
        </w:rPr>
        <w:t/>
      </w:r>
      <w:r>
        <w:rPr>
          <w:rFonts w:ascii="Arial" w:cs="Arial" w:eastAsia="Arial" w:hAnsi="Arial"/>
          <w:sz w:val="20"/>
          <w:szCs w:val="20"/>
          <w:color w:val="634140"/>
        </w:rPr>
        <w:t>_</w:t>
      </w:r>
      <w:r>
        <w:rPr>
          <w:rFonts w:ascii="PMingLiU" w:cs="PMingLiU" w:eastAsia="PMingLiU" w:hAnsi="PMingLiU"/>
          <w:sz w:val="20"/>
          <w:szCs w:val="20"/>
          <w:color w:val="634140"/>
        </w:rPr>
        <w:t/>
      </w:r>
      <w:r>
        <w:rPr>
          <w:rFonts w:ascii="Arial" w:cs="Arial" w:eastAsia="Arial" w:hAnsi="Arial"/>
          <w:sz w:val="20"/>
          <w:szCs w:val="20"/>
          <w:color w:val="634140"/>
        </w:rPr>
        <w:t>nmqgrgml</w:t>
      </w:r>
      <w:r>
        <w:rPr>
          <w:rFonts w:ascii="PMingLiU" w:cs="PMingLiU" w:eastAsia="PMingLiU" w:hAnsi="PMingLiU"/>
          <w:sz w:val="20"/>
          <w:szCs w:val="20"/>
          <w:color w:val="634140"/>
        </w:rPr>
        <w:t/>
      </w:r>
      <w:r>
        <w:rPr>
          <w:rFonts w:ascii="Arial" w:cs="Arial" w:eastAsia="Arial" w:hAnsi="Arial"/>
          <w:sz w:val="20"/>
          <w:szCs w:val="20"/>
          <w:color w:val="634140"/>
        </w:rPr>
        <w:t>md</w:t>
      </w:r>
      <w:r>
        <w:rPr>
          <w:rFonts w:ascii="PMingLiU" w:cs="PMingLiU" w:eastAsia="PMingLiU" w:hAnsi="PMingLiU"/>
          <w:sz w:val="20"/>
          <w:szCs w:val="20"/>
          <w:color w:val="634140"/>
        </w:rPr>
        <w:t/>
      </w:r>
      <w:r>
        <w:rPr>
          <w:rFonts w:ascii="Arial" w:cs="Arial" w:eastAsia="Arial" w:hAnsi="Arial"/>
          <w:sz w:val="20"/>
          <w:szCs w:val="20"/>
          <w:color w:val="634140"/>
        </w:rPr>
        <w:t>qrpclerf ugrf</w:t>
      </w:r>
      <w:r>
        <w:rPr>
          <w:rFonts w:ascii="PMingLiU" w:cs="PMingLiU" w:eastAsia="PMingLiU" w:hAnsi="PMingLiU"/>
          <w:sz w:val="20"/>
          <w:szCs w:val="20"/>
          <w:color w:val="634140"/>
        </w:rPr>
        <w:t/>
      </w:r>
      <w:r>
        <w:rPr>
          <w:rFonts w:ascii="Arial" w:cs="Arial" w:eastAsia="Arial" w:hAnsi="Arial"/>
          <w:sz w:val="20"/>
          <w:szCs w:val="20"/>
          <w:color w:val="634140"/>
        </w:rPr>
        <w:t>fgef&amp;os_jgrw</w:t>
      </w:r>
      <w:r>
        <w:rPr>
          <w:rFonts w:ascii="PMingLiU" w:cs="PMingLiU" w:eastAsia="PMingLiU" w:hAnsi="PMingLiU"/>
          <w:sz w:val="20"/>
          <w:szCs w:val="20"/>
          <w:color w:val="634140"/>
        </w:rPr>
        <w:t/>
      </w:r>
      <w:r>
        <w:rPr>
          <w:rFonts w:ascii="Arial" w:cs="Arial" w:eastAsia="Arial" w:hAnsi="Arial"/>
          <w:sz w:val="20"/>
          <w:szCs w:val="20"/>
          <w:color w:val="634140"/>
        </w:rPr>
        <w:t>jc_bcpqfgn</w:t>
      </w:r>
      <w:r>
        <w:rPr>
          <w:rFonts w:ascii="PMingLiU" w:cs="PMingLiU" w:eastAsia="PMingLiU" w:hAnsi="PMingLiU"/>
          <w:sz w:val="20"/>
          <w:szCs w:val="20"/>
          <w:color w:val="634140"/>
        </w:rPr>
        <w:t/>
      </w:r>
      <w:r>
        <w:rPr>
          <w:rFonts w:ascii="Arial" w:cs="Arial" w:eastAsia="Arial" w:hAnsi="Arial"/>
          <w:sz w:val="20"/>
          <w:szCs w:val="20"/>
          <w:color w:val="634140"/>
        </w:rPr>
        <w:t>nmqgrgmlq</w:t>
      </w:r>
      <w:r>
        <w:rPr>
          <w:rFonts w:ascii="PMingLiU" w:cs="PMingLiU" w:eastAsia="PMingLiU" w:hAnsi="PMingLiU"/>
          <w:sz w:val="20"/>
          <w:szCs w:val="20"/>
          <w:color w:val="634140"/>
        </w:rPr>
        <w:t/>
      </w:r>
      <w:r>
        <w:rPr>
          <w:rFonts w:ascii="Arial" w:cs="Arial" w:eastAsia="Arial" w:hAnsi="Arial"/>
          <w:sz w:val="20"/>
          <w:szCs w:val="20"/>
          <w:color w:val="634140"/>
        </w:rPr>
        <w:t>_</w:t>
      </w:r>
      <w:r>
        <w:rPr>
          <w:rFonts w:ascii="PMingLiU" w:cs="PMingLiU" w:eastAsia="PMingLiU" w:hAnsi="PMingLiU"/>
          <w:sz w:val="20"/>
          <w:szCs w:val="20"/>
          <w:color w:val="634140"/>
        </w:rPr>
        <w:t/>
      </w:r>
      <w:r>
        <w:rPr>
          <w:rFonts w:ascii="Arial" w:cs="Arial" w:eastAsia="Arial" w:hAnsi="Arial"/>
          <w:sz w:val="20"/>
          <w:szCs w:val="20"/>
          <w:color w:val="634140"/>
        </w:rPr>
        <w:t>pcdpcqfcb</w:t>
      </w:r>
      <w:r>
        <w:rPr>
          <w:rFonts w:ascii="PMingLiU" w:cs="PMingLiU" w:eastAsia="PMingLiU" w:hAnsi="PMingLiU"/>
          <w:sz w:val="20"/>
          <w:szCs w:val="20"/>
          <w:color w:val="634140"/>
        </w:rPr>
        <w:t/>
      </w:r>
      <w:r>
        <w:rPr>
          <w:rFonts w:ascii="Arial" w:cs="Arial" w:eastAsia="Arial" w:hAnsi="Arial"/>
          <w:sz w:val="20"/>
          <w:szCs w:val="20"/>
          <w:color w:val="634140"/>
        </w:rPr>
        <w:t xml:space="preserve"> gllmt_rgml</w:t>
      </w:r>
      <w:r>
        <w:rPr>
          <w:rFonts w:ascii="PMingLiU" w:cs="PMingLiU" w:eastAsia="PMingLiU" w:hAnsi="PMingLiU"/>
          <w:sz w:val="20"/>
          <w:szCs w:val="20"/>
          <w:color w:val="634140"/>
        </w:rPr>
        <w:t/>
      </w:r>
      <w:r>
        <w:rPr>
          <w:rFonts w:ascii="Arial" w:cs="Arial" w:eastAsia="Arial" w:hAnsi="Arial"/>
          <w:sz w:val="20"/>
          <w:szCs w:val="20"/>
          <w:color w:val="634140"/>
        </w:rPr>
        <w:t>ngncjglc</w:t>
      </w:r>
      <w:r>
        <w:rPr>
          <w:rFonts w:ascii="PMingLiU" w:cs="PMingLiU" w:eastAsia="PMingLiU" w:hAnsi="PMingLiU"/>
          <w:sz w:val="20"/>
          <w:szCs w:val="20"/>
          <w:color w:val="634140"/>
        </w:rPr>
        <w:t/>
      </w:r>
      <w:r>
        <w:rPr>
          <w:rFonts w:ascii="Arial" w:cs="Arial" w:eastAsia="Arial" w:hAnsi="Arial"/>
          <w:sz w:val="20"/>
          <w:szCs w:val="20"/>
          <w:color w:val="634140"/>
        </w:rPr>
        <w:t>qrpmlg fil_lag_jq</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_l</w:t>
      </w:r>
      <w:r>
        <w:rPr>
          <w:rFonts w:ascii="PMingLiU" w:cs="PMingLiU" w:eastAsia="PMingLiU" w:hAnsi="PMingLiU"/>
          <w:sz w:val="20"/>
          <w:szCs w:val="20"/>
          <w:color w:val="634140"/>
        </w:rPr>
        <w:t/>
      </w:r>
      <w:r>
        <w:rPr>
          <w:rFonts w:ascii="Arial" w:cs="Arial" w:eastAsia="Arial" w:hAnsi="Arial"/>
          <w:sz w:val="20"/>
          <w:szCs w:val="20"/>
          <w:color w:val="634140"/>
        </w:rPr>
        <w:t>clpgafcb</w:t>
      </w:r>
      <w:r>
        <w:rPr>
          <w:rFonts w:ascii="PMingLiU" w:cs="PMingLiU" w:eastAsia="PMingLiU" w:hAnsi="PMingLiU"/>
          <w:sz w:val="20"/>
          <w:szCs w:val="20"/>
          <w:color w:val="634140"/>
        </w:rPr>
        <w:t/>
      </w:r>
      <w:r>
        <w:rPr>
          <w:rFonts w:ascii="Arial" w:cs="Arial" w:eastAsia="Arial" w:hAnsi="Arial"/>
          <w:sz w:val="20"/>
          <w:szCs w:val="20"/>
          <w:color w:val="634140"/>
        </w:rPr>
        <w:t xml:space="preserve"> ejm`_j</w:t>
      </w:r>
      <w:r>
        <w:rPr>
          <w:rFonts w:ascii="PMingLiU" w:cs="PMingLiU" w:eastAsia="PMingLiU" w:hAnsi="PMingLiU"/>
          <w:sz w:val="20"/>
          <w:szCs w:val="20"/>
          <w:color w:val="634140"/>
        </w:rPr>
        <w:t/>
      </w:r>
      <w:r>
        <w:rPr>
          <w:rFonts w:ascii="Arial" w:cs="Arial" w:eastAsia="Arial" w:hAnsi="Arial"/>
          <w:sz w:val="20"/>
          <w:szCs w:val="20"/>
          <w:color w:val="634140"/>
        </w:rPr>
        <w:t>rc_k</w:t>
      </w:r>
      <w:r>
        <w:rPr>
          <w:rFonts w:ascii="PMingLiU" w:cs="PMingLiU" w:eastAsia="PMingLiU" w:hAnsi="PMingLiU"/>
          <w:sz w:val="20"/>
          <w:szCs w:val="20"/>
          <w:color w:val="634140"/>
        </w:rPr>
        <w:t/>
      </w:r>
      <w:r>
        <w:rPr>
          <w:rFonts w:ascii="Arial" w:cs="Arial" w:eastAsia="Arial" w:hAnsi="Arial"/>
          <w:sz w:val="20"/>
          <w:szCs w:val="20"/>
          <w:color w:val="634140"/>
        </w:rPr>
        <w:t>Ssp</w:t>
      </w:r>
      <w:r>
        <w:rPr>
          <w:rFonts w:ascii="PMingLiU" w:cs="PMingLiU" w:eastAsia="PMingLiU" w:hAnsi="PMingLiU"/>
          <w:sz w:val="20"/>
          <w:szCs w:val="20"/>
          <w:color w:val="634140"/>
        </w:rPr>
        <w:t/>
      </w:r>
      <w:r>
        <w:rPr>
          <w:rFonts w:ascii="Arial" w:cs="Arial" w:eastAsia="Arial" w:hAnsi="Arial"/>
          <w:sz w:val="20"/>
          <w:szCs w:val="20"/>
          <w:color w:val="634140"/>
        </w:rPr>
        <w:t>qrp_rcew</w:t>
      </w:r>
      <w:r>
        <w:rPr>
          <w:rFonts w:ascii="PMingLiU" w:cs="PMingLiU" w:eastAsia="PMingLiU" w:hAnsi="PMingLiU"/>
          <w:sz w:val="20"/>
          <w:szCs w:val="20"/>
          <w:color w:val="634140"/>
        </w:rPr>
        <w:t/>
      </w:r>
      <w:r>
        <w:rPr>
          <w:rFonts w:ascii="Arial" w:cs="Arial" w:eastAsia="Arial" w:hAnsi="Arial"/>
          <w:sz w:val="20"/>
          <w:szCs w:val="20"/>
          <w:color w:val="634140"/>
        </w:rPr>
        <w:t>pck_glq</w:t>
      </w:r>
      <w:r>
        <w:rPr>
          <w:rFonts w:ascii="PMingLiU" w:cs="PMingLiU" w:eastAsia="PMingLiU" w:hAnsi="PMingLiU"/>
          <w:sz w:val="20"/>
          <w:szCs w:val="20"/>
          <w:color w:val="634140"/>
        </w:rPr>
        <w:t/>
      </w:r>
      <w:r>
        <w:rPr>
          <w:rFonts w:ascii="Arial" w:cs="Arial" w:eastAsia="Arial" w:hAnsi="Arial"/>
          <w:sz w:val="20"/>
          <w:szCs w:val="20"/>
          <w:color w:val="634140"/>
        </w:rPr>
        <w:t>ajc_p</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pcjct_lr</w:t>
      </w:r>
    </w:p>
    <w:p>
      <w:pPr>
        <w:spacing w:after="0" w:line="200" w:lineRule="exact"/>
        <w:rPr>
          <w:sz w:val="20"/>
          <w:szCs w:val="20"/>
          <w:color w:val="auto"/>
        </w:rPr>
      </w:pPr>
    </w:p>
    <w:p>
      <w:pPr>
        <w:jc w:val="both"/>
        <w:ind w:left="327" w:right="460" w:hanging="327"/>
        <w:spacing w:after="0" w:line="259" w:lineRule="exact"/>
        <w:tabs>
          <w:tab w:leader="none" w:pos="327" w:val="left"/>
        </w:tabs>
        <w:numPr>
          <w:ilvl w:val="0"/>
          <w:numId w:val="6"/>
        </w:numPr>
        <w:rPr>
          <w:rFonts w:ascii="Wingdings" w:cs="Wingdings" w:eastAsia="Wingdings" w:hAnsi="Wingdings"/>
          <w:sz w:val="18"/>
          <w:szCs w:val="18"/>
          <w:color w:val="59BDB6"/>
        </w:rPr>
      </w:pPr>
      <w:r>
        <w:rPr>
          <w:rFonts w:ascii="Arial" w:cs="Arial" w:eastAsia="Arial" w:hAnsi="Arial"/>
          <w:sz w:val="20"/>
          <w:szCs w:val="20"/>
          <w:b w:val="1"/>
          <w:bCs w:val="1"/>
          <w:color w:val="634140"/>
        </w:rPr>
        <w:t xml:space="preserve">Ivcasrc </w:t>
      </w:r>
      <w:r>
        <w:rPr>
          <w:rFonts w:ascii="PMingLiU" w:cs="PMingLiU" w:eastAsia="PMingLiU" w:hAnsi="PMingLiU"/>
          <w:sz w:val="20"/>
          <w:szCs w:val="20"/>
          <w:color w:val="634140"/>
        </w:rPr>
        <w:t/>
      </w:r>
      <w:r>
        <w:rPr>
          <w:rFonts w:ascii="Arial" w:cs="Arial" w:eastAsia="Arial" w:hAnsi="Arial"/>
          <w:sz w:val="20"/>
          <w:szCs w:val="20"/>
          <w:color w:val="634140"/>
        </w:rPr>
        <w:t>Gmlrglsc</w:t>
      </w:r>
      <w:r>
        <w:rPr>
          <w:rFonts w:ascii="PMingLiU" w:cs="PMingLiU" w:eastAsia="PMingLiU" w:hAnsi="PMingLiU"/>
          <w:sz w:val="20"/>
          <w:szCs w:val="20"/>
          <w:color w:val="634140"/>
        </w:rPr>
        <w:t/>
      </w:r>
      <w:r>
        <w:rPr>
          <w:rFonts w:ascii="Arial" w:cs="Arial" w:eastAsia="Arial" w:hAnsi="Arial"/>
          <w:sz w:val="20"/>
          <w:szCs w:val="20"/>
          <w:color w:val="634140"/>
        </w:rPr>
        <w:t>lcrumpi</w:t>
      </w:r>
      <w:r>
        <w:rPr>
          <w:rFonts w:ascii="PMingLiU" w:cs="PMingLiU" w:eastAsia="PMingLiU" w:hAnsi="PMingLiU"/>
          <w:sz w:val="20"/>
          <w:szCs w:val="20"/>
          <w:color w:val="634140"/>
        </w:rPr>
        <w:t/>
      </w:r>
      <w:r>
        <w:rPr>
          <w:rFonts w:ascii="Arial" w:cs="Arial" w:eastAsia="Arial" w:hAnsi="Arial"/>
          <w:sz w:val="20"/>
          <w:szCs w:val="20"/>
          <w:color w:val="634140"/>
        </w:rPr>
        <w:t>mnrgkgx_rgmlq</w:t>
      </w:r>
      <w:r>
        <w:rPr>
          <w:rFonts w:ascii="PMingLiU" w:cs="PMingLiU" w:eastAsia="PMingLiU" w:hAnsi="PMingLiU"/>
          <w:sz w:val="20"/>
          <w:szCs w:val="20"/>
          <w:color w:val="634140"/>
        </w:rPr>
        <w:t/>
      </w:r>
      <w:r>
        <w:rPr>
          <w:rFonts w:ascii="Arial" w:cs="Arial" w:eastAsia="Arial" w:hAnsi="Arial"/>
          <w:sz w:val="20"/>
          <w:szCs w:val="20"/>
          <w:color w:val="634140"/>
        </w:rPr>
        <w:t>˧</w:t>
      </w:r>
      <w:r>
        <w:rPr>
          <w:rFonts w:ascii="PMingLiU" w:cs="PMingLiU" w:eastAsia="PMingLiU" w:hAnsi="PMingLiU"/>
          <w:sz w:val="20"/>
          <w:szCs w:val="20"/>
          <w:color w:val="634140"/>
        </w:rPr>
        <w:t/>
      </w:r>
      <w:r>
        <w:rPr>
          <w:rFonts w:ascii="Arial" w:cs="Arial" w:eastAsia="Arial" w:hAnsi="Arial"/>
          <w:sz w:val="20"/>
          <w:szCs w:val="20"/>
          <w:color w:val="634140"/>
        </w:rPr>
        <w:t>˥</w:t>
      </w:r>
      <w:r>
        <w:rPr>
          <w:rFonts w:ascii="PMingLiU" w:cs="PMingLiU" w:eastAsia="PMingLiU" w:hAnsi="PMingLiU"/>
          <w:sz w:val="20"/>
          <w:szCs w:val="20"/>
          <w:color w:val="634140"/>
        </w:rPr>
        <w:t/>
      </w:r>
      <w:r>
        <w:rPr>
          <w:rFonts w:ascii="Arial" w:cs="Arial" w:eastAsia="Arial" w:hAnsi="Arial"/>
          <w:sz w:val="20"/>
          <w:szCs w:val="20"/>
          <w:b w:val="1"/>
          <w:bCs w:val="1"/>
          <w:color w:val="634140"/>
        </w:rPr>
        <w:t xml:space="preserve"> </w:t>
      </w:r>
      <w:r>
        <w:rPr>
          <w:rFonts w:ascii="Arial" w:cs="Arial" w:eastAsia="Arial" w:hAnsi="Arial"/>
          <w:sz w:val="20"/>
          <w:szCs w:val="20"/>
          <w:color w:val="634140"/>
        </w:rPr>
        <w:t>bccncl</w:t>
      </w:r>
      <w:r>
        <w:rPr>
          <w:rFonts w:ascii="PMingLiU" w:cs="PMingLiU" w:eastAsia="PMingLiU" w:hAnsi="PMingLiU"/>
          <w:sz w:val="20"/>
          <w:szCs w:val="20"/>
          <w:color w:val="634140"/>
        </w:rPr>
        <w:t/>
      </w:r>
      <w:r>
        <w:rPr>
          <w:rFonts w:ascii="Arial" w:cs="Arial" w:eastAsia="Arial" w:hAnsi="Arial"/>
          <w:sz w:val="20"/>
          <w:szCs w:val="20"/>
          <w:color w:val="634140"/>
        </w:rPr>
        <w:t>npmbsargtgrw</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mncp_rgle</w:t>
      </w:r>
      <w:r>
        <w:rPr>
          <w:rFonts w:ascii="PMingLiU" w:cs="PMingLiU" w:eastAsia="PMingLiU" w:hAnsi="PMingLiU"/>
          <w:sz w:val="20"/>
          <w:szCs w:val="20"/>
          <w:color w:val="634140"/>
        </w:rPr>
        <w:t/>
      </w:r>
      <w:r>
        <w:rPr>
          <w:rFonts w:ascii="Arial" w:cs="Arial" w:eastAsia="Arial" w:hAnsi="Arial"/>
          <w:sz w:val="20"/>
          <w:szCs w:val="20"/>
          <w:color w:val="634140"/>
        </w:rPr>
        <w:t>bgqagnjglc</w:t>
      </w:r>
      <w:r>
        <w:rPr>
          <w:rFonts w:ascii="PMingLiU" w:cs="PMingLiU" w:eastAsia="PMingLiU" w:hAnsi="PMingLiU"/>
          <w:sz w:val="20"/>
          <w:szCs w:val="20"/>
          <w:color w:val="634140"/>
        </w:rPr>
        <w:t/>
      </w:r>
      <w:r>
        <w:rPr>
          <w:rFonts w:ascii="Arial" w:cs="Arial" w:eastAsia="Arial" w:hAnsi="Arial"/>
          <w:sz w:val="20"/>
          <w:szCs w:val="20"/>
          <w:color w:val="634140"/>
        </w:rPr>
        <w:t xml:space="preserve"> qrpclerfcl</w:t>
      </w:r>
      <w:r>
        <w:rPr>
          <w:rFonts w:ascii="PMingLiU" w:cs="PMingLiU" w:eastAsia="PMingLiU" w:hAnsi="PMingLiU"/>
          <w:sz w:val="20"/>
          <w:szCs w:val="20"/>
          <w:color w:val="634140"/>
        </w:rPr>
        <w:t/>
      </w:r>
      <w:r>
        <w:rPr>
          <w:rFonts w:ascii="Arial" w:cs="Arial" w:eastAsia="Arial" w:hAnsi="Arial"/>
          <w:sz w:val="20"/>
          <w:szCs w:val="20"/>
          <w:color w:val="634140"/>
        </w:rPr>
        <w:t>qwqrckq</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npmacqqcq</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qr_w</w:t>
      </w:r>
      <w:r>
        <w:rPr>
          <w:rFonts w:ascii="PMingLiU" w:cs="PMingLiU" w:eastAsia="PMingLiU" w:hAnsi="PMingLiU"/>
          <w:sz w:val="20"/>
          <w:szCs w:val="20"/>
          <w:color w:val="634140"/>
        </w:rPr>
        <w:t/>
      </w:r>
      <w:r>
        <w:rPr>
          <w:rFonts w:ascii="Arial" w:cs="Arial" w:eastAsia="Arial" w:hAnsi="Arial"/>
          <w:sz w:val="20"/>
          <w:szCs w:val="20"/>
          <w:color w:val="634140"/>
        </w:rPr>
        <w:t xml:space="preserve"> cvrcpl_jjw</w:t>
      </w:r>
      <w:r>
        <w:rPr>
          <w:rFonts w:ascii="PMingLiU" w:cs="PMingLiU" w:eastAsia="PMingLiU" w:hAnsi="PMingLiU"/>
          <w:sz w:val="20"/>
          <w:szCs w:val="20"/>
          <w:color w:val="634140"/>
        </w:rPr>
        <w:t/>
      </w:r>
      <w:r>
        <w:rPr>
          <w:rFonts w:ascii="Arial" w:cs="Arial" w:eastAsia="Arial" w:hAnsi="Arial"/>
          <w:sz w:val="20"/>
          <w:szCs w:val="20"/>
          <w:color w:val="634140"/>
        </w:rPr>
        <w:t>dmasqcb</w:t>
      </w:r>
      <w:r>
        <w:rPr>
          <w:rFonts w:ascii="PMingLiU" w:cs="PMingLiU" w:eastAsia="PMingLiU" w:hAnsi="PMingLiU"/>
          <w:sz w:val="20"/>
          <w:szCs w:val="20"/>
          <w:color w:val="634140"/>
        </w:rPr>
        <w:t/>
      </w:r>
      <w:r>
        <w:rPr>
          <w:rFonts w:ascii="Arial" w:cs="Arial" w:eastAsia="Arial" w:hAnsi="Arial"/>
          <w:sz w:val="20"/>
          <w:szCs w:val="20"/>
          <w:color w:val="634140"/>
        </w:rPr>
        <w:t>ml</w:t>
      </w:r>
      <w:r>
        <w:rPr>
          <w:rFonts w:ascii="PMingLiU" w:cs="PMingLiU" w:eastAsia="PMingLiU" w:hAnsi="PMingLiU"/>
          <w:sz w:val="20"/>
          <w:szCs w:val="20"/>
          <w:color w:val="634140"/>
        </w:rPr>
        <w:t/>
      </w:r>
      <w:r>
        <w:rPr>
          <w:rFonts w:ascii="Arial" w:cs="Arial" w:eastAsia="Arial" w:hAnsi="Arial"/>
          <w:sz w:val="20"/>
          <w:szCs w:val="20"/>
          <w:color w:val="634140"/>
        </w:rPr>
        <w:t>asqrmkcp</w:t>
      </w:r>
      <w:r>
        <w:rPr>
          <w:rFonts w:ascii="PMingLiU" w:cs="PMingLiU" w:eastAsia="PMingLiU" w:hAnsi="PMingLiU"/>
          <w:sz w:val="20"/>
          <w:szCs w:val="20"/>
          <w:color w:val="634140"/>
        </w:rPr>
        <w:t/>
      </w:r>
      <w:r>
        <w:rPr>
          <w:rFonts w:ascii="Arial" w:cs="Arial" w:eastAsia="Arial" w:hAnsi="Arial"/>
          <w:sz w:val="20"/>
          <w:szCs w:val="20"/>
          <w:color w:val="634140"/>
        </w:rPr>
        <w:t>qsaacqq</w:t>
      </w:r>
      <w:r>
        <w:rPr>
          <w:rFonts w:ascii="PMingLiU" w:cs="PMingLiU" w:eastAsia="PMingLiU" w:hAnsi="PMingLiU"/>
          <w:sz w:val="20"/>
          <w:szCs w:val="20"/>
          <w:color w:val="634140"/>
        </w:rPr>
        <w:t/>
      </w:r>
    </w:p>
    <w:p>
      <w:pPr>
        <w:spacing w:after="0" w:line="200" w:lineRule="exact"/>
        <w:rPr>
          <w:sz w:val="20"/>
          <w:szCs w:val="20"/>
          <w:color w:val="auto"/>
        </w:rPr>
      </w:pPr>
    </w:p>
    <w:p>
      <w:pPr>
        <w:ind w:left="327" w:right="120" w:hanging="327"/>
        <w:spacing w:after="0" w:line="259" w:lineRule="exact"/>
        <w:tabs>
          <w:tab w:leader="none" w:pos="327" w:val="left"/>
        </w:tabs>
        <w:numPr>
          <w:ilvl w:val="0"/>
          <w:numId w:val="7"/>
        </w:numPr>
        <w:rPr>
          <w:rFonts w:ascii="Wingdings" w:cs="Wingdings" w:eastAsia="Wingdings" w:hAnsi="Wingdings"/>
          <w:sz w:val="18"/>
          <w:szCs w:val="18"/>
          <w:color w:val="59BDB6"/>
        </w:rPr>
      </w:pPr>
      <w:r>
        <w:rPr>
          <w:rFonts w:ascii="Arial" w:cs="Arial" w:eastAsia="Arial" w:hAnsi="Arial"/>
          <w:sz w:val="20"/>
          <w:szCs w:val="20"/>
          <w:b w:val="1"/>
          <w:bCs w:val="1"/>
          <w:color w:val="634140"/>
        </w:rPr>
        <w:t xml:space="preserve">Kjm`_jgxc </w:t>
      </w:r>
      <w:r>
        <w:rPr>
          <w:rFonts w:ascii="PMingLiU" w:cs="PMingLiU" w:eastAsia="PMingLiU" w:hAnsi="PMingLiU"/>
          <w:sz w:val="20"/>
          <w:szCs w:val="20"/>
          <w:color w:val="634140"/>
        </w:rPr>
        <w:t/>
      </w:r>
      <w:r>
        <w:rPr>
          <w:rFonts w:ascii="Arial" w:cs="Arial" w:eastAsia="Arial" w:hAnsi="Arial"/>
          <w:sz w:val="20"/>
          <w:szCs w:val="20"/>
          <w:color w:val="634140"/>
        </w:rPr>
        <w:t>Ivn_lb</w:t>
      </w:r>
      <w:r>
        <w:rPr>
          <w:rFonts w:ascii="PMingLiU" w:cs="PMingLiU" w:eastAsia="PMingLiU" w:hAnsi="PMingLiU"/>
          <w:sz w:val="20"/>
          <w:szCs w:val="20"/>
          <w:color w:val="634140"/>
        </w:rPr>
        <w:t/>
      </w:r>
      <w:r>
        <w:rPr>
          <w:rFonts w:ascii="Arial" w:cs="Arial" w:eastAsia="Arial" w:hAnsi="Arial"/>
          <w:sz w:val="20"/>
          <w:szCs w:val="20"/>
          <w:color w:val="634140"/>
        </w:rPr>
        <w:t>msp</w:t>
      </w:r>
      <w:r>
        <w:rPr>
          <w:rFonts w:ascii="PMingLiU" w:cs="PMingLiU" w:eastAsia="PMingLiU" w:hAnsi="PMingLiU"/>
          <w:sz w:val="20"/>
          <w:szCs w:val="20"/>
          <w:color w:val="634140"/>
        </w:rPr>
        <w:t/>
      </w:r>
      <w:r>
        <w:rPr>
          <w:rFonts w:ascii="Arial" w:cs="Arial" w:eastAsia="Arial" w:hAnsi="Arial"/>
          <w:sz w:val="20"/>
          <w:szCs w:val="20"/>
          <w:color w:val="634140"/>
        </w:rPr>
        <w:t>`gmdslargml_jq</w:t>
      </w:r>
      <w:r>
        <w:rPr>
          <w:rFonts w:ascii="PMingLiU" w:cs="PMingLiU" w:eastAsia="PMingLiU" w:hAnsi="PMingLiU"/>
          <w:sz w:val="20"/>
          <w:szCs w:val="20"/>
          <w:color w:val="634140"/>
        </w:rPr>
        <w:t/>
      </w:r>
      <w:r>
        <w:rPr>
          <w:rFonts w:ascii="Arial" w:cs="Arial" w:eastAsia="Arial" w:hAnsi="Arial"/>
          <w:sz w:val="20"/>
          <w:szCs w:val="20"/>
          <w:color w:val="634140"/>
        </w:rPr>
        <w:t>kgapm`g_j&amp;</w:t>
      </w:r>
      <w:r>
        <w:rPr>
          <w:rFonts w:ascii="Arial" w:cs="Arial" w:eastAsia="Arial" w:hAnsi="Arial"/>
          <w:sz w:val="20"/>
          <w:szCs w:val="20"/>
          <w:b w:val="1"/>
          <w:bCs w:val="1"/>
          <w:color w:val="634140"/>
        </w:rPr>
        <w:t xml:space="preserve"> </w:t>
      </w:r>
      <w:r>
        <w:rPr>
          <w:rFonts w:ascii="Arial" w:cs="Arial" w:eastAsia="Arial" w:hAnsi="Arial"/>
          <w:sz w:val="20"/>
          <w:szCs w:val="20"/>
          <w:color w:val="634140"/>
        </w:rPr>
        <w:t>npmrcargml</w:t>
      </w:r>
      <w:r>
        <w:rPr>
          <w:rFonts w:ascii="PMingLiU" w:cs="PMingLiU" w:eastAsia="PMingLiU" w:hAnsi="PMingLiU"/>
          <w:sz w:val="20"/>
          <w:szCs w:val="20"/>
          <w:color w:val="634140"/>
        </w:rPr>
        <w:t/>
      </w:r>
      <w:r>
        <w:rPr>
          <w:rFonts w:ascii="Arial" w:cs="Arial" w:eastAsia="Arial" w:hAnsi="Arial"/>
          <w:sz w:val="20"/>
          <w:szCs w:val="20"/>
          <w:color w:val="634140"/>
        </w:rPr>
        <w:t>r_`jcr&amp;am_rgleq</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glhcar_`jcq</w:t>
      </w:r>
      <w:r>
        <w:rPr>
          <w:rFonts w:ascii="PMingLiU" w:cs="PMingLiU" w:eastAsia="PMingLiU" w:hAnsi="PMingLiU"/>
          <w:sz w:val="20"/>
          <w:szCs w:val="20"/>
          <w:color w:val="634140"/>
        </w:rPr>
        <w:t/>
      </w:r>
      <w:r>
        <w:rPr>
          <w:rFonts w:ascii="Arial" w:cs="Arial" w:eastAsia="Arial" w:hAnsi="Arial"/>
          <w:sz w:val="20"/>
          <w:szCs w:val="20"/>
          <w:color w:val="634140"/>
        </w:rPr>
        <w:t xml:space="preserve"> `sqglcqqcq</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r>
        <w:rPr>
          <w:rFonts w:ascii="Arial" w:cs="Arial" w:eastAsia="Arial" w:hAnsi="Arial"/>
          <w:sz w:val="20"/>
          <w:szCs w:val="20"/>
          <w:color w:val="634140"/>
        </w:rPr>
        <w:t>kccr</w:t>
      </w:r>
      <w:r>
        <w:rPr>
          <w:rFonts w:ascii="PMingLiU" w:cs="PMingLiU" w:eastAsia="PMingLiU" w:hAnsi="PMingLiU"/>
          <w:sz w:val="20"/>
          <w:szCs w:val="20"/>
          <w:color w:val="634140"/>
        </w:rPr>
        <w:t/>
      </w:r>
      <w:r>
        <w:rPr>
          <w:rFonts w:ascii="Arial" w:cs="Arial" w:eastAsia="Arial" w:hAnsi="Arial"/>
          <w:sz w:val="20"/>
          <w:szCs w:val="20"/>
          <w:color w:val="634140"/>
        </w:rPr>
        <w:t>bck_lb</w:t>
      </w:r>
      <w:r>
        <w:rPr>
          <w:rFonts w:ascii="PMingLiU" w:cs="PMingLiU" w:eastAsia="PMingLiU" w:hAnsi="PMingLiU"/>
          <w:sz w:val="20"/>
          <w:szCs w:val="20"/>
          <w:color w:val="634140"/>
        </w:rPr>
        <w:t/>
      </w:r>
      <w:r>
        <w:rPr>
          <w:rFonts w:ascii="Arial" w:cs="Arial" w:eastAsia="Arial" w:hAnsi="Arial"/>
          <w:sz w:val="20"/>
          <w:szCs w:val="20"/>
          <w:color w:val="634140"/>
        </w:rPr>
        <w:t>_apmqq</w:t>
      </w:r>
      <w:r>
        <w:rPr>
          <w:rFonts w:ascii="PMingLiU" w:cs="PMingLiU" w:eastAsia="PMingLiU" w:hAnsi="PMingLiU"/>
          <w:sz w:val="20"/>
          <w:szCs w:val="20"/>
          <w:color w:val="634140"/>
        </w:rPr>
        <w:t/>
      </w:r>
      <w:r>
        <w:rPr>
          <w:rFonts w:ascii="Arial" w:cs="Arial" w:eastAsia="Arial" w:hAnsi="Arial"/>
          <w:sz w:val="20"/>
          <w:szCs w:val="20"/>
          <w:color w:val="634140"/>
        </w:rPr>
        <w:t>ctcpw</w:t>
      </w:r>
      <w:r>
        <w:rPr>
          <w:rFonts w:ascii="PMingLiU" w:cs="PMingLiU" w:eastAsia="PMingLiU" w:hAnsi="PMingLiU"/>
          <w:sz w:val="20"/>
          <w:szCs w:val="20"/>
          <w:color w:val="634140"/>
        </w:rPr>
        <w:t/>
      </w:r>
      <w:r>
        <w:rPr>
          <w:rFonts w:ascii="Arial" w:cs="Arial" w:eastAsia="Arial" w:hAnsi="Arial"/>
          <w:sz w:val="20"/>
          <w:szCs w:val="20"/>
          <w:color w:val="634140"/>
        </w:rPr>
        <w:t>k_picr</w:t>
      </w:r>
      <w:r>
        <w:rPr>
          <w:rFonts w:ascii="PMingLiU" w:cs="PMingLiU" w:eastAsia="PMingLiU" w:hAnsi="PMingLiU"/>
          <w:sz w:val="20"/>
          <w:szCs w:val="20"/>
          <w:color w:val="634140"/>
        </w:rPr>
        <w:t/>
      </w:r>
      <w:r>
        <w:rPr>
          <w:rFonts w:ascii="Arial" w:cs="Arial" w:eastAsia="Arial" w:hAnsi="Arial"/>
          <w:sz w:val="20"/>
          <w:szCs w:val="20"/>
          <w:color w:val="634140"/>
        </w:rPr>
        <w:t xml:space="preserve"> _lb</w:t>
      </w:r>
      <w:r>
        <w:rPr>
          <w:rFonts w:ascii="PMingLiU" w:cs="PMingLiU" w:eastAsia="PMingLiU" w:hAnsi="PMingLiU"/>
          <w:sz w:val="20"/>
          <w:szCs w:val="20"/>
          <w:color w:val="634140"/>
        </w:rPr>
        <w:t/>
      </w:r>
      <w:r>
        <w:rPr>
          <w:rFonts w:ascii="Arial" w:cs="Arial" w:eastAsia="Arial" w:hAnsi="Arial"/>
          <w:sz w:val="20"/>
          <w:szCs w:val="20"/>
          <w:color w:val="634140"/>
        </w:rPr>
        <w:t>asjrspc</w:t>
      </w:r>
      <w:r>
        <w:rPr>
          <w:rFonts w:ascii="PMingLiU" w:cs="PMingLiU" w:eastAsia="PMingLiU" w:hAnsi="PMingLiU"/>
          <w:sz w:val="20"/>
          <w:szCs w:val="20"/>
          <w:color w:val="634140"/>
        </w:rPr>
        <w:t/>
      </w:r>
    </w:p>
    <w:p>
      <w:pPr>
        <w:spacing w:after="0" w:line="200" w:lineRule="exact"/>
        <w:rPr>
          <w:sz w:val="20"/>
          <w:szCs w:val="20"/>
          <w:color w:val="auto"/>
        </w:rPr>
      </w:pPr>
    </w:p>
    <w:p>
      <w:pPr>
        <w:ind w:left="327" w:right="340" w:hanging="327"/>
        <w:spacing w:after="0" w:line="258" w:lineRule="exact"/>
        <w:tabs>
          <w:tab w:leader="none" w:pos="327" w:val="left"/>
        </w:tabs>
        <w:numPr>
          <w:ilvl w:val="0"/>
          <w:numId w:val="8"/>
        </w:numPr>
        <w:rPr>
          <w:rFonts w:ascii="Wingdings" w:cs="Wingdings" w:eastAsia="Wingdings" w:hAnsi="Wingdings"/>
          <w:sz w:val="17"/>
          <w:szCs w:val="17"/>
          <w:color w:val="59BDB6"/>
        </w:rPr>
      </w:pPr>
      <w:r>
        <w:rPr>
          <w:rFonts w:ascii="Arial" w:cs="Arial" w:eastAsia="Arial" w:hAnsi="Arial"/>
          <w:sz w:val="19"/>
          <w:szCs w:val="19"/>
          <w:b w:val="1"/>
          <w:bCs w:val="1"/>
          <w:color w:val="634140"/>
        </w:rPr>
        <w:t xml:space="preserve">Mllmt_rc </w:t>
      </w:r>
      <w:r>
        <w:rPr>
          <w:rFonts w:ascii="PMingLiU" w:cs="PMingLiU" w:eastAsia="PMingLiU" w:hAnsi="PMingLiU"/>
          <w:sz w:val="19"/>
          <w:szCs w:val="19"/>
          <w:color w:val="634140"/>
        </w:rPr>
        <w:t/>
      </w:r>
      <w:r>
        <w:rPr>
          <w:rFonts w:ascii="Arial" w:cs="Arial" w:eastAsia="Arial" w:hAnsi="Arial"/>
          <w:sz w:val="19"/>
          <w:szCs w:val="19"/>
          <w:color w:val="634140"/>
        </w:rPr>
        <w:t>Ebt_lac</w:t>
      </w:r>
      <w:r>
        <w:rPr>
          <w:rFonts w:ascii="PMingLiU" w:cs="PMingLiU" w:eastAsia="PMingLiU" w:hAnsi="PMingLiU"/>
          <w:sz w:val="19"/>
          <w:szCs w:val="19"/>
          <w:color w:val="634140"/>
        </w:rPr>
        <w:t/>
      </w:r>
      <w:r>
        <w:rPr>
          <w:rFonts w:ascii="Arial" w:cs="Arial" w:eastAsia="Arial" w:hAnsi="Arial"/>
          <w:sz w:val="19"/>
          <w:szCs w:val="19"/>
          <w:color w:val="634140"/>
        </w:rPr>
        <w:t>ampc</w:t>
      </w:r>
      <w:r>
        <w:rPr>
          <w:rFonts w:ascii="PMingLiU" w:cs="PMingLiU" w:eastAsia="PMingLiU" w:hAnsi="PMingLiU"/>
          <w:sz w:val="19"/>
          <w:szCs w:val="19"/>
          <w:color w:val="634140"/>
        </w:rPr>
        <w:t/>
      </w:r>
      <w:r>
        <w:rPr>
          <w:rFonts w:ascii="Arial" w:cs="Arial" w:eastAsia="Arial" w:hAnsi="Arial"/>
          <w:sz w:val="19"/>
          <w:szCs w:val="19"/>
          <w:color w:val="634140"/>
        </w:rPr>
        <w:t>rcaflmjmegcq</w:t>
      </w:r>
      <w:r>
        <w:rPr>
          <w:rFonts w:ascii="PMingLiU" w:cs="PMingLiU" w:eastAsia="PMingLiU" w:hAnsi="PMingLiU"/>
          <w:sz w:val="19"/>
          <w:szCs w:val="19"/>
          <w:color w:val="634140"/>
        </w:rPr>
        <w:t/>
      </w:r>
      <w:r>
        <w:rPr>
          <w:rFonts w:ascii="Arial" w:cs="Arial" w:eastAsia="Arial" w:hAnsi="Arial"/>
          <w:sz w:val="19"/>
          <w:szCs w:val="19"/>
          <w:color w:val="634140"/>
        </w:rPr>
        <w:t>ufgjc</w:t>
      </w:r>
      <w:r>
        <w:rPr>
          <w:rFonts w:ascii="PMingLiU" w:cs="PMingLiU" w:eastAsia="PMingLiU" w:hAnsi="PMingLiU"/>
          <w:sz w:val="19"/>
          <w:szCs w:val="19"/>
          <w:color w:val="634140"/>
        </w:rPr>
        <w:t/>
      </w:r>
      <w:r>
        <w:rPr>
          <w:rFonts w:ascii="Arial" w:cs="Arial" w:eastAsia="Arial" w:hAnsi="Arial"/>
          <w:sz w:val="19"/>
          <w:szCs w:val="19"/>
          <w:b w:val="1"/>
          <w:bCs w:val="1"/>
          <w:color w:val="634140"/>
        </w:rPr>
        <w:t xml:space="preserve"> </w:t>
      </w:r>
      <w:r>
        <w:rPr>
          <w:rFonts w:ascii="Arial" w:cs="Arial" w:eastAsia="Arial" w:hAnsi="Arial"/>
          <w:sz w:val="19"/>
          <w:szCs w:val="19"/>
          <w:color w:val="634140"/>
        </w:rPr>
        <w:t>cvnjmpgle</w:t>
      </w:r>
      <w:r>
        <w:rPr>
          <w:rFonts w:ascii="PMingLiU" w:cs="PMingLiU" w:eastAsia="PMingLiU" w:hAnsi="PMingLiU"/>
          <w:sz w:val="19"/>
          <w:szCs w:val="19"/>
          <w:color w:val="634140"/>
        </w:rPr>
        <w:t/>
      </w:r>
      <w:r>
        <w:rPr>
          <w:rFonts w:ascii="Arial" w:cs="Arial" w:eastAsia="Arial" w:hAnsi="Arial"/>
          <w:sz w:val="19"/>
          <w:szCs w:val="19"/>
          <w:color w:val="634140"/>
        </w:rPr>
        <w:t>lcu</w:t>
      </w:r>
      <w:r>
        <w:rPr>
          <w:rFonts w:ascii="PMingLiU" w:cs="PMingLiU" w:eastAsia="PMingLiU" w:hAnsi="PMingLiU"/>
          <w:sz w:val="19"/>
          <w:szCs w:val="19"/>
          <w:color w:val="634140"/>
        </w:rPr>
        <w:t/>
      </w:r>
      <w:r>
        <w:rPr>
          <w:rFonts w:ascii="Arial" w:cs="Arial" w:eastAsia="Arial" w:hAnsi="Arial"/>
          <w:sz w:val="19"/>
          <w:szCs w:val="19"/>
          <w:color w:val="634140"/>
        </w:rPr>
        <w:t>nj_rdmpkq</w:t>
      </w:r>
      <w:r>
        <w:rPr>
          <w:rFonts w:ascii="PMingLiU" w:cs="PMingLiU" w:eastAsia="PMingLiU" w:hAnsi="PMingLiU"/>
          <w:sz w:val="19"/>
          <w:szCs w:val="19"/>
          <w:color w:val="634140"/>
        </w:rPr>
        <w:t/>
      </w:r>
      <w:r>
        <w:rPr>
          <w:rFonts w:ascii="Arial" w:cs="Arial" w:eastAsia="Arial" w:hAnsi="Arial"/>
          <w:sz w:val="19"/>
          <w:szCs w:val="19"/>
          <w:color w:val="634140"/>
        </w:rPr>
        <w:t>rf_r</w:t>
      </w:r>
      <w:r>
        <w:rPr>
          <w:rFonts w:ascii="PMingLiU" w:cs="PMingLiU" w:eastAsia="PMingLiU" w:hAnsi="PMingLiU"/>
          <w:sz w:val="19"/>
          <w:szCs w:val="19"/>
          <w:color w:val="634140"/>
        </w:rPr>
        <w:t/>
      </w:r>
      <w:r>
        <w:rPr>
          <w:rFonts w:ascii="Arial" w:cs="Arial" w:eastAsia="Arial" w:hAnsi="Arial"/>
          <w:sz w:val="19"/>
          <w:szCs w:val="19"/>
          <w:color w:val="634140"/>
        </w:rPr>
        <w:t>kcpec</w:t>
      </w:r>
      <w:r>
        <w:rPr>
          <w:rFonts w:ascii="PMingLiU" w:cs="PMingLiU" w:eastAsia="PMingLiU" w:hAnsi="PMingLiU"/>
          <w:sz w:val="19"/>
          <w:szCs w:val="19"/>
          <w:color w:val="634140"/>
        </w:rPr>
        <w:t/>
      </w:r>
      <w:r>
        <w:rPr>
          <w:rFonts w:ascii="Arial" w:cs="Arial" w:eastAsia="Arial" w:hAnsi="Arial"/>
          <w:sz w:val="19"/>
          <w:szCs w:val="19"/>
          <w:color w:val="634140"/>
        </w:rPr>
        <w:t>afckgqrpw</w:t>
      </w:r>
      <w:r>
        <w:rPr>
          <w:rFonts w:ascii="PMingLiU" w:cs="PMingLiU" w:eastAsia="PMingLiU" w:hAnsi="PMingLiU"/>
          <w:sz w:val="19"/>
          <w:szCs w:val="19"/>
          <w:color w:val="634140"/>
        </w:rPr>
        <w:t/>
      </w:r>
      <w:r>
        <w:rPr>
          <w:rFonts w:ascii="Arial" w:cs="Arial" w:eastAsia="Arial" w:hAnsi="Arial"/>
          <w:sz w:val="19"/>
          <w:szCs w:val="19"/>
          <w:color w:val="634140"/>
        </w:rPr>
        <w:t xml:space="preserve"> `gmjmew</w:t>
      </w:r>
      <w:r>
        <w:rPr>
          <w:rFonts w:ascii="PMingLiU" w:cs="PMingLiU" w:eastAsia="PMingLiU" w:hAnsi="PMingLiU"/>
          <w:sz w:val="19"/>
          <w:szCs w:val="19"/>
          <w:color w:val="634140"/>
        </w:rPr>
        <w:t/>
      </w:r>
      <w:r>
        <w:rPr>
          <w:rFonts w:ascii="Arial" w:cs="Arial" w:eastAsia="Arial" w:hAnsi="Arial"/>
          <w:sz w:val="19"/>
          <w:szCs w:val="19"/>
          <w:color w:val="634140"/>
        </w:rPr>
        <w:t>_lb</w:t>
      </w:r>
      <w:r>
        <w:rPr>
          <w:rFonts w:ascii="PMingLiU" w:cs="PMingLiU" w:eastAsia="PMingLiU" w:hAnsi="PMingLiU"/>
          <w:sz w:val="19"/>
          <w:szCs w:val="19"/>
          <w:color w:val="634140"/>
        </w:rPr>
        <w:t/>
      </w:r>
      <w:r>
        <w:rPr>
          <w:rFonts w:ascii="Arial" w:cs="Arial" w:eastAsia="Arial" w:hAnsi="Arial"/>
          <w:sz w:val="19"/>
          <w:szCs w:val="19"/>
          <w:color w:val="634140"/>
        </w:rPr>
        <w:t>bgegr_j</w:t>
      </w:r>
      <w:r>
        <w:rPr>
          <w:rFonts w:ascii="PMingLiU" w:cs="PMingLiU" w:eastAsia="PMingLiU" w:hAnsi="PMingLiU"/>
          <w:sz w:val="19"/>
          <w:szCs w:val="19"/>
          <w:color w:val="634140"/>
        </w:rPr>
        <w:t/>
      </w:r>
      <w:r>
        <w:rPr>
          <w:rFonts w:ascii="Arial" w:cs="Arial" w:eastAsia="Arial" w:hAnsi="Arial"/>
          <w:sz w:val="19"/>
          <w:szCs w:val="19"/>
          <w:color w:val="634140"/>
        </w:rPr>
        <w:t>rmmjq</w:t>
      </w:r>
      <w:r>
        <w:rPr>
          <w:rFonts w:ascii="PMingLiU" w:cs="PMingLiU" w:eastAsia="PMingLiU" w:hAnsi="PMingLiU"/>
          <w:sz w:val="19"/>
          <w:szCs w:val="19"/>
          <w:color w:val="634140"/>
        </w:rPr>
        <w:t/>
      </w:r>
      <w:r>
        <w:rPr>
          <w:rFonts w:ascii="Arial" w:cs="Arial" w:eastAsia="Arial" w:hAnsi="Arial"/>
          <w:sz w:val="19"/>
          <w:szCs w:val="19"/>
          <w:color w:val="634140"/>
        </w:rPr>
        <w:t>rm</w:t>
      </w:r>
      <w:r>
        <w:rPr>
          <w:rFonts w:ascii="PMingLiU" w:cs="PMingLiU" w:eastAsia="PMingLiU" w:hAnsi="PMingLiU"/>
          <w:sz w:val="19"/>
          <w:szCs w:val="19"/>
          <w:color w:val="634140"/>
        </w:rPr>
        <w:t/>
      </w:r>
      <w:r>
        <w:rPr>
          <w:rFonts w:ascii="Arial" w:cs="Arial" w:eastAsia="Arial" w:hAnsi="Arial"/>
          <w:sz w:val="19"/>
          <w:szCs w:val="19"/>
          <w:color w:val="634140"/>
        </w:rPr>
        <w:t>bpgtc</w:t>
      </w:r>
      <w:r>
        <w:rPr>
          <w:rFonts w:ascii="PMingLiU" w:cs="PMingLiU" w:eastAsia="PMingLiU" w:hAnsi="PMingLiU"/>
          <w:sz w:val="19"/>
          <w:szCs w:val="19"/>
          <w:color w:val="634140"/>
        </w:rPr>
        <w:t/>
      </w:r>
      <w:r>
        <w:rPr>
          <w:rFonts w:ascii="Arial" w:cs="Arial" w:eastAsia="Arial" w:hAnsi="Arial"/>
          <w:sz w:val="19"/>
          <w:szCs w:val="19"/>
          <w:color w:val="634140"/>
        </w:rPr>
        <w:t>biffcpclrg_rgml</w:t>
      </w:r>
      <w:r>
        <w:rPr>
          <w:rFonts w:ascii="PMingLiU" w:cs="PMingLiU" w:eastAsia="PMingLiU" w:hAnsi="PMingLiU"/>
          <w:sz w:val="19"/>
          <w:szCs w:val="19"/>
          <w:color w:val="634140"/>
        </w:rPr>
        <w:t/>
      </w:r>
    </w:p>
    <w:p>
      <w:pPr>
        <w:spacing w:after="0" w:line="200" w:lineRule="exact"/>
        <w:rPr>
          <w:sz w:val="20"/>
          <w:szCs w:val="20"/>
          <w:color w:val="auto"/>
        </w:rPr>
      </w:pPr>
    </w:p>
    <w:p>
      <w:pPr>
        <w:ind w:left="327" w:hanging="327"/>
        <w:spacing w:after="0" w:line="258" w:lineRule="exact"/>
        <w:tabs>
          <w:tab w:leader="none" w:pos="327" w:val="left"/>
        </w:tabs>
        <w:numPr>
          <w:ilvl w:val="0"/>
          <w:numId w:val="9"/>
        </w:numPr>
        <w:rPr>
          <w:rFonts w:ascii="Wingdings" w:cs="Wingdings" w:eastAsia="Wingdings" w:hAnsi="Wingdings"/>
          <w:sz w:val="17"/>
          <w:szCs w:val="17"/>
          <w:color w:val="59BDB6"/>
        </w:rPr>
      </w:pPr>
      <w:r>
        <w:rPr>
          <w:rFonts w:ascii="Arial" w:cs="Arial" w:eastAsia="Arial" w:hAnsi="Arial"/>
          <w:sz w:val="19"/>
          <w:szCs w:val="19"/>
          <w:b w:val="1"/>
          <w:bCs w:val="1"/>
          <w:color w:val="634140"/>
        </w:rPr>
        <w:t xml:space="preserve">Mltcqr </w:t>
      </w:r>
      <w:r>
        <w:rPr>
          <w:rFonts w:ascii="PMingLiU" w:cs="PMingLiU" w:eastAsia="PMingLiU" w:hAnsi="PMingLiU"/>
          <w:sz w:val="19"/>
          <w:szCs w:val="19"/>
          <w:color w:val="634140"/>
        </w:rPr>
        <w:t/>
      </w:r>
      <w:r>
        <w:rPr>
          <w:rFonts w:ascii="Arial" w:cs="Arial" w:eastAsia="Arial" w:hAnsi="Arial"/>
          <w:sz w:val="19"/>
          <w:szCs w:val="19"/>
          <w:color w:val="634140"/>
        </w:rPr>
        <w:t>Hcnjmw</w:t>
      </w:r>
      <w:r>
        <w:rPr>
          <w:rFonts w:ascii="PMingLiU" w:cs="PMingLiU" w:eastAsia="PMingLiU" w:hAnsi="PMingLiU"/>
          <w:sz w:val="19"/>
          <w:szCs w:val="19"/>
          <w:color w:val="634140"/>
        </w:rPr>
        <w:t/>
      </w:r>
      <w:r>
        <w:rPr>
          <w:rFonts w:ascii="Arial" w:cs="Arial" w:eastAsia="Arial" w:hAnsi="Arial"/>
          <w:sz w:val="19"/>
          <w:szCs w:val="19"/>
          <w:color w:val="634140"/>
        </w:rPr>
        <w:t>bgqagnjglcb</w:t>
      </w:r>
      <w:r>
        <w:rPr>
          <w:rFonts w:ascii="PMingLiU" w:cs="PMingLiU" w:eastAsia="PMingLiU" w:hAnsi="PMingLiU"/>
          <w:sz w:val="19"/>
          <w:szCs w:val="19"/>
          <w:color w:val="634140"/>
        </w:rPr>
        <w:t/>
      </w:r>
      <w:r>
        <w:rPr>
          <w:rFonts w:ascii="Arial" w:cs="Arial" w:eastAsia="Arial" w:hAnsi="Arial"/>
          <w:sz w:val="19"/>
          <w:szCs w:val="19"/>
          <w:color w:val="634140"/>
        </w:rPr>
        <w:t>a_ngr_j</w:t>
      </w:r>
      <w:r>
        <w:rPr>
          <w:rFonts w:ascii="PMingLiU" w:cs="PMingLiU" w:eastAsia="PMingLiU" w:hAnsi="PMingLiU"/>
          <w:sz w:val="19"/>
          <w:szCs w:val="19"/>
          <w:color w:val="634140"/>
        </w:rPr>
        <w:t/>
      </w:r>
      <w:r>
        <w:rPr>
          <w:rFonts w:ascii="Arial" w:cs="Arial" w:eastAsia="Arial" w:hAnsi="Arial"/>
          <w:sz w:val="19"/>
          <w:szCs w:val="19"/>
          <w:color w:val="634140"/>
        </w:rPr>
        <w:t>rmu_pb</w:t>
      </w:r>
      <w:r>
        <w:rPr>
          <w:rFonts w:ascii="PMingLiU" w:cs="PMingLiU" w:eastAsia="PMingLiU" w:hAnsi="PMingLiU"/>
          <w:sz w:val="19"/>
          <w:szCs w:val="19"/>
          <w:color w:val="634140"/>
        </w:rPr>
        <w:t/>
      </w:r>
      <w:r>
        <w:rPr>
          <w:rFonts w:ascii="Arial" w:cs="Arial" w:eastAsia="Arial" w:hAnsi="Arial"/>
          <w:sz w:val="19"/>
          <w:szCs w:val="19"/>
          <w:color w:val="634140"/>
        </w:rPr>
        <w:t>gltclrmpw</w:t>
      </w:r>
      <w:r>
        <w:rPr>
          <w:rFonts w:ascii="PMingLiU" w:cs="PMingLiU" w:eastAsia="PMingLiU" w:hAnsi="PMingLiU"/>
          <w:sz w:val="19"/>
          <w:szCs w:val="19"/>
          <w:color w:val="634140"/>
        </w:rPr>
        <w:t/>
      </w:r>
      <w:r>
        <w:rPr>
          <w:rFonts w:ascii="Arial" w:cs="Arial" w:eastAsia="Arial" w:hAnsi="Arial"/>
          <w:sz w:val="19"/>
          <w:szCs w:val="19"/>
          <w:b w:val="1"/>
          <w:bCs w:val="1"/>
          <w:color w:val="634140"/>
        </w:rPr>
        <w:t xml:space="preserve"> </w:t>
      </w:r>
      <w:r>
        <w:rPr>
          <w:rFonts w:ascii="Arial" w:cs="Arial" w:eastAsia="Arial" w:hAnsi="Arial"/>
          <w:sz w:val="19"/>
          <w:szCs w:val="19"/>
          <w:color w:val="634140"/>
        </w:rPr>
        <w:t>effiagclaw</w:t>
      </w:r>
      <w:r>
        <w:rPr>
          <w:rFonts w:ascii="PMingLiU" w:cs="PMingLiU" w:eastAsia="PMingLiU" w:hAnsi="PMingLiU"/>
          <w:sz w:val="19"/>
          <w:szCs w:val="19"/>
          <w:color w:val="634140"/>
        </w:rPr>
        <w:t/>
      </w:r>
      <w:r>
        <w:rPr>
          <w:rFonts w:ascii="Arial" w:cs="Arial" w:eastAsia="Arial" w:hAnsi="Arial"/>
          <w:sz w:val="19"/>
          <w:szCs w:val="19"/>
          <w:color w:val="634140"/>
        </w:rPr>
        <w:t>GETI\</w:t>
      </w:r>
      <w:r>
        <w:rPr>
          <w:rFonts w:ascii="PMingLiU" w:cs="PMingLiU" w:eastAsia="PMingLiU" w:hAnsi="PMingLiU"/>
          <w:sz w:val="19"/>
          <w:szCs w:val="19"/>
          <w:color w:val="634140"/>
        </w:rPr>
        <w:t/>
      </w:r>
      <w:r>
        <w:rPr>
          <w:rFonts w:ascii="Arial" w:cs="Arial" w:eastAsia="Arial" w:hAnsi="Arial"/>
          <w:sz w:val="19"/>
          <w:szCs w:val="19"/>
          <w:color w:val="634140"/>
        </w:rPr>
        <w:t>MX</w:t>
      </w:r>
      <w:r>
        <w:rPr>
          <w:rFonts w:ascii="PMingLiU" w:cs="PMingLiU" w:eastAsia="PMingLiU" w:hAnsi="PMingLiU"/>
          <w:sz w:val="19"/>
          <w:szCs w:val="19"/>
          <w:color w:val="634140"/>
        </w:rPr>
        <w:t/>
      </w:r>
      <w:r>
        <w:rPr>
          <w:rFonts w:ascii="Arial" w:cs="Arial" w:eastAsia="Arial" w:hAnsi="Arial"/>
          <w:sz w:val="19"/>
          <w:szCs w:val="19"/>
          <w:color w:val="634140"/>
        </w:rPr>
        <w:t>qwqrckq glajsbgle</w:t>
      </w:r>
      <w:r>
        <w:rPr>
          <w:rFonts w:ascii="PMingLiU" w:cs="PMingLiU" w:eastAsia="PMingLiU" w:hAnsi="PMingLiU"/>
          <w:sz w:val="19"/>
          <w:szCs w:val="19"/>
          <w:color w:val="634140"/>
        </w:rPr>
        <w:t/>
      </w:r>
      <w:r>
        <w:rPr>
          <w:rFonts w:ascii="Arial" w:cs="Arial" w:eastAsia="Arial" w:hAnsi="Arial"/>
          <w:sz w:val="19"/>
          <w:szCs w:val="19"/>
          <w:color w:val="634140"/>
        </w:rPr>
        <w:t>EM ncmnjc</w:t>
      </w:r>
      <w:r>
        <w:rPr>
          <w:rFonts w:ascii="PMingLiU" w:cs="PMingLiU" w:eastAsia="PMingLiU" w:hAnsi="PMingLiU"/>
          <w:sz w:val="19"/>
          <w:szCs w:val="19"/>
          <w:color w:val="634140"/>
        </w:rPr>
        <w:t/>
      </w:r>
      <w:r>
        <w:rPr>
          <w:rFonts w:ascii="Arial" w:cs="Arial" w:eastAsia="Arial" w:hAnsi="Arial"/>
          <w:sz w:val="19"/>
          <w:szCs w:val="19"/>
          <w:color w:val="634140"/>
        </w:rPr>
        <w:t>bctcjmnkclr</w:t>
      </w:r>
      <w:r>
        <w:rPr>
          <w:rFonts w:ascii="PMingLiU" w:cs="PMingLiU" w:eastAsia="PMingLiU" w:hAnsi="PMingLiU"/>
          <w:sz w:val="19"/>
          <w:szCs w:val="19"/>
          <w:color w:val="634140"/>
        </w:rPr>
        <w:t/>
      </w:r>
      <w:r>
        <w:rPr>
          <w:rFonts w:ascii="Arial" w:cs="Arial" w:eastAsia="Arial" w:hAnsi="Arial"/>
          <w:sz w:val="19"/>
          <w:szCs w:val="19"/>
          <w:color w:val="634140"/>
        </w:rPr>
        <w:t>_lb</w:t>
      </w:r>
      <w:r>
        <w:rPr>
          <w:rFonts w:ascii="PMingLiU" w:cs="PMingLiU" w:eastAsia="PMingLiU" w:hAnsi="PMingLiU"/>
          <w:sz w:val="19"/>
          <w:szCs w:val="19"/>
          <w:color w:val="634140"/>
        </w:rPr>
        <w:t/>
      </w:r>
      <w:r>
        <w:rPr>
          <w:rFonts w:ascii="Arial" w:cs="Arial" w:eastAsia="Arial" w:hAnsi="Arial"/>
          <w:sz w:val="19"/>
          <w:szCs w:val="19"/>
          <w:color w:val="634140"/>
        </w:rPr>
        <w:t>qcjcargtc</w:t>
      </w:r>
      <w:r>
        <w:rPr>
          <w:rFonts w:ascii="PMingLiU" w:cs="PMingLiU" w:eastAsia="PMingLiU" w:hAnsi="PMingLiU"/>
          <w:sz w:val="19"/>
          <w:szCs w:val="19"/>
          <w:color w:val="634140"/>
        </w:rPr>
        <w:t/>
      </w:r>
      <w:r>
        <w:rPr>
          <w:rFonts w:ascii="Arial" w:cs="Arial" w:eastAsia="Arial" w:hAnsi="Arial"/>
          <w:sz w:val="19"/>
          <w:szCs w:val="19"/>
          <w:color w:val="634140"/>
        </w:rPr>
        <w:t>`mjr&amp;ml</w:t>
      </w:r>
      <w:r>
        <w:rPr>
          <w:rFonts w:ascii="PMingLiU" w:cs="PMingLiU" w:eastAsia="PMingLiU" w:hAnsi="PMingLiU"/>
          <w:sz w:val="19"/>
          <w:szCs w:val="19"/>
          <w:color w:val="634140"/>
        </w:rPr>
        <w:t/>
      </w:r>
      <w:r>
        <w:rPr>
          <w:rFonts w:ascii="Arial" w:cs="Arial" w:eastAsia="Arial" w:hAnsi="Arial"/>
          <w:sz w:val="19"/>
          <w:szCs w:val="19"/>
          <w:color w:val="634140"/>
        </w:rPr>
        <w:t>Q;E</w:t>
      </w:r>
      <w:r>
        <w:rPr>
          <w:rFonts w:ascii="PMingLiU" w:cs="PMingLiU" w:eastAsia="PMingLiU" w:hAnsi="PMingLiU"/>
          <w:sz w:val="19"/>
          <w:szCs w:val="19"/>
          <w:color w:val="634140"/>
        </w:rPr>
        <w:t/>
      </w:r>
    </w:p>
    <w:p>
      <w:pPr>
        <w:spacing w:after="0" w:line="362" w:lineRule="exact"/>
        <w:rPr>
          <w:sz w:val="20"/>
          <w:szCs w:val="20"/>
          <w:color w:val="auto"/>
        </w:rPr>
      </w:pPr>
    </w:p>
    <w:p>
      <w:pPr>
        <w:ind w:left="7"/>
        <w:spacing w:after="0" w:line="243" w:lineRule="exact"/>
        <w:rPr>
          <w:sz w:val="20"/>
          <w:szCs w:val="20"/>
          <w:color w:val="auto"/>
        </w:rPr>
      </w:pPr>
      <w:r>
        <w:rPr>
          <w:rFonts w:ascii="Arial" w:cs="Arial" w:eastAsia="Arial" w:hAnsi="Arial"/>
          <w:sz w:val="20"/>
          <w:szCs w:val="20"/>
          <w:b w:val="1"/>
          <w:bCs w:val="1"/>
          <w:color w:val="59BDB6"/>
        </w:rPr>
        <w:t>`sgjbgle</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amkncrgrgtclcqq</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rfpmsef</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cvcasrgml</w:t>
      </w:r>
    </w:p>
    <w:p>
      <w:pPr>
        <w:spacing w:after="0" w:line="146" w:lineRule="exact"/>
        <w:rPr>
          <w:sz w:val="20"/>
          <w:szCs w:val="20"/>
          <w:color w:val="auto"/>
        </w:rPr>
      </w:pPr>
    </w:p>
    <w:p>
      <w:pPr>
        <w:ind w:left="7"/>
        <w:spacing w:after="0" w:line="243" w:lineRule="exact"/>
        <w:rPr>
          <w:sz w:val="20"/>
          <w:szCs w:val="20"/>
          <w:color w:val="auto"/>
        </w:rPr>
      </w:pPr>
      <w:r>
        <w:rPr>
          <w:rFonts w:ascii="Arial" w:cs="Arial" w:eastAsia="Arial" w:hAnsi="Arial"/>
          <w:sz w:val="20"/>
          <w:szCs w:val="20"/>
          <w:color w:val="634140"/>
        </w:rPr>
        <w:t>Pmmigle</w:t>
      </w:r>
      <w:r>
        <w:rPr>
          <w:rFonts w:ascii="PMingLiU" w:cs="PMingLiU" w:eastAsia="PMingLiU" w:hAnsi="PMingLiU"/>
          <w:sz w:val="20"/>
          <w:szCs w:val="20"/>
          <w:color w:val="634140"/>
        </w:rPr>
        <w:t/>
      </w:r>
      <w:r>
        <w:rPr>
          <w:rFonts w:ascii="Arial" w:cs="Arial" w:eastAsia="Arial" w:hAnsi="Arial"/>
          <w:sz w:val="20"/>
          <w:szCs w:val="20"/>
          <w:color w:val="634140"/>
        </w:rPr>
        <w:t>_fc_b</w:t>
      </w:r>
      <w:r>
        <w:rPr>
          <w:rFonts w:ascii="PMingLiU" w:cs="PMingLiU" w:eastAsia="PMingLiU" w:hAnsi="PMingLiU"/>
          <w:sz w:val="20"/>
          <w:szCs w:val="20"/>
          <w:color w:val="634140"/>
        </w:rPr>
        <w:t/>
      </w:r>
      <w:r>
        <w:rPr>
          <w:rFonts w:ascii="Arial" w:cs="Arial" w:eastAsia="Arial" w:hAnsi="Arial"/>
          <w:sz w:val="20"/>
          <w:szCs w:val="20"/>
          <w:color w:val="634140"/>
        </w:rPr>
        <w:t>npmbsargtgrw</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bcaclrp_jgx_rgml</w:t>
      </w:r>
      <w:r>
        <w:rPr>
          <w:rFonts w:ascii="PMingLiU" w:cs="PMingLiU" w:eastAsia="PMingLiU" w:hAnsi="PMingLiU"/>
          <w:sz w:val="20"/>
          <w:szCs w:val="20"/>
          <w:color w:val="634140"/>
        </w:rPr>
        <w:t/>
      </w:r>
    </w:p>
    <w:p>
      <w:pPr>
        <w:spacing w:after="0" w:line="21" w:lineRule="exact"/>
        <w:rPr>
          <w:sz w:val="20"/>
          <w:szCs w:val="20"/>
          <w:color w:val="auto"/>
        </w:rPr>
      </w:pPr>
    </w:p>
    <w:p>
      <w:pPr>
        <w:ind w:left="7"/>
        <w:spacing w:after="0" w:line="243" w:lineRule="exact"/>
        <w:rPr>
          <w:sz w:val="20"/>
          <w:szCs w:val="20"/>
          <w:color w:val="auto"/>
        </w:rPr>
      </w:pPr>
      <w:r>
        <w:rPr>
          <w:rFonts w:ascii="Arial" w:cs="Arial" w:eastAsia="Arial" w:hAnsi="Arial"/>
          <w:sz w:val="20"/>
          <w:szCs w:val="20"/>
          <w:color w:val="634140"/>
        </w:rPr>
        <w:t>_pc</w:t>
      </w:r>
      <w:r>
        <w:rPr>
          <w:rFonts w:ascii="PMingLiU" w:cs="PMingLiU" w:eastAsia="PMingLiU" w:hAnsi="PMingLiU"/>
          <w:sz w:val="20"/>
          <w:szCs w:val="20"/>
          <w:color w:val="634140"/>
        </w:rPr>
        <w:t/>
      </w:r>
      <w:r>
        <w:rPr>
          <w:rFonts w:ascii="Arial" w:cs="Arial" w:eastAsia="Arial" w:hAnsi="Arial"/>
          <w:sz w:val="20"/>
          <w:szCs w:val="20"/>
          <w:color w:val="634140"/>
        </w:rPr>
        <w:t>icw</w:t>
      </w:r>
      <w:r>
        <w:rPr>
          <w:rFonts w:ascii="PMingLiU" w:cs="PMingLiU" w:eastAsia="PMingLiU" w:hAnsi="PMingLiU"/>
          <w:sz w:val="20"/>
          <w:szCs w:val="20"/>
          <w:color w:val="634140"/>
        </w:rPr>
        <w:t/>
      </w:r>
      <w:r>
        <w:rPr>
          <w:rFonts w:ascii="Arial" w:cs="Arial" w:eastAsia="Arial" w:hAnsi="Arial"/>
          <w:sz w:val="20"/>
          <w:szCs w:val="20"/>
          <w:color w:val="634140"/>
        </w:rPr>
        <w:t>[c</w:t>
      </w:r>
      <w:r>
        <w:rPr>
          <w:rFonts w:ascii="PMingLiU" w:cs="PMingLiU" w:eastAsia="PMingLiU" w:hAnsi="PMingLiU"/>
          <w:sz w:val="20"/>
          <w:szCs w:val="20"/>
          <w:color w:val="634140"/>
        </w:rPr>
        <w:t/>
      </w:r>
      <w:r>
        <w:rPr>
          <w:rFonts w:ascii="Arial" w:cs="Arial" w:eastAsia="Arial" w:hAnsi="Arial"/>
          <w:sz w:val="20"/>
          <w:szCs w:val="20"/>
          <w:color w:val="634140"/>
        </w:rPr>
        <w:t>pc</w:t>
      </w:r>
      <w:r>
        <w:rPr>
          <w:rFonts w:ascii="PMingLiU" w:cs="PMingLiU" w:eastAsia="PMingLiU" w:hAnsi="PMingLiU"/>
          <w:sz w:val="20"/>
          <w:szCs w:val="20"/>
          <w:color w:val="634140"/>
        </w:rPr>
        <w:t/>
      </w:r>
      <w:r>
        <w:rPr>
          <w:rFonts w:ascii="Arial" w:cs="Arial" w:eastAsia="Arial" w:hAnsi="Arial"/>
          <w:sz w:val="20"/>
          <w:szCs w:val="20"/>
          <w:color w:val="634140"/>
        </w:rPr>
        <w:t>_jgelglg fil_lag_j</w:t>
      </w:r>
      <w:r>
        <w:rPr>
          <w:rFonts w:ascii="PMingLiU" w:cs="PMingLiU" w:eastAsia="PMingLiU" w:hAnsi="PMingLiU"/>
          <w:sz w:val="20"/>
          <w:szCs w:val="20"/>
          <w:color w:val="634140"/>
        </w:rPr>
        <w:t/>
      </w:r>
      <w:r>
        <w:rPr>
          <w:rFonts w:ascii="Arial" w:cs="Arial" w:eastAsia="Arial" w:hAnsi="Arial"/>
          <w:sz w:val="20"/>
          <w:szCs w:val="20"/>
          <w:color w:val="634140"/>
        </w:rPr>
        <w:t>nj_llgle</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amqr</w:t>
      </w:r>
      <w:r>
        <w:rPr>
          <w:rFonts w:ascii="PMingLiU" w:cs="PMingLiU" w:eastAsia="PMingLiU" w:hAnsi="PMingLiU"/>
          <w:sz w:val="20"/>
          <w:szCs w:val="20"/>
          <w:color w:val="634140"/>
        </w:rPr>
        <w:t/>
      </w:r>
    </w:p>
    <w:p>
      <w:pPr>
        <w:spacing w:after="0" w:line="21" w:lineRule="exact"/>
        <w:rPr>
          <w:sz w:val="20"/>
          <w:szCs w:val="20"/>
          <w:color w:val="auto"/>
        </w:rPr>
      </w:pPr>
    </w:p>
    <w:p>
      <w:pPr>
        <w:ind w:left="7"/>
        <w:spacing w:after="0" w:line="243" w:lineRule="exact"/>
        <w:rPr>
          <w:sz w:val="20"/>
          <w:szCs w:val="20"/>
          <w:color w:val="auto"/>
        </w:rPr>
      </w:pPr>
      <w:r>
        <w:rPr>
          <w:rFonts w:ascii="Arial" w:cs="Arial" w:eastAsia="Arial" w:hAnsi="Arial"/>
          <w:sz w:val="20"/>
          <w:szCs w:val="20"/>
          <w:color w:val="634140"/>
        </w:rPr>
        <w:t>tgqg`gjgrw</w:t>
      </w:r>
      <w:r>
        <w:rPr>
          <w:rFonts w:ascii="PMingLiU" w:cs="PMingLiU" w:eastAsia="PMingLiU" w:hAnsi="PMingLiU"/>
          <w:sz w:val="20"/>
          <w:szCs w:val="20"/>
          <w:color w:val="634140"/>
        </w:rPr>
        <w:t/>
      </w:r>
      <w:r>
        <w:rPr>
          <w:rFonts w:ascii="Arial" w:cs="Arial" w:eastAsia="Arial" w:hAnsi="Arial"/>
          <w:sz w:val="20"/>
          <w:szCs w:val="20"/>
          <w:color w:val="634140"/>
        </w:rPr>
        <w:t>_apmqq</w:t>
      </w:r>
      <w:r>
        <w:rPr>
          <w:rFonts w:ascii="PMingLiU" w:cs="PMingLiU" w:eastAsia="PMingLiU" w:hAnsi="PMingLiU"/>
          <w:sz w:val="20"/>
          <w:szCs w:val="20"/>
          <w:color w:val="634140"/>
        </w:rPr>
        <w:t/>
      </w:r>
      <w:r>
        <w:rPr>
          <w:rFonts w:ascii="Arial" w:cs="Arial" w:eastAsia="Arial" w:hAnsi="Arial"/>
          <w:sz w:val="20"/>
          <w:szCs w:val="20"/>
          <w:color w:val="634140"/>
        </w:rPr>
        <w:t>pcegmlq</w:t>
      </w:r>
      <w:r>
        <w:rPr>
          <w:rFonts w:ascii="PMingLiU" w:cs="PMingLiU" w:eastAsia="PMingLiU" w:hAnsi="PMingLiU"/>
          <w:sz w:val="20"/>
          <w:szCs w:val="20"/>
          <w:color w:val="634140"/>
        </w:rPr>
        <w:t/>
      </w:r>
      <w:r>
        <w:rPr>
          <w:rFonts w:ascii="Arial" w:cs="Arial" w:eastAsia="Arial" w:hAnsi="Arial"/>
          <w:sz w:val="20"/>
          <w:szCs w:val="20"/>
          <w:color w:val="634140"/>
        </w:rPr>
        <w:t>cknmucpgle</w:t>
      </w:r>
      <w:r>
        <w:rPr>
          <w:rFonts w:ascii="PMingLiU" w:cs="PMingLiU" w:eastAsia="PMingLiU" w:hAnsi="PMingLiU"/>
          <w:sz w:val="20"/>
          <w:szCs w:val="20"/>
          <w:color w:val="634140"/>
        </w:rPr>
        <w:t/>
      </w:r>
      <w:r>
        <w:rPr>
          <w:rFonts w:ascii="Arial" w:cs="Arial" w:eastAsia="Arial" w:hAnsi="Arial"/>
          <w:sz w:val="20"/>
          <w:szCs w:val="20"/>
          <w:color w:val="634140"/>
        </w:rPr>
        <w:t>jma_j</w:t>
      </w:r>
      <w:r>
        <w:rPr>
          <w:rFonts w:ascii="PMingLiU" w:cs="PMingLiU" w:eastAsia="PMingLiU" w:hAnsi="PMingLiU"/>
          <w:sz w:val="20"/>
          <w:szCs w:val="20"/>
          <w:color w:val="634140"/>
        </w:rPr>
        <w:t/>
      </w:r>
      <w:r>
        <w:rPr>
          <w:rFonts w:ascii="Arial" w:cs="Arial" w:eastAsia="Arial" w:hAnsi="Arial"/>
          <w:sz w:val="20"/>
          <w:szCs w:val="20"/>
          <w:color w:val="634140"/>
        </w:rPr>
        <w:t>rc_kq</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p>
    <w:p>
      <w:pPr>
        <w:spacing w:after="0" w:line="21" w:lineRule="exact"/>
        <w:rPr>
          <w:sz w:val="20"/>
          <w:szCs w:val="20"/>
          <w:color w:val="auto"/>
        </w:rPr>
      </w:pPr>
    </w:p>
    <w:p>
      <w:pPr>
        <w:ind w:left="7"/>
        <w:spacing w:after="0" w:line="243" w:lineRule="exact"/>
        <w:rPr>
          <w:sz w:val="20"/>
          <w:szCs w:val="20"/>
          <w:color w:val="auto"/>
        </w:rPr>
      </w:pPr>
      <w:r>
        <w:rPr>
          <w:rFonts w:ascii="Arial" w:cs="Arial" w:eastAsia="Arial" w:hAnsi="Arial"/>
          <w:sz w:val="20"/>
          <w:szCs w:val="20"/>
          <w:color w:val="634140"/>
        </w:rPr>
        <w:t>_ar</w:t>
      </w:r>
      <w:r>
        <w:rPr>
          <w:rFonts w:ascii="PMingLiU" w:cs="PMingLiU" w:eastAsia="PMingLiU" w:hAnsi="PMingLiU"/>
          <w:sz w:val="20"/>
          <w:szCs w:val="20"/>
          <w:color w:val="634140"/>
        </w:rPr>
        <w:t/>
      </w:r>
      <w:r>
        <w:rPr>
          <w:rFonts w:ascii="Arial" w:cs="Arial" w:eastAsia="Arial" w:hAnsi="Arial"/>
          <w:sz w:val="20"/>
          <w:szCs w:val="20"/>
          <w:color w:val="634140"/>
        </w:rPr>
        <w:t>ugrf</w:t>
      </w:r>
      <w:r>
        <w:rPr>
          <w:rFonts w:ascii="PMingLiU" w:cs="PMingLiU" w:eastAsia="PMingLiU" w:hAnsi="PMingLiU"/>
          <w:sz w:val="20"/>
          <w:szCs w:val="20"/>
          <w:color w:val="634140"/>
        </w:rPr>
        <w:t/>
      </w:r>
      <w:r>
        <w:rPr>
          <w:rFonts w:ascii="Arial" w:cs="Arial" w:eastAsia="Arial" w:hAnsi="Arial"/>
          <w:sz w:val="20"/>
          <w:szCs w:val="20"/>
          <w:color w:val="634140"/>
        </w:rPr>
        <w:t>epc_rcp</w:t>
      </w:r>
      <w:r>
        <w:rPr>
          <w:rFonts w:ascii="PMingLiU" w:cs="PMingLiU" w:eastAsia="PMingLiU" w:hAnsi="PMingLiU"/>
          <w:sz w:val="20"/>
          <w:szCs w:val="20"/>
          <w:color w:val="634140"/>
        </w:rPr>
        <w:t/>
      </w:r>
      <w:r>
        <w:rPr>
          <w:rFonts w:ascii="Arial" w:cs="Arial" w:eastAsia="Arial" w:hAnsi="Arial"/>
          <w:sz w:val="20"/>
          <w:szCs w:val="20"/>
          <w:color w:val="634140"/>
        </w:rPr>
        <w:t>_srmlmkw</w:t>
      </w:r>
      <w:r>
        <w:rPr>
          <w:rFonts w:ascii="PMingLiU" w:cs="PMingLiU" w:eastAsia="PMingLiU" w:hAnsi="PMingLiU"/>
          <w:sz w:val="20"/>
          <w:szCs w:val="20"/>
          <w:color w:val="634140"/>
        </w:rPr>
        <w:t/>
      </w:r>
      <w:r>
        <w:rPr>
          <w:rFonts w:ascii="Arial" w:cs="Arial" w:eastAsia="Arial" w:hAnsi="Arial"/>
          <w:sz w:val="20"/>
          <w:szCs w:val="20"/>
          <w:color w:val="634140"/>
        </w:rPr>
        <w:t>ufgjc</w:t>
      </w:r>
      <w:r>
        <w:rPr>
          <w:rFonts w:ascii="PMingLiU" w:cs="PMingLiU" w:eastAsia="PMingLiU" w:hAnsi="PMingLiU"/>
          <w:sz w:val="20"/>
          <w:szCs w:val="20"/>
          <w:color w:val="634140"/>
        </w:rPr>
        <w:t/>
      </w:r>
      <w:r>
        <w:rPr>
          <w:rFonts w:ascii="Arial" w:cs="Arial" w:eastAsia="Arial" w:hAnsi="Arial"/>
          <w:sz w:val="20"/>
          <w:szCs w:val="20"/>
          <w:color w:val="634140"/>
        </w:rPr>
        <w:t>k_glr_glgle</w:t>
      </w:r>
      <w:r>
        <w:rPr>
          <w:rFonts w:ascii="PMingLiU" w:cs="PMingLiU" w:eastAsia="PMingLiU" w:hAnsi="PMingLiU"/>
          <w:sz w:val="20"/>
          <w:szCs w:val="20"/>
          <w:color w:val="634140"/>
        </w:rPr>
        <w:t/>
      </w:r>
      <w:r>
        <w:rPr>
          <w:rFonts w:ascii="Arial" w:cs="Arial" w:eastAsia="Arial" w:hAnsi="Arial"/>
          <w:sz w:val="20"/>
          <w:szCs w:val="20"/>
          <w:color w:val="634140"/>
        </w:rPr>
        <w:t>ejm`_j</w:t>
      </w:r>
      <w:r>
        <w:rPr>
          <w:rFonts w:ascii="PMingLiU" w:cs="PMingLiU" w:eastAsia="PMingLiU" w:hAnsi="PMingLiU"/>
          <w:sz w:val="20"/>
          <w:szCs w:val="20"/>
          <w:color w:val="634140"/>
        </w:rPr>
        <w:t/>
      </w:r>
    </w:p>
    <w:p>
      <w:pPr>
        <w:spacing w:after="0" w:line="21" w:lineRule="exact"/>
        <w:rPr>
          <w:sz w:val="20"/>
          <w:szCs w:val="20"/>
          <w:color w:val="auto"/>
        </w:rPr>
      </w:pPr>
    </w:p>
    <w:p>
      <w:pPr>
        <w:ind w:left="7"/>
        <w:spacing w:after="0" w:line="243" w:lineRule="exact"/>
        <w:tabs>
          <w:tab w:leader="none" w:pos="2886" w:val="left"/>
        </w:tabs>
        <w:rPr>
          <w:sz w:val="20"/>
          <w:szCs w:val="20"/>
          <w:color w:val="auto"/>
        </w:rPr>
      </w:pPr>
      <w:r>
        <w:rPr>
          <w:rFonts w:ascii="Arial" w:cs="Arial" w:eastAsia="Arial" w:hAnsi="Arial"/>
          <w:sz w:val="20"/>
          <w:szCs w:val="20"/>
          <w:color w:val="634140"/>
        </w:rPr>
        <w:t>mtcpqgefr</w:t>
      </w:r>
      <w:r>
        <w:rPr>
          <w:rFonts w:ascii="PMingLiU" w:cs="PMingLiU" w:eastAsia="PMingLiU" w:hAnsi="PMingLiU"/>
          <w:sz w:val="20"/>
          <w:szCs w:val="20"/>
          <w:color w:val="634140"/>
        </w:rPr>
        <w:t/>
      </w:r>
      <w:r>
        <w:rPr>
          <w:rFonts w:ascii="Arial" w:cs="Arial" w:eastAsia="Arial" w:hAnsi="Arial"/>
          <w:sz w:val="20"/>
          <w:szCs w:val="20"/>
          <w:color w:val="634140"/>
        </w:rPr>
        <w:t>Ssp</w:t>
      </w:r>
      <w:r>
        <w:rPr>
          <w:rFonts w:ascii="PMingLiU" w:cs="PMingLiU" w:eastAsia="PMingLiU" w:hAnsi="PMingLiU"/>
          <w:sz w:val="20"/>
          <w:szCs w:val="20"/>
          <w:color w:val="634140"/>
        </w:rPr>
        <w:t/>
      </w:r>
      <w:r>
        <w:rPr>
          <w:rFonts w:ascii="Arial" w:cs="Arial" w:eastAsia="Arial" w:hAnsi="Arial"/>
          <w:sz w:val="20"/>
          <w:szCs w:val="20"/>
          <w:color w:val="634140"/>
        </w:rPr>
        <w:t>W;ST</w:t>
      </w:r>
      <w:r>
        <w:rPr>
          <w:rFonts w:ascii="PMingLiU" w:cs="PMingLiU" w:eastAsia="PMingLiU" w:hAnsi="PMingLiU"/>
          <w:sz w:val="20"/>
          <w:szCs w:val="20"/>
          <w:color w:val="634140"/>
        </w:rPr>
        <w:t/>
      </w:r>
      <w:r>
        <w:rPr>
          <w:rFonts w:ascii="Arial" w:cs="Arial" w:eastAsia="Arial" w:hAnsi="Arial"/>
          <w:sz w:val="20"/>
          <w:szCs w:val="20"/>
          <w:color w:val="634140"/>
        </w:rPr>
        <w:t>npmacqqcq</w:t>
        <w:tab/>
        <w:t>qsnnmprcb</w:t>
      </w:r>
      <w:r>
        <w:rPr>
          <w:rFonts w:ascii="PMingLiU" w:cs="PMingLiU" w:eastAsia="PMingLiU" w:hAnsi="PMingLiU"/>
          <w:sz w:val="20"/>
          <w:szCs w:val="20"/>
          <w:color w:val="634140"/>
        </w:rPr>
        <w:t/>
      </w:r>
      <w:r>
        <w:rPr>
          <w:rFonts w:ascii="Arial" w:cs="Arial" w:eastAsia="Arial" w:hAnsi="Arial"/>
          <w:sz w:val="20"/>
          <w:szCs w:val="20"/>
          <w:color w:val="634140"/>
        </w:rPr>
        <w:t>`w</w:t>
      </w:r>
      <w:r>
        <w:rPr>
          <w:rFonts w:ascii="PMingLiU" w:cs="PMingLiU" w:eastAsia="PMingLiU" w:hAnsi="PMingLiU"/>
          <w:sz w:val="20"/>
          <w:szCs w:val="20"/>
          <w:color w:val="634140"/>
        </w:rPr>
        <w:t/>
      </w:r>
    </w:p>
    <w:p>
      <w:pPr>
        <w:spacing w:after="0" w:line="21" w:lineRule="exact"/>
        <w:rPr>
          <w:sz w:val="20"/>
          <w:szCs w:val="20"/>
          <w:color w:val="auto"/>
        </w:rPr>
      </w:pPr>
    </w:p>
    <w:p>
      <w:pPr>
        <w:ind w:left="7"/>
        <w:spacing w:after="0" w:line="243" w:lineRule="exact"/>
        <w:rPr>
          <w:sz w:val="20"/>
          <w:szCs w:val="20"/>
          <w:color w:val="auto"/>
        </w:rPr>
      </w:pPr>
      <w:r>
        <w:rPr>
          <w:rFonts w:ascii="Arial" w:cs="Arial" w:eastAsia="Arial" w:hAnsi="Arial"/>
          <w:sz w:val="20"/>
          <w:szCs w:val="20"/>
          <w:color w:val="634140"/>
        </w:rPr>
        <w:t>snep_bcb</w:t>
      </w:r>
      <w:r>
        <w:rPr>
          <w:rFonts w:ascii="PMingLiU" w:cs="PMingLiU" w:eastAsia="PMingLiU" w:hAnsi="PMingLiU"/>
          <w:sz w:val="20"/>
          <w:szCs w:val="20"/>
          <w:color w:val="634140"/>
        </w:rPr>
        <w:t/>
      </w:r>
      <w:r>
        <w:rPr>
          <w:rFonts w:ascii="Arial" w:cs="Arial" w:eastAsia="Arial" w:hAnsi="Arial"/>
          <w:sz w:val="20"/>
          <w:szCs w:val="20"/>
          <w:color w:val="634140"/>
        </w:rPr>
        <w:t>qwqrckq</w:t>
      </w:r>
      <w:r>
        <w:rPr>
          <w:rFonts w:ascii="PMingLiU" w:cs="PMingLiU" w:eastAsia="PMingLiU" w:hAnsi="PMingLiU"/>
          <w:sz w:val="20"/>
          <w:szCs w:val="20"/>
          <w:color w:val="634140"/>
        </w:rPr>
        <w:t/>
      </w:r>
      <w:r>
        <w:rPr>
          <w:rFonts w:ascii="Arial" w:cs="Arial" w:eastAsia="Arial" w:hAnsi="Arial"/>
          <w:sz w:val="20"/>
          <w:szCs w:val="20"/>
          <w:color w:val="634140"/>
        </w:rPr>
        <w:t>ejm`_j</w:t>
      </w:r>
      <w:r>
        <w:rPr>
          <w:rFonts w:ascii="PMingLiU" w:cs="PMingLiU" w:eastAsia="PMingLiU" w:hAnsi="PMingLiU"/>
          <w:sz w:val="20"/>
          <w:szCs w:val="20"/>
          <w:color w:val="634140"/>
        </w:rPr>
        <w:t/>
      </w:r>
      <w:r>
        <w:rPr>
          <w:rFonts w:ascii="Arial" w:cs="Arial" w:eastAsia="Arial" w:hAnsi="Arial"/>
          <w:sz w:val="20"/>
          <w:szCs w:val="20"/>
          <w:color w:val="634140"/>
        </w:rPr>
        <w:t>qsnnjw</w:t>
      </w:r>
      <w:r>
        <w:rPr>
          <w:rFonts w:ascii="PMingLiU" w:cs="PMingLiU" w:eastAsia="PMingLiU" w:hAnsi="PMingLiU"/>
          <w:sz w:val="20"/>
          <w:szCs w:val="20"/>
          <w:color w:val="634140"/>
        </w:rPr>
        <w:t/>
      </w:r>
      <w:r>
        <w:rPr>
          <w:rFonts w:ascii="Arial" w:cs="Arial" w:eastAsia="Arial" w:hAnsi="Arial"/>
          <w:sz w:val="20"/>
          <w:szCs w:val="20"/>
          <w:color w:val="634140"/>
        </w:rPr>
        <w:t>nj_lq</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cvcasrgtc</w:t>
      </w:r>
      <w:r>
        <w:rPr>
          <w:rFonts w:ascii="PMingLiU" w:cs="PMingLiU" w:eastAsia="PMingLiU" w:hAnsi="PMingLiU"/>
          <w:sz w:val="20"/>
          <w:szCs w:val="20"/>
          <w:color w:val="634140"/>
        </w:rPr>
        <w:t/>
      </w:r>
    </w:p>
    <w:p>
      <w:pPr>
        <w:spacing w:after="0" w:line="21" w:lineRule="exact"/>
        <w:rPr>
          <w:sz w:val="20"/>
          <w:szCs w:val="20"/>
          <w:color w:val="auto"/>
        </w:rPr>
      </w:pPr>
    </w:p>
    <w:p>
      <w:pPr>
        <w:ind w:left="7"/>
        <w:spacing w:after="0" w:line="243" w:lineRule="exact"/>
        <w:tabs>
          <w:tab w:leader="none" w:pos="1366" w:val="left"/>
        </w:tabs>
        <w:rPr>
          <w:sz w:val="20"/>
          <w:szCs w:val="20"/>
          <w:color w:val="auto"/>
        </w:rPr>
      </w:pPr>
      <w:r>
        <w:rPr>
          <w:rFonts w:ascii="Arial" w:cs="Arial" w:eastAsia="Arial" w:hAnsi="Arial"/>
          <w:sz w:val="20"/>
          <w:szCs w:val="20"/>
          <w:color w:val="634140"/>
        </w:rPr>
        <w:t>k_l_eckclr</w:t>
        <w:tab/>
        <w:t>_pc</w:t>
      </w:r>
      <w:r>
        <w:rPr>
          <w:rFonts w:ascii="PMingLiU" w:cs="PMingLiU" w:eastAsia="PMingLiU" w:hAnsi="PMingLiU"/>
          <w:sz w:val="20"/>
          <w:szCs w:val="20"/>
          <w:color w:val="634140"/>
        </w:rPr>
        <w:t/>
      </w:r>
      <w:r>
        <w:rPr>
          <w:rFonts w:ascii="Arial" w:cs="Arial" w:eastAsia="Arial" w:hAnsi="Arial"/>
          <w:sz w:val="20"/>
          <w:szCs w:val="20"/>
          <w:color w:val="634140"/>
        </w:rPr>
        <w:t>gknpmtgle</w:t>
      </w:r>
      <w:r>
        <w:rPr>
          <w:rFonts w:ascii="PMingLiU" w:cs="PMingLiU" w:eastAsia="PMingLiU" w:hAnsi="PMingLiU"/>
          <w:sz w:val="20"/>
          <w:szCs w:val="20"/>
          <w:color w:val="634140"/>
        </w:rPr>
        <w:t/>
      </w:r>
      <w:r>
        <w:rPr>
          <w:rFonts w:ascii="Arial" w:cs="Arial" w:eastAsia="Arial" w:hAnsi="Arial"/>
          <w:sz w:val="20"/>
          <w:szCs w:val="20"/>
          <w:color w:val="634140"/>
        </w:rPr>
        <w:t>pcqnmlqgtclcqq</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p>
    <w:p>
      <w:pPr>
        <w:spacing w:after="0" w:line="21" w:lineRule="exact"/>
        <w:rPr>
          <w:sz w:val="20"/>
          <w:szCs w:val="20"/>
          <w:color w:val="auto"/>
        </w:rPr>
      </w:pPr>
    </w:p>
    <w:p>
      <w:pPr>
        <w:ind w:left="7"/>
        <w:spacing w:after="0" w:line="243" w:lineRule="exact"/>
        <w:rPr>
          <w:sz w:val="20"/>
          <w:szCs w:val="20"/>
          <w:color w:val="auto"/>
        </w:rPr>
      </w:pPr>
      <w:r>
        <w:rPr>
          <w:rFonts w:ascii="Arial" w:cs="Arial" w:eastAsia="Arial" w:hAnsi="Arial"/>
          <w:sz w:val="20"/>
          <w:szCs w:val="20"/>
          <w:color w:val="634140"/>
        </w:rPr>
        <w:t>npcbgar_`gjgrw</w:t>
      </w:r>
      <w:r>
        <w:rPr>
          <w:rFonts w:ascii="PMingLiU" w:cs="PMingLiU" w:eastAsia="PMingLiU" w:hAnsi="PMingLiU"/>
          <w:sz w:val="20"/>
          <w:szCs w:val="20"/>
          <w:color w:val="634140"/>
        </w:rPr>
        <w:t/>
      </w:r>
      <w:r>
        <w:rPr>
          <w:rFonts w:ascii="Arial" w:cs="Arial" w:eastAsia="Arial" w:hAnsi="Arial"/>
          <w:sz w:val="20"/>
          <w:szCs w:val="20"/>
          <w:color w:val="634140"/>
        </w:rPr>
        <w:t>Xfgq</w:t>
      </w:r>
      <w:r>
        <w:rPr>
          <w:rFonts w:ascii="PMingLiU" w:cs="PMingLiU" w:eastAsia="PMingLiU" w:hAnsi="PMingLiU"/>
          <w:sz w:val="20"/>
          <w:szCs w:val="20"/>
          <w:color w:val="634140"/>
        </w:rPr>
        <w:t/>
      </w:r>
      <w:r>
        <w:rPr>
          <w:rFonts w:ascii="Arial" w:cs="Arial" w:eastAsia="Arial" w:hAnsi="Arial"/>
          <w:sz w:val="20"/>
          <w:szCs w:val="20"/>
          <w:color w:val="634140"/>
        </w:rPr>
        <w:t>bgqagnjglcb</w:t>
      </w:r>
      <w:r>
        <w:rPr>
          <w:rFonts w:ascii="PMingLiU" w:cs="PMingLiU" w:eastAsia="PMingLiU" w:hAnsi="PMingLiU"/>
          <w:sz w:val="20"/>
          <w:szCs w:val="20"/>
          <w:color w:val="634140"/>
        </w:rPr>
        <w:t/>
      </w:r>
      <w:r>
        <w:rPr>
          <w:rFonts w:ascii="Arial" w:cs="Arial" w:eastAsia="Arial" w:hAnsi="Arial"/>
          <w:sz w:val="20"/>
          <w:szCs w:val="20"/>
          <w:color w:val="634140"/>
        </w:rPr>
        <w:t>_nnpm_af</w:t>
      </w:r>
      <w:r>
        <w:rPr>
          <w:rFonts w:ascii="PMingLiU" w:cs="PMingLiU" w:eastAsia="PMingLiU" w:hAnsi="PMingLiU"/>
          <w:sz w:val="20"/>
          <w:szCs w:val="20"/>
          <w:color w:val="634140"/>
        </w:rPr>
        <w:t/>
      </w:r>
      <w:r>
        <w:rPr>
          <w:rFonts w:ascii="Arial" w:cs="Arial" w:eastAsia="Arial" w:hAnsi="Arial"/>
          <w:sz w:val="20"/>
          <w:szCs w:val="20"/>
          <w:color w:val="634140"/>
        </w:rPr>
        <w:t>clf_lacq</w:t>
      </w:r>
      <w:r>
        <w:rPr>
          <w:rFonts w:ascii="PMingLiU" w:cs="PMingLiU" w:eastAsia="PMingLiU" w:hAnsi="PMingLiU"/>
          <w:sz w:val="20"/>
          <w:szCs w:val="20"/>
          <w:color w:val="634140"/>
        </w:rPr>
        <w:t/>
      </w:r>
    </w:p>
    <w:p>
      <w:pPr>
        <w:spacing w:after="0" w:line="21" w:lineRule="exact"/>
        <w:rPr>
          <w:sz w:val="20"/>
          <w:szCs w:val="20"/>
          <w:color w:val="auto"/>
        </w:rPr>
      </w:pPr>
    </w:p>
    <w:p>
      <w:pPr>
        <w:ind w:left="7"/>
        <w:spacing w:after="0" w:line="243" w:lineRule="exact"/>
        <w:rPr>
          <w:sz w:val="20"/>
          <w:szCs w:val="20"/>
          <w:color w:val="auto"/>
        </w:rPr>
      </w:pPr>
      <w:r>
        <w:rPr>
          <w:rFonts w:ascii="Arial" w:cs="Arial" w:eastAsia="Arial" w:hAnsi="Arial"/>
          <w:sz w:val="20"/>
          <w:szCs w:val="20"/>
          <w:color w:val="634140"/>
        </w:rPr>
        <w:t>amkncrgrgtclcqq</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_aacjcp_rcq</w:t>
      </w:r>
      <w:r>
        <w:rPr>
          <w:rFonts w:ascii="PMingLiU" w:cs="PMingLiU" w:eastAsia="PMingLiU" w:hAnsi="PMingLiU"/>
          <w:sz w:val="20"/>
          <w:szCs w:val="20"/>
          <w:color w:val="634140"/>
        </w:rPr>
        <w:t/>
      </w:r>
      <w:r>
        <w:rPr>
          <w:rFonts w:ascii="Arial" w:cs="Arial" w:eastAsia="Arial" w:hAnsi="Arial"/>
          <w:sz w:val="20"/>
          <w:szCs w:val="20"/>
          <w:color w:val="634140"/>
        </w:rPr>
        <w:t>amkkcpag_jgx_rgml</w:t>
      </w:r>
      <w:r>
        <w:rPr>
          <w:rFonts w:ascii="PMingLiU" w:cs="PMingLiU" w:eastAsia="PMingLiU" w:hAnsi="PMingLiU"/>
          <w:sz w:val="20"/>
          <w:szCs w:val="20"/>
          <w:color w:val="634140"/>
        </w:rPr>
        <w:t/>
      </w:r>
    </w:p>
    <w:p>
      <w:pPr>
        <w:spacing w:after="0" w:line="21" w:lineRule="exact"/>
        <w:rPr>
          <w:sz w:val="20"/>
          <w:szCs w:val="20"/>
          <w:color w:val="auto"/>
        </w:rPr>
      </w:pPr>
    </w:p>
    <w:p>
      <w:pPr>
        <w:ind w:left="7"/>
        <w:spacing w:after="0" w:line="243" w:lineRule="exact"/>
        <w:rPr>
          <w:sz w:val="20"/>
          <w:szCs w:val="20"/>
          <w:color w:val="auto"/>
        </w:rPr>
      </w:pPr>
      <w:r>
        <w:rPr>
          <w:rFonts w:ascii="Arial" w:cs="Arial" w:eastAsia="Arial" w:hAnsi="Arial"/>
          <w:sz w:val="20"/>
          <w:szCs w:val="20"/>
          <w:color w:val="634140"/>
        </w:rPr>
        <w:t>md</w:t>
      </w:r>
      <w:r>
        <w:rPr>
          <w:rFonts w:ascii="PMingLiU" w:cs="PMingLiU" w:eastAsia="PMingLiU" w:hAnsi="PMingLiU"/>
          <w:sz w:val="20"/>
          <w:szCs w:val="20"/>
          <w:color w:val="634140"/>
        </w:rPr>
        <w:t/>
      </w:r>
      <w:r>
        <w:rPr>
          <w:rFonts w:ascii="Arial" w:cs="Arial" w:eastAsia="Arial" w:hAnsi="Arial"/>
          <w:sz w:val="20"/>
          <w:szCs w:val="20"/>
          <w:color w:val="634140"/>
        </w:rPr>
        <w:t>gllmt_rgml</w:t>
      </w:r>
      <w:r>
        <w:rPr>
          <w:rFonts w:ascii="PMingLiU" w:cs="PMingLiU" w:eastAsia="PMingLiU" w:hAnsi="PMingLiU"/>
          <w:sz w:val="20"/>
          <w:szCs w:val="20"/>
          <w:color w:val="634140"/>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43" w:lineRule="exact"/>
        <w:rPr>
          <w:sz w:val="20"/>
          <w:szCs w:val="20"/>
          <w:color w:val="auto"/>
        </w:rPr>
      </w:pPr>
      <w:r>
        <w:rPr>
          <w:rFonts w:ascii="Arial" w:cs="Arial" w:eastAsia="Arial" w:hAnsi="Arial"/>
          <w:sz w:val="20"/>
          <w:szCs w:val="20"/>
          <w:b w:val="1"/>
          <w:bCs w:val="1"/>
          <w:color w:val="59BDB6"/>
        </w:rPr>
        <w:t>_</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asjrspc</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`sgjr</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rm</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clbspc</w:t>
      </w:r>
    </w:p>
    <w:p>
      <w:pPr>
        <w:spacing w:after="0" w:line="146" w:lineRule="exact"/>
        <w:rPr>
          <w:sz w:val="20"/>
          <w:szCs w:val="20"/>
          <w:color w:val="auto"/>
        </w:rPr>
      </w:pPr>
    </w:p>
    <w:p>
      <w:pPr>
        <w:spacing w:after="0" w:line="259" w:lineRule="exact"/>
        <w:rPr>
          <w:sz w:val="20"/>
          <w:szCs w:val="20"/>
          <w:color w:val="auto"/>
        </w:rPr>
      </w:pPr>
      <w:r>
        <w:rPr>
          <w:rFonts w:ascii="Arial" w:cs="Arial" w:eastAsia="Arial" w:hAnsi="Arial"/>
          <w:sz w:val="20"/>
          <w:szCs w:val="20"/>
          <w:color w:val="634140"/>
        </w:rPr>
        <w:t>Ssp</w:t>
      </w:r>
      <w:r>
        <w:rPr>
          <w:rFonts w:ascii="PMingLiU" w:cs="PMingLiU" w:eastAsia="PMingLiU" w:hAnsi="PMingLiU"/>
          <w:sz w:val="20"/>
          <w:szCs w:val="20"/>
          <w:color w:val="634140"/>
        </w:rPr>
        <w:t/>
      </w:r>
      <w:r>
        <w:rPr>
          <w:rFonts w:ascii="Arial" w:cs="Arial" w:eastAsia="Arial" w:hAnsi="Arial"/>
          <w:sz w:val="20"/>
          <w:szCs w:val="20"/>
          <w:color w:val="634140"/>
        </w:rPr>
        <w:t>qsaacqq</w:t>
      </w:r>
      <w:r>
        <w:rPr>
          <w:rFonts w:ascii="PMingLiU" w:cs="PMingLiU" w:eastAsia="PMingLiU" w:hAnsi="PMingLiU"/>
          <w:sz w:val="20"/>
          <w:szCs w:val="20"/>
          <w:color w:val="634140"/>
        </w:rPr>
        <w:t/>
      </w:r>
      <w:r>
        <w:rPr>
          <w:rFonts w:ascii="Arial" w:cs="Arial" w:eastAsia="Arial" w:hAnsi="Arial"/>
          <w:sz w:val="20"/>
          <w:szCs w:val="20"/>
          <w:color w:val="634140"/>
        </w:rPr>
        <w:t>sjrgk_rcjw</w:t>
      </w:r>
      <w:r>
        <w:rPr>
          <w:rFonts w:ascii="PMingLiU" w:cs="PMingLiU" w:eastAsia="PMingLiU" w:hAnsi="PMingLiU"/>
          <w:sz w:val="20"/>
          <w:szCs w:val="20"/>
          <w:color w:val="634140"/>
        </w:rPr>
        <w:t/>
      </w:r>
      <w:r>
        <w:rPr>
          <w:rFonts w:ascii="Arial" w:cs="Arial" w:eastAsia="Arial" w:hAnsi="Arial"/>
          <w:sz w:val="20"/>
          <w:szCs w:val="20"/>
          <w:color w:val="634140"/>
        </w:rPr>
        <w:t>bcnclbq</w:t>
      </w:r>
      <w:r>
        <w:rPr>
          <w:rFonts w:ascii="PMingLiU" w:cs="PMingLiU" w:eastAsia="PMingLiU" w:hAnsi="PMingLiU"/>
          <w:sz w:val="20"/>
          <w:szCs w:val="20"/>
          <w:color w:val="634140"/>
        </w:rPr>
        <w:t/>
      </w:r>
      <w:r>
        <w:rPr>
          <w:rFonts w:ascii="Arial" w:cs="Arial" w:eastAsia="Arial" w:hAnsi="Arial"/>
          <w:sz w:val="20"/>
          <w:szCs w:val="20"/>
          <w:color w:val="634140"/>
        </w:rPr>
        <w:t>ml</w:t>
      </w:r>
      <w:r>
        <w:rPr>
          <w:rFonts w:ascii="PMingLiU" w:cs="PMingLiU" w:eastAsia="PMingLiU" w:hAnsi="PMingLiU"/>
          <w:sz w:val="20"/>
          <w:szCs w:val="20"/>
          <w:color w:val="634140"/>
        </w:rPr>
        <w:t/>
      </w:r>
      <w:r>
        <w:rPr>
          <w:rFonts w:ascii="Arial" w:cs="Arial" w:eastAsia="Arial" w:hAnsi="Arial"/>
          <w:sz w:val="20"/>
          <w:szCs w:val="20"/>
          <w:color w:val="634140"/>
        </w:rPr>
        <w:t>msp</w:t>
      </w:r>
      <w:r>
        <w:rPr>
          <w:rFonts w:ascii="PMingLiU" w:cs="PMingLiU" w:eastAsia="PMingLiU" w:hAnsi="PMingLiU"/>
          <w:sz w:val="20"/>
          <w:szCs w:val="20"/>
          <w:color w:val="634140"/>
        </w:rPr>
        <w:t/>
      </w:r>
      <w:r>
        <w:rPr>
          <w:rFonts w:ascii="Arial" w:cs="Arial" w:eastAsia="Arial" w:hAnsi="Arial"/>
          <w:sz w:val="20"/>
          <w:szCs w:val="20"/>
          <w:color w:val="634140"/>
        </w:rPr>
        <w:t>qmjtcpq</w:t>
      </w:r>
      <w:r>
        <w:rPr>
          <w:rFonts w:ascii="PMingLiU" w:cs="PMingLiU" w:eastAsia="PMingLiU" w:hAnsi="PMingLiU"/>
          <w:sz w:val="20"/>
          <w:szCs w:val="20"/>
          <w:color w:val="634140"/>
        </w:rPr>
        <w:t/>
      </w:r>
      <w:r>
        <w:rPr>
          <w:rFonts w:ascii="Arial" w:cs="Arial" w:eastAsia="Arial" w:hAnsi="Arial"/>
          <w:sz w:val="20"/>
          <w:szCs w:val="20"/>
          <w:color w:val="634140"/>
        </w:rPr>
        <w:t>Epmslb</w:t>
      </w:r>
      <w:r>
        <w:rPr>
          <w:rFonts w:ascii="PMingLiU" w:cs="PMingLiU" w:eastAsia="PMingLiU" w:hAnsi="PMingLiU"/>
          <w:sz w:val="20"/>
          <w:szCs w:val="20"/>
          <w:color w:val="634140"/>
        </w:rPr>
        <w:t/>
      </w:r>
      <w:r>
        <w:rPr>
          <w:rFonts w:ascii="Arial" w:cs="Arial" w:eastAsia="Arial" w:hAnsi="Arial"/>
          <w:sz w:val="20"/>
          <w:szCs w:val="20"/>
          <w:color w:val="634140"/>
        </w:rPr>
        <w:t xml:space="preserve"> rfc</w:t>
      </w:r>
      <w:r>
        <w:rPr>
          <w:rFonts w:ascii="PMingLiU" w:cs="PMingLiU" w:eastAsia="PMingLiU" w:hAnsi="PMingLiU"/>
          <w:sz w:val="20"/>
          <w:szCs w:val="20"/>
          <w:color w:val="634140"/>
        </w:rPr>
        <w:t/>
      </w:r>
      <w:r>
        <w:rPr>
          <w:rFonts w:ascii="Arial" w:cs="Arial" w:eastAsia="Arial" w:hAnsi="Arial"/>
          <w:sz w:val="20"/>
          <w:szCs w:val="20"/>
          <w:color w:val="634140"/>
        </w:rPr>
        <w:t>umpjb</w:t>
      </w:r>
      <w:r>
        <w:rPr>
          <w:rFonts w:ascii="PMingLiU" w:cs="PMingLiU" w:eastAsia="PMingLiU" w:hAnsi="PMingLiU"/>
          <w:sz w:val="20"/>
          <w:szCs w:val="20"/>
          <w:color w:val="634140"/>
        </w:rPr>
        <w:t/>
      </w:r>
      <w:r>
        <w:rPr>
          <w:rFonts w:ascii="Arial" w:cs="Arial" w:eastAsia="Arial" w:hAnsi="Arial"/>
          <w:sz w:val="20"/>
          <w:szCs w:val="20"/>
          <w:color w:val="634140"/>
        </w:rPr>
        <w:t>Eqfj_lb</w:t>
      </w:r>
      <w:r>
        <w:rPr>
          <w:rFonts w:ascii="PMingLiU" w:cs="PMingLiU" w:eastAsia="PMingLiU" w:hAnsi="PMingLiU"/>
          <w:sz w:val="20"/>
          <w:szCs w:val="20"/>
          <w:color w:val="634140"/>
        </w:rPr>
        <w:t/>
      </w:r>
      <w:r>
        <w:rPr>
          <w:rFonts w:ascii="Arial" w:cs="Arial" w:eastAsia="Arial" w:hAnsi="Arial"/>
          <w:sz w:val="20"/>
          <w:szCs w:val="20"/>
          <w:color w:val="634140"/>
        </w:rPr>
        <w:t>cknjmwccq</w:t>
      </w:r>
      <w:r>
        <w:rPr>
          <w:rFonts w:ascii="PMingLiU" w:cs="PMingLiU" w:eastAsia="PMingLiU" w:hAnsi="PMingLiU"/>
          <w:sz w:val="20"/>
          <w:szCs w:val="20"/>
          <w:color w:val="634140"/>
        </w:rPr>
        <w:t/>
      </w:r>
      <w:r>
        <w:rPr>
          <w:rFonts w:ascii="Arial" w:cs="Arial" w:eastAsia="Arial" w:hAnsi="Arial"/>
          <w:sz w:val="20"/>
          <w:szCs w:val="20"/>
          <w:color w:val="634140"/>
        </w:rPr>
        <w:t>amlrglsc</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r>
        <w:rPr>
          <w:rFonts w:ascii="Arial" w:cs="Arial" w:eastAsia="Arial" w:hAnsi="Arial"/>
          <w:sz w:val="20"/>
          <w:szCs w:val="20"/>
          <w:color w:val="634140"/>
        </w:rPr>
        <w:t>ck`mbw</w:t>
      </w:r>
      <w:r>
        <w:rPr>
          <w:rFonts w:ascii="PMingLiU" w:cs="PMingLiU" w:eastAsia="PMingLiU" w:hAnsi="PMingLiU"/>
          <w:sz w:val="20"/>
          <w:szCs w:val="20"/>
          <w:color w:val="634140"/>
        </w:rPr>
        <w:t/>
      </w:r>
      <w:r>
        <w:rPr>
          <w:rFonts w:ascii="Arial" w:cs="Arial" w:eastAsia="Arial" w:hAnsi="Arial"/>
          <w:sz w:val="20"/>
          <w:szCs w:val="20"/>
          <w:color w:val="634140"/>
        </w:rPr>
        <w:t xml:space="preserve"> msp</w:t>
      </w:r>
      <w:r>
        <w:rPr>
          <w:rFonts w:ascii="PMingLiU" w:cs="PMingLiU" w:eastAsia="PMingLiU" w:hAnsi="PMingLiU"/>
          <w:sz w:val="20"/>
          <w:szCs w:val="20"/>
          <w:color w:val="634140"/>
        </w:rPr>
        <w:t/>
      </w:r>
      <w:r>
        <w:rPr>
          <w:rFonts w:ascii="Arial" w:cs="Arial" w:eastAsia="Arial" w:hAnsi="Arial"/>
          <w:sz w:val="20"/>
          <w:szCs w:val="20"/>
          <w:color w:val="634140"/>
        </w:rPr>
        <w:t>t_jscq</w:t>
      </w:r>
      <w:r>
        <w:rPr>
          <w:rFonts w:ascii="PMingLiU" w:cs="PMingLiU" w:eastAsia="PMingLiU" w:hAnsi="PMingLiU"/>
          <w:sz w:val="20"/>
          <w:szCs w:val="20"/>
          <w:color w:val="634140"/>
        </w:rPr>
        <w:t/>
      </w:r>
      <w:r>
        <w:rPr>
          <w:rFonts w:ascii="Arial" w:cs="Arial" w:eastAsia="Arial" w:hAnsi="Arial"/>
          <w:sz w:val="20"/>
          <w:szCs w:val="20"/>
          <w:color w:val="634140"/>
        </w:rPr>
        <w:t>md</w:t>
      </w:r>
      <w:r>
        <w:rPr>
          <w:rFonts w:ascii="PMingLiU" w:cs="PMingLiU" w:eastAsia="PMingLiU" w:hAnsi="PMingLiU"/>
          <w:sz w:val="20"/>
          <w:szCs w:val="20"/>
          <w:color w:val="634140"/>
        </w:rPr>
        <w:t/>
      </w:r>
      <w:r>
        <w:rPr>
          <w:rFonts w:ascii="Arial" w:cs="Arial" w:eastAsia="Arial" w:hAnsi="Arial"/>
          <w:sz w:val="20"/>
          <w:szCs w:val="20"/>
          <w:color w:val="634140"/>
        </w:rPr>
        <w:t>q_dcrw</w:t>
      </w:r>
      <w:r>
        <w:rPr>
          <w:rFonts w:ascii="PMingLiU" w:cs="PMingLiU" w:eastAsia="PMingLiU" w:hAnsi="PMingLiU"/>
          <w:sz w:val="20"/>
          <w:szCs w:val="20"/>
          <w:color w:val="634140"/>
        </w:rPr>
        <w:t/>
      </w:r>
      <w:r>
        <w:rPr>
          <w:rFonts w:ascii="Arial" w:cs="Arial" w:eastAsia="Arial" w:hAnsi="Arial"/>
          <w:sz w:val="20"/>
          <w:szCs w:val="20"/>
          <w:color w:val="634140"/>
        </w:rPr>
        <w:t>crfgaq</w:t>
      </w:r>
      <w:r>
        <w:rPr>
          <w:rFonts w:ascii="PMingLiU" w:cs="PMingLiU" w:eastAsia="PMingLiU" w:hAnsi="PMingLiU"/>
          <w:sz w:val="20"/>
          <w:szCs w:val="20"/>
          <w:color w:val="634140"/>
        </w:rPr>
        <w:t/>
      </w:r>
      <w:r>
        <w:rPr>
          <w:rFonts w:ascii="Arial" w:cs="Arial" w:eastAsia="Arial" w:hAnsi="Arial"/>
          <w:sz w:val="20"/>
          <w:szCs w:val="20"/>
          <w:color w:val="634140"/>
        </w:rPr>
        <w:t>glajsqgml</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gllmt_rgml</w:t>
      </w:r>
      <w:r>
        <w:rPr>
          <w:rFonts w:ascii="PMingLiU" w:cs="PMingLiU" w:eastAsia="PMingLiU" w:hAnsi="PMingLiU"/>
          <w:sz w:val="20"/>
          <w:szCs w:val="20"/>
          <w:color w:val="634140"/>
        </w:rPr>
        <w:t/>
      </w:r>
      <w:r>
        <w:rPr>
          <w:rFonts w:ascii="Arial" w:cs="Arial" w:eastAsia="Arial" w:hAnsi="Arial"/>
          <w:sz w:val="20"/>
          <w:szCs w:val="20"/>
          <w:color w:val="634140"/>
        </w:rPr>
        <w:t xml:space="preserve"> Xfcgp</w:t>
      </w:r>
      <w:r>
        <w:rPr>
          <w:rFonts w:ascii="PMingLiU" w:cs="PMingLiU" w:eastAsia="PMingLiU" w:hAnsi="PMingLiU"/>
          <w:sz w:val="20"/>
          <w:szCs w:val="20"/>
          <w:color w:val="634140"/>
        </w:rPr>
        <w:t/>
      </w:r>
      <w:r>
        <w:rPr>
          <w:rFonts w:ascii="Arial" w:cs="Arial" w:eastAsia="Arial" w:hAnsi="Arial"/>
          <w:sz w:val="20"/>
          <w:szCs w:val="20"/>
          <w:color w:val="634140"/>
        </w:rPr>
        <w:t>cvncprgqc</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_b_nr_`gjgrw</w:t>
      </w:r>
      <w:r>
        <w:rPr>
          <w:rFonts w:ascii="PMingLiU" w:cs="PMingLiU" w:eastAsia="PMingLiU" w:hAnsi="PMingLiU"/>
          <w:sz w:val="20"/>
          <w:szCs w:val="20"/>
          <w:color w:val="634140"/>
        </w:rPr>
        <w:t/>
      </w:r>
      <w:r>
        <w:rPr>
          <w:rFonts w:ascii="Arial" w:cs="Arial" w:eastAsia="Arial" w:hAnsi="Arial"/>
          <w:sz w:val="20"/>
          <w:szCs w:val="20"/>
          <w:color w:val="634140"/>
        </w:rPr>
        <w:t>dscj</w:t>
      </w:r>
      <w:r>
        <w:rPr>
          <w:rFonts w:ascii="PMingLiU" w:cs="PMingLiU" w:eastAsia="PMingLiU" w:hAnsi="PMingLiU"/>
          <w:sz w:val="20"/>
          <w:szCs w:val="20"/>
          <w:color w:val="634140"/>
        </w:rPr>
        <w:t/>
      </w:r>
      <w:r>
        <w:rPr>
          <w:rFonts w:ascii="Arial" w:cs="Arial" w:eastAsia="Arial" w:hAnsi="Arial"/>
          <w:sz w:val="20"/>
          <w:szCs w:val="20"/>
          <w:color w:val="634140"/>
        </w:rPr>
        <w:t>rfc</w:t>
      </w:r>
      <w:r>
        <w:rPr>
          <w:rFonts w:ascii="PMingLiU" w:cs="PMingLiU" w:eastAsia="PMingLiU" w:hAnsi="PMingLiU"/>
          <w:sz w:val="20"/>
          <w:szCs w:val="20"/>
          <w:color w:val="634140"/>
        </w:rPr>
        <w:t/>
      </w:r>
      <w:r>
        <w:rPr>
          <w:rFonts w:ascii="Arial" w:cs="Arial" w:eastAsia="Arial" w:hAnsi="Arial"/>
          <w:sz w:val="20"/>
          <w:szCs w:val="20"/>
          <w:color w:val="634140"/>
        </w:rPr>
        <w:t>rp_lqdmpk_rgml</w:t>
      </w:r>
      <w:r>
        <w:rPr>
          <w:rFonts w:ascii="PMingLiU" w:cs="PMingLiU" w:eastAsia="PMingLiU" w:hAnsi="PMingLiU"/>
          <w:sz w:val="20"/>
          <w:szCs w:val="20"/>
          <w:color w:val="634140"/>
        </w:rPr>
        <w:t/>
      </w:r>
      <w:r>
        <w:rPr>
          <w:rFonts w:ascii="Arial" w:cs="Arial" w:eastAsia="Arial" w:hAnsi="Arial"/>
          <w:sz w:val="20"/>
          <w:szCs w:val="20"/>
          <w:color w:val="634140"/>
        </w:rPr>
        <w:t xml:space="preserve"> md</w:t>
      </w:r>
      <w:r>
        <w:rPr>
          <w:rFonts w:ascii="PMingLiU" w:cs="PMingLiU" w:eastAsia="PMingLiU" w:hAnsi="PMingLiU"/>
          <w:sz w:val="20"/>
          <w:szCs w:val="20"/>
          <w:color w:val="634140"/>
        </w:rPr>
        <w:t/>
      </w:r>
      <w:r>
        <w:rPr>
          <w:rFonts w:ascii="Arial" w:cs="Arial" w:eastAsia="Arial" w:hAnsi="Arial"/>
          <w:sz w:val="20"/>
          <w:szCs w:val="20"/>
          <w:color w:val="634140"/>
        </w:rPr>
        <w:t>msp</w:t>
      </w:r>
      <w:r>
        <w:rPr>
          <w:rFonts w:ascii="PMingLiU" w:cs="PMingLiU" w:eastAsia="PMingLiU" w:hAnsi="PMingLiU"/>
          <w:sz w:val="20"/>
          <w:szCs w:val="20"/>
          <w:color w:val="634140"/>
        </w:rPr>
        <w:t/>
      </w:r>
      <w:r>
        <w:rPr>
          <w:rFonts w:ascii="Arial" w:cs="Arial" w:eastAsia="Arial" w:hAnsi="Arial"/>
          <w:sz w:val="20"/>
          <w:szCs w:val="20"/>
          <w:color w:val="634140"/>
        </w:rPr>
        <w:t>`sqglcqq</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clqspc</w:t>
      </w:r>
      <w:r>
        <w:rPr>
          <w:rFonts w:ascii="PMingLiU" w:cs="PMingLiU" w:eastAsia="PMingLiU" w:hAnsi="PMingLiU"/>
          <w:sz w:val="20"/>
          <w:szCs w:val="20"/>
          <w:color w:val="634140"/>
        </w:rPr>
        <w:t/>
      </w:r>
      <w:r>
        <w:rPr>
          <w:rFonts w:ascii="Arial" w:cs="Arial" w:eastAsia="Arial" w:hAnsi="Arial"/>
          <w:sz w:val="20"/>
          <w:szCs w:val="20"/>
          <w:color w:val="634140"/>
        </w:rPr>
        <w:t>rf_r</w:t>
      </w:r>
      <w:r>
        <w:rPr>
          <w:rFonts w:ascii="PMingLiU" w:cs="PMingLiU" w:eastAsia="PMingLiU" w:hAnsi="PMingLiU"/>
          <w:sz w:val="20"/>
          <w:szCs w:val="20"/>
          <w:color w:val="634140"/>
        </w:rPr>
        <w:t/>
      </w:r>
      <w:r>
        <w:rPr>
          <w:rFonts w:ascii="Arial" w:cs="Arial" w:eastAsia="Arial" w:hAnsi="Arial"/>
          <w:sz w:val="20"/>
          <w:szCs w:val="20"/>
          <w:color w:val="634140"/>
        </w:rPr>
        <w:t>qagclac</w:t>
      </w:r>
      <w:r>
        <w:rPr>
          <w:rFonts w:ascii="PMingLiU" w:cs="PMingLiU" w:eastAsia="PMingLiU" w:hAnsi="PMingLiU"/>
          <w:sz w:val="20"/>
          <w:szCs w:val="20"/>
          <w:color w:val="634140"/>
        </w:rPr>
        <w:t/>
      </w:r>
      <w:r>
        <w:rPr>
          <w:rFonts w:ascii="Arial" w:cs="Arial" w:eastAsia="Arial" w:hAnsi="Arial"/>
          <w:sz w:val="20"/>
          <w:szCs w:val="20"/>
          <w:color w:val="634140"/>
        </w:rPr>
        <w:t>amlrglscq</w:t>
      </w:r>
      <w:r>
        <w:rPr>
          <w:rFonts w:ascii="PMingLiU" w:cs="PMingLiU" w:eastAsia="PMingLiU" w:hAnsi="PMingLiU"/>
          <w:sz w:val="20"/>
          <w:szCs w:val="20"/>
          <w:color w:val="634140"/>
        </w:rPr>
        <w:t/>
      </w:r>
      <w:r>
        <w:rPr>
          <w:rFonts w:ascii="Arial" w:cs="Arial" w:eastAsia="Arial" w:hAnsi="Arial"/>
          <w:sz w:val="20"/>
          <w:szCs w:val="20"/>
          <w:color w:val="634140"/>
        </w:rPr>
        <w:t>rm</w:t>
      </w:r>
      <w:r>
        <w:rPr>
          <w:rFonts w:ascii="PMingLiU" w:cs="PMingLiU" w:eastAsia="PMingLiU" w:hAnsi="PMingLiU"/>
          <w:sz w:val="20"/>
          <w:szCs w:val="20"/>
          <w:color w:val="634140"/>
        </w:rPr>
        <w:t/>
      </w:r>
      <w:r>
        <w:rPr>
          <w:rFonts w:ascii="Arial" w:cs="Arial" w:eastAsia="Arial" w:hAnsi="Arial"/>
          <w:sz w:val="20"/>
          <w:szCs w:val="20"/>
          <w:color w:val="634140"/>
        </w:rPr>
        <w:t xml:space="preserve"> k_ic</w:t>
      </w:r>
      <w:r>
        <w:rPr>
          <w:rFonts w:ascii="PMingLiU" w:cs="PMingLiU" w:eastAsia="PMingLiU" w:hAnsi="PMingLiU"/>
          <w:sz w:val="20"/>
          <w:szCs w:val="20"/>
          <w:color w:val="634140"/>
        </w:rPr>
        <w:t/>
      </w:r>
      <w:r>
        <w:rPr>
          <w:rFonts w:ascii="Arial" w:cs="Arial" w:eastAsia="Arial" w:hAnsi="Arial"/>
          <w:sz w:val="20"/>
          <w:szCs w:val="20"/>
          <w:color w:val="634140"/>
        </w:rPr>
        <w:t>_</w:t>
      </w:r>
      <w:r>
        <w:rPr>
          <w:rFonts w:ascii="PMingLiU" w:cs="PMingLiU" w:eastAsia="PMingLiU" w:hAnsi="PMingLiU"/>
          <w:sz w:val="20"/>
          <w:szCs w:val="20"/>
          <w:color w:val="634140"/>
        </w:rPr>
        <w:t/>
      </w:r>
      <w:r>
        <w:rPr>
          <w:rFonts w:ascii="Arial" w:cs="Arial" w:eastAsia="Arial" w:hAnsi="Arial"/>
          <w:sz w:val="20"/>
          <w:szCs w:val="20"/>
          <w:color w:val="634140"/>
        </w:rPr>
        <w:t>biffcpclac dmp</w:t>
      </w:r>
      <w:r>
        <w:rPr>
          <w:rFonts w:ascii="PMingLiU" w:cs="PMingLiU" w:eastAsia="PMingLiU" w:hAnsi="PMingLiU"/>
          <w:sz w:val="20"/>
          <w:szCs w:val="20"/>
          <w:color w:val="634140"/>
        </w:rPr>
        <w:t/>
      </w:r>
      <w:r>
        <w:rPr>
          <w:rFonts w:ascii="Arial" w:cs="Arial" w:eastAsia="Arial" w:hAnsi="Arial"/>
          <w:sz w:val="20"/>
          <w:szCs w:val="20"/>
          <w:color w:val="634140"/>
        </w:rPr>
        <w:t>msp</w:t>
      </w:r>
      <w:r>
        <w:rPr>
          <w:rFonts w:ascii="PMingLiU" w:cs="PMingLiU" w:eastAsia="PMingLiU" w:hAnsi="PMingLiU"/>
          <w:sz w:val="20"/>
          <w:szCs w:val="20"/>
          <w:color w:val="634140"/>
        </w:rPr>
        <w:t/>
      </w:r>
      <w:r>
        <w:rPr>
          <w:rFonts w:ascii="Arial" w:cs="Arial" w:eastAsia="Arial" w:hAnsi="Arial"/>
          <w:sz w:val="20"/>
          <w:szCs w:val="20"/>
          <w:color w:val="634140"/>
        </w:rPr>
        <w:t>asqrmkcpq</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msp</w:t>
      </w:r>
      <w:r>
        <w:rPr>
          <w:rFonts w:ascii="PMingLiU" w:cs="PMingLiU" w:eastAsia="PMingLiU" w:hAnsi="PMingLiU"/>
          <w:sz w:val="20"/>
          <w:szCs w:val="20"/>
          <w:color w:val="634140"/>
        </w:rPr>
        <w:t/>
      </w:r>
      <w:r>
        <w:rPr>
          <w:rFonts w:ascii="Arial" w:cs="Arial" w:eastAsia="Arial" w:hAnsi="Arial"/>
          <w:sz w:val="20"/>
          <w:szCs w:val="20"/>
          <w:color w:val="634140"/>
        </w:rPr>
        <w:t>nj_lcr</w:t>
      </w:r>
      <w:r>
        <w:rPr>
          <w:rFonts w:ascii="PMingLiU" w:cs="PMingLiU" w:eastAsia="PMingLiU" w:hAnsi="PMingLiU"/>
          <w:sz w:val="20"/>
          <w:szCs w:val="20"/>
          <w:color w:val="634140"/>
        </w:rPr>
        <w:t/>
      </w:r>
    </w:p>
    <w:p>
      <w:pPr>
        <w:spacing w:after="0" w:line="366" w:lineRule="exact"/>
        <w:rPr>
          <w:sz w:val="20"/>
          <w:szCs w:val="20"/>
          <w:color w:val="auto"/>
        </w:rPr>
      </w:pPr>
    </w:p>
    <w:p>
      <w:pPr>
        <w:spacing w:after="0" w:line="243" w:lineRule="exact"/>
        <w:rPr>
          <w:sz w:val="20"/>
          <w:szCs w:val="20"/>
          <w:color w:val="auto"/>
        </w:rPr>
      </w:pPr>
      <w:r>
        <w:rPr>
          <w:rFonts w:ascii="Arial" w:cs="Arial" w:eastAsia="Arial" w:hAnsi="Arial"/>
          <w:sz w:val="20"/>
          <w:szCs w:val="20"/>
          <w:b w:val="1"/>
          <w:bCs w:val="1"/>
          <w:color w:val="59BDB6"/>
        </w:rPr>
        <w:t>_bt_lagle</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ugrf</w:t>
      </w:r>
      <w:r>
        <w:rPr>
          <w:rFonts w:ascii="PMingLiU" w:cs="PMingLiU" w:eastAsia="PMingLiU" w:hAnsi="PMingLiU"/>
          <w:sz w:val="20"/>
          <w:szCs w:val="20"/>
          <w:b w:val="1"/>
          <w:bCs w:val="1"/>
          <w:color w:val="59BDB6"/>
        </w:rPr>
        <w:t/>
      </w:r>
      <w:r>
        <w:rPr>
          <w:rFonts w:ascii="Arial" w:cs="Arial" w:eastAsia="Arial" w:hAnsi="Arial"/>
          <w:sz w:val="20"/>
          <w:szCs w:val="20"/>
          <w:b w:val="1"/>
          <w:bCs w:val="1"/>
          <w:color w:val="59BDB6"/>
        </w:rPr>
        <w:t>aonfibclac</w:t>
      </w:r>
    </w:p>
    <w:p>
      <w:pPr>
        <w:spacing w:after="0" w:line="147" w:lineRule="exact"/>
        <w:rPr>
          <w:sz w:val="20"/>
          <w:szCs w:val="20"/>
          <w:color w:val="auto"/>
        </w:rPr>
      </w:pPr>
    </w:p>
    <w:p>
      <w:pPr>
        <w:spacing w:after="0" w:line="259" w:lineRule="exact"/>
        <w:rPr>
          <w:sz w:val="20"/>
          <w:szCs w:val="20"/>
          <w:color w:val="auto"/>
        </w:rPr>
      </w:pPr>
      <w:r>
        <w:rPr>
          <w:rFonts w:ascii="Arial" w:cs="Arial" w:eastAsia="Arial" w:hAnsi="Arial"/>
          <w:sz w:val="19"/>
          <w:szCs w:val="19"/>
          <w:color w:val="634140"/>
        </w:rPr>
        <w:t>Pmmigle</w:t>
      </w:r>
      <w:r>
        <w:rPr>
          <w:rFonts w:ascii="PMingLiU" w:cs="PMingLiU" w:eastAsia="PMingLiU" w:hAnsi="PMingLiU"/>
          <w:sz w:val="19"/>
          <w:szCs w:val="19"/>
          <w:color w:val="634140"/>
        </w:rPr>
        <w:t/>
      </w:r>
      <w:r>
        <w:rPr>
          <w:rFonts w:ascii="Arial" w:cs="Arial" w:eastAsia="Arial" w:hAnsi="Arial"/>
          <w:sz w:val="19"/>
          <w:szCs w:val="19"/>
          <w:color w:val="634140"/>
        </w:rPr>
        <w:t>dmpu_pb</w:t>
      </w:r>
      <w:r>
        <w:rPr>
          <w:rFonts w:ascii="PMingLiU" w:cs="PMingLiU" w:eastAsia="PMingLiU" w:hAnsi="PMingLiU"/>
          <w:sz w:val="19"/>
          <w:szCs w:val="19"/>
          <w:color w:val="634140"/>
        </w:rPr>
        <w:t/>
      </w:r>
      <w:r>
        <w:rPr>
          <w:rFonts w:ascii="Arial" w:cs="Arial" w:eastAsia="Arial" w:hAnsi="Arial"/>
          <w:sz w:val="19"/>
          <w:szCs w:val="19"/>
          <w:color w:val="634140"/>
        </w:rPr>
        <w:t>uc</w:t>
      </w:r>
      <w:r>
        <w:rPr>
          <w:rFonts w:ascii="PMingLiU" w:cs="PMingLiU" w:eastAsia="PMingLiU" w:hAnsi="PMingLiU"/>
          <w:sz w:val="19"/>
          <w:szCs w:val="19"/>
          <w:color w:val="634140"/>
        </w:rPr>
        <w:t/>
      </w:r>
      <w:r>
        <w:rPr>
          <w:rFonts w:ascii="Arial" w:cs="Arial" w:eastAsia="Arial" w:hAnsi="Arial"/>
          <w:sz w:val="19"/>
          <w:szCs w:val="19"/>
          <w:color w:val="634140"/>
        </w:rPr>
        <w:t>ugjj</w:t>
      </w:r>
      <w:r>
        <w:rPr>
          <w:rFonts w:ascii="PMingLiU" w:cs="PMingLiU" w:eastAsia="PMingLiU" w:hAnsi="PMingLiU"/>
          <w:sz w:val="19"/>
          <w:szCs w:val="19"/>
          <w:color w:val="634140"/>
        </w:rPr>
        <w:t/>
      </w:r>
      <w:r>
        <w:rPr>
          <w:rFonts w:ascii="Arial" w:cs="Arial" w:eastAsia="Arial" w:hAnsi="Arial"/>
          <w:sz w:val="19"/>
          <w:szCs w:val="19"/>
          <w:color w:val="634140"/>
        </w:rPr>
        <w:t>amlrglsc</w:t>
      </w:r>
      <w:r>
        <w:rPr>
          <w:rFonts w:ascii="PMingLiU" w:cs="PMingLiU" w:eastAsia="PMingLiU" w:hAnsi="PMingLiU"/>
          <w:sz w:val="19"/>
          <w:szCs w:val="19"/>
          <w:color w:val="634140"/>
        </w:rPr>
        <w:t/>
      </w:r>
      <w:r>
        <w:rPr>
          <w:rFonts w:ascii="Arial" w:cs="Arial" w:eastAsia="Arial" w:hAnsi="Arial"/>
          <w:sz w:val="19"/>
          <w:szCs w:val="19"/>
          <w:color w:val="634140"/>
        </w:rPr>
        <w:t>rm</w:t>
      </w:r>
      <w:r>
        <w:rPr>
          <w:rFonts w:ascii="PMingLiU" w:cs="PMingLiU" w:eastAsia="PMingLiU" w:hAnsi="PMingLiU"/>
          <w:sz w:val="19"/>
          <w:szCs w:val="19"/>
          <w:color w:val="634140"/>
        </w:rPr>
        <w:t/>
      </w:r>
      <w:r>
        <w:rPr>
          <w:rFonts w:ascii="Arial" w:cs="Arial" w:eastAsia="Arial" w:hAnsi="Arial"/>
          <w:sz w:val="19"/>
          <w:szCs w:val="19"/>
          <w:color w:val="634140"/>
        </w:rPr>
        <w:t>qrpclerfcl</w:t>
      </w:r>
      <w:r>
        <w:rPr>
          <w:rFonts w:ascii="PMingLiU" w:cs="PMingLiU" w:eastAsia="PMingLiU" w:hAnsi="PMingLiU"/>
          <w:sz w:val="19"/>
          <w:szCs w:val="19"/>
          <w:color w:val="634140"/>
        </w:rPr>
        <w:t/>
      </w:r>
      <w:r>
        <w:rPr>
          <w:rFonts w:ascii="Arial" w:cs="Arial" w:eastAsia="Arial" w:hAnsi="Arial"/>
          <w:sz w:val="19"/>
          <w:szCs w:val="19"/>
          <w:color w:val="634140"/>
        </w:rPr>
        <w:t xml:space="preserve"> amkncrgrgtclcqq</w:t>
      </w:r>
      <w:r>
        <w:rPr>
          <w:rFonts w:ascii="PMingLiU" w:cs="PMingLiU" w:eastAsia="PMingLiU" w:hAnsi="PMingLiU"/>
          <w:sz w:val="19"/>
          <w:szCs w:val="19"/>
          <w:color w:val="634140"/>
        </w:rPr>
        <w:t/>
      </w:r>
      <w:r>
        <w:rPr>
          <w:rFonts w:ascii="Arial" w:cs="Arial" w:eastAsia="Arial" w:hAnsi="Arial"/>
          <w:sz w:val="19"/>
          <w:szCs w:val="19"/>
          <w:color w:val="634140"/>
        </w:rPr>
        <w:t>a_r_jwxc</w:t>
      </w:r>
      <w:r>
        <w:rPr>
          <w:rFonts w:ascii="PMingLiU" w:cs="PMingLiU" w:eastAsia="PMingLiU" w:hAnsi="PMingLiU"/>
          <w:sz w:val="19"/>
          <w:szCs w:val="19"/>
          <w:color w:val="634140"/>
        </w:rPr>
        <w:t/>
      </w:r>
      <w:r>
        <w:rPr>
          <w:rFonts w:ascii="Arial" w:cs="Arial" w:eastAsia="Arial" w:hAnsi="Arial"/>
          <w:sz w:val="19"/>
          <w:szCs w:val="19"/>
          <w:color w:val="634140"/>
        </w:rPr>
        <w:t>epmurf</w:t>
      </w:r>
      <w:r>
        <w:rPr>
          <w:rFonts w:ascii="PMingLiU" w:cs="PMingLiU" w:eastAsia="PMingLiU" w:hAnsi="PMingLiU"/>
          <w:sz w:val="19"/>
          <w:szCs w:val="19"/>
          <w:color w:val="634140"/>
        </w:rPr>
        <w:t/>
      </w:r>
      <w:r>
        <w:rPr>
          <w:rFonts w:ascii="Arial" w:cs="Arial" w:eastAsia="Arial" w:hAnsi="Arial"/>
          <w:sz w:val="19"/>
          <w:szCs w:val="19"/>
          <w:color w:val="634140"/>
        </w:rPr>
        <w:t>_lb</w:t>
      </w:r>
      <w:r>
        <w:rPr>
          <w:rFonts w:ascii="PMingLiU" w:cs="PMingLiU" w:eastAsia="PMingLiU" w:hAnsi="PMingLiU"/>
          <w:sz w:val="19"/>
          <w:szCs w:val="19"/>
          <w:color w:val="634140"/>
        </w:rPr>
        <w:t/>
      </w:r>
      <w:r>
        <w:rPr>
          <w:rFonts w:ascii="Arial" w:cs="Arial" w:eastAsia="Arial" w:hAnsi="Arial"/>
          <w:sz w:val="19"/>
          <w:szCs w:val="19"/>
          <w:color w:val="634140"/>
        </w:rPr>
        <w:t>k_glr_gl</w:t>
      </w:r>
      <w:r>
        <w:rPr>
          <w:rFonts w:ascii="PMingLiU" w:cs="PMingLiU" w:eastAsia="PMingLiU" w:hAnsi="PMingLiU"/>
          <w:sz w:val="19"/>
          <w:szCs w:val="19"/>
          <w:color w:val="634140"/>
        </w:rPr>
        <w:t/>
      </w:r>
      <w:r>
        <w:rPr>
          <w:rFonts w:ascii="Arial" w:cs="Arial" w:eastAsia="Arial" w:hAnsi="Arial"/>
          <w:sz w:val="19"/>
          <w:szCs w:val="19"/>
          <w:color w:val="634140"/>
        </w:rPr>
        <w:t xml:space="preserve"> bgqagnjglc</w:t>
      </w:r>
      <w:r>
        <w:rPr>
          <w:rFonts w:ascii="PMingLiU" w:cs="PMingLiU" w:eastAsia="PMingLiU" w:hAnsi="PMingLiU"/>
          <w:sz w:val="19"/>
          <w:szCs w:val="19"/>
          <w:color w:val="634140"/>
        </w:rPr>
        <w:t/>
      </w:r>
      <w:r>
        <w:rPr>
          <w:rFonts w:ascii="Arial" w:cs="Arial" w:eastAsia="Arial" w:hAnsi="Arial"/>
          <w:sz w:val="19"/>
          <w:szCs w:val="19"/>
          <w:color w:val="634140"/>
        </w:rPr>
        <w:t>[grf</w:t>
      </w:r>
      <w:r>
        <w:rPr>
          <w:rFonts w:ascii="PMingLiU" w:cs="PMingLiU" w:eastAsia="PMingLiU" w:hAnsi="PMingLiU"/>
          <w:sz w:val="19"/>
          <w:szCs w:val="19"/>
          <w:color w:val="634140"/>
        </w:rPr>
        <w:t/>
      </w:r>
      <w:r>
        <w:rPr>
          <w:rFonts w:ascii="Arial" w:cs="Arial" w:eastAsia="Arial" w:hAnsi="Arial"/>
          <w:sz w:val="19"/>
          <w:szCs w:val="19"/>
          <w:color w:val="634140"/>
        </w:rPr>
        <w:t>_</w:t>
      </w:r>
      <w:r>
        <w:rPr>
          <w:rFonts w:ascii="PMingLiU" w:cs="PMingLiU" w:eastAsia="PMingLiU" w:hAnsi="PMingLiU"/>
          <w:sz w:val="19"/>
          <w:szCs w:val="19"/>
          <w:color w:val="634140"/>
        </w:rPr>
        <w:t/>
      </w:r>
      <w:r>
        <w:rPr>
          <w:rFonts w:ascii="Arial" w:cs="Arial" w:eastAsia="Arial" w:hAnsi="Arial"/>
          <w:sz w:val="19"/>
          <w:szCs w:val="19"/>
          <w:color w:val="634140"/>
        </w:rPr>
        <w:t>fgef&amp;os_jgrw</w:t>
      </w:r>
      <w:r>
        <w:rPr>
          <w:rFonts w:ascii="PMingLiU" w:cs="PMingLiU" w:eastAsia="PMingLiU" w:hAnsi="PMingLiU"/>
          <w:sz w:val="19"/>
          <w:szCs w:val="19"/>
          <w:color w:val="634140"/>
        </w:rPr>
        <w:t/>
      </w:r>
      <w:r>
        <w:rPr>
          <w:rFonts w:ascii="Arial" w:cs="Arial" w:eastAsia="Arial" w:hAnsi="Arial"/>
          <w:sz w:val="19"/>
          <w:szCs w:val="19"/>
          <w:color w:val="634140"/>
        </w:rPr>
        <w:t>pcqgjgclr</w:t>
      </w:r>
      <w:r>
        <w:rPr>
          <w:rFonts w:ascii="PMingLiU" w:cs="PMingLiU" w:eastAsia="PMingLiU" w:hAnsi="PMingLiU"/>
          <w:sz w:val="19"/>
          <w:szCs w:val="19"/>
          <w:color w:val="634140"/>
        </w:rPr>
        <w:t/>
      </w:r>
      <w:r>
        <w:rPr>
          <w:rFonts w:ascii="Arial" w:cs="Arial" w:eastAsia="Arial" w:hAnsi="Arial"/>
          <w:sz w:val="19"/>
          <w:szCs w:val="19"/>
          <w:color w:val="634140"/>
        </w:rPr>
        <w:t>nmprdmjgm</w:t>
      </w:r>
      <w:r>
        <w:rPr>
          <w:rFonts w:ascii="PMingLiU" w:cs="PMingLiU" w:eastAsia="PMingLiU" w:hAnsi="PMingLiU"/>
          <w:sz w:val="19"/>
          <w:szCs w:val="19"/>
          <w:color w:val="634140"/>
        </w:rPr>
        <w:t/>
      </w:r>
      <w:r>
        <w:rPr>
          <w:rFonts w:ascii="Arial" w:cs="Arial" w:eastAsia="Arial" w:hAnsi="Arial"/>
          <w:sz w:val="19"/>
          <w:szCs w:val="19"/>
          <w:color w:val="634140"/>
        </w:rPr>
        <w:t>qrpmle</w:t>
      </w:r>
      <w:r>
        <w:rPr>
          <w:rFonts w:ascii="PMingLiU" w:cs="PMingLiU" w:eastAsia="PMingLiU" w:hAnsi="PMingLiU"/>
          <w:sz w:val="19"/>
          <w:szCs w:val="19"/>
          <w:color w:val="634140"/>
        </w:rPr>
        <w:t/>
      </w:r>
      <w:r>
        <w:rPr>
          <w:rFonts w:ascii="Arial" w:cs="Arial" w:eastAsia="Arial" w:hAnsi="Arial"/>
          <w:sz w:val="19"/>
          <w:szCs w:val="19"/>
          <w:color w:val="634140"/>
        </w:rPr>
        <w:t xml:space="preserve"> amkncrgrgtc</w:t>
      </w:r>
      <w:r>
        <w:rPr>
          <w:rFonts w:ascii="PMingLiU" w:cs="PMingLiU" w:eastAsia="PMingLiU" w:hAnsi="PMingLiU"/>
          <w:sz w:val="19"/>
          <w:szCs w:val="19"/>
          <w:color w:val="634140"/>
        </w:rPr>
        <w:t/>
      </w:r>
      <w:r>
        <w:rPr>
          <w:rFonts w:ascii="Arial" w:cs="Arial" w:eastAsia="Arial" w:hAnsi="Arial"/>
          <w:sz w:val="19"/>
          <w:szCs w:val="19"/>
          <w:color w:val="634140"/>
        </w:rPr>
        <w:t>nmqgrgmlq</w:t>
      </w:r>
      <w:r>
        <w:rPr>
          <w:rFonts w:ascii="PMingLiU" w:cs="PMingLiU" w:eastAsia="PMingLiU" w:hAnsi="PMingLiU"/>
          <w:sz w:val="19"/>
          <w:szCs w:val="19"/>
          <w:color w:val="634140"/>
        </w:rPr>
        <w:t/>
      </w:r>
      <w:r>
        <w:rPr>
          <w:rFonts w:ascii="Arial" w:cs="Arial" w:eastAsia="Arial" w:hAnsi="Arial"/>
          <w:sz w:val="19"/>
          <w:szCs w:val="19"/>
          <w:color w:val="634140"/>
        </w:rPr>
        <w:t>_lb</w:t>
      </w:r>
      <w:r>
        <w:rPr>
          <w:rFonts w:ascii="PMingLiU" w:cs="PMingLiU" w:eastAsia="PMingLiU" w:hAnsi="PMingLiU"/>
          <w:sz w:val="19"/>
          <w:szCs w:val="19"/>
          <w:color w:val="634140"/>
        </w:rPr>
        <w:t/>
      </w:r>
      <w:r>
        <w:rPr>
          <w:rFonts w:ascii="Arial" w:cs="Arial" w:eastAsia="Arial" w:hAnsi="Arial"/>
          <w:sz w:val="19"/>
          <w:szCs w:val="19"/>
          <w:color w:val="634140"/>
        </w:rPr>
        <w:t>_l</w:t>
      </w:r>
      <w:r>
        <w:rPr>
          <w:rFonts w:ascii="PMingLiU" w:cs="PMingLiU" w:eastAsia="PMingLiU" w:hAnsi="PMingLiU"/>
          <w:sz w:val="19"/>
          <w:szCs w:val="19"/>
          <w:color w:val="634140"/>
        </w:rPr>
        <w:t/>
      </w:r>
      <w:r>
        <w:rPr>
          <w:rFonts w:ascii="Arial" w:cs="Arial" w:eastAsia="Arial" w:hAnsi="Arial"/>
          <w:sz w:val="19"/>
          <w:szCs w:val="19"/>
          <w:color w:val="634140"/>
        </w:rPr>
        <w:t>_`jc</w:t>
      </w:r>
      <w:r>
        <w:rPr>
          <w:rFonts w:ascii="PMingLiU" w:cs="PMingLiU" w:eastAsia="PMingLiU" w:hAnsi="PMingLiU"/>
          <w:sz w:val="19"/>
          <w:szCs w:val="19"/>
          <w:color w:val="634140"/>
        </w:rPr>
        <w:t/>
      </w:r>
      <w:r>
        <w:rPr>
          <w:rFonts w:ascii="Arial" w:cs="Arial" w:eastAsia="Arial" w:hAnsi="Arial"/>
          <w:sz w:val="19"/>
          <w:szCs w:val="19"/>
          <w:color w:val="634140"/>
        </w:rPr>
        <w:t>ejm`_j</w:t>
      </w:r>
      <w:r>
        <w:rPr>
          <w:rFonts w:ascii="PMingLiU" w:cs="PMingLiU" w:eastAsia="PMingLiU" w:hAnsi="PMingLiU"/>
          <w:sz w:val="19"/>
          <w:szCs w:val="19"/>
          <w:color w:val="634140"/>
        </w:rPr>
        <w:t/>
      </w:r>
      <w:r>
        <w:rPr>
          <w:rFonts w:ascii="Arial" w:cs="Arial" w:eastAsia="Arial" w:hAnsi="Arial"/>
          <w:sz w:val="19"/>
          <w:szCs w:val="19"/>
          <w:color w:val="634140"/>
        </w:rPr>
        <w:t>rc_k</w:t>
      </w:r>
      <w:r>
        <w:rPr>
          <w:rFonts w:ascii="PMingLiU" w:cs="PMingLiU" w:eastAsia="PMingLiU" w:hAnsi="PMingLiU"/>
          <w:sz w:val="19"/>
          <w:szCs w:val="19"/>
          <w:color w:val="634140"/>
        </w:rPr>
        <w:t/>
      </w:r>
      <w:r>
        <w:rPr>
          <w:rFonts w:ascii="Arial" w:cs="Arial" w:eastAsia="Arial" w:hAnsi="Arial"/>
          <w:sz w:val="19"/>
          <w:szCs w:val="19"/>
          <w:color w:val="634140"/>
        </w:rPr>
        <w:t>uc</w:t>
      </w:r>
      <w:r>
        <w:rPr>
          <w:rFonts w:ascii="PMingLiU" w:cs="PMingLiU" w:eastAsia="PMingLiU" w:hAnsi="PMingLiU"/>
          <w:sz w:val="19"/>
          <w:szCs w:val="19"/>
          <w:color w:val="634140"/>
        </w:rPr>
        <w:t/>
      </w:r>
      <w:r>
        <w:rPr>
          <w:rFonts w:ascii="Arial" w:cs="Arial" w:eastAsia="Arial" w:hAnsi="Arial"/>
          <w:sz w:val="19"/>
          <w:szCs w:val="19"/>
          <w:color w:val="634140"/>
        </w:rPr>
        <w:t>_pc</w:t>
      </w:r>
      <w:r>
        <w:rPr>
          <w:rFonts w:ascii="PMingLiU" w:cs="PMingLiU" w:eastAsia="PMingLiU" w:hAnsi="PMingLiU"/>
          <w:sz w:val="19"/>
          <w:szCs w:val="19"/>
          <w:color w:val="634140"/>
        </w:rPr>
        <w:t/>
      </w:r>
      <w:r>
        <w:rPr>
          <w:rFonts w:ascii="Arial" w:cs="Arial" w:eastAsia="Arial" w:hAnsi="Arial"/>
          <w:sz w:val="19"/>
          <w:szCs w:val="19"/>
          <w:color w:val="634140"/>
        </w:rPr>
        <w:t xml:space="preserve"> _bt_lagle</w:t>
      </w:r>
      <w:r>
        <w:rPr>
          <w:rFonts w:ascii="PMingLiU" w:cs="PMingLiU" w:eastAsia="PMingLiU" w:hAnsi="PMingLiU"/>
          <w:sz w:val="19"/>
          <w:szCs w:val="19"/>
          <w:color w:val="634140"/>
        </w:rPr>
        <w:t/>
      </w:r>
      <w:r>
        <w:rPr>
          <w:rFonts w:ascii="Arial" w:cs="Arial" w:eastAsia="Arial" w:hAnsi="Arial"/>
          <w:sz w:val="19"/>
          <w:szCs w:val="19"/>
          <w:color w:val="634140"/>
        </w:rPr>
        <w:t>ugrf</w:t>
      </w:r>
      <w:r>
        <w:rPr>
          <w:rFonts w:ascii="PMingLiU" w:cs="PMingLiU" w:eastAsia="PMingLiU" w:hAnsi="PMingLiU"/>
          <w:sz w:val="19"/>
          <w:szCs w:val="19"/>
          <w:color w:val="634140"/>
        </w:rPr>
        <w:t/>
      </w:r>
      <w:r>
        <w:rPr>
          <w:rFonts w:ascii="Arial" w:cs="Arial" w:eastAsia="Arial" w:hAnsi="Arial"/>
          <w:sz w:val="19"/>
          <w:szCs w:val="19"/>
          <w:color w:val="634140"/>
        </w:rPr>
        <w:t>amlfibclac</w:t>
      </w:r>
      <w:r>
        <w:rPr>
          <w:rFonts w:ascii="PMingLiU" w:cs="PMingLiU" w:eastAsia="PMingLiU" w:hAnsi="PMingLiU"/>
          <w:sz w:val="19"/>
          <w:szCs w:val="19"/>
          <w:color w:val="634140"/>
        </w:rPr>
        <w:t/>
      </w:r>
      <w:r>
        <w:rPr>
          <w:rFonts w:ascii="Arial" w:cs="Arial" w:eastAsia="Arial" w:hAnsi="Arial"/>
          <w:sz w:val="19"/>
          <w:szCs w:val="19"/>
          <w:color w:val="634140"/>
        </w:rPr>
        <w:t>rmu_pb</w:t>
      </w:r>
      <w:r>
        <w:rPr>
          <w:rFonts w:ascii="PMingLiU" w:cs="PMingLiU" w:eastAsia="PMingLiU" w:hAnsi="PMingLiU"/>
          <w:sz w:val="19"/>
          <w:szCs w:val="19"/>
          <w:color w:val="634140"/>
        </w:rPr>
        <w:t/>
      </w:r>
      <w:r>
        <w:rPr>
          <w:rFonts w:ascii="Arial" w:cs="Arial" w:eastAsia="Arial" w:hAnsi="Arial"/>
          <w:sz w:val="19"/>
          <w:szCs w:val="19"/>
          <w:color w:val="634140"/>
        </w:rPr>
        <w:t>J]˧˫</w:t>
      </w:r>
      <w:r>
        <w:rPr>
          <w:rFonts w:ascii="PMingLiU" w:cs="PMingLiU" w:eastAsia="PMingLiU" w:hAnsi="PMingLiU"/>
          <w:sz w:val="19"/>
          <w:szCs w:val="19"/>
          <w:color w:val="634140"/>
        </w:rPr>
        <w:t/>
      </w:r>
      <w:r>
        <w:rPr>
          <w:rFonts w:ascii="Arial" w:cs="Arial" w:eastAsia="Arial" w:hAnsi="Arial"/>
          <w:sz w:val="19"/>
          <w:szCs w:val="19"/>
          <w:color w:val="634140"/>
        </w:rPr>
        <w:t>_lb</w:t>
      </w:r>
      <w:r>
        <w:rPr>
          <w:rFonts w:ascii="PMingLiU" w:cs="PMingLiU" w:eastAsia="PMingLiU" w:hAnsi="PMingLiU"/>
          <w:sz w:val="19"/>
          <w:szCs w:val="19"/>
          <w:color w:val="634140"/>
        </w:rPr>
        <w:t/>
      </w:r>
      <w:r>
        <w:rPr>
          <w:rFonts w:ascii="Arial" w:cs="Arial" w:eastAsia="Arial" w:hAnsi="Arial"/>
          <w:sz w:val="19"/>
          <w:szCs w:val="19"/>
          <w:color w:val="634140"/>
        </w:rPr>
        <w:t>`cwmlb</w:t>
      </w:r>
      <w:r>
        <w:rPr>
          <w:rFonts w:ascii="PMingLiU" w:cs="PMingLiU" w:eastAsia="PMingLiU" w:hAnsi="PMingLiU"/>
          <w:sz w:val="19"/>
          <w:szCs w:val="19"/>
          <w:color w:val="634140"/>
        </w:rPr>
        <w:t/>
      </w:r>
    </w:p>
    <w:p>
      <w:pPr>
        <w:spacing w:after="0" w:line="297" w:lineRule="exact"/>
        <w:rPr>
          <w:sz w:val="20"/>
          <w:szCs w:val="20"/>
          <w:color w:val="auto"/>
        </w:rPr>
      </w:pPr>
    </w:p>
    <w:p>
      <w:pPr>
        <w:spacing w:after="0" w:line="243" w:lineRule="exact"/>
        <w:rPr>
          <w:sz w:val="20"/>
          <w:szCs w:val="20"/>
          <w:color w:val="auto"/>
        </w:rPr>
      </w:pPr>
      <w:r>
        <w:rPr>
          <w:rFonts w:ascii="Arial" w:cs="Arial" w:eastAsia="Arial" w:hAnsi="Arial"/>
          <w:sz w:val="20"/>
          <w:szCs w:val="20"/>
          <w:color w:val="634140"/>
        </w:rPr>
        <w:t>Xf_li</w:t>
      </w:r>
      <w:r>
        <w:rPr>
          <w:rFonts w:ascii="PMingLiU" w:cs="PMingLiU" w:eastAsia="PMingLiU" w:hAnsi="PMingLiU"/>
          <w:sz w:val="20"/>
          <w:szCs w:val="20"/>
          <w:color w:val="634140"/>
        </w:rPr>
        <w:t/>
      </w:r>
      <w:r>
        <w:rPr>
          <w:rFonts w:ascii="Arial" w:cs="Arial" w:eastAsia="Arial" w:hAnsi="Arial"/>
          <w:sz w:val="20"/>
          <w:szCs w:val="20"/>
          <w:color w:val="634140"/>
        </w:rPr>
        <w:t>wms</w:t>
      </w:r>
      <w:r>
        <w:rPr>
          <w:rFonts w:ascii="PMingLiU" w:cs="PMingLiU" w:eastAsia="PMingLiU" w:hAnsi="PMingLiU"/>
          <w:sz w:val="20"/>
          <w:szCs w:val="20"/>
          <w:color w:val="634140"/>
        </w:rPr>
        <w:t/>
      </w:r>
      <w:r>
        <w:rPr>
          <w:rFonts w:ascii="Arial" w:cs="Arial" w:eastAsia="Arial" w:hAnsi="Arial"/>
          <w:sz w:val="20"/>
          <w:szCs w:val="20"/>
          <w:color w:val="634140"/>
        </w:rPr>
        <w:t>dmp</w:t>
      </w:r>
      <w:r>
        <w:rPr>
          <w:rFonts w:ascii="PMingLiU" w:cs="PMingLiU" w:eastAsia="PMingLiU" w:hAnsi="PMingLiU"/>
          <w:sz w:val="20"/>
          <w:szCs w:val="20"/>
          <w:color w:val="634140"/>
        </w:rPr>
        <w:t/>
      </w:r>
      <w:r>
        <w:rPr>
          <w:rFonts w:ascii="Arial" w:cs="Arial" w:eastAsia="Arial" w:hAnsi="Arial"/>
          <w:sz w:val="20"/>
          <w:szCs w:val="20"/>
          <w:color w:val="634140"/>
        </w:rPr>
        <w:t>wmsp</w:t>
      </w:r>
      <w:r>
        <w:rPr>
          <w:rFonts w:ascii="PMingLiU" w:cs="PMingLiU" w:eastAsia="PMingLiU" w:hAnsi="PMingLiU"/>
          <w:sz w:val="20"/>
          <w:szCs w:val="20"/>
          <w:color w:val="634140"/>
        </w:rPr>
        <w:t/>
      </w:r>
      <w:r>
        <w:rPr>
          <w:rFonts w:ascii="Arial" w:cs="Arial" w:eastAsia="Arial" w:hAnsi="Arial"/>
          <w:sz w:val="20"/>
          <w:szCs w:val="20"/>
          <w:color w:val="634140"/>
        </w:rPr>
        <w:t>amlrglscb</w:t>
      </w:r>
      <w:r>
        <w:rPr>
          <w:rFonts w:ascii="PMingLiU" w:cs="PMingLiU" w:eastAsia="PMingLiU" w:hAnsi="PMingLiU"/>
          <w:sz w:val="20"/>
          <w:szCs w:val="20"/>
          <w:color w:val="634140"/>
        </w:rPr>
        <w:t/>
      </w:r>
      <w:r>
        <w:rPr>
          <w:rFonts w:ascii="Arial" w:cs="Arial" w:eastAsia="Arial" w:hAnsi="Arial"/>
          <w:sz w:val="20"/>
          <w:szCs w:val="20"/>
          <w:color w:val="634140"/>
        </w:rPr>
        <w:t>rpsqr</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qsnnmpr</w:t>
      </w:r>
      <w:r>
        <w:rPr>
          <w:rFonts w:ascii="PMingLiU" w:cs="PMingLiU" w:eastAsia="PMingLiU" w:hAnsi="PMingLiU"/>
          <w:sz w:val="20"/>
          <w:szCs w:val="20"/>
          <w:color w:val="634140"/>
        </w:rPr>
        <w:t/>
      </w:r>
    </w:p>
    <w:p>
      <w:pPr>
        <w:spacing w:after="0" w:line="294" w:lineRule="exact"/>
        <w:rPr>
          <w:sz w:val="20"/>
          <w:szCs w:val="20"/>
          <w:color w:val="auto"/>
        </w:rPr>
      </w:pPr>
    </w:p>
    <w:p>
      <w:pPr>
        <w:spacing w:after="0" w:line="243" w:lineRule="exact"/>
        <w:rPr>
          <w:sz w:val="20"/>
          <w:szCs w:val="20"/>
          <w:color w:val="auto"/>
        </w:rPr>
      </w:pPr>
      <w:r>
        <w:rPr>
          <w:rFonts w:ascii="Arial" w:cs="Arial" w:eastAsia="Arial" w:hAnsi="Arial"/>
          <w:sz w:val="20"/>
          <w:szCs w:val="20"/>
          <w:color w:val="634140"/>
        </w:rPr>
        <w:t>Wglacpcjw</w:t>
      </w:r>
      <w:r>
        <w:rPr>
          <w:rFonts w:ascii="PMingLiU" w:cs="PMingLiU" w:eastAsia="PMingLiU" w:hAnsi="PMingLiU"/>
          <w:sz w:val="20"/>
          <w:szCs w:val="20"/>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223520</wp:posOffset>
            </wp:positionV>
            <wp:extent cx="1466850" cy="666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1">
                      <a:extLst>
                        <a:ext uri="{28A0092B-C50C-407E-A947-70E740481C1C}"/>
                      </a:extLst>
                    </a:blip>
                    <a:srcRect/>
                    <a:stretch>
                      <a:fillRect/>
                    </a:stretch>
                  </pic:blipFill>
                  <pic:spPr bwMode="auto">
                    <a:xfrm>
                      <a:off x="0" y="0"/>
                      <a:ext cx="1466850" cy="66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43" w:lineRule="exact"/>
        <w:rPr>
          <w:sz w:val="20"/>
          <w:szCs w:val="20"/>
          <w:color w:val="auto"/>
        </w:rPr>
      </w:pPr>
      <w:r>
        <w:rPr>
          <w:rFonts w:ascii="Arial" w:cs="Arial" w:eastAsia="Arial" w:hAnsi="Arial"/>
          <w:sz w:val="20"/>
          <w:szCs w:val="20"/>
          <w:b w:val="1"/>
          <w:bCs w:val="1"/>
          <w:color w:val="634140"/>
        </w:rPr>
        <w:t>Ksgjjcpkm</w:t>
      </w:r>
      <w:r>
        <w:rPr>
          <w:rFonts w:ascii="PMingLiU" w:cs="PMingLiU" w:eastAsia="PMingLiU" w:hAnsi="PMingLiU"/>
          <w:sz w:val="20"/>
          <w:szCs w:val="20"/>
          <w:b w:val="1"/>
          <w:bCs w:val="1"/>
          <w:color w:val="634140"/>
        </w:rPr>
        <w:t/>
      </w:r>
      <w:r>
        <w:rPr>
          <w:rFonts w:ascii="Arial" w:cs="Arial" w:eastAsia="Arial" w:hAnsi="Arial"/>
          <w:sz w:val="20"/>
          <w:szCs w:val="20"/>
          <w:b w:val="1"/>
          <w:bCs w:val="1"/>
          <w:color w:val="634140"/>
        </w:rPr>
        <w:t>Rmtm</w:t>
      </w:r>
      <w:r>
        <w:rPr>
          <w:rFonts w:ascii="PMingLiU" w:cs="PMingLiU" w:eastAsia="PMingLiU" w:hAnsi="PMingLiU"/>
          <w:sz w:val="20"/>
          <w:szCs w:val="20"/>
          <w:b w:val="1"/>
          <w:bCs w:val="1"/>
          <w:color w:val="634140"/>
        </w:rPr>
        <w:t/>
      </w:r>
    </w:p>
    <w:p>
      <w:pPr>
        <w:spacing w:after="0" w:line="24" w:lineRule="exact"/>
        <w:rPr>
          <w:sz w:val="20"/>
          <w:szCs w:val="20"/>
          <w:color w:val="auto"/>
        </w:rPr>
      </w:pPr>
    </w:p>
    <w:p>
      <w:pPr>
        <w:spacing w:after="0" w:line="243" w:lineRule="exact"/>
        <w:rPr>
          <w:sz w:val="20"/>
          <w:szCs w:val="20"/>
          <w:color w:val="auto"/>
        </w:rPr>
      </w:pPr>
      <w:r>
        <w:rPr>
          <w:rFonts w:ascii="Arial" w:cs="Arial" w:eastAsia="Arial" w:hAnsi="Arial"/>
          <w:sz w:val="20"/>
          <w:szCs w:val="20"/>
          <w:color w:val="634140"/>
        </w:rPr>
        <w:t>Gf_gp</w:t>
      </w:r>
      <w:r>
        <w:rPr>
          <w:rFonts w:ascii="PMingLiU" w:cs="PMingLiU" w:eastAsia="PMingLiU" w:hAnsi="PMingLiU"/>
          <w:sz w:val="20"/>
          <w:szCs w:val="20"/>
          <w:color w:val="634140"/>
        </w:rPr>
        <w:t/>
      </w:r>
      <w:r>
        <w:rPr>
          <w:rFonts w:ascii="Arial" w:cs="Arial" w:eastAsia="Arial" w:hAnsi="Arial"/>
          <w:sz w:val="20"/>
          <w:szCs w:val="20"/>
          <w:color w:val="634140"/>
        </w:rPr>
        <w:t>_lb</w:t>
      </w:r>
      <w:r>
        <w:rPr>
          <w:rFonts w:ascii="PMingLiU" w:cs="PMingLiU" w:eastAsia="PMingLiU" w:hAnsi="PMingLiU"/>
          <w:sz w:val="20"/>
          <w:szCs w:val="20"/>
          <w:color w:val="634140"/>
        </w:rPr>
        <w:t/>
      </w:r>
      <w:r>
        <w:rPr>
          <w:rFonts w:ascii="Arial" w:cs="Arial" w:eastAsia="Arial" w:hAnsi="Arial"/>
          <w:sz w:val="20"/>
          <w:szCs w:val="20"/>
          <w:color w:val="634140"/>
        </w:rPr>
        <w:t>Gfgcd</w:t>
      </w:r>
      <w:r>
        <w:rPr>
          <w:rFonts w:ascii="PMingLiU" w:cs="PMingLiU" w:eastAsia="PMingLiU" w:hAnsi="PMingLiU"/>
          <w:sz w:val="20"/>
          <w:szCs w:val="20"/>
          <w:color w:val="634140"/>
        </w:rPr>
        <w:t/>
      </w:r>
      <w:r>
        <w:rPr>
          <w:rFonts w:ascii="Arial" w:cs="Arial" w:eastAsia="Arial" w:hAnsi="Arial"/>
          <w:sz w:val="20"/>
          <w:szCs w:val="20"/>
          <w:color w:val="634140"/>
        </w:rPr>
        <w:t>Ivcasrgtc</w:t>
      </w:r>
      <w:r>
        <w:rPr>
          <w:rFonts w:ascii="PMingLiU" w:cs="PMingLiU" w:eastAsia="PMingLiU" w:hAnsi="PMingLiU"/>
          <w:sz w:val="20"/>
          <w:szCs w:val="20"/>
          <w:color w:val="634140"/>
        </w:rPr>
        <w:t/>
      </w:r>
      <w:r>
        <w:rPr>
          <w:rFonts w:ascii="Arial" w:cs="Arial" w:eastAsia="Arial" w:hAnsi="Arial"/>
          <w:sz w:val="20"/>
          <w:szCs w:val="20"/>
          <w:color w:val="634140"/>
        </w:rPr>
        <w:t>Sffiacp</w:t>
      </w:r>
      <w:r>
        <w:rPr>
          <w:rFonts w:ascii="PMingLiU" w:cs="PMingLiU" w:eastAsia="PMingLiU" w:hAnsi="PMingLiU"/>
          <w:sz w:val="20"/>
          <w:szCs w:val="20"/>
          <w:color w:val="634140"/>
        </w:rPr>
        <w:t/>
      </w:r>
    </w:p>
    <w:p>
      <w:pPr>
        <w:spacing w:after="0" w:line="21" w:lineRule="exact"/>
        <w:rPr>
          <w:sz w:val="20"/>
          <w:szCs w:val="20"/>
          <w:color w:val="auto"/>
        </w:rPr>
      </w:pPr>
    </w:p>
    <w:p>
      <w:pPr>
        <w:spacing w:after="0" w:line="243" w:lineRule="exact"/>
        <w:rPr>
          <w:sz w:val="20"/>
          <w:szCs w:val="20"/>
          <w:color w:val="auto"/>
        </w:rPr>
      </w:pPr>
      <w:r>
        <w:rPr>
          <w:rFonts w:ascii="Arial" w:cs="Arial" w:eastAsia="Arial" w:hAnsi="Arial"/>
          <w:sz w:val="20"/>
          <w:szCs w:val="20"/>
          <w:color w:val="634140"/>
        </w:rPr>
        <w:t>Eqfj_lb</w:t>
      </w:r>
      <w:r>
        <w:rPr>
          <w:rFonts w:ascii="PMingLiU" w:cs="PMingLiU" w:eastAsia="PMingLiU" w:hAnsi="PMingLiU"/>
          <w:sz w:val="20"/>
          <w:szCs w:val="20"/>
          <w:color w:val="634140"/>
        </w:rPr>
        <w:t/>
      </w:r>
      <w:r>
        <w:rPr>
          <w:rFonts w:ascii="Arial" w:cs="Arial" w:eastAsia="Arial" w:hAnsi="Arial"/>
          <w:sz w:val="20"/>
          <w:szCs w:val="20"/>
          <w:color w:val="634140"/>
        </w:rPr>
        <w:t>Mla</w:t>
      </w:r>
      <w:r>
        <w:rPr>
          <w:rFonts w:ascii="PMingLiU" w:cs="PMingLiU" w:eastAsia="PMingLiU" w:hAnsi="PMingLiU"/>
          <w:sz w:val="20"/>
          <w:szCs w:val="20"/>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3086100</wp:posOffset>
            </wp:positionV>
            <wp:extent cx="1172210" cy="3816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2">
                      <a:extLst>
                        <a:ext uri="{28A0092B-C50C-407E-A947-70E740481C1C}"/>
                      </a:extLst>
                    </a:blip>
                    <a:srcRect/>
                    <a:stretch>
                      <a:fillRect/>
                    </a:stretch>
                  </pic:blipFill>
                  <pic:spPr bwMode="auto">
                    <a:xfrm>
                      <a:off x="0" y="0"/>
                      <a:ext cx="1172210" cy="38163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2971800</wp:posOffset>
            </wp:positionV>
            <wp:extent cx="630872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3">
                      <a:extLst>
                        <a:ext uri="{28A0092B-C50C-407E-A947-70E740481C1C}"/>
                      </a:extLst>
                    </a:blip>
                    <a:srcRect/>
                    <a:stretch>
                      <a:fillRect/>
                    </a:stretch>
                  </pic:blipFill>
                  <pic:spPr bwMode="auto">
                    <a:xfrm>
                      <a:off x="0" y="0"/>
                      <a:ext cx="6308725" cy="12700"/>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1144905</wp:posOffset>
            </wp:positionV>
            <wp:extent cx="718185" cy="451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4">
                      <a:extLst>
                        <a:ext uri="{28A0092B-C50C-407E-A947-70E740481C1C}"/>
                      </a:extLst>
                    </a:blip>
                    <a:srcRect/>
                    <a:stretch>
                      <a:fillRect/>
                    </a:stretch>
                  </pic:blipFill>
                  <pic:spPr bwMode="auto">
                    <a:xfrm>
                      <a:off x="0" y="0"/>
                      <a:ext cx="718185" cy="45148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2147570</wp:posOffset>
            </wp:positionV>
            <wp:extent cx="361315" cy="3575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5">
                      <a:extLst>
                        <a:ext uri="{28A0092B-C50C-407E-A947-70E740481C1C}"/>
                      </a:extLst>
                    </a:blip>
                    <a:srcRect/>
                    <a:stretch>
                      <a:fillRect/>
                    </a:stretch>
                  </pic:blipFill>
                  <pic:spPr bwMode="auto">
                    <a:xfrm>
                      <a:off x="0" y="0"/>
                      <a:ext cx="361315" cy="3575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-118745</wp:posOffset>
            </wp:positionV>
            <wp:extent cx="227330" cy="3575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6">
                      <a:extLst>
                        <a:ext uri="{28A0092B-C50C-407E-A947-70E740481C1C}"/>
                      </a:extLst>
                    </a:blip>
                    <a:srcRect/>
                    <a:stretch>
                      <a:fillRect/>
                    </a:stretch>
                  </pic:blipFill>
                  <pic:spPr bwMode="auto">
                    <a:xfrm>
                      <a:off x="0" y="0"/>
                      <a:ext cx="227330" cy="35750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2425700</wp:posOffset>
            </wp:positionV>
            <wp:extent cx="361315" cy="3575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7">
                      <a:extLst>
                        <a:ext uri="{28A0092B-C50C-407E-A947-70E740481C1C}"/>
                      </a:extLst>
                    </a:blip>
                    <a:srcRect/>
                    <a:stretch>
                      <a:fillRect/>
                    </a:stretch>
                  </pic:blipFill>
                  <pic:spPr bwMode="auto">
                    <a:xfrm>
                      <a:off x="0" y="0"/>
                      <a:ext cx="361315" cy="357505"/>
                    </a:xfrm>
                    <a:prstGeom prst="rect">
                      <a:avLst/>
                    </a:prstGeom>
                    <a:noFill/>
                  </pic:spPr>
                </pic:pic>
              </a:graphicData>
            </a:graphic>
          </wp:anchor>
        </w:drawing>
      </w:r>
    </w:p>
    <w:p>
      <w:pPr>
        <w:sectPr>
          <w:pgSz w:w="12240" w:h="15840" w:orient="portrait"/>
          <w:cols w:equalWidth="0" w:num="2">
            <w:col w:w="4807" w:space="320"/>
            <w:col w:w="4880"/>
          </w:cols>
          <w:pgMar w:left="1113" w:top="1440" w:right="112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1765" cy="10057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8">
                      <a:extLst>
                        <a:ext uri="{28A0092B-C50C-407E-A947-70E740481C1C}"/>
                      </a:extLst>
                    </a:blip>
                    <a:srcRect/>
                    <a:stretch>
                      <a:fillRect/>
                    </a:stretch>
                  </pic:blipFill>
                  <pic:spPr bwMode="auto">
                    <a:xfrm>
                      <a:off x="0" y="0"/>
                      <a:ext cx="7771765"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437" w:lineRule="exact"/>
        <w:rPr>
          <w:sz w:val="20"/>
          <w:szCs w:val="20"/>
          <w:color w:val="auto"/>
        </w:rPr>
      </w:pPr>
      <w:r>
        <w:rPr>
          <w:rFonts w:ascii="Arial" w:cs="Arial" w:eastAsia="Arial" w:hAnsi="Arial"/>
          <w:sz w:val="36"/>
          <w:szCs w:val="36"/>
          <w:color w:val="FFFFFF"/>
        </w:rPr>
        <w:t>lcu</w:t>
      </w:r>
      <w:r>
        <w:rPr>
          <w:rFonts w:ascii="PMingLiU" w:cs="PMingLiU" w:eastAsia="PMingLiU" w:hAnsi="PMingLiU"/>
          <w:sz w:val="36"/>
          <w:szCs w:val="36"/>
          <w:color w:val="FFFFFF"/>
        </w:rPr>
        <w:t/>
      </w:r>
      <w:r>
        <w:rPr>
          <w:rFonts w:ascii="Arial" w:cs="Arial" w:eastAsia="Arial" w:hAnsi="Arial"/>
          <w:sz w:val="36"/>
          <w:szCs w:val="36"/>
          <w:color w:val="FFFFFF"/>
        </w:rPr>
        <w:t>rcaflmjmew</w:t>
      </w:r>
      <w:r>
        <w:rPr>
          <w:rFonts w:ascii="PMingLiU" w:cs="PMingLiU" w:eastAsia="PMingLiU" w:hAnsi="PMingLiU"/>
          <w:sz w:val="36"/>
          <w:szCs w:val="36"/>
          <w:color w:val="FFFFFF"/>
        </w:rPr>
        <w:t/>
      </w:r>
      <w:r>
        <w:rPr>
          <w:rFonts w:ascii="Arial" w:cs="Arial" w:eastAsia="Arial" w:hAnsi="Arial"/>
          <w:sz w:val="36"/>
          <w:szCs w:val="36"/>
          <w:color w:val="FFFFFF"/>
        </w:rPr>
        <w:t>nj_rdmpkq</w:t>
      </w:r>
      <w:r>
        <w:rPr>
          <w:rFonts w:ascii="PMingLiU" w:cs="PMingLiU" w:eastAsia="PMingLiU" w:hAnsi="PMingLiU"/>
          <w:sz w:val="36"/>
          <w:szCs w:val="36"/>
          <w:color w:val="FFFFFF"/>
        </w:rPr>
        <w:t/>
      </w:r>
    </w:p>
    <w:p>
      <w:pPr>
        <w:spacing w:after="0" w:line="121" w:lineRule="exact"/>
        <w:rPr>
          <w:sz w:val="20"/>
          <w:szCs w:val="20"/>
          <w:color w:val="auto"/>
        </w:rPr>
      </w:pPr>
    </w:p>
    <w:p>
      <w:pPr>
        <w:ind w:right="380"/>
        <w:spacing w:after="0" w:line="307" w:lineRule="exact"/>
        <w:rPr>
          <w:sz w:val="20"/>
          <w:szCs w:val="20"/>
          <w:color w:val="auto"/>
        </w:rPr>
      </w:pPr>
      <w:r>
        <w:rPr>
          <w:rFonts w:ascii="Arial" w:cs="Arial" w:eastAsia="Arial" w:hAnsi="Arial"/>
          <w:sz w:val="24"/>
          <w:szCs w:val="24"/>
          <w:color w:val="FFFFFF"/>
        </w:rPr>
        <w:t>Er</w:t>
      </w:r>
      <w:r>
        <w:rPr>
          <w:rFonts w:ascii="PMingLiU" w:cs="PMingLiU" w:eastAsia="PMingLiU" w:hAnsi="PMingLiU"/>
          <w:sz w:val="24"/>
          <w:szCs w:val="24"/>
          <w:color w:val="FFFFFF"/>
        </w:rPr>
        <w:t/>
      </w:r>
      <w:r>
        <w:rPr>
          <w:rFonts w:ascii="Arial" w:cs="Arial" w:eastAsia="Arial" w:hAnsi="Arial"/>
          <w:sz w:val="24"/>
          <w:szCs w:val="24"/>
          <w:color w:val="FFFFFF"/>
        </w:rPr>
        <w:t>Eqfj_lb</w:t>
      </w:r>
      <w:r>
        <w:rPr>
          <w:rFonts w:ascii="PMingLiU" w:cs="PMingLiU" w:eastAsia="PMingLiU" w:hAnsi="PMingLiU"/>
          <w:sz w:val="24"/>
          <w:szCs w:val="24"/>
          <w:color w:val="FFFFFF"/>
        </w:rPr>
        <w:t/>
      </w:r>
      <w:r>
        <w:rPr>
          <w:rFonts w:ascii="Arial" w:cs="Arial" w:eastAsia="Arial" w:hAnsi="Arial"/>
          <w:sz w:val="24"/>
          <w:szCs w:val="24"/>
          <w:color w:val="FFFFFF"/>
        </w:rPr>
        <w:t>uc</w:t>
      </w:r>
      <w:r>
        <w:rPr>
          <w:rFonts w:ascii="PMingLiU" w:cs="PMingLiU" w:eastAsia="PMingLiU" w:hAnsi="PMingLiU"/>
          <w:sz w:val="24"/>
          <w:szCs w:val="24"/>
          <w:color w:val="FFFFFF"/>
        </w:rPr>
        <w:t/>
      </w:r>
      <w:r>
        <w:rPr>
          <w:rFonts w:ascii="Arial" w:cs="Arial" w:eastAsia="Arial" w:hAnsi="Arial"/>
          <w:sz w:val="24"/>
          <w:szCs w:val="24"/>
          <w:color w:val="FFFFFF"/>
        </w:rPr>
        <w:t>_pc</w:t>
      </w:r>
      <w:r>
        <w:rPr>
          <w:rFonts w:ascii="PMingLiU" w:cs="PMingLiU" w:eastAsia="PMingLiU" w:hAnsi="PMingLiU"/>
          <w:sz w:val="24"/>
          <w:szCs w:val="24"/>
          <w:color w:val="FFFFFF"/>
        </w:rPr>
        <w:t/>
      </w:r>
      <w:r>
        <w:rPr>
          <w:rFonts w:ascii="Arial" w:cs="Arial" w:eastAsia="Arial" w:hAnsi="Arial"/>
          <w:sz w:val="24"/>
          <w:szCs w:val="24"/>
          <w:color w:val="FFFFFF"/>
        </w:rPr>
        <w:t>bcjgtcpgle</w:t>
      </w:r>
      <w:r>
        <w:rPr>
          <w:rFonts w:ascii="PMingLiU" w:cs="PMingLiU" w:eastAsia="PMingLiU" w:hAnsi="PMingLiU"/>
          <w:sz w:val="24"/>
          <w:szCs w:val="24"/>
          <w:color w:val="FFFFFF"/>
        </w:rPr>
        <w:t/>
      </w:r>
      <w:r>
        <w:rPr>
          <w:rFonts w:ascii="Arial" w:cs="Arial" w:eastAsia="Arial" w:hAnsi="Arial"/>
          <w:sz w:val="24"/>
          <w:szCs w:val="24"/>
          <w:color w:val="FFFFFF"/>
        </w:rPr>
        <w:t>qa_j_`jc</w:t>
      </w:r>
      <w:r>
        <w:rPr>
          <w:rFonts w:ascii="PMingLiU" w:cs="PMingLiU" w:eastAsia="PMingLiU" w:hAnsi="PMingLiU"/>
          <w:sz w:val="24"/>
          <w:szCs w:val="24"/>
          <w:color w:val="FFFFFF"/>
        </w:rPr>
        <w:t/>
      </w:r>
      <w:r>
        <w:rPr>
          <w:rFonts w:ascii="Arial" w:cs="Arial" w:eastAsia="Arial" w:hAnsi="Arial"/>
          <w:sz w:val="24"/>
          <w:szCs w:val="24"/>
          <w:color w:val="FFFFFF"/>
        </w:rPr>
        <w:t>gllmt_rgmlq</w:t>
      </w:r>
      <w:r>
        <w:rPr>
          <w:rFonts w:ascii="PMingLiU" w:cs="PMingLiU" w:eastAsia="PMingLiU" w:hAnsi="PMingLiU"/>
          <w:sz w:val="24"/>
          <w:szCs w:val="24"/>
          <w:color w:val="FFFFFF"/>
        </w:rPr>
        <w:t/>
      </w:r>
      <w:r>
        <w:rPr>
          <w:rFonts w:ascii="Arial" w:cs="Arial" w:eastAsia="Arial" w:hAnsi="Arial"/>
          <w:sz w:val="24"/>
          <w:szCs w:val="24"/>
          <w:color w:val="FFFFFF"/>
        </w:rPr>
        <w:t>rf_r</w:t>
      </w:r>
      <w:r>
        <w:rPr>
          <w:rFonts w:ascii="PMingLiU" w:cs="PMingLiU" w:eastAsia="PMingLiU" w:hAnsi="PMingLiU"/>
          <w:sz w:val="24"/>
          <w:szCs w:val="24"/>
          <w:color w:val="FFFFFF"/>
        </w:rPr>
        <w:t/>
      </w:r>
      <w:r>
        <w:rPr>
          <w:rFonts w:ascii="Arial" w:cs="Arial" w:eastAsia="Arial" w:hAnsi="Arial"/>
          <w:sz w:val="24"/>
          <w:szCs w:val="24"/>
          <w:color w:val="FFFFFF"/>
        </w:rPr>
        <w:t>k_vgkgxc</w:t>
      </w:r>
      <w:r>
        <w:rPr>
          <w:rFonts w:ascii="PMingLiU" w:cs="PMingLiU" w:eastAsia="PMingLiU" w:hAnsi="PMingLiU"/>
          <w:sz w:val="24"/>
          <w:szCs w:val="24"/>
          <w:color w:val="FFFFFF"/>
        </w:rPr>
        <w:t/>
      </w:r>
      <w:r>
        <w:rPr>
          <w:rFonts w:ascii="Arial" w:cs="Arial" w:eastAsia="Arial" w:hAnsi="Arial"/>
          <w:sz w:val="24"/>
          <w:szCs w:val="24"/>
          <w:color w:val="FFFFFF"/>
        </w:rPr>
        <w:t>epmurf</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npmfir</w:t>
      </w:r>
      <w:r>
        <w:rPr>
          <w:rFonts w:ascii="PMingLiU" w:cs="PMingLiU" w:eastAsia="PMingLiU" w:hAnsi="PMingLiU"/>
          <w:sz w:val="24"/>
          <w:szCs w:val="24"/>
          <w:color w:val="FFFFFF"/>
        </w:rPr>
        <w:t/>
      </w:r>
      <w:r>
        <w:rPr>
          <w:rFonts w:ascii="Arial" w:cs="Arial" w:eastAsia="Arial" w:hAnsi="Arial"/>
          <w:sz w:val="24"/>
          <w:szCs w:val="24"/>
          <w:color w:val="FFFFFF"/>
        </w:rPr>
        <w:t>nmrclrg_j</w:t>
      </w:r>
      <w:r>
        <w:rPr>
          <w:rFonts w:ascii="PMingLiU" w:cs="PMingLiU" w:eastAsia="PMingLiU" w:hAnsi="PMingLiU"/>
          <w:sz w:val="24"/>
          <w:szCs w:val="24"/>
          <w:color w:val="FFFFFF"/>
        </w:rPr>
        <w:t/>
      </w:r>
      <w:r>
        <w:rPr>
          <w:rFonts w:ascii="Arial" w:cs="Arial" w:eastAsia="Arial" w:hAnsi="Arial"/>
          <w:sz w:val="24"/>
          <w:szCs w:val="24"/>
          <w:color w:val="FFFFFF"/>
        </w:rPr>
        <w:t xml:space="preserve"> gl</w:t>
      </w:r>
      <w:r>
        <w:rPr>
          <w:rFonts w:ascii="PMingLiU" w:cs="PMingLiU" w:eastAsia="PMingLiU" w:hAnsi="PMingLiU"/>
          <w:sz w:val="24"/>
          <w:szCs w:val="24"/>
          <w:color w:val="FFFFFF"/>
        </w:rPr>
        <w:t/>
      </w:r>
      <w:r>
        <w:rPr>
          <w:rFonts w:ascii="Arial" w:cs="Arial" w:eastAsia="Arial" w:hAnsi="Arial"/>
          <w:sz w:val="24"/>
          <w:szCs w:val="24"/>
          <w:color w:val="FFFFFF"/>
        </w:rPr>
        <w:t>msp</w:t>
      </w:r>
      <w:r>
        <w:rPr>
          <w:rFonts w:ascii="PMingLiU" w:cs="PMingLiU" w:eastAsia="PMingLiU" w:hAnsi="PMingLiU"/>
          <w:sz w:val="24"/>
          <w:szCs w:val="24"/>
          <w:color w:val="FFFFFF"/>
        </w:rPr>
        <w:t/>
      </w:r>
      <w:r>
        <w:rPr>
          <w:rFonts w:ascii="Arial" w:cs="Arial" w:eastAsia="Arial" w:hAnsi="Arial"/>
          <w:sz w:val="24"/>
          <w:szCs w:val="24"/>
          <w:color w:val="FFFFFF"/>
        </w:rPr>
        <w:t>ampc</w:t>
      </w:r>
      <w:r>
        <w:rPr>
          <w:rFonts w:ascii="PMingLiU" w:cs="PMingLiU" w:eastAsia="PMingLiU" w:hAnsi="PMingLiU"/>
          <w:sz w:val="24"/>
          <w:szCs w:val="24"/>
          <w:color w:val="FFFFFF"/>
        </w:rPr>
        <w:t/>
      </w:r>
      <w:r>
        <w:rPr>
          <w:rFonts w:ascii="Arial" w:cs="Arial" w:eastAsia="Arial" w:hAnsi="Arial"/>
          <w:sz w:val="24"/>
          <w:szCs w:val="24"/>
          <w:color w:val="FFFFFF"/>
        </w:rPr>
        <w:t>`sqglcqq</w:t>
      </w:r>
      <w:r>
        <w:rPr>
          <w:rFonts w:ascii="PMingLiU" w:cs="PMingLiU" w:eastAsia="PMingLiU" w:hAnsi="PMingLiU"/>
          <w:sz w:val="24"/>
          <w:szCs w:val="24"/>
          <w:color w:val="FFFFFF"/>
        </w:rPr>
        <w:t/>
      </w:r>
      <w:r>
        <w:rPr>
          <w:rFonts w:ascii="Arial" w:cs="Arial" w:eastAsia="Arial" w:hAnsi="Arial"/>
          <w:sz w:val="24"/>
          <w:szCs w:val="24"/>
          <w:color w:val="FFFFFF"/>
        </w:rPr>
        <w:t>ufgjc</w:t>
      </w:r>
      <w:r>
        <w:rPr>
          <w:rFonts w:ascii="PMingLiU" w:cs="PMingLiU" w:eastAsia="PMingLiU" w:hAnsi="PMingLiU"/>
          <w:sz w:val="24"/>
          <w:szCs w:val="24"/>
          <w:color w:val="FFFFFF"/>
        </w:rPr>
        <w:t/>
      </w:r>
      <w:r>
        <w:rPr>
          <w:rFonts w:ascii="Arial" w:cs="Arial" w:eastAsia="Arial" w:hAnsi="Arial"/>
          <w:sz w:val="24"/>
          <w:szCs w:val="24"/>
          <w:color w:val="FFFFFF"/>
        </w:rPr>
        <w:t>apc_rgle</w:t>
      </w:r>
      <w:r>
        <w:rPr>
          <w:rFonts w:ascii="PMingLiU" w:cs="PMingLiU" w:eastAsia="PMingLiU" w:hAnsi="PMingLiU"/>
          <w:sz w:val="24"/>
          <w:szCs w:val="24"/>
          <w:color w:val="FFFFFF"/>
        </w:rPr>
        <w:t/>
      </w:r>
      <w:r>
        <w:rPr>
          <w:rFonts w:ascii="Arial" w:cs="Arial" w:eastAsia="Arial" w:hAnsi="Arial"/>
          <w:sz w:val="24"/>
          <w:szCs w:val="24"/>
          <w:color w:val="FFFFFF"/>
        </w:rPr>
        <w:t>snqgbc</w:t>
      </w:r>
      <w:r>
        <w:rPr>
          <w:rFonts w:ascii="PMingLiU" w:cs="PMingLiU" w:eastAsia="PMingLiU" w:hAnsi="PMingLiU"/>
          <w:sz w:val="24"/>
          <w:szCs w:val="24"/>
          <w:color w:val="FFFFFF"/>
        </w:rPr>
        <w:t/>
      </w:r>
      <w:r>
        <w:rPr>
          <w:rFonts w:ascii="Arial" w:cs="Arial" w:eastAsia="Arial" w:hAnsi="Arial"/>
          <w:sz w:val="24"/>
          <w:szCs w:val="24"/>
          <w:color w:val="FFFFFF"/>
        </w:rPr>
        <w:t>mnrgml_jgrw</w:t>
      </w:r>
      <w:r>
        <w:rPr>
          <w:rFonts w:ascii="PMingLiU" w:cs="PMingLiU" w:eastAsia="PMingLiU" w:hAnsi="PMingLiU"/>
          <w:sz w:val="24"/>
          <w:szCs w:val="24"/>
          <w:color w:val="FFFFFF"/>
        </w:rPr>
        <w:t/>
      </w:r>
      <w:r>
        <w:rPr>
          <w:rFonts w:ascii="Arial" w:cs="Arial" w:eastAsia="Arial" w:hAnsi="Arial"/>
          <w:sz w:val="24"/>
          <w:szCs w:val="24"/>
          <w:color w:val="FFFFFF"/>
        </w:rPr>
        <w:t>mtcp</w:t>
      </w:r>
      <w:r>
        <w:rPr>
          <w:rFonts w:ascii="PMingLiU" w:cs="PMingLiU" w:eastAsia="PMingLiU" w:hAnsi="PMingLiU"/>
          <w:sz w:val="24"/>
          <w:szCs w:val="24"/>
          <w:color w:val="FFFFFF"/>
        </w:rPr>
        <w:t/>
      </w:r>
      <w:r>
        <w:rPr>
          <w:rFonts w:ascii="Arial" w:cs="Arial" w:eastAsia="Arial" w:hAnsi="Arial"/>
          <w:sz w:val="24"/>
          <w:szCs w:val="24"/>
          <w:color w:val="FFFFFF"/>
        </w:rPr>
        <w:t>rgkc</w:t>
      </w:r>
      <w:r>
        <w:rPr>
          <w:rFonts w:ascii="PMingLiU" w:cs="PMingLiU" w:eastAsia="PMingLiU" w:hAnsi="PMingLiU"/>
          <w:sz w:val="24"/>
          <w:szCs w:val="24"/>
          <w:color w:val="FFFFFF"/>
        </w:rPr>
        <w:t/>
      </w:r>
    </w:p>
    <w:p>
      <w:pPr>
        <w:spacing w:after="0" w:line="155" w:lineRule="exact"/>
        <w:rPr>
          <w:sz w:val="20"/>
          <w:szCs w:val="20"/>
          <w:color w:val="auto"/>
        </w:rPr>
      </w:pPr>
    </w:p>
    <w:p>
      <w:pPr>
        <w:spacing w:after="0" w:line="312" w:lineRule="exact"/>
        <w:rPr>
          <w:sz w:val="20"/>
          <w:szCs w:val="20"/>
          <w:color w:val="auto"/>
        </w:rPr>
      </w:pPr>
      <w:r>
        <w:rPr>
          <w:rFonts w:ascii="Arial" w:cs="Arial" w:eastAsia="Arial" w:hAnsi="Arial"/>
          <w:sz w:val="24"/>
          <w:szCs w:val="24"/>
          <w:color w:val="FFFFFF"/>
        </w:rPr>
        <w:t>Ssp</w:t>
      </w:r>
      <w:r>
        <w:rPr>
          <w:rFonts w:ascii="PMingLiU" w:cs="PMingLiU" w:eastAsia="PMingLiU" w:hAnsi="PMingLiU"/>
          <w:sz w:val="24"/>
          <w:szCs w:val="24"/>
          <w:color w:val="FFFFFF"/>
        </w:rPr>
        <w:t/>
      </w:r>
      <w:r>
        <w:rPr>
          <w:rFonts w:ascii="Arial" w:cs="Arial" w:eastAsia="Arial" w:hAnsi="Arial"/>
          <w:sz w:val="24"/>
          <w:szCs w:val="24"/>
          <w:color w:val="FFFFFF"/>
        </w:rPr>
        <w:t>qmjsrgmlq</w:t>
      </w:r>
      <w:r>
        <w:rPr>
          <w:rFonts w:ascii="PMingLiU" w:cs="PMingLiU" w:eastAsia="PMingLiU" w:hAnsi="PMingLiU"/>
          <w:sz w:val="24"/>
          <w:szCs w:val="24"/>
          <w:color w:val="FFFFFF"/>
        </w:rPr>
        <w:t/>
      </w:r>
      <w:r>
        <w:rPr>
          <w:rFonts w:ascii="Arial" w:cs="Arial" w:eastAsia="Arial" w:hAnsi="Arial"/>
          <w:sz w:val="24"/>
          <w:szCs w:val="24"/>
          <w:color w:val="FFFFFF"/>
        </w:rPr>
        <w:t>cl_`jc</w:t>
      </w:r>
      <w:r>
        <w:rPr>
          <w:rFonts w:ascii="PMingLiU" w:cs="PMingLiU" w:eastAsia="PMingLiU" w:hAnsi="PMingLiU"/>
          <w:sz w:val="24"/>
          <w:szCs w:val="24"/>
          <w:color w:val="FFFFFF"/>
        </w:rPr>
        <w:t/>
      </w:r>
      <w:r>
        <w:rPr>
          <w:rFonts w:ascii="Arial" w:cs="Arial" w:eastAsia="Arial" w:hAnsi="Arial"/>
          <w:sz w:val="24"/>
          <w:szCs w:val="24"/>
          <w:color w:val="FFFFFF"/>
        </w:rPr>
        <w:t>gllmt_rgtc</w:t>
      </w:r>
      <w:r>
        <w:rPr>
          <w:rFonts w:ascii="PMingLiU" w:cs="PMingLiU" w:eastAsia="PMingLiU" w:hAnsi="PMingLiU"/>
          <w:sz w:val="24"/>
          <w:szCs w:val="24"/>
          <w:color w:val="FFFFFF"/>
        </w:rPr>
        <w:t/>
      </w:r>
      <w:r>
        <w:rPr>
          <w:rFonts w:ascii="Arial" w:cs="Arial" w:eastAsia="Arial" w:hAnsi="Arial"/>
          <w:sz w:val="24"/>
          <w:szCs w:val="24"/>
          <w:color w:val="FFFFFF"/>
        </w:rPr>
        <w:t>_afgctckclrq</w:t>
      </w:r>
      <w:r>
        <w:rPr>
          <w:rFonts w:ascii="PMingLiU" w:cs="PMingLiU" w:eastAsia="PMingLiU" w:hAnsi="PMingLiU"/>
          <w:sz w:val="24"/>
          <w:szCs w:val="24"/>
          <w:color w:val="FFFFFF"/>
        </w:rPr>
        <w:t/>
      </w:r>
      <w:r>
        <w:rPr>
          <w:rFonts w:ascii="Arial" w:cs="Arial" w:eastAsia="Arial" w:hAnsi="Arial"/>
          <w:sz w:val="24"/>
          <w:szCs w:val="24"/>
          <w:color w:val="FFFFFF"/>
        </w:rPr>
        <w:t>mffcpgle</w:t>
      </w:r>
      <w:r>
        <w:rPr>
          <w:rFonts w:ascii="PMingLiU" w:cs="PMingLiU" w:eastAsia="PMingLiU" w:hAnsi="PMingLiU"/>
          <w:sz w:val="24"/>
          <w:szCs w:val="24"/>
          <w:color w:val="FFFFFF"/>
        </w:rPr>
        <w:t/>
      </w:r>
      <w:r>
        <w:rPr>
          <w:rFonts w:ascii="Arial" w:cs="Arial" w:eastAsia="Arial" w:hAnsi="Arial"/>
          <w:sz w:val="24"/>
          <w:szCs w:val="24"/>
          <w:color w:val="FFFFFF"/>
        </w:rPr>
        <w:t>afmgac</w:t>
      </w:r>
      <w:r>
        <w:rPr>
          <w:rFonts w:ascii="PMingLiU" w:cs="PMingLiU" w:eastAsia="PMingLiU" w:hAnsi="PMingLiU"/>
          <w:sz w:val="24"/>
          <w:szCs w:val="24"/>
          <w:color w:val="FFFFFF"/>
        </w:rPr>
        <w:t/>
      </w:r>
      <w:r>
        <w:rPr>
          <w:rFonts w:ascii="Arial" w:cs="Arial" w:eastAsia="Arial" w:hAnsi="Arial"/>
          <w:sz w:val="24"/>
          <w:szCs w:val="24"/>
          <w:color w:val="FFFFFF"/>
        </w:rPr>
        <w:t>rm</w:t>
      </w:r>
      <w:r>
        <w:rPr>
          <w:rFonts w:ascii="PMingLiU" w:cs="PMingLiU" w:eastAsia="PMingLiU" w:hAnsi="PMingLiU"/>
          <w:sz w:val="24"/>
          <w:szCs w:val="24"/>
          <w:color w:val="FFFFFF"/>
        </w:rPr>
        <w:t/>
      </w:r>
      <w:r>
        <w:rPr>
          <w:rFonts w:ascii="Arial" w:cs="Arial" w:eastAsia="Arial" w:hAnsi="Arial"/>
          <w:sz w:val="24"/>
          <w:szCs w:val="24"/>
          <w:color w:val="FFFFFF"/>
        </w:rPr>
        <w:t>asqrmkcpq</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amlqskcpq</w:t>
      </w:r>
      <w:r>
        <w:rPr>
          <w:rFonts w:ascii="PMingLiU" w:cs="PMingLiU" w:eastAsia="PMingLiU" w:hAnsi="PMingLiU"/>
          <w:sz w:val="24"/>
          <w:szCs w:val="24"/>
          <w:color w:val="FFFFFF"/>
        </w:rPr>
        <w:t/>
      </w:r>
      <w:r>
        <w:rPr>
          <w:rFonts w:ascii="Arial" w:cs="Arial" w:eastAsia="Arial" w:hAnsi="Arial"/>
          <w:sz w:val="24"/>
          <w:szCs w:val="24"/>
          <w:color w:val="FFFFFF"/>
        </w:rPr>
        <w:t xml:space="preserve"> Xfcqc</w:t>
      </w:r>
      <w:r>
        <w:rPr>
          <w:rFonts w:ascii="PMingLiU" w:cs="PMingLiU" w:eastAsia="PMingLiU" w:hAnsi="PMingLiU"/>
          <w:sz w:val="24"/>
          <w:szCs w:val="24"/>
          <w:color w:val="FFFFFF"/>
        </w:rPr>
        <w:t/>
      </w:r>
      <w:r>
        <w:rPr>
          <w:rFonts w:ascii="Arial" w:cs="Arial" w:eastAsia="Arial" w:hAnsi="Arial"/>
          <w:sz w:val="24"/>
          <w:szCs w:val="24"/>
          <w:color w:val="FFFFFF"/>
        </w:rPr>
        <w:t>lcu</w:t>
      </w:r>
      <w:r>
        <w:rPr>
          <w:rFonts w:ascii="PMingLiU" w:cs="PMingLiU" w:eastAsia="PMingLiU" w:hAnsi="PMingLiU"/>
          <w:sz w:val="24"/>
          <w:szCs w:val="24"/>
          <w:color w:val="FFFFFF"/>
        </w:rPr>
        <w:t/>
      </w:r>
      <w:r>
        <w:rPr>
          <w:rFonts w:ascii="Arial" w:cs="Arial" w:eastAsia="Arial" w:hAnsi="Arial"/>
          <w:sz w:val="24"/>
          <w:szCs w:val="24"/>
          <w:color w:val="FFFFFF"/>
        </w:rPr>
        <w:t>rcaflmjmew</w:t>
      </w:r>
      <w:r>
        <w:rPr>
          <w:rFonts w:ascii="PMingLiU" w:cs="PMingLiU" w:eastAsia="PMingLiU" w:hAnsi="PMingLiU"/>
          <w:sz w:val="24"/>
          <w:szCs w:val="24"/>
          <w:color w:val="FFFFFF"/>
        </w:rPr>
        <w:t/>
      </w:r>
      <w:r>
        <w:rPr>
          <w:rFonts w:ascii="Arial" w:cs="Arial" w:eastAsia="Arial" w:hAnsi="Arial"/>
          <w:sz w:val="24"/>
          <w:szCs w:val="24"/>
          <w:color w:val="FFFFFF"/>
        </w:rPr>
        <w:t>nj_rdmpkq</w:t>
      </w:r>
      <w:r>
        <w:rPr>
          <w:rFonts w:ascii="PMingLiU" w:cs="PMingLiU" w:eastAsia="PMingLiU" w:hAnsi="PMingLiU"/>
          <w:sz w:val="24"/>
          <w:szCs w:val="24"/>
          <w:color w:val="FFFFFF"/>
        </w:rPr>
        <w:t/>
      </w:r>
      <w:r>
        <w:rPr>
          <w:rFonts w:ascii="Arial" w:cs="Arial" w:eastAsia="Arial" w:hAnsi="Arial"/>
          <w:sz w:val="24"/>
          <w:szCs w:val="24"/>
          <w:color w:val="FFFFFF"/>
        </w:rPr>
        <w:t>cl_`jc</w:t>
      </w:r>
      <w:r>
        <w:rPr>
          <w:rFonts w:ascii="PMingLiU" w:cs="PMingLiU" w:eastAsia="PMingLiU" w:hAnsi="PMingLiU"/>
          <w:sz w:val="24"/>
          <w:szCs w:val="24"/>
          <w:color w:val="FFFFFF"/>
        </w:rPr>
        <w:t/>
      </w:r>
      <w:r>
        <w:rPr>
          <w:rFonts w:ascii="Arial" w:cs="Arial" w:eastAsia="Arial" w:hAnsi="Arial"/>
          <w:sz w:val="24"/>
          <w:szCs w:val="24"/>
          <w:color w:val="FFFFFF"/>
        </w:rPr>
        <w:t>asqrmkcpq</w:t>
      </w:r>
      <w:r>
        <w:rPr>
          <w:rFonts w:ascii="PMingLiU" w:cs="PMingLiU" w:eastAsia="PMingLiU" w:hAnsi="PMingLiU"/>
          <w:sz w:val="24"/>
          <w:szCs w:val="24"/>
          <w:color w:val="FFFFFF"/>
        </w:rPr>
        <w:t/>
      </w:r>
      <w:r>
        <w:rPr>
          <w:rFonts w:ascii="Arial" w:cs="Arial" w:eastAsia="Arial" w:hAnsi="Arial"/>
          <w:sz w:val="24"/>
          <w:szCs w:val="24"/>
          <w:color w:val="FFFFFF"/>
        </w:rPr>
        <w:t>rm</w:t>
      </w:r>
      <w:r>
        <w:rPr>
          <w:rFonts w:ascii="PMingLiU" w:cs="PMingLiU" w:eastAsia="PMingLiU" w:hAnsi="PMingLiU"/>
          <w:sz w:val="24"/>
          <w:szCs w:val="24"/>
          <w:color w:val="FFFFFF"/>
        </w:rPr>
        <w:t/>
      </w:r>
      <w:r>
        <w:rPr>
          <w:rFonts w:ascii="Arial" w:cs="Arial" w:eastAsia="Arial" w:hAnsi="Arial"/>
          <w:sz w:val="24"/>
          <w:szCs w:val="24"/>
          <w:color w:val="FFFFFF"/>
        </w:rPr>
        <w:t>pcqf_nc</w:t>
      </w:r>
      <w:r>
        <w:rPr>
          <w:rFonts w:ascii="PMingLiU" w:cs="PMingLiU" w:eastAsia="PMingLiU" w:hAnsi="PMingLiU"/>
          <w:sz w:val="24"/>
          <w:szCs w:val="24"/>
          <w:color w:val="FFFFFF"/>
        </w:rPr>
        <w:t/>
      </w:r>
      <w:r>
        <w:rPr>
          <w:rFonts w:ascii="Arial" w:cs="Arial" w:eastAsia="Arial" w:hAnsi="Arial"/>
          <w:sz w:val="24"/>
          <w:szCs w:val="24"/>
          <w:color w:val="FFFFFF"/>
        </w:rPr>
        <w:t>ejm`_j</w:t>
      </w:r>
      <w:r>
        <w:rPr>
          <w:rFonts w:ascii="PMingLiU" w:cs="PMingLiU" w:eastAsia="PMingLiU" w:hAnsi="PMingLiU"/>
          <w:sz w:val="24"/>
          <w:szCs w:val="24"/>
          <w:color w:val="FFFFFF"/>
        </w:rPr>
        <w:t/>
      </w:r>
      <w:r>
        <w:rPr>
          <w:rFonts w:ascii="Arial" w:cs="Arial" w:eastAsia="Arial" w:hAnsi="Arial"/>
          <w:sz w:val="24"/>
          <w:szCs w:val="24"/>
          <w:color w:val="FFFFFF"/>
        </w:rPr>
        <w:t>kce_rpclbq</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pcqnmlb</w:t>
      </w:r>
      <w:r>
        <w:rPr>
          <w:rFonts w:ascii="PMingLiU" w:cs="PMingLiU" w:eastAsia="PMingLiU" w:hAnsi="PMingLiU"/>
          <w:sz w:val="24"/>
          <w:szCs w:val="24"/>
          <w:color w:val="FFFFFF"/>
        </w:rPr>
        <w:t/>
      </w:r>
      <w:r>
        <w:rPr>
          <w:rFonts w:ascii="Arial" w:cs="Arial" w:eastAsia="Arial" w:hAnsi="Arial"/>
          <w:sz w:val="24"/>
          <w:szCs w:val="24"/>
          <w:color w:val="FFFFFF"/>
        </w:rPr>
        <w:t xml:space="preserve"> rm</w:t>
      </w:r>
      <w:r>
        <w:rPr>
          <w:rFonts w:ascii="PMingLiU" w:cs="PMingLiU" w:eastAsia="PMingLiU" w:hAnsi="PMingLiU"/>
          <w:sz w:val="24"/>
          <w:szCs w:val="24"/>
          <w:color w:val="FFFFFF"/>
        </w:rPr>
        <w:t/>
      </w:r>
      <w:r>
        <w:rPr>
          <w:rFonts w:ascii="Arial" w:cs="Arial" w:eastAsia="Arial" w:hAnsi="Arial"/>
          <w:sz w:val="24"/>
          <w:szCs w:val="24"/>
          <w:color w:val="FFFFFF"/>
        </w:rPr>
        <w:t>t_pgmsq</w:t>
      </w:r>
      <w:r>
        <w:rPr>
          <w:rFonts w:ascii="PMingLiU" w:cs="PMingLiU" w:eastAsia="PMingLiU" w:hAnsi="PMingLiU"/>
          <w:sz w:val="24"/>
          <w:szCs w:val="24"/>
          <w:color w:val="FFFFFF"/>
        </w:rPr>
        <w:t/>
      </w:r>
      <w:r>
        <w:rPr>
          <w:rFonts w:ascii="Arial" w:cs="Arial" w:eastAsia="Arial" w:hAnsi="Arial"/>
          <w:sz w:val="24"/>
          <w:szCs w:val="24"/>
          <w:color w:val="FFFFFF"/>
        </w:rPr>
        <w:t>pcesj_rmpw</w:t>
      </w:r>
      <w:r>
        <w:rPr>
          <w:rFonts w:ascii="PMingLiU" w:cs="PMingLiU" w:eastAsia="PMingLiU" w:hAnsi="PMingLiU"/>
          <w:sz w:val="24"/>
          <w:szCs w:val="24"/>
          <w:color w:val="FFFFFF"/>
        </w:rPr>
        <w:t/>
      </w:r>
      <w:r>
        <w:rPr>
          <w:rFonts w:ascii="Arial" w:cs="Arial" w:eastAsia="Arial" w:hAnsi="Arial"/>
          <w:sz w:val="24"/>
          <w:szCs w:val="24"/>
          <w:color w:val="FFFFFF"/>
        </w:rPr>
        <w:t>j_lbqa_ncq</w:t>
      </w:r>
      <w:r>
        <w:rPr>
          <w:rFonts w:ascii="PMingLiU" w:cs="PMingLiU" w:eastAsia="PMingLiU" w:hAnsi="PMingLiU"/>
          <w:sz w:val="24"/>
          <w:szCs w:val="24"/>
          <w:color w:val="FFFFFF"/>
        </w:rPr>
        <w:t/>
      </w:r>
    </w:p>
    <w:p>
      <w:pPr>
        <w:sectPr>
          <w:pgSz w:w="12240" w:h="15840" w:orient="portrait"/>
          <w:cols w:equalWidth="0" w:num="1">
            <w:col w:w="10020"/>
          </w:cols>
          <w:pgMar w:left="1120" w:top="14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40"/>
        <w:spacing w:after="0" w:line="339" w:lineRule="exact"/>
        <w:rPr>
          <w:sz w:val="20"/>
          <w:szCs w:val="20"/>
          <w:color w:val="auto"/>
        </w:rPr>
      </w:pPr>
      <w:r>
        <w:rPr>
          <w:rFonts w:ascii="PMingLiU" w:cs="PMingLiU" w:eastAsia="PMingLiU" w:hAnsi="PMingLiU"/>
          <w:sz w:val="19"/>
          <w:szCs w:val="19"/>
          <w:b w:val="1"/>
          <w:bCs w:val="1"/>
          <w:color w:val="FFFFFF"/>
        </w:rPr>
        <w:t/>
      </w:r>
      <w:r>
        <w:rPr>
          <w:sz w:val="1"/>
          <w:szCs w:val="1"/>
          <w:color w:val="auto"/>
        </w:rPr>
        <w:drawing>
          <wp:inline distT="0" distB="0" distL="0" distR="0">
            <wp:extent cx="93345" cy="19113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9">
                      <a:extLst>
                        <a:ext uri="{28A0092B-C50C-407E-A947-70E740481C1C}"/>
                      </a:extLst>
                    </a:blip>
                    <a:srcRect/>
                    <a:stretch>
                      <a:fillRect/>
                    </a:stretch>
                  </pic:blipFill>
                  <pic:spPr bwMode="auto">
                    <a:xfrm>
                      <a:off x="0" y="0"/>
                      <a:ext cx="93345" cy="191135"/>
                    </a:xfrm>
                    <a:prstGeom prst="rect">
                      <a:avLst/>
                    </a:prstGeom>
                    <a:noFill/>
                    <a:ln>
                      <a:noFill/>
                    </a:ln>
                  </pic:spPr>
                </pic:pic>
              </a:graphicData>
            </a:graphic>
          </wp:inline>
        </w:drawing>
      </w:r>
      <w:r>
        <w:rPr>
          <w:rFonts w:ascii="PMingLiU" w:cs="PMingLiU" w:eastAsia="PMingLiU" w:hAnsi="PMingLiU"/>
          <w:sz w:val="19"/>
          <w:szCs w:val="19"/>
          <w:b w:val="1"/>
          <w:bCs w:val="1"/>
          <w:color w:val="FFFFFF"/>
        </w:rPr>
        <w:t xml:space="preserve"> </w:t>
      </w:r>
    </w:p>
    <w:p>
      <w:pPr>
        <w:sectPr>
          <w:pgSz w:w="12240" w:h="15840" w:orient="portrait"/>
          <w:cols w:equalWidth="0" w:num="1">
            <w:col w:w="10020"/>
          </w:cols>
          <w:pgMar w:left="1120" w:top="1440" w:right="1100" w:bottom="0" w:gutter="0" w:footer="0" w:header="0"/>
          <w:type w:val="continuous"/>
        </w:sectPr>
      </w:pPr>
    </w:p>
    <w:bookmarkStart w:id="6" w:name="page7"/>
    <w:bookmarkEnd w:id="6"/>
    <w:p>
      <w:pPr>
        <w:spacing w:after="0" w:line="151"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706755</wp:posOffset>
                </wp:positionH>
                <wp:positionV relativeFrom="page">
                  <wp:posOffset>932815</wp:posOffset>
                </wp:positionV>
                <wp:extent cx="6358890" cy="63754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8890" cy="637540"/>
                        </a:xfrm>
                        <a:prstGeom prst="rect">
                          <a:avLst/>
                        </a:prstGeom>
                        <a:solidFill>
                          <a:srgbClr val="BFE119"/>
                        </a:solidFill>
                      </wps:spPr>
                      <wps:bodyPr/>
                    </wps:wsp>
                  </a:graphicData>
                </a:graphic>
              </wp:anchor>
            </w:drawing>
          </mc:Choice>
          <mc:Fallback>
            <w:pict>
              <v:rect id="Shape 93" o:spid="_x0000_s1118" style="position:absolute;margin-left:55.65pt;margin-top:73.45pt;width:500.7pt;height:50.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E119" stroked="f">
                <w10:wrap anchorx="page" anchory="page"/>
              </v:rect>
            </w:pict>
          </mc:Fallback>
        </mc:AlternateContent>
      </w:r>
    </w:p>
    <w:p>
      <w:pPr>
        <w:ind w:left="2420" w:right="800" w:hanging="1432"/>
        <w:spacing w:after="0" w:line="387" w:lineRule="exact"/>
        <w:rPr>
          <w:sz w:val="20"/>
          <w:szCs w:val="20"/>
          <w:color w:val="auto"/>
        </w:rPr>
      </w:pPr>
      <w:r>
        <w:rPr>
          <w:rFonts w:ascii="Arial" w:cs="Arial" w:eastAsia="Arial" w:hAnsi="Arial"/>
          <w:sz w:val="32"/>
          <w:szCs w:val="32"/>
          <w:color w:val="634140"/>
        </w:rPr>
        <w:t>qglac</w:t>
      </w:r>
      <w:r>
        <w:rPr>
          <w:rFonts w:ascii="PMingLiU" w:cs="PMingLiU" w:eastAsia="PMingLiU" w:hAnsi="PMingLiU"/>
          <w:sz w:val="32"/>
          <w:szCs w:val="32"/>
          <w:color w:val="634140"/>
        </w:rPr>
        <w:t/>
      </w:r>
      <w:r>
        <w:rPr>
          <w:rFonts w:ascii="Arial" w:cs="Arial" w:eastAsia="Arial" w:hAnsi="Arial"/>
          <w:sz w:val="32"/>
          <w:szCs w:val="32"/>
          <w:color w:val="634140"/>
        </w:rPr>
        <w:t>˧˥˧˨</w:t>
      </w:r>
      <w:r>
        <w:rPr>
          <w:rFonts w:ascii="PMingLiU" w:cs="PMingLiU" w:eastAsia="PMingLiU" w:hAnsi="PMingLiU"/>
          <w:sz w:val="32"/>
          <w:szCs w:val="32"/>
          <w:color w:val="634140"/>
        </w:rPr>
        <w:t/>
      </w:r>
      <w:r>
        <w:rPr>
          <w:rFonts w:ascii="Arial" w:cs="Arial" w:eastAsia="Arial" w:hAnsi="Arial"/>
          <w:sz w:val="32"/>
          <w:szCs w:val="32"/>
          <w:color w:val="634140"/>
        </w:rPr>
        <w:t>˩˧</w:t>
      </w:r>
      <w:r>
        <w:rPr>
          <w:rFonts w:ascii="PMingLiU" w:cs="PMingLiU" w:eastAsia="PMingLiU" w:hAnsi="PMingLiU"/>
          <w:sz w:val="32"/>
          <w:szCs w:val="32"/>
          <w:color w:val="634140"/>
        </w:rPr>
        <w:t/>
      </w:r>
      <w:r>
        <w:rPr>
          <w:rFonts w:ascii="Arial" w:cs="Arial" w:eastAsia="Arial" w:hAnsi="Arial"/>
          <w:sz w:val="32"/>
          <w:szCs w:val="32"/>
          <w:color w:val="634140"/>
        </w:rPr>
        <w:t>n_rclrq</w:t>
      </w:r>
      <w:r>
        <w:rPr>
          <w:rFonts w:ascii="PMingLiU" w:cs="PMingLiU" w:eastAsia="PMingLiU" w:hAnsi="PMingLiU"/>
          <w:sz w:val="32"/>
          <w:szCs w:val="32"/>
          <w:color w:val="634140"/>
        </w:rPr>
        <w:t/>
      </w:r>
      <w:r>
        <w:rPr>
          <w:rFonts w:ascii="Arial" w:cs="Arial" w:eastAsia="Arial" w:hAnsi="Arial"/>
          <w:sz w:val="32"/>
          <w:szCs w:val="32"/>
          <w:color w:val="634140"/>
        </w:rPr>
        <w:t>_lb</w:t>
      </w:r>
      <w:r>
        <w:rPr>
          <w:rFonts w:ascii="PMingLiU" w:cs="PMingLiU" w:eastAsia="PMingLiU" w:hAnsi="PMingLiU"/>
          <w:sz w:val="32"/>
          <w:szCs w:val="32"/>
          <w:color w:val="634140"/>
        </w:rPr>
        <w:t/>
      </w:r>
      <w:r>
        <w:rPr>
          <w:rFonts w:ascii="Arial" w:cs="Arial" w:eastAsia="Arial" w:hAnsi="Arial"/>
          <w:sz w:val="32"/>
          <w:szCs w:val="32"/>
          <w:color w:val="634140"/>
        </w:rPr>
        <w:t>˦˫</w:t>
      </w:r>
      <w:r>
        <w:rPr>
          <w:rFonts w:ascii="PMingLiU" w:cs="PMingLiU" w:eastAsia="PMingLiU" w:hAnsi="PMingLiU"/>
          <w:sz w:val="32"/>
          <w:szCs w:val="32"/>
          <w:color w:val="634140"/>
        </w:rPr>
        <w:t/>
      </w:r>
      <w:r>
        <w:rPr>
          <w:rFonts w:ascii="Arial" w:cs="Arial" w:eastAsia="Arial" w:hAnsi="Arial"/>
          <w:sz w:val="32"/>
          <w:szCs w:val="32"/>
          <w:color w:val="634140"/>
        </w:rPr>
        <w:t>npmbsarq</w:t>
      </w:r>
      <w:r>
        <w:rPr>
          <w:rFonts w:ascii="PMingLiU" w:cs="PMingLiU" w:eastAsia="PMingLiU" w:hAnsi="PMingLiU"/>
          <w:sz w:val="32"/>
          <w:szCs w:val="32"/>
          <w:color w:val="634140"/>
        </w:rPr>
        <w:t/>
      </w:r>
      <w:r>
        <w:rPr>
          <w:rFonts w:ascii="Arial" w:cs="Arial" w:eastAsia="Arial" w:hAnsi="Arial"/>
          <w:sz w:val="32"/>
          <w:szCs w:val="32"/>
          <w:color w:val="634140"/>
        </w:rPr>
        <w:t>ucpc</w:t>
      </w:r>
      <w:r>
        <w:rPr>
          <w:rFonts w:ascii="PMingLiU" w:cs="PMingLiU" w:eastAsia="PMingLiU" w:hAnsi="PMingLiU"/>
          <w:sz w:val="32"/>
          <w:szCs w:val="32"/>
          <w:color w:val="634140"/>
        </w:rPr>
        <w:t/>
      </w:r>
      <w:r>
        <w:rPr>
          <w:rFonts w:ascii="Arial" w:cs="Arial" w:eastAsia="Arial" w:hAnsi="Arial"/>
          <w:sz w:val="32"/>
          <w:szCs w:val="32"/>
          <w:color w:val="634140"/>
        </w:rPr>
        <w:t>j_slafcb</w:t>
      </w:r>
      <w:r>
        <w:rPr>
          <w:rFonts w:ascii="PMingLiU" w:cs="PMingLiU" w:eastAsia="PMingLiU" w:hAnsi="PMingLiU"/>
          <w:sz w:val="32"/>
          <w:szCs w:val="32"/>
          <w:color w:val="634140"/>
        </w:rPr>
        <w:t/>
      </w:r>
      <w:r>
        <w:rPr>
          <w:rFonts w:ascii="Arial" w:cs="Arial" w:eastAsia="Arial" w:hAnsi="Arial"/>
          <w:sz w:val="32"/>
          <w:szCs w:val="32"/>
          <w:color w:val="634140"/>
        </w:rPr>
        <w:t xml:space="preserve"> dpmk</w:t>
      </w:r>
      <w:r>
        <w:rPr>
          <w:rFonts w:ascii="PMingLiU" w:cs="PMingLiU" w:eastAsia="PMingLiU" w:hAnsi="PMingLiU"/>
          <w:sz w:val="32"/>
          <w:szCs w:val="32"/>
          <w:color w:val="634140"/>
        </w:rPr>
        <w:t/>
      </w:r>
      <w:r>
        <w:rPr>
          <w:rFonts w:ascii="Arial" w:cs="Arial" w:eastAsia="Arial" w:hAnsi="Arial"/>
          <w:sz w:val="32"/>
          <w:szCs w:val="32"/>
          <w:color w:val="634140"/>
        </w:rPr>
        <w:t>rfc</w:t>
      </w:r>
      <w:r>
        <w:rPr>
          <w:rFonts w:ascii="PMingLiU" w:cs="PMingLiU" w:eastAsia="PMingLiU" w:hAnsi="PMingLiU"/>
          <w:sz w:val="32"/>
          <w:szCs w:val="32"/>
          <w:color w:val="634140"/>
        </w:rPr>
        <w:t/>
      </w:r>
      <w:r>
        <w:rPr>
          <w:rFonts w:ascii="Arial" w:cs="Arial" w:eastAsia="Arial" w:hAnsi="Arial"/>
          <w:sz w:val="32"/>
          <w:szCs w:val="32"/>
          <w:color w:val="634140"/>
        </w:rPr>
        <w:t>lcu</w:t>
      </w:r>
      <w:r>
        <w:rPr>
          <w:rFonts w:ascii="PMingLiU" w:cs="PMingLiU" w:eastAsia="PMingLiU" w:hAnsi="PMingLiU"/>
          <w:sz w:val="32"/>
          <w:szCs w:val="32"/>
          <w:color w:val="634140"/>
        </w:rPr>
        <w:t/>
      </w:r>
      <w:r>
        <w:rPr>
          <w:rFonts w:ascii="Arial" w:cs="Arial" w:eastAsia="Arial" w:hAnsi="Arial"/>
          <w:sz w:val="32"/>
          <w:szCs w:val="32"/>
          <w:color w:val="634140"/>
        </w:rPr>
        <w:t>rcaflmjmew</w:t>
      </w:r>
      <w:r>
        <w:rPr>
          <w:rFonts w:ascii="PMingLiU" w:cs="PMingLiU" w:eastAsia="PMingLiU" w:hAnsi="PMingLiU"/>
          <w:sz w:val="32"/>
          <w:szCs w:val="32"/>
          <w:color w:val="634140"/>
        </w:rPr>
        <w:t/>
      </w:r>
      <w:r>
        <w:rPr>
          <w:rFonts w:ascii="Arial" w:cs="Arial" w:eastAsia="Arial" w:hAnsi="Arial"/>
          <w:sz w:val="32"/>
          <w:szCs w:val="32"/>
          <w:color w:val="634140"/>
        </w:rPr>
        <w:t>nj_rdmpkq</w:t>
      </w:r>
    </w:p>
    <w:p>
      <w:pPr>
        <w:sectPr>
          <w:pgSz w:w="12240" w:h="15840" w:orient="portrait"/>
          <w:cols w:equalWidth="0" w:num="1">
            <w:col w:w="10020"/>
          </w:cols>
          <w:pgMar w:left="1100" w:top="1440" w:right="1120" w:bottom="218" w:gutter="0" w:footer="0" w:header="0"/>
        </w:sectPr>
      </w:pP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282"/>
        </w:trPr>
        <w:tc>
          <w:tcPr>
            <w:tcW w:w="260" w:type="dxa"/>
            <w:vAlign w:val="bottom"/>
            <w:textDirection w:val="btLr"/>
            <w:shd w:val="clear" w:color="auto" w:fill="59BDB6"/>
          </w:tcPr>
          <w:p>
            <w:pPr>
              <w:ind w:left="42"/>
              <w:spacing w:after="0"/>
              <w:rPr>
                <w:sz w:val="20"/>
                <w:szCs w:val="20"/>
                <w:color w:val="auto"/>
              </w:rPr>
            </w:pPr>
            <w:r>
              <w:rPr>
                <w:rFonts w:ascii="PMingLiU" w:cs="PMingLiU" w:eastAsia="PMingLiU" w:hAnsi="PMingLiU"/>
                <w:sz w:val="18"/>
                <w:szCs w:val="18"/>
                <w:color w:val="FFFFFF"/>
              </w:rPr>
              <w:t/>
            </w:r>
            <w:r>
              <w:rPr>
                <w:rFonts w:ascii="Arial" w:cs="Arial" w:eastAsia="Arial" w:hAnsi="Arial"/>
                <w:sz w:val="18"/>
                <w:szCs w:val="18"/>
                <w:color w:val="FFFFFF"/>
              </w:rPr>
              <w:t>qrpmle</w:t>
            </w:r>
          </w:p>
        </w:tc>
        <w:tc>
          <w:tcPr>
            <w:tcW w:w="280" w:type="dxa"/>
            <w:vAlign w:val="bottom"/>
            <w:textDirection w:val="btLr"/>
            <w:shd w:val="clear" w:color="auto" w:fill="59BDB6"/>
          </w:tcPr>
          <w:p>
            <w:pPr>
              <w:ind w:left="16"/>
              <w:spacing w:after="0"/>
              <w:rPr>
                <w:sz w:val="20"/>
                <w:szCs w:val="20"/>
                <w:color w:val="auto"/>
              </w:rPr>
            </w:pPr>
            <w:r>
              <w:rPr>
                <w:rFonts w:ascii="Arial" w:cs="Arial" w:eastAsia="Arial" w:hAnsi="Arial"/>
                <w:sz w:val="18"/>
                <w:szCs w:val="18"/>
                <w:color w:val="FFFFFF"/>
              </w:rPr>
              <w:t>kmkclrsk</w:t>
            </w:r>
          </w:p>
        </w:tc>
      </w:tr>
      <w:tr>
        <w:trPr>
          <w:trHeight w:val="353"/>
        </w:trPr>
        <w:tc>
          <w:tcPr>
            <w:tcW w:w="260" w:type="dxa"/>
            <w:vAlign w:val="bottom"/>
            <w:shd w:val="clear" w:color="auto" w:fill="59BDB6"/>
          </w:tcPr>
          <w:p>
            <w:pPr>
              <w:spacing w:after="0"/>
              <w:rPr>
                <w:sz w:val="24"/>
                <w:szCs w:val="24"/>
                <w:color w:val="auto"/>
              </w:rPr>
            </w:pPr>
          </w:p>
        </w:tc>
        <w:tc>
          <w:tcPr>
            <w:tcW w:w="280" w:type="dxa"/>
            <w:vAlign w:val="bottom"/>
            <w:shd w:val="clear" w:color="auto" w:fill="59BDB6"/>
          </w:tcPr>
          <w:p>
            <w:pPr>
              <w:spacing w:after="0"/>
              <w:rPr>
                <w:sz w:val="24"/>
                <w:szCs w:val="24"/>
                <w:color w:val="auto"/>
              </w:rPr>
            </w:pPr>
          </w:p>
        </w:tc>
      </w:tr>
      <w:tr>
        <w:trPr>
          <w:trHeight w:val="1054"/>
        </w:trPr>
        <w:tc>
          <w:tcPr>
            <w:tcW w:w="260" w:type="dxa"/>
            <w:vAlign w:val="bottom"/>
            <w:textDirection w:val="btLr"/>
            <w:shd w:val="clear" w:color="auto" w:fill="BFE119"/>
          </w:tcPr>
          <w:p>
            <w:pPr>
              <w:ind w:left="42"/>
              <w:spacing w:after="0"/>
              <w:rPr>
                <w:sz w:val="20"/>
                <w:szCs w:val="20"/>
                <w:color w:val="auto"/>
              </w:rPr>
            </w:pPr>
            <w:r>
              <w:rPr>
                <w:rFonts w:ascii="PMingLiU" w:cs="PMingLiU" w:eastAsia="PMingLiU" w:hAnsi="PMingLiU"/>
                <w:sz w:val="18"/>
                <w:szCs w:val="18"/>
                <w:color w:val="634140"/>
              </w:rPr>
              <w:t/>
            </w:r>
            <w:r>
              <w:rPr>
                <w:rFonts w:ascii="Arial" w:cs="Arial" w:eastAsia="Arial" w:hAnsi="Arial"/>
                <w:sz w:val="18"/>
                <w:szCs w:val="18"/>
                <w:color w:val="634140"/>
              </w:rPr>
              <w:t>dsrspc</w:t>
            </w:r>
            <w:r>
              <w:rPr>
                <w:rFonts w:ascii="PMingLiU" w:cs="PMingLiU" w:eastAsia="PMingLiU" w:hAnsi="PMingLiU"/>
                <w:sz w:val="18"/>
                <w:szCs w:val="18"/>
                <w:color w:val="634140"/>
              </w:rPr>
              <w:t/>
            </w:r>
            <w:r>
              <w:rPr>
                <w:rFonts w:ascii="Arial" w:cs="Arial" w:eastAsia="Arial" w:hAnsi="Arial"/>
                <w:sz w:val="18"/>
                <w:szCs w:val="18"/>
                <w:color w:val="634140"/>
              </w:rPr>
              <w:t>fgef</w:t>
            </w:r>
          </w:p>
        </w:tc>
        <w:tc>
          <w:tcPr>
            <w:tcW w:w="280" w:type="dxa"/>
            <w:vAlign w:val="bottom"/>
            <w:textDirection w:val="btLr"/>
            <w:shd w:val="clear" w:color="auto" w:fill="BFE119"/>
          </w:tcPr>
          <w:p>
            <w:pPr>
              <w:ind w:left="16"/>
              <w:spacing w:after="0"/>
              <w:rPr>
                <w:sz w:val="20"/>
                <w:szCs w:val="20"/>
                <w:color w:val="auto"/>
              </w:rPr>
            </w:pPr>
            <w:r>
              <w:rPr>
                <w:rFonts w:ascii="Arial" w:cs="Arial" w:eastAsia="Arial" w:hAnsi="Arial"/>
                <w:sz w:val="18"/>
                <w:szCs w:val="18"/>
                <w:color w:val="634140"/>
                <w:w w:val="87"/>
              </w:rPr>
              <w:t>mnrgml jgrw</w:t>
            </w:r>
          </w:p>
        </w:tc>
      </w:tr>
      <w:tr>
        <w:trPr>
          <w:trHeight w:val="203"/>
        </w:trPr>
        <w:tc>
          <w:tcPr>
            <w:tcW w:w="260" w:type="dxa"/>
            <w:vAlign w:val="bottom"/>
            <w:shd w:val="clear" w:color="auto" w:fill="BFE119"/>
          </w:tcPr>
          <w:p>
            <w:pPr>
              <w:spacing w:after="0"/>
              <w:rPr>
                <w:sz w:val="17"/>
                <w:szCs w:val="17"/>
                <w:color w:val="auto"/>
              </w:rPr>
            </w:pPr>
          </w:p>
        </w:tc>
        <w:tc>
          <w:tcPr>
            <w:tcW w:w="280" w:type="dxa"/>
            <w:vAlign w:val="bottom"/>
            <w:shd w:val="clear" w:color="auto" w:fill="BFE119"/>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right"/>
        <w:ind w:right="80"/>
        <w:spacing w:after="0" w:line="267" w:lineRule="exact"/>
        <w:tabs>
          <w:tab w:leader="none" w:pos="3300" w:val="left"/>
          <w:tab w:leader="none" w:pos="1760" w:val="left"/>
        </w:tabs>
        <w:rPr>
          <w:sz w:val="20"/>
          <w:szCs w:val="20"/>
          <w:color w:val="auto"/>
        </w:rPr>
      </w:pPr>
      <w:r>
        <w:rPr>
          <w:rFonts w:ascii="Arial" w:cs="Arial" w:eastAsia="Arial" w:hAnsi="Arial"/>
          <w:sz w:val="22"/>
          <w:szCs w:val="22"/>
          <w:color w:val="634140"/>
        </w:rPr>
        <w:t>jgdc</w:t>
      </w:r>
      <w:r>
        <w:rPr>
          <w:rFonts w:ascii="PMingLiU" w:cs="PMingLiU" w:eastAsia="PMingLiU" w:hAnsi="PMingLiU"/>
          <w:sz w:val="22"/>
          <w:szCs w:val="22"/>
          <w:color w:val="634140"/>
        </w:rPr>
        <w:t/>
      </w:r>
      <w:r>
        <w:rPr>
          <w:rFonts w:ascii="Arial" w:cs="Arial" w:eastAsia="Arial" w:hAnsi="Arial"/>
          <w:sz w:val="22"/>
          <w:szCs w:val="22"/>
          <w:color w:val="634140"/>
        </w:rPr>
        <w:t>qagclacq</w:t>
      </w:r>
      <w:r>
        <w:rPr>
          <w:sz w:val="20"/>
          <w:szCs w:val="20"/>
          <w:color w:val="auto"/>
        </w:rPr>
        <w:tab/>
      </w:r>
      <w:r>
        <w:rPr>
          <w:rFonts w:ascii="Arial" w:cs="Arial" w:eastAsia="Arial" w:hAnsi="Arial"/>
          <w:sz w:val="22"/>
          <w:szCs w:val="22"/>
          <w:color w:val="634140"/>
        </w:rPr>
        <w:t>ncpqml_j</w:t>
      </w:r>
      <w:r>
        <w:rPr>
          <w:rFonts w:ascii="PMingLiU" w:cs="PMingLiU" w:eastAsia="PMingLiU" w:hAnsi="PMingLiU"/>
          <w:sz w:val="22"/>
          <w:szCs w:val="22"/>
          <w:color w:val="634140"/>
        </w:rPr>
        <w:t/>
      </w:r>
      <w:r>
        <w:rPr>
          <w:rFonts w:ascii="Arial" w:cs="Arial" w:eastAsia="Arial" w:hAnsi="Arial"/>
          <w:sz w:val="22"/>
          <w:szCs w:val="22"/>
          <w:color w:val="634140"/>
        </w:rPr>
        <w:t>a_pc</w:t>
      </w:r>
      <w:r>
        <w:rPr>
          <w:sz w:val="20"/>
          <w:szCs w:val="20"/>
          <w:color w:val="auto"/>
        </w:rPr>
        <w:tab/>
      </w:r>
      <w:r>
        <w:rPr>
          <w:rFonts w:ascii="Arial" w:cs="Arial" w:eastAsia="Arial" w:hAnsi="Arial"/>
          <w:sz w:val="19"/>
          <w:szCs w:val="19"/>
          <w:color w:val="634140"/>
        </w:rPr>
        <w:t>qncag_jrw</w:t>
      </w:r>
      <w:r>
        <w:rPr>
          <w:rFonts w:ascii="PMingLiU" w:cs="PMingLiU" w:eastAsia="PMingLiU" w:hAnsi="PMingLiU"/>
          <w:sz w:val="19"/>
          <w:szCs w:val="19"/>
          <w:color w:val="634140"/>
        </w:rPr>
        <w:t/>
      </w:r>
      <w:r>
        <w:rPr>
          <w:rFonts w:ascii="Arial" w:cs="Arial" w:eastAsia="Arial" w:hAnsi="Arial"/>
          <w:sz w:val="19"/>
          <w:szCs w:val="19"/>
          <w:color w:val="634140"/>
        </w:rPr>
        <w:t>_bbgrgtcq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-12065</wp:posOffset>
            </wp:positionV>
            <wp:extent cx="6384290" cy="18815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0">
                      <a:extLst>
                        <a:ext uri="{28A0092B-C50C-407E-A947-70E740481C1C}"/>
                      </a:extLst>
                    </a:blip>
                    <a:srcRect/>
                    <a:stretch>
                      <a:fillRect/>
                    </a:stretch>
                  </pic:blipFill>
                  <pic:spPr bwMode="auto">
                    <a:xfrm>
                      <a:off x="0" y="0"/>
                      <a:ext cx="6384290" cy="1881505"/>
                    </a:xfrm>
                    <a:prstGeom prst="rect">
                      <a:avLst/>
                    </a:prstGeom>
                    <a:noFill/>
                  </pic:spPr>
                </pic:pic>
              </a:graphicData>
            </a:graphic>
          </wp:anchor>
        </w:drawing>
      </w:r>
    </w:p>
    <w:p>
      <w:pPr>
        <w:jc w:val="right"/>
        <w:ind w:right="5440"/>
        <w:spacing w:after="0" w:line="356" w:lineRule="exact"/>
        <w:rPr>
          <w:sz w:val="20"/>
          <w:szCs w:val="20"/>
          <w:color w:val="auto"/>
        </w:rPr>
      </w:pPr>
      <w:r>
        <w:rPr>
          <w:rFonts w:ascii="Arial" w:cs="Arial" w:eastAsia="Arial" w:hAnsi="Arial"/>
          <w:sz w:val="17"/>
          <w:szCs w:val="17"/>
          <w:color w:val="634140"/>
        </w:rPr>
        <w:t>rp_lqdmpkcb</w:t>
      </w:r>
      <w:r>
        <w:rPr>
          <w:rFonts w:ascii="PMingLiU" w:cs="PMingLiU" w:eastAsia="PMingLiU" w:hAnsi="PMingLiU"/>
          <w:sz w:val="17"/>
          <w:szCs w:val="17"/>
          <w:color w:val="634140"/>
        </w:rPr>
        <w:t/>
      </w:r>
      <w:r>
        <w:rPr>
          <w:rFonts w:ascii="Arial" w:cs="Arial" w:eastAsia="Arial" w:hAnsi="Arial"/>
          <w:sz w:val="17"/>
          <w:szCs w:val="17"/>
          <w:color w:val="634140"/>
        </w:rPr>
        <w:t>tcecr_`jc</w:t>
      </w:r>
      <w:r>
        <w:rPr>
          <w:rFonts w:ascii="PMingLiU" w:cs="PMingLiU" w:eastAsia="PMingLiU" w:hAnsi="PMingLiU"/>
          <w:sz w:val="17"/>
          <w:szCs w:val="17"/>
          <w:color w:val="634140"/>
        </w:rPr>
        <w:t/>
      </w:r>
      <w:r>
        <w:rPr>
          <w:rFonts w:ascii="Arial" w:cs="Arial" w:eastAsia="Arial" w:hAnsi="Arial"/>
          <w:sz w:val="17"/>
          <w:szCs w:val="17"/>
          <w:color w:val="634140"/>
        </w:rPr>
        <w:t>mgjq</w:t>
      </w:r>
      <w:r>
        <w:rPr>
          <w:rFonts w:ascii="PMingLiU" w:cs="PMingLiU" w:eastAsia="PMingLiU" w:hAnsi="PMingLiU"/>
          <w:sz w:val="17"/>
          <w:szCs w:val="17"/>
          <w:color w:val="634140"/>
        </w:rPr>
        <w:t xml:space="preserve"> </w:t>
      </w:r>
      <w:r>
        <w:rPr>
          <w:sz w:val="1"/>
          <w:szCs w:val="1"/>
          <w:color w:val="auto"/>
        </w:rPr>
        <w:drawing>
          <wp:inline distT="0" distB="0" distL="0" distR="0">
            <wp:extent cx="172085" cy="17208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1">
                      <a:extLst>
                        <a:ext uri="{28A0092B-C50C-407E-A947-70E740481C1C}"/>
                      </a:extLst>
                    </a:blip>
                    <a:srcRect/>
                    <a:stretch>
                      <a:fillRect/>
                    </a:stretch>
                  </pic:blipFill>
                  <pic:spPr bwMode="auto">
                    <a:xfrm>
                      <a:off x="0" y="0"/>
                      <a:ext cx="172085" cy="172085"/>
                    </a:xfrm>
                    <a:prstGeom prst="rect">
                      <a:avLst/>
                    </a:prstGeom>
                    <a:noFill/>
                    <a:ln>
                      <a:noFill/>
                    </a:ln>
                  </pic:spPr>
                </pic:pic>
              </a:graphicData>
            </a:graphic>
          </wp:inline>
        </w:drawing>
      </w:r>
      <w:r>
        <w:rPr>
          <w:rFonts w:ascii="PMingLiU" w:cs="PMingLiU" w:eastAsia="PMingLiU" w:hAnsi="PMingLiU"/>
          <w:sz w:val="31"/>
          <w:szCs w:val="31"/>
          <w:color w:val="634140"/>
          <w:vertAlign w:val="subscript"/>
        </w:rPr>
        <w:t/>
      </w:r>
      <w:r>
        <w:rPr>
          <w:rFonts w:ascii="Arial" w:cs="Arial" w:eastAsia="Arial" w:hAnsi="Arial"/>
          <w:sz w:val="31"/>
          <w:szCs w:val="31"/>
          <w:color w:val="634140"/>
        </w:rPr>
        <w:t>l_rspc</w:t>
      </w:r>
      <w:r>
        <w:rPr>
          <w:rFonts w:ascii="PMingLiU" w:cs="PMingLiU" w:eastAsia="PMingLiU" w:hAnsi="PMingLiU"/>
          <w:sz w:val="16"/>
          <w:szCs w:val="16"/>
          <w:color w:val="634140"/>
        </w:rPr>
        <w:t/>
      </w:r>
      <w:r>
        <w:rPr>
          <w:rFonts w:ascii="Arial" w:cs="Arial" w:eastAsia="Arial" w:hAnsi="Arial"/>
          <w:sz w:val="16"/>
          <w:szCs w:val="16"/>
          <w:color w:val="634140"/>
        </w:rPr>
        <w:t>bcpgtcb</w:t>
      </w:r>
    </w:p>
    <w:p>
      <w:pPr>
        <w:spacing w:after="0" w:line="24" w:lineRule="exact"/>
        <w:rPr>
          <w:sz w:val="20"/>
          <w:szCs w:val="20"/>
          <w:color w:val="auto"/>
        </w:rPr>
      </w:pPr>
    </w:p>
    <w:p>
      <w:pPr>
        <w:jc w:val="right"/>
        <w:ind w:right="5420"/>
        <w:spacing w:after="0" w:line="325" w:lineRule="exact"/>
        <w:rPr>
          <w:sz w:val="20"/>
          <w:szCs w:val="20"/>
          <w:color w:val="auto"/>
        </w:rPr>
      </w:pPr>
      <w:r>
        <w:rPr>
          <w:rFonts w:ascii="Arial" w:cs="Arial" w:eastAsia="Arial" w:hAnsi="Arial"/>
          <w:sz w:val="15"/>
          <w:szCs w:val="15"/>
          <w:color w:val="634140"/>
        </w:rPr>
        <w:t>`gmpcqmp`_`jc</w:t>
      </w:r>
      <w:r>
        <w:rPr>
          <w:rFonts w:ascii="PMingLiU" w:cs="PMingLiU" w:eastAsia="PMingLiU" w:hAnsi="PMingLiU"/>
          <w:sz w:val="15"/>
          <w:szCs w:val="15"/>
          <w:color w:val="634140"/>
        </w:rPr>
        <w:t/>
      </w:r>
      <w:r>
        <w:rPr>
          <w:rFonts w:ascii="Arial" w:cs="Arial" w:eastAsia="Arial" w:hAnsi="Arial"/>
          <w:sz w:val="15"/>
          <w:szCs w:val="15"/>
          <w:color w:val="634140"/>
        </w:rPr>
        <w:t>nmjwkcpq</w:t>
      </w:r>
      <w:r>
        <w:rPr>
          <w:rFonts w:ascii="PMingLiU" w:cs="PMingLiU" w:eastAsia="PMingLiU" w:hAnsi="PMingLiU"/>
          <w:sz w:val="15"/>
          <w:szCs w:val="15"/>
          <w:color w:val="634140"/>
        </w:rPr>
        <w:t xml:space="preserve"> </w:t>
      </w:r>
      <w:r>
        <w:rPr>
          <w:sz w:val="1"/>
          <w:szCs w:val="1"/>
          <w:color w:val="auto"/>
        </w:rPr>
        <w:drawing>
          <wp:inline distT="0" distB="0" distL="0" distR="0">
            <wp:extent cx="171450" cy="1714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PMingLiU" w:cs="PMingLiU" w:eastAsia="PMingLiU" w:hAnsi="PMingLiU"/>
          <w:sz w:val="26"/>
          <w:szCs w:val="26"/>
          <w:color w:val="634140"/>
          <w:vertAlign w:val="subscript"/>
        </w:rPr>
        <w:t/>
      </w:r>
      <w:r>
        <w:rPr>
          <w:rFonts w:ascii="Arial" w:cs="Arial" w:eastAsia="Arial" w:hAnsi="Arial"/>
          <w:sz w:val="26"/>
          <w:szCs w:val="26"/>
          <w:color w:val="634140"/>
        </w:rPr>
        <w:t>`gmbcep_b_`jc</w:t>
      </w:r>
    </w:p>
    <w:p>
      <w:pPr>
        <w:spacing w:after="0" w:line="86" w:lineRule="exact"/>
        <w:rPr>
          <w:sz w:val="20"/>
          <w:szCs w:val="20"/>
          <w:color w:val="auto"/>
        </w:rPr>
      </w:pPr>
    </w:p>
    <w:p>
      <w:pPr>
        <w:jc w:val="right"/>
        <w:ind w:right="5420"/>
        <w:spacing w:after="0" w:line="364" w:lineRule="exact"/>
        <w:rPr>
          <w:sz w:val="20"/>
          <w:szCs w:val="20"/>
          <w:color w:val="auto"/>
        </w:rPr>
      </w:pPr>
      <w:r>
        <w:rPr>
          <w:rFonts w:ascii="Arial" w:cs="Arial" w:eastAsia="Arial" w:hAnsi="Arial"/>
          <w:sz w:val="16"/>
          <w:szCs w:val="16"/>
          <w:color w:val="634140"/>
        </w:rPr>
        <w:t>qsncp</w:t>
      </w:r>
      <w:r>
        <w:rPr>
          <w:rFonts w:ascii="PMingLiU" w:cs="PMingLiU" w:eastAsia="PMingLiU" w:hAnsi="PMingLiU"/>
          <w:sz w:val="16"/>
          <w:szCs w:val="16"/>
          <w:color w:val="634140"/>
        </w:rPr>
        <w:t/>
      </w:r>
      <w:r>
        <w:rPr>
          <w:rFonts w:ascii="Arial" w:cs="Arial" w:eastAsia="Arial" w:hAnsi="Arial"/>
          <w:sz w:val="16"/>
          <w:szCs w:val="16"/>
          <w:color w:val="634140"/>
        </w:rPr>
        <w:t>ucrrgle</w:t>
      </w:r>
      <w:r>
        <w:rPr>
          <w:rFonts w:ascii="PMingLiU" w:cs="PMingLiU" w:eastAsia="PMingLiU" w:hAnsi="PMingLiU"/>
          <w:sz w:val="16"/>
          <w:szCs w:val="16"/>
          <w:color w:val="634140"/>
        </w:rPr>
        <w:t/>
      </w:r>
      <w:r>
        <w:rPr>
          <w:rFonts w:ascii="Arial" w:cs="Arial" w:eastAsia="Arial" w:hAnsi="Arial"/>
          <w:sz w:val="16"/>
          <w:szCs w:val="16"/>
          <w:color w:val="634140"/>
        </w:rPr>
        <w:t>_eclrq</w:t>
      </w:r>
      <w:r>
        <w:rPr>
          <w:rFonts w:ascii="PMingLiU" w:cs="PMingLiU" w:eastAsia="PMingLiU" w:hAnsi="PMingLiU"/>
          <w:sz w:val="16"/>
          <w:szCs w:val="16"/>
          <w:color w:val="634140"/>
        </w:rPr>
        <w:t xml:space="preserve"> </w:t>
      </w:r>
      <w:r>
        <w:rPr>
          <w:sz w:val="1"/>
          <w:szCs w:val="1"/>
          <w:color w:val="auto"/>
        </w:rPr>
        <w:drawing>
          <wp:inline distT="0" distB="0" distL="0" distR="0">
            <wp:extent cx="175260" cy="1752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3">
                      <a:extLst>
                        <a:ext uri="{28A0092B-C50C-407E-A947-70E740481C1C}"/>
                      </a:extLst>
                    </a:blip>
                    <a:srcRect/>
                    <a:stretch>
                      <a:fillRect/>
                    </a:stretch>
                  </pic:blipFill>
                  <pic:spPr bwMode="auto">
                    <a:xfrm>
                      <a:off x="0" y="0"/>
                      <a:ext cx="175260" cy="175260"/>
                    </a:xfrm>
                    <a:prstGeom prst="rect">
                      <a:avLst/>
                    </a:prstGeom>
                    <a:noFill/>
                    <a:ln>
                      <a:noFill/>
                    </a:ln>
                  </pic:spPr>
                </pic:pic>
              </a:graphicData>
            </a:graphic>
          </wp:inline>
        </w:drawing>
      </w:r>
      <w:r>
        <w:rPr>
          <w:rFonts w:ascii="PMingLiU" w:cs="PMingLiU" w:eastAsia="PMingLiU" w:hAnsi="PMingLiU"/>
          <w:sz w:val="30"/>
          <w:szCs w:val="30"/>
          <w:color w:val="634140"/>
          <w:vertAlign w:val="subscript"/>
        </w:rPr>
        <w:t/>
      </w:r>
      <w:r>
        <w:rPr>
          <w:rFonts w:ascii="Arial" w:cs="Arial" w:eastAsia="Arial" w:hAnsi="Arial"/>
          <w:sz w:val="30"/>
          <w:szCs w:val="30"/>
          <w:color w:val="634140"/>
        </w:rPr>
        <w:t>`gmbcep_b_`jc</w:t>
      </w:r>
    </w:p>
    <w:p>
      <w:pPr>
        <w:spacing w:after="0" w:line="23" w:lineRule="exact"/>
        <w:rPr>
          <w:sz w:val="20"/>
          <w:szCs w:val="20"/>
          <w:color w:val="auto"/>
        </w:rPr>
      </w:pPr>
    </w:p>
    <w:p>
      <w:pPr>
        <w:jc w:val="right"/>
        <w:ind w:right="5440"/>
        <w:spacing w:after="0" w:line="437" w:lineRule="exact"/>
        <w:rPr>
          <w:sz w:val="20"/>
          <w:szCs w:val="20"/>
          <w:color w:val="auto"/>
        </w:rPr>
      </w:pPr>
      <w:r>
        <w:rPr>
          <w:rFonts w:ascii="Arial" w:cs="Arial" w:eastAsia="Arial" w:hAnsi="Arial"/>
          <w:sz w:val="18"/>
          <w:szCs w:val="18"/>
          <w:color w:val="634140"/>
        </w:rPr>
        <w:t>lmtcj</w:t>
      </w:r>
      <w:r>
        <w:rPr>
          <w:rFonts w:ascii="PMingLiU" w:cs="PMingLiU" w:eastAsia="PMingLiU" w:hAnsi="PMingLiU"/>
          <w:sz w:val="18"/>
          <w:szCs w:val="18"/>
          <w:color w:val="634140"/>
        </w:rPr>
        <w:t/>
      </w:r>
      <w:r>
        <w:rPr>
          <w:rFonts w:ascii="Arial" w:cs="Arial" w:eastAsia="Arial" w:hAnsi="Arial"/>
          <w:sz w:val="18"/>
          <w:szCs w:val="18"/>
          <w:color w:val="634140"/>
        </w:rPr>
        <w:t>acjjsjmqgaq</w:t>
      </w:r>
      <w:r>
        <w:rPr>
          <w:rFonts w:ascii="PMingLiU" w:cs="PMingLiU" w:eastAsia="PMingLiU" w:hAnsi="PMingLiU"/>
          <w:sz w:val="18"/>
          <w:szCs w:val="18"/>
          <w:color w:val="634140"/>
        </w:rPr>
        <w:t xml:space="preserve"> </w:t>
      </w:r>
      <w:r>
        <w:rPr>
          <w:sz w:val="1"/>
          <w:szCs w:val="1"/>
          <w:color w:val="auto"/>
        </w:rPr>
        <w:drawing>
          <wp:inline distT="0" distB="0" distL="0" distR="0">
            <wp:extent cx="163830" cy="16383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4">
                      <a:extLst>
                        <a:ext uri="{28A0092B-C50C-407E-A947-70E740481C1C}"/>
                      </a:extLst>
                    </a:blip>
                    <a:srcRect/>
                    <a:stretch>
                      <a:fillRect/>
                    </a:stretch>
                  </pic:blipFill>
                  <pic:spPr bwMode="auto">
                    <a:xfrm>
                      <a:off x="0" y="0"/>
                      <a:ext cx="163830" cy="163830"/>
                    </a:xfrm>
                    <a:prstGeom prst="rect">
                      <a:avLst/>
                    </a:prstGeom>
                    <a:noFill/>
                    <a:ln>
                      <a:noFill/>
                    </a:ln>
                  </pic:spPr>
                </pic:pic>
              </a:graphicData>
            </a:graphic>
          </wp:inline>
        </w:drawing>
      </w:r>
      <w:r>
        <w:rPr>
          <w:rFonts w:ascii="PMingLiU" w:cs="PMingLiU" w:eastAsia="PMingLiU" w:hAnsi="PMingLiU"/>
          <w:sz w:val="36"/>
          <w:szCs w:val="36"/>
          <w:color w:val="634140"/>
          <w:vertAlign w:val="subscript"/>
        </w:rPr>
        <w:t/>
      </w:r>
      <w:r>
        <w:rPr>
          <w:rFonts w:ascii="Arial" w:cs="Arial" w:eastAsia="Arial" w:hAnsi="Arial"/>
          <w:sz w:val="36"/>
          <w:szCs w:val="36"/>
          <w:color w:val="634140"/>
        </w:rPr>
        <w:t>l_rspc</w:t>
      </w:r>
      <w:r>
        <w:rPr>
          <w:rFonts w:ascii="PMingLiU" w:cs="PMingLiU" w:eastAsia="PMingLiU" w:hAnsi="PMingLiU"/>
          <w:sz w:val="18"/>
          <w:szCs w:val="18"/>
          <w:color w:val="634140"/>
        </w:rPr>
        <w:t/>
      </w:r>
      <w:r>
        <w:rPr>
          <w:rFonts w:ascii="Arial" w:cs="Arial" w:eastAsia="Arial" w:hAnsi="Arial"/>
          <w:sz w:val="18"/>
          <w:szCs w:val="18"/>
          <w:color w:val="634140"/>
        </w:rPr>
        <w:t>bcpgtcb</w:t>
      </w:r>
    </w:p>
    <w:p>
      <w:pPr>
        <w:jc w:val="right"/>
        <w:ind w:right="5440"/>
        <w:spacing w:after="0" w:line="411" w:lineRule="exact"/>
        <w:rPr>
          <w:sz w:val="20"/>
          <w:szCs w:val="20"/>
          <w:color w:val="auto"/>
        </w:rPr>
      </w:pPr>
      <w:r>
        <w:rPr>
          <w:rFonts w:ascii="Arial" w:cs="Arial" w:eastAsia="Arial" w:hAnsi="Arial"/>
          <w:sz w:val="18"/>
          <w:szCs w:val="18"/>
          <w:color w:val="634140"/>
        </w:rPr>
        <w:t>jgosgb</w:t>
      </w:r>
      <w:r>
        <w:rPr>
          <w:rFonts w:ascii="PMingLiU" w:cs="PMingLiU" w:eastAsia="PMingLiU" w:hAnsi="PMingLiU"/>
          <w:sz w:val="18"/>
          <w:szCs w:val="18"/>
          <w:color w:val="634140"/>
        </w:rPr>
        <w:t/>
      </w:r>
      <w:r>
        <w:rPr>
          <w:rFonts w:ascii="Arial" w:cs="Arial" w:eastAsia="Arial" w:hAnsi="Arial"/>
          <w:sz w:val="18"/>
          <w:szCs w:val="18"/>
          <w:color w:val="634140"/>
        </w:rPr>
        <w:t>acjjsjmqc</w:t>
      </w:r>
      <w:r>
        <w:rPr>
          <w:rFonts w:ascii="PMingLiU" w:cs="PMingLiU" w:eastAsia="PMingLiU" w:hAnsi="PMingLiU"/>
          <w:sz w:val="18"/>
          <w:szCs w:val="18"/>
          <w:color w:val="634140"/>
        </w:rPr>
        <w:t xml:space="preserve"> </w:t>
      </w:r>
      <w:r>
        <w:rPr>
          <w:sz w:val="1"/>
          <w:szCs w:val="1"/>
          <w:color w:val="auto"/>
        </w:rPr>
        <w:drawing>
          <wp:inline distT="0" distB="0" distL="0" distR="0">
            <wp:extent cx="165735" cy="16637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5">
                      <a:extLst>
                        <a:ext uri="{28A0092B-C50C-407E-A947-70E740481C1C}"/>
                      </a:extLst>
                    </a:blip>
                    <a:srcRect/>
                    <a:stretch>
                      <a:fillRect/>
                    </a:stretch>
                  </pic:blipFill>
                  <pic:spPr bwMode="auto">
                    <a:xfrm>
                      <a:off x="0" y="0"/>
                      <a:ext cx="165735" cy="166370"/>
                    </a:xfrm>
                    <a:prstGeom prst="rect">
                      <a:avLst/>
                    </a:prstGeom>
                    <a:noFill/>
                    <a:ln>
                      <a:noFill/>
                    </a:ln>
                  </pic:spPr>
                </pic:pic>
              </a:graphicData>
            </a:graphic>
          </wp:inline>
        </w:drawing>
      </w:r>
      <w:r>
        <w:rPr>
          <w:rFonts w:ascii="PMingLiU" w:cs="PMingLiU" w:eastAsia="PMingLiU" w:hAnsi="PMingLiU"/>
          <w:sz w:val="36"/>
          <w:szCs w:val="36"/>
          <w:color w:val="634140"/>
          <w:vertAlign w:val="subscript"/>
        </w:rPr>
        <w:t/>
      </w:r>
      <w:r>
        <w:rPr>
          <w:rFonts w:ascii="Arial" w:cs="Arial" w:eastAsia="Arial" w:hAnsi="Arial"/>
          <w:sz w:val="36"/>
          <w:szCs w:val="36"/>
          <w:color w:val="634140"/>
        </w:rPr>
        <w:t>l_rspc</w:t>
      </w:r>
      <w:r>
        <w:rPr>
          <w:rFonts w:ascii="PMingLiU" w:cs="PMingLiU" w:eastAsia="PMingLiU" w:hAnsi="PMingLiU"/>
          <w:sz w:val="18"/>
          <w:szCs w:val="18"/>
          <w:color w:val="634140"/>
        </w:rPr>
        <w:t/>
      </w:r>
      <w:r>
        <w:rPr>
          <w:rFonts w:ascii="Arial" w:cs="Arial" w:eastAsia="Arial" w:hAnsi="Arial"/>
          <w:sz w:val="18"/>
          <w:szCs w:val="18"/>
          <w:color w:val="634140"/>
        </w:rPr>
        <w:t>bcpgtcb</w:t>
      </w:r>
    </w:p>
    <w:p>
      <w:pPr>
        <w:jc w:val="right"/>
        <w:ind w:right="5440"/>
        <w:spacing w:after="0" w:line="411" w:lineRule="exact"/>
        <w:rPr>
          <w:sz w:val="20"/>
          <w:szCs w:val="20"/>
          <w:color w:val="auto"/>
        </w:rPr>
      </w:pPr>
      <w:r>
        <w:rPr>
          <w:rFonts w:ascii="Arial" w:cs="Arial" w:eastAsia="Arial" w:hAnsi="Arial"/>
          <w:sz w:val="18"/>
          <w:szCs w:val="18"/>
          <w:color w:val="634140"/>
        </w:rPr>
        <w:t>ksjrgdslargml_j</w:t>
      </w:r>
      <w:r>
        <w:rPr>
          <w:rFonts w:ascii="PMingLiU" w:cs="PMingLiU" w:eastAsia="PMingLiU" w:hAnsi="PMingLiU"/>
          <w:sz w:val="18"/>
          <w:szCs w:val="18"/>
          <w:color w:val="634140"/>
        </w:rPr>
        <w:t/>
      </w:r>
      <w:r>
        <w:rPr>
          <w:rFonts w:ascii="Arial" w:cs="Arial" w:eastAsia="Arial" w:hAnsi="Arial"/>
          <w:sz w:val="18"/>
          <w:szCs w:val="18"/>
          <w:color w:val="634140"/>
        </w:rPr>
        <w:t>qr_paf</w:t>
      </w:r>
      <w:r>
        <w:rPr>
          <w:rFonts w:ascii="PMingLiU" w:cs="PMingLiU" w:eastAsia="PMingLiU" w:hAnsi="PMingLiU"/>
          <w:sz w:val="18"/>
          <w:szCs w:val="18"/>
          <w:color w:val="634140"/>
        </w:rPr>
        <w:t xml:space="preserve"> </w:t>
      </w:r>
      <w:r>
        <w:rPr>
          <w:sz w:val="1"/>
          <w:szCs w:val="1"/>
          <w:color w:val="auto"/>
        </w:rPr>
        <w:drawing>
          <wp:inline distT="0" distB="0" distL="0" distR="0">
            <wp:extent cx="163830" cy="16383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6">
                      <a:extLst>
                        <a:ext uri="{28A0092B-C50C-407E-A947-70E740481C1C}"/>
                      </a:extLst>
                    </a:blip>
                    <a:srcRect/>
                    <a:stretch>
                      <a:fillRect/>
                    </a:stretch>
                  </pic:blipFill>
                  <pic:spPr bwMode="auto">
                    <a:xfrm>
                      <a:off x="0" y="0"/>
                      <a:ext cx="163830" cy="163830"/>
                    </a:xfrm>
                    <a:prstGeom prst="rect">
                      <a:avLst/>
                    </a:prstGeom>
                    <a:noFill/>
                    <a:ln>
                      <a:noFill/>
                    </a:ln>
                  </pic:spPr>
                </pic:pic>
              </a:graphicData>
            </a:graphic>
          </wp:inline>
        </w:drawing>
      </w:r>
      <w:r>
        <w:rPr>
          <w:rFonts w:ascii="PMingLiU" w:cs="PMingLiU" w:eastAsia="PMingLiU" w:hAnsi="PMingLiU"/>
          <w:sz w:val="36"/>
          <w:szCs w:val="36"/>
          <w:color w:val="634140"/>
          <w:vertAlign w:val="subscript"/>
        </w:rPr>
        <w:t/>
      </w:r>
      <w:r>
        <w:rPr>
          <w:rFonts w:ascii="Arial" w:cs="Arial" w:eastAsia="Arial" w:hAnsi="Arial"/>
          <w:sz w:val="36"/>
          <w:szCs w:val="36"/>
          <w:color w:val="634140"/>
        </w:rPr>
        <w:t>l_rspc</w:t>
      </w:r>
      <w:r>
        <w:rPr>
          <w:rFonts w:ascii="PMingLiU" w:cs="PMingLiU" w:eastAsia="PMingLiU" w:hAnsi="PMingLiU"/>
          <w:sz w:val="18"/>
          <w:szCs w:val="18"/>
          <w:color w:val="634140"/>
        </w:rPr>
        <w:t/>
      </w:r>
      <w:r>
        <w:rPr>
          <w:rFonts w:ascii="Arial" w:cs="Arial" w:eastAsia="Arial" w:hAnsi="Arial"/>
          <w:sz w:val="18"/>
          <w:szCs w:val="18"/>
          <w:color w:val="634140"/>
        </w:rPr>
        <w:t>bcpgtcb</w:t>
      </w:r>
    </w:p>
    <w:p>
      <w:pPr>
        <w:jc w:val="right"/>
        <w:ind w:right="5420"/>
        <w:spacing w:after="0" w:line="414" w:lineRule="exact"/>
        <w:rPr>
          <w:sz w:val="20"/>
          <w:szCs w:val="20"/>
          <w:color w:val="auto"/>
        </w:rPr>
      </w:pPr>
      <w:r>
        <w:rPr>
          <w:rFonts w:ascii="Arial" w:cs="Arial" w:eastAsia="Arial" w:hAnsi="Arial"/>
          <w:sz w:val="18"/>
          <w:szCs w:val="18"/>
          <w:color w:val="634140"/>
        </w:rPr>
        <w:t>nL</w:t>
      </w:r>
      <w:r>
        <w:rPr>
          <w:rFonts w:ascii="PMingLiU" w:cs="PMingLiU" w:eastAsia="PMingLiU" w:hAnsi="PMingLiU"/>
          <w:sz w:val="18"/>
          <w:szCs w:val="18"/>
          <w:color w:val="634140"/>
        </w:rPr>
        <w:t/>
      </w:r>
      <w:r>
        <w:rPr>
          <w:rFonts w:ascii="Arial" w:cs="Arial" w:eastAsia="Arial" w:hAnsi="Arial"/>
          <w:sz w:val="18"/>
          <w:szCs w:val="18"/>
          <w:color w:val="634140"/>
        </w:rPr>
        <w:t>lcsrp_jgxcp</w:t>
      </w:r>
      <w:r>
        <w:rPr>
          <w:rFonts w:ascii="PMingLiU" w:cs="PMingLiU" w:eastAsia="PMingLiU" w:hAnsi="PMingLiU"/>
          <w:sz w:val="18"/>
          <w:szCs w:val="18"/>
          <w:color w:val="634140"/>
        </w:rPr>
        <w:t xml:space="preserve"> </w:t>
      </w:r>
      <w:r>
        <w:rPr>
          <w:sz w:val="1"/>
          <w:szCs w:val="1"/>
          <w:color w:val="auto"/>
        </w:rPr>
        <w:drawing>
          <wp:inline distT="0" distB="0" distL="0" distR="0">
            <wp:extent cx="185420" cy="18542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7">
                      <a:extLst>
                        <a:ext uri="{28A0092B-C50C-407E-A947-70E740481C1C}"/>
                      </a:extLst>
                    </a:blip>
                    <a:srcRect/>
                    <a:stretch>
                      <a:fillRect/>
                    </a:stretch>
                  </pic:blipFill>
                  <pic:spPr bwMode="auto">
                    <a:xfrm>
                      <a:off x="0" y="0"/>
                      <a:ext cx="185420" cy="185420"/>
                    </a:xfrm>
                    <a:prstGeom prst="rect">
                      <a:avLst/>
                    </a:prstGeom>
                    <a:noFill/>
                    <a:ln>
                      <a:noFill/>
                    </a:ln>
                  </pic:spPr>
                </pic:pic>
              </a:graphicData>
            </a:graphic>
          </wp:inline>
        </w:drawing>
      </w:r>
      <w:r>
        <w:rPr>
          <w:rFonts w:ascii="PMingLiU" w:cs="PMingLiU" w:eastAsia="PMingLiU" w:hAnsi="PMingLiU"/>
          <w:sz w:val="35"/>
          <w:szCs w:val="35"/>
          <w:color w:val="634140"/>
          <w:vertAlign w:val="subscript"/>
        </w:rPr>
        <w:t/>
      </w:r>
      <w:r>
        <w:rPr>
          <w:rFonts w:ascii="Arial" w:cs="Arial" w:eastAsia="Arial" w:hAnsi="Arial"/>
          <w:sz w:val="35"/>
          <w:szCs w:val="35"/>
          <w:color w:val="634140"/>
        </w:rPr>
        <w:t>`gmbcep_b_`jc</w:t>
      </w:r>
    </w:p>
    <w:p>
      <w:pPr>
        <w:spacing w:after="0" w:line="130" w:lineRule="exact"/>
        <w:rPr>
          <w:sz w:val="20"/>
          <w:szCs w:val="20"/>
          <w:color w:val="auto"/>
        </w:rPr>
      </w:pPr>
    </w:p>
    <w:p>
      <w:pPr>
        <w:sectPr>
          <w:pgSz w:w="12240" w:h="15840" w:orient="portrait"/>
          <w:cols w:equalWidth="0" w:num="2">
            <w:col w:w="560" w:space="240"/>
            <w:col w:w="9220"/>
          </w:cols>
          <w:pgMar w:left="1100" w:top="1440" w:right="1120" w:bottom="218" w:gutter="0" w:footer="0" w:header="0"/>
          <w:type w:val="continuous"/>
        </w:sectPr>
      </w:pPr>
    </w:p>
    <w:p>
      <w:pPr>
        <w:spacing w:after="0" w:line="388" w:lineRule="exact"/>
        <w:rPr>
          <w:sz w:val="20"/>
          <w:szCs w:val="20"/>
          <w:color w:val="auto"/>
        </w:rPr>
      </w:pPr>
      <w:r>
        <w:rPr>
          <w:sz w:val="1"/>
          <w:szCs w:val="1"/>
          <w:color w:val="auto"/>
        </w:rPr>
        <w:drawing>
          <wp:inline distT="0" distB="0" distL="0" distR="0">
            <wp:extent cx="169545" cy="17208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8">
                      <a:extLst>
                        <a:ext uri="{28A0092B-C50C-407E-A947-70E740481C1C}"/>
                      </a:extLst>
                    </a:blip>
                    <a:srcRect/>
                    <a:stretch>
                      <a:fillRect/>
                    </a:stretch>
                  </pic:blipFill>
                  <pic:spPr bwMode="auto">
                    <a:xfrm>
                      <a:off x="0" y="0"/>
                      <a:ext cx="169545" cy="172085"/>
                    </a:xfrm>
                    <a:prstGeom prst="rect">
                      <a:avLst/>
                    </a:prstGeom>
                    <a:noFill/>
                    <a:ln>
                      <a:noFill/>
                    </a:ln>
                  </pic:spPr>
                </pic:pic>
              </a:graphicData>
            </a:graphic>
          </wp:inline>
        </w:drawing>
      </w:r>
      <w:r>
        <w:rPr>
          <w:rFonts w:ascii="Arial" w:cs="Arial" w:eastAsia="Arial" w:hAnsi="Arial"/>
          <w:sz w:val="16"/>
          <w:szCs w:val="16"/>
          <w:color w:val="634140"/>
        </w:rPr>
        <w:t xml:space="preserve"> j_slafcb</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kmpc</w:t>
      </w:r>
      <w:r>
        <w:rPr>
          <w:rFonts w:ascii="PMingLiU" w:cs="PMingLiU" w:eastAsia="PMingLiU" w:hAnsi="PMingLiU"/>
          <w:sz w:val="16"/>
          <w:szCs w:val="16"/>
          <w:color w:val="634140"/>
        </w:rPr>
        <w:t/>
      </w:r>
      <w:r>
        <w:rPr>
          <w:rFonts w:ascii="Arial" w:cs="Arial" w:eastAsia="Arial" w:hAnsi="Arial"/>
          <w:sz w:val="16"/>
          <w:szCs w:val="16"/>
          <w:color w:val="634140"/>
        </w:rPr>
        <w:t>gl</w:t>
      </w:r>
      <w:r>
        <w:rPr>
          <w:rFonts w:ascii="PMingLiU" w:cs="PMingLiU" w:eastAsia="PMingLiU" w:hAnsi="PMingLiU"/>
          <w:sz w:val="16"/>
          <w:szCs w:val="16"/>
          <w:color w:val="634140"/>
        </w:rPr>
        <w:t/>
      </w:r>
      <w:r>
        <w:rPr>
          <w:rFonts w:ascii="Arial" w:cs="Arial" w:eastAsia="Arial" w:hAnsi="Arial"/>
          <w:sz w:val="16"/>
          <w:szCs w:val="16"/>
          <w:color w:val="634140"/>
        </w:rPr>
        <w:t>bctcjmnkclr</w:t>
      </w:r>
      <w:r>
        <w:rPr>
          <w:rFonts w:ascii="PMingLiU" w:cs="PMingLiU" w:eastAsia="PMingLiU" w:hAnsi="PMingLiU"/>
          <w:sz w:val="32"/>
          <w:szCs w:val="32"/>
          <w:color w:val="634140"/>
          <w:vertAlign w:val="subscript"/>
        </w:rPr>
        <w:t/>
      </w:r>
      <w:r>
        <w:rPr>
          <w:sz w:val="1"/>
          <w:szCs w:val="1"/>
          <w:color w:val="auto"/>
        </w:rPr>
        <w:drawing>
          <wp:inline distT="0" distB="0" distL="0" distR="0">
            <wp:extent cx="181610" cy="18161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9">
                      <a:extLst>
                        <a:ext uri="{28A0092B-C50C-407E-A947-70E740481C1C}"/>
                      </a:extLst>
                    </a:blip>
                    <a:srcRect/>
                    <a:stretch>
                      <a:fillRect/>
                    </a:stretch>
                  </pic:blipFill>
                  <pic:spPr bwMode="auto">
                    <a:xfrm>
                      <a:off x="0" y="0"/>
                      <a:ext cx="181610" cy="181610"/>
                    </a:xfrm>
                    <a:prstGeom prst="rect">
                      <a:avLst/>
                    </a:prstGeom>
                    <a:noFill/>
                    <a:ln>
                      <a:noFill/>
                    </a:ln>
                  </pic:spPr>
                </pic:pic>
              </a:graphicData>
            </a:graphic>
          </wp:inline>
        </w:drawing>
      </w:r>
      <w:r>
        <w:rPr>
          <w:rFonts w:ascii="Arial" w:cs="Arial" w:eastAsia="Arial" w:hAnsi="Arial"/>
          <w:sz w:val="16"/>
          <w:szCs w:val="16"/>
          <w:color w:val="634140"/>
        </w:rPr>
        <w:t>gl</w:t>
      </w:r>
      <w:r>
        <w:rPr>
          <w:rFonts w:ascii="PMingLiU" w:cs="PMingLiU" w:eastAsia="PMingLiU" w:hAnsi="PMingLiU"/>
          <w:sz w:val="16"/>
          <w:szCs w:val="16"/>
          <w:color w:val="634140"/>
        </w:rPr>
        <w:t/>
      </w:r>
      <w:r>
        <w:rPr>
          <w:rFonts w:ascii="Arial" w:cs="Arial" w:eastAsia="Arial" w:hAnsi="Arial"/>
          <w:sz w:val="16"/>
          <w:szCs w:val="16"/>
          <w:color w:val="634140"/>
        </w:rPr>
        <w:t>bctcjmnkclr</w:t>
      </w:r>
      <w:r>
        <w:rPr>
          <w:rFonts w:ascii="PMingLiU" w:cs="PMingLiU" w:eastAsia="PMingLiU" w:hAnsi="PMingLiU"/>
          <w:sz w:val="32"/>
          <w:szCs w:val="32"/>
          <w:color w:val="634140"/>
          <w:vertAlign w:val="subscript"/>
        </w:rPr>
        <w:t/>
      </w:r>
      <w:r>
        <w:rPr>
          <w:sz w:val="1"/>
          <w:szCs w:val="1"/>
          <w:color w:val="auto"/>
        </w:rPr>
        <w:drawing>
          <wp:inline distT="0" distB="0" distL="0" distR="0">
            <wp:extent cx="186055" cy="18605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0">
                      <a:extLst>
                        <a:ext uri="{28A0092B-C50C-407E-A947-70E740481C1C}"/>
                      </a:extLst>
                    </a:blip>
                    <a:srcRect/>
                    <a:stretch>
                      <a:fillRect/>
                    </a:stretch>
                  </pic:blipFill>
                  <pic:spPr bwMode="auto">
                    <a:xfrm>
                      <a:off x="0" y="0"/>
                      <a:ext cx="186055" cy="186055"/>
                    </a:xfrm>
                    <a:prstGeom prst="rect">
                      <a:avLst/>
                    </a:prstGeom>
                    <a:noFill/>
                    <a:ln>
                      <a:noFill/>
                    </a:ln>
                  </pic:spPr>
                </pic:pic>
              </a:graphicData>
            </a:graphic>
          </wp:inline>
        </w:drawing>
      </w:r>
      <w:r>
        <w:rPr>
          <w:rFonts w:ascii="Arial" w:cs="Arial" w:eastAsia="Arial" w:hAnsi="Arial"/>
          <w:sz w:val="16"/>
          <w:szCs w:val="16"/>
          <w:color w:val="634140"/>
        </w:rPr>
        <w:t>gbclrgficb</w:t>
      </w:r>
      <w:r>
        <w:rPr>
          <w:rFonts w:ascii="PMingLiU" w:cs="PMingLiU" w:eastAsia="PMingLiU" w:hAnsi="PMingLiU"/>
          <w:sz w:val="16"/>
          <w:szCs w:val="16"/>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31115</wp:posOffset>
            </wp:positionV>
            <wp:extent cx="203200" cy="356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1">
                      <a:extLst>
                        <a:ext uri="{28A0092B-C50C-407E-A947-70E740481C1C}"/>
                      </a:extLst>
                    </a:blip>
                    <a:srcRect/>
                    <a:stretch>
                      <a:fillRect/>
                    </a:stretch>
                  </pic:blipFill>
                  <pic:spPr bwMode="auto">
                    <a:xfrm>
                      <a:off x="0" y="0"/>
                      <a:ext cx="203200" cy="356870"/>
                    </a:xfrm>
                    <a:prstGeom prst="rect">
                      <a:avLst/>
                    </a:prstGeom>
                    <a:noFill/>
                  </pic:spPr>
                </pic:pic>
              </a:graphicData>
            </a:graphic>
          </wp:anchor>
        </w:drawing>
      </w:r>
    </w:p>
    <w:p>
      <w:pPr>
        <w:spacing w:after="0" w:line="387" w:lineRule="exact"/>
        <w:rPr>
          <w:sz w:val="20"/>
          <w:szCs w:val="20"/>
          <w:color w:val="auto"/>
        </w:rPr>
      </w:pPr>
    </w:p>
    <w:p>
      <w:pPr>
        <w:ind w:left="20"/>
        <w:spacing w:after="0" w:line="437" w:lineRule="exact"/>
        <w:rPr>
          <w:sz w:val="20"/>
          <w:szCs w:val="20"/>
          <w:color w:val="auto"/>
        </w:rPr>
      </w:pPr>
      <w:r>
        <w:rPr>
          <w:rFonts w:ascii="Arial" w:cs="Arial" w:eastAsia="Arial" w:hAnsi="Arial"/>
          <w:sz w:val="36"/>
          <w:szCs w:val="36"/>
          <w:color w:val="59BDB6"/>
        </w:rPr>
        <w:t>qcjcar</w:t>
      </w:r>
      <w:r>
        <w:rPr>
          <w:rFonts w:ascii="PMingLiU" w:cs="PMingLiU" w:eastAsia="PMingLiU" w:hAnsi="PMingLiU"/>
          <w:sz w:val="36"/>
          <w:szCs w:val="36"/>
          <w:color w:val="59BDB6"/>
        </w:rPr>
        <w:t/>
      </w:r>
      <w:r>
        <w:rPr>
          <w:rFonts w:ascii="Arial" w:cs="Arial" w:eastAsia="Arial" w:hAnsi="Arial"/>
          <w:sz w:val="36"/>
          <w:szCs w:val="36"/>
          <w:color w:val="59BDB6"/>
        </w:rPr>
        <w:t>lcu</w:t>
      </w:r>
      <w:r>
        <w:rPr>
          <w:rFonts w:ascii="PMingLiU" w:cs="PMingLiU" w:eastAsia="PMingLiU" w:hAnsi="PMingLiU"/>
          <w:sz w:val="36"/>
          <w:szCs w:val="36"/>
          <w:color w:val="59BDB6"/>
        </w:rPr>
        <w:t/>
      </w:r>
      <w:r>
        <w:rPr>
          <w:rFonts w:ascii="Arial" w:cs="Arial" w:eastAsia="Arial" w:hAnsi="Arial"/>
          <w:sz w:val="36"/>
          <w:szCs w:val="36"/>
          <w:color w:val="59BDB6"/>
        </w:rPr>
        <w:t>rcaflmjmew</w:t>
      </w:r>
      <w:r>
        <w:rPr>
          <w:rFonts w:ascii="PMingLiU" w:cs="PMingLiU" w:eastAsia="PMingLiU" w:hAnsi="PMingLiU"/>
          <w:sz w:val="36"/>
          <w:szCs w:val="36"/>
          <w:color w:val="59BDB6"/>
        </w:rPr>
        <w:t/>
      </w:r>
      <w:r>
        <w:rPr>
          <w:rFonts w:ascii="Arial" w:cs="Arial" w:eastAsia="Arial" w:hAnsi="Arial"/>
          <w:sz w:val="36"/>
          <w:szCs w:val="36"/>
          <w:color w:val="59BDB6"/>
        </w:rPr>
        <w:t>nj_rdmpkq</w:t>
      </w:r>
      <w:r>
        <w:rPr>
          <w:rFonts w:ascii="PMingLiU" w:cs="PMingLiU" w:eastAsia="PMingLiU" w:hAnsi="PMingLiU"/>
          <w:sz w:val="36"/>
          <w:szCs w:val="36"/>
          <w:color w:val="59BDB6"/>
        </w:rPr>
        <w:t/>
      </w:r>
      <w:r>
        <w:rPr>
          <w:rFonts w:ascii="Arial" w:cs="Arial" w:eastAsia="Arial" w:hAnsi="Arial"/>
          <w:sz w:val="36"/>
          <w:szCs w:val="36"/>
          <w:color w:val="59BDB6"/>
        </w:rPr>
        <w:t>ncpdmpk_lac</w:t>
      </w:r>
      <w:r>
        <w:rPr>
          <w:rFonts w:ascii="PMingLiU" w:cs="PMingLiU" w:eastAsia="PMingLiU" w:hAnsi="PMingLiU"/>
          <w:sz w:val="36"/>
          <w:szCs w:val="36"/>
          <w:color w:val="59BDB6"/>
        </w:rPr>
        <w:t/>
      </w:r>
      <w:r>
        <w:rPr>
          <w:rFonts w:ascii="Arial" w:cs="Arial" w:eastAsia="Arial" w:hAnsi="Arial"/>
          <w:sz w:val="36"/>
          <w:szCs w:val="36"/>
          <w:color w:val="59BDB6"/>
        </w:rPr>
        <w:t>_lb</w:t>
      </w:r>
      <w:r>
        <w:rPr>
          <w:rFonts w:ascii="PMingLiU" w:cs="PMingLiU" w:eastAsia="PMingLiU" w:hAnsi="PMingLiU"/>
          <w:sz w:val="36"/>
          <w:szCs w:val="36"/>
          <w:color w:val="59BDB6"/>
        </w:rPr>
        <w:t/>
      </w:r>
      <w:r>
        <w:rPr>
          <w:rFonts w:ascii="Arial" w:cs="Arial" w:eastAsia="Arial" w:hAnsi="Arial"/>
          <w:sz w:val="36"/>
          <w:szCs w:val="36"/>
          <w:color w:val="59BDB6"/>
        </w:rPr>
        <w:t>`pc_brf</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501"/>
        </w:trPr>
        <w:tc>
          <w:tcPr>
            <w:tcW w:w="1080" w:type="dxa"/>
            <w:vAlign w:val="bottom"/>
            <w:shd w:val="clear" w:color="auto" w:fill="59BDB6"/>
          </w:tcPr>
          <w:p>
            <w:pPr>
              <w:spacing w:after="0"/>
              <w:rPr>
                <w:sz w:val="24"/>
                <w:szCs w:val="24"/>
                <w:color w:val="auto"/>
              </w:rPr>
            </w:pPr>
          </w:p>
        </w:tc>
        <w:tc>
          <w:tcPr>
            <w:tcW w:w="180" w:type="dxa"/>
            <w:vAlign w:val="bottom"/>
            <w:shd w:val="clear" w:color="auto" w:fill="59BDB6"/>
          </w:tcPr>
          <w:p>
            <w:pPr>
              <w:spacing w:after="0"/>
              <w:rPr>
                <w:sz w:val="24"/>
                <w:szCs w:val="24"/>
                <w:color w:val="auto"/>
              </w:rPr>
            </w:pPr>
          </w:p>
        </w:tc>
        <w:tc>
          <w:tcPr>
            <w:tcW w:w="2000" w:type="dxa"/>
            <w:vAlign w:val="bottom"/>
            <w:gridSpan w:val="4"/>
            <w:shd w:val="clear" w:color="auto" w:fill="59BDB6"/>
          </w:tcPr>
          <w:p>
            <w:pPr>
              <w:ind w:left="120"/>
              <w:spacing w:after="0"/>
              <w:rPr>
                <w:sz w:val="20"/>
                <w:szCs w:val="20"/>
                <w:color w:val="auto"/>
              </w:rPr>
            </w:pPr>
            <w:r>
              <w:rPr>
                <w:rFonts w:ascii="Arial" w:cs="Arial" w:eastAsia="Arial" w:hAnsi="Arial"/>
                <w:sz w:val="24"/>
                <w:szCs w:val="24"/>
                <w:b w:val="1"/>
                <w:bCs w:val="1"/>
                <w:color w:val="FFFFFF"/>
              </w:rPr>
              <w:t>XZS</w:t>
            </w:r>
          </w:p>
        </w:tc>
        <w:tc>
          <w:tcPr>
            <w:tcW w:w="140" w:type="dxa"/>
            <w:vAlign w:val="bottom"/>
          </w:tcPr>
          <w:p>
            <w:pPr>
              <w:spacing w:after="0"/>
              <w:rPr>
                <w:sz w:val="24"/>
                <w:szCs w:val="24"/>
                <w:color w:val="auto"/>
              </w:rPr>
            </w:pPr>
          </w:p>
        </w:tc>
        <w:tc>
          <w:tcPr>
            <w:tcW w:w="3260" w:type="dxa"/>
            <w:vAlign w:val="bottom"/>
            <w:gridSpan w:val="5"/>
            <w:shd w:val="clear" w:color="auto" w:fill="59BDB6"/>
          </w:tcPr>
          <w:p>
            <w:pPr>
              <w:ind w:left="880"/>
              <w:spacing w:after="0" w:line="291" w:lineRule="exact"/>
              <w:rPr>
                <w:sz w:val="20"/>
                <w:szCs w:val="20"/>
                <w:color w:val="auto"/>
              </w:rPr>
            </w:pPr>
            <w:r>
              <w:rPr>
                <w:rFonts w:ascii="Arial" w:cs="Arial" w:eastAsia="Arial" w:hAnsi="Arial"/>
                <w:sz w:val="24"/>
                <w:szCs w:val="24"/>
                <w:b w:val="1"/>
                <w:bCs w:val="1"/>
                <w:color w:val="FFFFFF"/>
              </w:rPr>
              <w:t>qsncp</w:t>
            </w:r>
            <w:r>
              <w:rPr>
                <w:rFonts w:ascii="PMingLiU" w:cs="PMingLiU" w:eastAsia="PMingLiU" w:hAnsi="PMingLiU"/>
                <w:sz w:val="24"/>
                <w:szCs w:val="24"/>
                <w:b w:val="1"/>
                <w:bCs w:val="1"/>
                <w:color w:val="FFFFFF"/>
              </w:rPr>
              <w:t/>
            </w:r>
            <w:r>
              <w:rPr>
                <w:rFonts w:ascii="Arial" w:cs="Arial" w:eastAsia="Arial" w:hAnsi="Arial"/>
                <w:sz w:val="24"/>
                <w:szCs w:val="24"/>
                <w:b w:val="1"/>
                <w:bCs w:val="1"/>
                <w:color w:val="FFFFFF"/>
              </w:rPr>
              <w:t>ucrrcp</w:t>
            </w:r>
          </w:p>
        </w:tc>
        <w:tc>
          <w:tcPr>
            <w:tcW w:w="140" w:type="dxa"/>
            <w:vAlign w:val="bottom"/>
          </w:tcPr>
          <w:p>
            <w:pPr>
              <w:spacing w:after="0"/>
              <w:rPr>
                <w:sz w:val="24"/>
                <w:szCs w:val="24"/>
                <w:color w:val="auto"/>
              </w:rPr>
            </w:pPr>
          </w:p>
        </w:tc>
        <w:tc>
          <w:tcPr>
            <w:tcW w:w="640" w:type="dxa"/>
            <w:vAlign w:val="bottom"/>
            <w:shd w:val="clear" w:color="auto" w:fill="59BDB6"/>
          </w:tcPr>
          <w:p>
            <w:pPr>
              <w:spacing w:after="0"/>
              <w:rPr>
                <w:sz w:val="24"/>
                <w:szCs w:val="24"/>
                <w:color w:val="auto"/>
              </w:rPr>
            </w:pPr>
          </w:p>
        </w:tc>
        <w:tc>
          <w:tcPr>
            <w:tcW w:w="2560" w:type="dxa"/>
            <w:vAlign w:val="bottom"/>
            <w:gridSpan w:val="5"/>
            <w:shd w:val="clear" w:color="auto" w:fill="59BDB6"/>
          </w:tcPr>
          <w:p>
            <w:pPr>
              <w:ind w:left="120"/>
              <w:spacing w:after="0" w:line="291" w:lineRule="exact"/>
              <w:rPr>
                <w:sz w:val="20"/>
                <w:szCs w:val="20"/>
                <w:color w:val="auto"/>
              </w:rPr>
            </w:pPr>
            <w:r>
              <w:rPr>
                <w:rFonts w:ascii="Arial" w:cs="Arial" w:eastAsia="Arial" w:hAnsi="Arial"/>
                <w:sz w:val="24"/>
                <w:szCs w:val="24"/>
                <w:b w:val="1"/>
                <w:bCs w:val="1"/>
                <w:color w:val="FFFFFF"/>
              </w:rPr>
              <w:t>nL</w:t>
            </w:r>
            <w:r>
              <w:rPr>
                <w:rFonts w:ascii="PMingLiU" w:cs="PMingLiU" w:eastAsia="PMingLiU" w:hAnsi="PMingLiU"/>
                <w:sz w:val="24"/>
                <w:szCs w:val="24"/>
                <w:b w:val="1"/>
                <w:bCs w:val="1"/>
                <w:color w:val="FFFFFF"/>
              </w:rPr>
              <w:t/>
            </w:r>
            <w:r>
              <w:rPr>
                <w:rFonts w:ascii="Arial" w:cs="Arial" w:eastAsia="Arial" w:hAnsi="Arial"/>
                <w:sz w:val="24"/>
                <w:szCs w:val="24"/>
                <w:b w:val="1"/>
                <w:bCs w:val="1"/>
                <w:color w:val="FFFFFF"/>
              </w:rPr>
              <w:t>lcsrp_jgxcp</w:t>
            </w:r>
          </w:p>
        </w:tc>
      </w:tr>
      <w:tr>
        <w:trPr>
          <w:trHeight w:val="203"/>
        </w:trPr>
        <w:tc>
          <w:tcPr>
            <w:tcW w:w="1080" w:type="dxa"/>
            <w:vAlign w:val="bottom"/>
            <w:shd w:val="clear" w:color="auto" w:fill="59BDB6"/>
          </w:tcPr>
          <w:p>
            <w:pPr>
              <w:spacing w:after="0"/>
              <w:rPr>
                <w:sz w:val="17"/>
                <w:szCs w:val="17"/>
                <w:color w:val="auto"/>
              </w:rPr>
            </w:pPr>
          </w:p>
        </w:tc>
        <w:tc>
          <w:tcPr>
            <w:tcW w:w="180" w:type="dxa"/>
            <w:vAlign w:val="bottom"/>
            <w:shd w:val="clear" w:color="auto" w:fill="59BDB6"/>
          </w:tcPr>
          <w:p>
            <w:pPr>
              <w:spacing w:after="0"/>
              <w:rPr>
                <w:sz w:val="17"/>
                <w:szCs w:val="17"/>
                <w:color w:val="auto"/>
              </w:rPr>
            </w:pPr>
          </w:p>
        </w:tc>
        <w:tc>
          <w:tcPr>
            <w:tcW w:w="160" w:type="dxa"/>
            <w:vAlign w:val="bottom"/>
            <w:shd w:val="clear" w:color="auto" w:fill="59BDB6"/>
          </w:tcPr>
          <w:p>
            <w:pPr>
              <w:spacing w:after="0"/>
              <w:rPr>
                <w:sz w:val="17"/>
                <w:szCs w:val="17"/>
                <w:color w:val="auto"/>
              </w:rPr>
            </w:pPr>
          </w:p>
        </w:tc>
        <w:tc>
          <w:tcPr>
            <w:tcW w:w="340" w:type="dxa"/>
            <w:vAlign w:val="bottom"/>
            <w:shd w:val="clear" w:color="auto" w:fill="59BDB6"/>
          </w:tcPr>
          <w:p>
            <w:pPr>
              <w:spacing w:after="0"/>
              <w:rPr>
                <w:sz w:val="17"/>
                <w:szCs w:val="17"/>
                <w:color w:val="auto"/>
              </w:rPr>
            </w:pPr>
          </w:p>
        </w:tc>
        <w:tc>
          <w:tcPr>
            <w:tcW w:w="340" w:type="dxa"/>
            <w:vAlign w:val="bottom"/>
            <w:shd w:val="clear" w:color="auto" w:fill="59BDB6"/>
          </w:tcPr>
          <w:p>
            <w:pPr>
              <w:spacing w:after="0"/>
              <w:rPr>
                <w:sz w:val="17"/>
                <w:szCs w:val="17"/>
                <w:color w:val="auto"/>
              </w:rPr>
            </w:pPr>
          </w:p>
        </w:tc>
        <w:tc>
          <w:tcPr>
            <w:tcW w:w="1160" w:type="dxa"/>
            <w:vAlign w:val="bottom"/>
            <w:shd w:val="clear" w:color="auto" w:fill="59BDB6"/>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shd w:val="clear" w:color="auto" w:fill="59BDB6"/>
          </w:tcPr>
          <w:p>
            <w:pPr>
              <w:spacing w:after="0"/>
              <w:rPr>
                <w:sz w:val="17"/>
                <w:szCs w:val="17"/>
                <w:color w:val="auto"/>
              </w:rPr>
            </w:pPr>
          </w:p>
        </w:tc>
        <w:tc>
          <w:tcPr>
            <w:tcW w:w="340" w:type="dxa"/>
            <w:vAlign w:val="bottom"/>
            <w:shd w:val="clear" w:color="auto" w:fill="59BDB6"/>
          </w:tcPr>
          <w:p>
            <w:pPr>
              <w:spacing w:after="0"/>
              <w:rPr>
                <w:sz w:val="17"/>
                <w:szCs w:val="17"/>
                <w:color w:val="auto"/>
              </w:rPr>
            </w:pPr>
          </w:p>
        </w:tc>
        <w:tc>
          <w:tcPr>
            <w:tcW w:w="340" w:type="dxa"/>
            <w:vAlign w:val="bottom"/>
            <w:shd w:val="clear" w:color="auto" w:fill="59BDB6"/>
          </w:tcPr>
          <w:p>
            <w:pPr>
              <w:spacing w:after="0"/>
              <w:rPr>
                <w:sz w:val="17"/>
                <w:szCs w:val="17"/>
                <w:color w:val="auto"/>
              </w:rPr>
            </w:pPr>
          </w:p>
        </w:tc>
        <w:tc>
          <w:tcPr>
            <w:tcW w:w="340" w:type="dxa"/>
            <w:vAlign w:val="bottom"/>
            <w:shd w:val="clear" w:color="auto" w:fill="59BDB6"/>
          </w:tcPr>
          <w:p>
            <w:pPr>
              <w:spacing w:after="0"/>
              <w:rPr>
                <w:sz w:val="17"/>
                <w:szCs w:val="17"/>
                <w:color w:val="auto"/>
              </w:rPr>
            </w:pPr>
          </w:p>
        </w:tc>
        <w:tc>
          <w:tcPr>
            <w:tcW w:w="1100" w:type="dxa"/>
            <w:vAlign w:val="bottom"/>
            <w:shd w:val="clear" w:color="auto" w:fill="59BDB6"/>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shd w:val="clear" w:color="auto" w:fill="59BDB6"/>
          </w:tcPr>
          <w:p>
            <w:pPr>
              <w:spacing w:after="0"/>
              <w:rPr>
                <w:sz w:val="17"/>
                <w:szCs w:val="17"/>
                <w:color w:val="auto"/>
              </w:rPr>
            </w:pPr>
          </w:p>
        </w:tc>
        <w:tc>
          <w:tcPr>
            <w:tcW w:w="480" w:type="dxa"/>
            <w:vAlign w:val="bottom"/>
            <w:shd w:val="clear" w:color="auto" w:fill="59BDB6"/>
          </w:tcPr>
          <w:p>
            <w:pPr>
              <w:spacing w:after="0"/>
              <w:rPr>
                <w:sz w:val="17"/>
                <w:szCs w:val="17"/>
                <w:color w:val="auto"/>
              </w:rPr>
            </w:pPr>
          </w:p>
        </w:tc>
        <w:tc>
          <w:tcPr>
            <w:tcW w:w="340" w:type="dxa"/>
            <w:vAlign w:val="bottom"/>
            <w:shd w:val="clear" w:color="auto" w:fill="59BDB6"/>
          </w:tcPr>
          <w:p>
            <w:pPr>
              <w:spacing w:after="0"/>
              <w:rPr>
                <w:sz w:val="17"/>
                <w:szCs w:val="17"/>
                <w:color w:val="auto"/>
              </w:rPr>
            </w:pPr>
          </w:p>
        </w:tc>
        <w:tc>
          <w:tcPr>
            <w:tcW w:w="340" w:type="dxa"/>
            <w:vAlign w:val="bottom"/>
            <w:shd w:val="clear" w:color="auto" w:fill="59BDB6"/>
          </w:tcPr>
          <w:p>
            <w:pPr>
              <w:spacing w:after="0"/>
              <w:rPr>
                <w:sz w:val="17"/>
                <w:szCs w:val="17"/>
                <w:color w:val="auto"/>
              </w:rPr>
            </w:pPr>
          </w:p>
        </w:tc>
        <w:tc>
          <w:tcPr>
            <w:tcW w:w="340" w:type="dxa"/>
            <w:vAlign w:val="bottom"/>
            <w:shd w:val="clear" w:color="auto" w:fill="59BDB6"/>
          </w:tcPr>
          <w:p>
            <w:pPr>
              <w:spacing w:after="0"/>
              <w:rPr>
                <w:sz w:val="17"/>
                <w:szCs w:val="17"/>
                <w:color w:val="auto"/>
              </w:rPr>
            </w:pPr>
          </w:p>
        </w:tc>
        <w:tc>
          <w:tcPr>
            <w:tcW w:w="1060" w:type="dxa"/>
            <w:vAlign w:val="bottom"/>
            <w:shd w:val="clear" w:color="auto" w:fill="59BDB6"/>
          </w:tcPr>
          <w:p>
            <w:pPr>
              <w:spacing w:after="0"/>
              <w:rPr>
                <w:sz w:val="17"/>
                <w:szCs w:val="17"/>
                <w:color w:val="auto"/>
              </w:rPr>
            </w:pPr>
          </w:p>
        </w:tc>
      </w:tr>
      <w:tr>
        <w:trPr>
          <w:trHeight w:val="492"/>
        </w:trPr>
        <w:tc>
          <w:tcPr>
            <w:tcW w:w="1260" w:type="dxa"/>
            <w:vAlign w:val="bottom"/>
            <w:gridSpan w:val="2"/>
          </w:tcPr>
          <w:p>
            <w:pPr>
              <w:jc w:val="center"/>
              <w:ind w:left="329"/>
              <w:spacing w:after="0"/>
              <w:rPr>
                <w:sz w:val="20"/>
                <w:szCs w:val="20"/>
                <w:color w:val="auto"/>
              </w:rPr>
            </w:pPr>
            <w:r>
              <w:rPr>
                <w:rFonts w:ascii="Arial" w:cs="Arial" w:eastAsia="Arial" w:hAnsi="Arial"/>
                <w:sz w:val="14"/>
                <w:szCs w:val="14"/>
                <w:color w:val="634140"/>
                <w:w w:val="86"/>
              </w:rPr>
              <w:t>mjgemkcpq</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4"/>
                <w:szCs w:val="14"/>
                <w:color w:val="634140"/>
              </w:rPr>
              <w:t>bcrcpeclrq</w:t>
            </w:r>
          </w:p>
        </w:tc>
        <w:tc>
          <w:tcPr>
            <w:tcW w:w="1480" w:type="dxa"/>
            <w:vAlign w:val="bottom"/>
            <w:gridSpan w:val="2"/>
          </w:tcPr>
          <w:p>
            <w:pPr>
              <w:jc w:val="center"/>
              <w:ind w:left="219"/>
              <w:spacing w:after="0" w:line="170" w:lineRule="exact"/>
              <w:rPr>
                <w:sz w:val="20"/>
                <w:szCs w:val="20"/>
                <w:color w:val="auto"/>
              </w:rPr>
            </w:pPr>
            <w:r>
              <w:rPr>
                <w:rFonts w:ascii="Arial" w:cs="Arial" w:eastAsia="Arial" w:hAnsi="Arial"/>
                <w:sz w:val="14"/>
                <w:szCs w:val="14"/>
                <w:color w:val="634140"/>
                <w:w w:val="90"/>
              </w:rPr>
              <w:t>pcnj_ac</w:t>
            </w:r>
            <w:r>
              <w:rPr>
                <w:rFonts w:ascii="PMingLiU" w:cs="PMingLiU" w:eastAsia="PMingLiU" w:hAnsi="PMingLiU"/>
                <w:sz w:val="14"/>
                <w:szCs w:val="14"/>
                <w:color w:val="634140"/>
                <w:w w:val="90"/>
              </w:rPr>
              <w:t/>
            </w:r>
            <w:r>
              <w:rPr>
                <w:rFonts w:ascii="Arial" w:cs="Arial" w:eastAsia="Arial" w:hAnsi="Arial"/>
                <w:sz w:val="14"/>
                <w:szCs w:val="14"/>
                <w:color w:val="634140"/>
                <w:w w:val="90"/>
              </w:rPr>
              <w:t>qgjgamlc5</w:t>
            </w:r>
          </w:p>
        </w:tc>
        <w:tc>
          <w:tcPr>
            <w:tcW w:w="340" w:type="dxa"/>
            <w:vAlign w:val="bottom"/>
          </w:tcPr>
          <w:p>
            <w:pPr>
              <w:spacing w:after="0"/>
              <w:rPr>
                <w:sz w:val="24"/>
                <w:szCs w:val="24"/>
                <w:color w:val="auto"/>
              </w:rPr>
            </w:pPr>
          </w:p>
        </w:tc>
        <w:tc>
          <w:tcPr>
            <w:tcW w:w="1580" w:type="dxa"/>
            <w:vAlign w:val="bottom"/>
            <w:gridSpan w:val="3"/>
          </w:tcPr>
          <w:p>
            <w:pPr>
              <w:jc w:val="center"/>
              <w:ind w:right="720"/>
              <w:spacing w:after="0"/>
              <w:rPr>
                <w:sz w:val="20"/>
                <w:szCs w:val="20"/>
                <w:color w:val="auto"/>
              </w:rPr>
            </w:pPr>
            <w:r>
              <w:rPr>
                <w:rFonts w:ascii="Arial" w:cs="Arial" w:eastAsia="Arial" w:hAnsi="Arial"/>
                <w:sz w:val="14"/>
                <w:szCs w:val="14"/>
                <w:color w:val="634140"/>
              </w:rPr>
              <w:t>ajc_lcpq</w:t>
            </w:r>
          </w:p>
        </w:tc>
        <w:tc>
          <w:tcPr>
            <w:tcW w:w="64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4"/>
                <w:szCs w:val="14"/>
                <w:color w:val="634140"/>
              </w:rPr>
              <w:t>`sffcp</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center"/>
              <w:ind w:right="469"/>
              <w:spacing w:after="0"/>
              <w:rPr>
                <w:sz w:val="20"/>
                <w:szCs w:val="20"/>
                <w:color w:val="auto"/>
              </w:rPr>
            </w:pPr>
            <w:r>
              <w:rPr>
                <w:rFonts w:ascii="Arial" w:cs="Arial" w:eastAsia="Arial" w:hAnsi="Arial"/>
                <w:sz w:val="14"/>
                <w:szCs w:val="14"/>
                <w:color w:val="634140"/>
              </w:rPr>
              <w:t>`sffcp</w:t>
            </w:r>
          </w:p>
        </w:tc>
      </w:tr>
      <w:tr>
        <w:trPr>
          <w:trHeight w:val="168"/>
        </w:trPr>
        <w:tc>
          <w:tcPr>
            <w:tcW w:w="1260" w:type="dxa"/>
            <w:vAlign w:val="bottom"/>
            <w:gridSpan w:val="2"/>
          </w:tcPr>
          <w:p>
            <w:pPr>
              <w:jc w:val="center"/>
              <w:ind w:left="329"/>
              <w:spacing w:after="0"/>
              <w:rPr>
                <w:sz w:val="20"/>
                <w:szCs w:val="20"/>
                <w:color w:val="auto"/>
              </w:rPr>
            </w:pPr>
            <w:r>
              <w:rPr>
                <w:rFonts w:ascii="Arial" w:cs="Arial" w:eastAsia="Arial" w:hAnsi="Arial"/>
                <w:sz w:val="14"/>
                <w:szCs w:val="14"/>
                <w:color w:val="634140"/>
                <w:w w:val="84"/>
              </w:rPr>
              <w:t>+GEWI,</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3"/>
          </w:tcPr>
          <w:p>
            <w:pPr>
              <w:jc w:val="center"/>
              <w:ind w:right="780"/>
              <w:spacing w:after="0" w:line="169" w:lineRule="exact"/>
              <w:rPr>
                <w:sz w:val="20"/>
                <w:szCs w:val="20"/>
                <w:color w:val="auto"/>
              </w:rPr>
            </w:pPr>
            <w:r>
              <w:rPr>
                <w:rFonts w:ascii="Arial" w:cs="Arial" w:eastAsia="Arial" w:hAnsi="Arial"/>
                <w:sz w:val="14"/>
                <w:szCs w:val="14"/>
                <w:color w:val="634140"/>
              </w:rPr>
              <w:t>+fmkc</w:t>
            </w:r>
            <w:r>
              <w:rPr>
                <w:rFonts w:ascii="PMingLiU" w:cs="PMingLiU" w:eastAsia="PMingLiU" w:hAnsi="PMingLiU"/>
                <w:sz w:val="14"/>
                <w:szCs w:val="14"/>
                <w:color w:val="634140"/>
              </w:rPr>
              <w:t/>
            </w:r>
            <w:r>
              <w:rPr>
                <w:rFonts w:ascii="Arial" w:cs="Arial" w:eastAsia="Arial" w:hAnsi="Arial"/>
                <w:sz w:val="14"/>
                <w:szCs w:val="14"/>
                <w:color w:val="634140"/>
              </w:rPr>
              <w:t>a_pc,</w:t>
            </w:r>
          </w:p>
        </w:tc>
        <w:tc>
          <w:tcPr>
            <w:tcW w:w="1480" w:type="dxa"/>
            <w:vAlign w:val="bottom"/>
            <w:gridSpan w:val="2"/>
          </w:tcPr>
          <w:p>
            <w:pPr>
              <w:jc w:val="center"/>
              <w:ind w:left="239"/>
              <w:spacing w:after="0" w:line="169" w:lineRule="exact"/>
              <w:rPr>
                <w:sz w:val="20"/>
                <w:szCs w:val="20"/>
                <w:color w:val="auto"/>
              </w:rPr>
            </w:pPr>
            <w:r>
              <w:rPr>
                <w:rFonts w:ascii="Arial" w:cs="Arial" w:eastAsia="Arial" w:hAnsi="Arial"/>
                <w:sz w:val="14"/>
                <w:szCs w:val="14"/>
                <w:color w:val="634140"/>
                <w:w w:val="86"/>
              </w:rPr>
              <w:t>TJEW</w:t>
            </w:r>
            <w:r>
              <w:rPr>
                <w:rFonts w:ascii="PMingLiU" w:cs="PMingLiU" w:eastAsia="PMingLiU" w:hAnsi="PMingLiU"/>
                <w:sz w:val="14"/>
                <w:szCs w:val="14"/>
                <w:color w:val="634140"/>
                <w:w w:val="86"/>
              </w:rPr>
              <w:t/>
            </w:r>
            <w:r>
              <w:rPr>
                <w:rFonts w:ascii="Arial" w:cs="Arial" w:eastAsia="Arial" w:hAnsi="Arial"/>
                <w:sz w:val="14"/>
                <w:szCs w:val="14"/>
                <w:color w:val="634140"/>
                <w:w w:val="86"/>
              </w:rPr>
              <w:t>+GEWI,</w:t>
            </w:r>
          </w:p>
        </w:tc>
        <w:tc>
          <w:tcPr>
            <w:tcW w:w="340" w:type="dxa"/>
            <w:vAlign w:val="bottom"/>
          </w:tcPr>
          <w:p>
            <w:pPr>
              <w:spacing w:after="0"/>
              <w:rPr>
                <w:sz w:val="14"/>
                <w:szCs w:val="14"/>
                <w:color w:val="auto"/>
              </w:rPr>
            </w:pPr>
          </w:p>
        </w:tc>
        <w:tc>
          <w:tcPr>
            <w:tcW w:w="1580" w:type="dxa"/>
            <w:vAlign w:val="bottom"/>
            <w:gridSpan w:val="3"/>
          </w:tcPr>
          <w:p>
            <w:pPr>
              <w:jc w:val="center"/>
              <w:ind w:right="720"/>
              <w:spacing w:after="0" w:line="169" w:lineRule="exact"/>
              <w:rPr>
                <w:sz w:val="20"/>
                <w:szCs w:val="20"/>
                <w:color w:val="auto"/>
              </w:rPr>
            </w:pPr>
            <w:r>
              <w:rPr>
                <w:rFonts w:ascii="Arial" w:cs="Arial" w:eastAsia="Arial" w:hAnsi="Arial"/>
                <w:sz w:val="14"/>
                <w:szCs w:val="14"/>
                <w:color w:val="634140"/>
              </w:rPr>
              <w:t>+fmkc</w:t>
            </w:r>
            <w:r>
              <w:rPr>
                <w:rFonts w:ascii="PMingLiU" w:cs="PMingLiU" w:eastAsia="PMingLiU" w:hAnsi="PMingLiU"/>
                <w:sz w:val="14"/>
                <w:szCs w:val="14"/>
                <w:color w:val="634140"/>
              </w:rPr>
              <w:t/>
            </w:r>
            <w:r>
              <w:rPr>
                <w:rFonts w:ascii="Arial" w:cs="Arial" w:eastAsia="Arial" w:hAnsi="Arial"/>
                <w:sz w:val="14"/>
                <w:szCs w:val="14"/>
                <w:color w:val="634140"/>
              </w:rPr>
              <w:t>a_pc,</w:t>
            </w:r>
          </w:p>
        </w:tc>
        <w:tc>
          <w:tcPr>
            <w:tcW w:w="6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color w:val="634140"/>
              </w:rPr>
              <w:t>+Q[J,</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469"/>
              <w:spacing w:after="0" w:line="169" w:lineRule="exact"/>
              <w:rPr>
                <w:sz w:val="20"/>
                <w:szCs w:val="20"/>
                <w:color w:val="auto"/>
              </w:rPr>
            </w:pPr>
            <w:r>
              <w:rPr>
                <w:rFonts w:ascii="Arial" w:cs="Arial" w:eastAsia="Arial" w:hAnsi="Arial"/>
                <w:sz w:val="14"/>
                <w:szCs w:val="14"/>
                <w:color w:val="634140"/>
              </w:rPr>
              <w:t>+fmkc</w:t>
            </w:r>
            <w:r>
              <w:rPr>
                <w:rFonts w:ascii="PMingLiU" w:cs="PMingLiU" w:eastAsia="PMingLiU" w:hAnsi="PMingLiU"/>
                <w:sz w:val="14"/>
                <w:szCs w:val="14"/>
                <w:color w:val="634140"/>
              </w:rPr>
              <w:t/>
            </w:r>
            <w:r>
              <w:rPr>
                <w:rFonts w:ascii="Arial" w:cs="Arial" w:eastAsia="Arial" w:hAnsi="Arial"/>
                <w:sz w:val="14"/>
                <w:szCs w:val="14"/>
                <w:color w:val="634140"/>
              </w:rPr>
              <w:t>a_pc,</w:t>
            </w:r>
          </w:p>
        </w:tc>
      </w:tr>
      <w:tr>
        <w:trPr>
          <w:trHeight w:val="860"/>
        </w:trPr>
        <w:tc>
          <w:tcPr>
            <w:tcW w:w="1260" w:type="dxa"/>
            <w:vAlign w:val="bottom"/>
            <w:gridSpan w:val="2"/>
          </w:tcPr>
          <w:p>
            <w:pPr>
              <w:ind w:left="160"/>
              <w:spacing w:after="0"/>
              <w:rPr>
                <w:sz w:val="20"/>
                <w:szCs w:val="20"/>
                <w:color w:val="auto"/>
              </w:rPr>
            </w:pPr>
            <w:r>
              <w:rPr>
                <w:rFonts w:ascii="Arial" w:cs="Arial" w:eastAsia="Arial" w:hAnsi="Arial"/>
                <w:sz w:val="14"/>
                <w:szCs w:val="14"/>
                <w:color w:val="634140"/>
              </w:rPr>
              <w:t>_jiwbq</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jc w:val="center"/>
              <w:ind w:right="80"/>
              <w:spacing w:after="0" w:line="170" w:lineRule="exact"/>
              <w:rPr>
                <w:sz w:val="20"/>
                <w:szCs w:val="20"/>
                <w:color w:val="auto"/>
              </w:rPr>
            </w:pPr>
            <w:r>
              <w:rPr>
                <w:rFonts w:ascii="Arial" w:cs="Arial" w:eastAsia="Arial" w:hAnsi="Arial"/>
                <w:sz w:val="14"/>
                <w:szCs w:val="14"/>
                <w:color w:val="634140"/>
                <w:w w:val="88"/>
              </w:rPr>
              <w:t>dg k</w:t>
            </w:r>
            <w:r>
              <w:rPr>
                <w:rFonts w:ascii="PMingLiU" w:cs="PMingLiU" w:eastAsia="PMingLiU" w:hAnsi="PMingLiU"/>
                <w:sz w:val="14"/>
                <w:szCs w:val="14"/>
                <w:color w:val="634140"/>
                <w:w w:val="88"/>
              </w:rPr>
              <w:t/>
            </w:r>
            <w:r>
              <w:rPr>
                <w:rFonts w:ascii="Arial" w:cs="Arial" w:eastAsia="Arial" w:hAnsi="Arial"/>
                <w:sz w:val="14"/>
                <w:szCs w:val="14"/>
                <w:color w:val="634140"/>
                <w:w w:val="88"/>
              </w:rPr>
              <w:t>dmpkcpq</w:t>
            </w: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color w:val="634140"/>
              </w:rPr>
              <w:t>ucrrgle</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634140"/>
                <w:w w:val="99"/>
              </w:rPr>
              <w:t>qspd_ar_lr</w:t>
            </w:r>
          </w:p>
        </w:tc>
        <w:tc>
          <w:tcPr>
            <w:tcW w:w="640" w:type="dxa"/>
            <w:vAlign w:val="bottom"/>
          </w:tcPr>
          <w:p>
            <w:pPr>
              <w:jc w:val="center"/>
              <w:ind w:left="89"/>
              <w:spacing w:after="0"/>
              <w:rPr>
                <w:sz w:val="20"/>
                <w:szCs w:val="20"/>
                <w:color w:val="auto"/>
              </w:rPr>
            </w:pPr>
            <w:r>
              <w:rPr>
                <w:rFonts w:ascii="Arial" w:cs="Arial" w:eastAsia="Arial" w:hAnsi="Arial"/>
                <w:sz w:val="14"/>
                <w:szCs w:val="14"/>
                <w:color w:val="634140"/>
              </w:rPr>
              <w:t>`sffcp</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634140"/>
              </w:rPr>
              <w:t>`sffcp</w:t>
            </w:r>
          </w:p>
        </w:tc>
      </w:tr>
      <w:tr>
        <w:trPr>
          <w:trHeight w:val="168"/>
        </w:trPr>
        <w:tc>
          <w:tcPr>
            <w:tcW w:w="1260" w:type="dxa"/>
            <w:vAlign w:val="bottom"/>
            <w:gridSpan w:val="2"/>
          </w:tcPr>
          <w:p>
            <w:pPr>
              <w:ind w:left="160"/>
              <w:spacing w:after="0"/>
              <w:rPr>
                <w:sz w:val="20"/>
                <w:szCs w:val="20"/>
                <w:color w:val="auto"/>
              </w:rPr>
            </w:pPr>
            <w:r>
              <w:rPr>
                <w:rFonts w:ascii="Arial" w:cs="Arial" w:eastAsia="Arial" w:hAnsi="Arial"/>
                <w:sz w:val="14"/>
                <w:szCs w:val="14"/>
                <w:color w:val="634140"/>
              </w:rPr>
              <w:t>+GEWI,</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center"/>
              <w:ind w:right="80"/>
              <w:spacing w:after="0" w:line="169" w:lineRule="exact"/>
              <w:rPr>
                <w:sz w:val="20"/>
                <w:szCs w:val="20"/>
                <w:color w:val="auto"/>
              </w:rPr>
            </w:pPr>
            <w:r>
              <w:rPr>
                <w:rFonts w:ascii="Arial" w:cs="Arial" w:eastAsia="Arial" w:hAnsi="Arial"/>
                <w:sz w:val="14"/>
                <w:szCs w:val="14"/>
                <w:color w:val="634140"/>
                <w:w w:val="95"/>
              </w:rPr>
              <w:t>+ncpqml_j</w:t>
            </w:r>
            <w:r>
              <w:rPr>
                <w:rFonts w:ascii="PMingLiU" w:cs="PMingLiU" w:eastAsia="PMingLiU" w:hAnsi="PMingLiU"/>
                <w:sz w:val="14"/>
                <w:szCs w:val="14"/>
                <w:color w:val="634140"/>
                <w:w w:val="95"/>
              </w:rPr>
              <w:t/>
            </w:r>
            <w:r>
              <w:rPr>
                <w:rFonts w:ascii="Arial" w:cs="Arial" w:eastAsia="Arial" w:hAnsi="Arial"/>
                <w:sz w:val="14"/>
                <w:szCs w:val="14"/>
                <w:color w:val="634140"/>
                <w:w w:val="95"/>
              </w:rPr>
              <w:t>a_pc,</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color w:val="634140"/>
                <w:w w:val="84"/>
              </w:rPr>
              <w:t>+GEWI,</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140"/>
              <w:spacing w:after="0" w:line="169" w:lineRule="exact"/>
              <w:rPr>
                <w:sz w:val="20"/>
                <w:szCs w:val="20"/>
                <w:color w:val="auto"/>
              </w:rPr>
            </w:pPr>
            <w:r>
              <w:rPr>
                <w:rFonts w:ascii="Arial" w:cs="Arial" w:eastAsia="Arial" w:hAnsi="Arial"/>
                <w:sz w:val="14"/>
                <w:szCs w:val="14"/>
                <w:color w:val="634140"/>
                <w:w w:val="95"/>
              </w:rPr>
              <w:t>+ncpqml_j</w:t>
            </w:r>
            <w:r>
              <w:rPr>
                <w:rFonts w:ascii="PMingLiU" w:cs="PMingLiU" w:eastAsia="PMingLiU" w:hAnsi="PMingLiU"/>
                <w:sz w:val="14"/>
                <w:szCs w:val="14"/>
                <w:color w:val="634140"/>
                <w:w w:val="95"/>
              </w:rPr>
              <w:t/>
            </w:r>
            <w:r>
              <w:rPr>
                <w:rFonts w:ascii="Arial" w:cs="Arial" w:eastAsia="Arial" w:hAnsi="Arial"/>
                <w:sz w:val="14"/>
                <w:szCs w:val="14"/>
                <w:color w:val="634140"/>
                <w:w w:val="95"/>
              </w:rPr>
              <w:t>a_pc,</w:t>
            </w:r>
          </w:p>
        </w:tc>
        <w:tc>
          <w:tcPr>
            <w:tcW w:w="640" w:type="dxa"/>
            <w:vAlign w:val="bottom"/>
          </w:tcPr>
          <w:p>
            <w:pPr>
              <w:jc w:val="center"/>
              <w:ind w:left="109"/>
              <w:spacing w:after="0"/>
              <w:rPr>
                <w:sz w:val="20"/>
                <w:szCs w:val="20"/>
                <w:color w:val="auto"/>
              </w:rPr>
            </w:pPr>
            <w:r>
              <w:rPr>
                <w:rFonts w:ascii="Arial" w:cs="Arial" w:eastAsia="Arial" w:hAnsi="Arial"/>
                <w:sz w:val="14"/>
                <w:szCs w:val="14"/>
                <w:color w:val="634140"/>
                <w:w w:val="84"/>
              </w:rPr>
              <w:t>+GEWI,</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center"/>
              <w:spacing w:after="0" w:line="169" w:lineRule="exact"/>
              <w:rPr>
                <w:sz w:val="20"/>
                <w:szCs w:val="20"/>
                <w:color w:val="auto"/>
              </w:rPr>
            </w:pPr>
            <w:r>
              <w:rPr>
                <w:rFonts w:ascii="Arial" w:cs="Arial" w:eastAsia="Arial" w:hAnsi="Arial"/>
                <w:sz w:val="14"/>
                <w:szCs w:val="14"/>
                <w:color w:val="634140"/>
                <w:w w:val="95"/>
              </w:rPr>
              <w:t>+ncpqml_j</w:t>
            </w:r>
            <w:r>
              <w:rPr>
                <w:rFonts w:ascii="PMingLiU" w:cs="PMingLiU" w:eastAsia="PMingLiU" w:hAnsi="PMingLiU"/>
                <w:sz w:val="14"/>
                <w:szCs w:val="14"/>
                <w:color w:val="634140"/>
                <w:w w:val="95"/>
              </w:rPr>
              <w:t/>
            </w:r>
            <w:r>
              <w:rPr>
                <w:rFonts w:ascii="Arial" w:cs="Arial" w:eastAsia="Arial" w:hAnsi="Arial"/>
                <w:sz w:val="14"/>
                <w:szCs w:val="14"/>
                <w:color w:val="634140"/>
                <w:w w:val="95"/>
              </w:rPr>
              <w:t>a_pc,</w:t>
            </w:r>
          </w:p>
        </w:tc>
      </w:tr>
      <w:tr>
        <w:trPr>
          <w:trHeight w:val="421"/>
        </w:trPr>
        <w:tc>
          <w:tcPr>
            <w:tcW w:w="1080" w:type="dxa"/>
            <w:vAlign w:val="bottom"/>
          </w:tcPr>
          <w:p>
            <w:pPr>
              <w:spacing w:after="0"/>
              <w:rPr>
                <w:sz w:val="24"/>
                <w:szCs w:val="24"/>
                <w:color w:val="auto"/>
              </w:rPr>
            </w:pPr>
          </w:p>
        </w:tc>
        <w:tc>
          <w:tcPr>
            <w:tcW w:w="180" w:type="dxa"/>
            <w:vAlign w:val="bottom"/>
            <w:tcBorders>
              <w:bottom w:val="single" w:sz="8" w:color="634140"/>
            </w:tcBorders>
          </w:tcPr>
          <w:p>
            <w:pPr>
              <w:spacing w:after="0"/>
              <w:rPr>
                <w:sz w:val="24"/>
                <w:szCs w:val="24"/>
                <w:color w:val="auto"/>
              </w:rPr>
            </w:pPr>
          </w:p>
        </w:tc>
        <w:tc>
          <w:tcPr>
            <w:tcW w:w="160" w:type="dxa"/>
            <w:vAlign w:val="bottom"/>
            <w:tcBorders>
              <w:bottom w:val="single" w:sz="8" w:color="634140"/>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bottom w:val="single" w:sz="8" w:color="634140"/>
            </w:tcBorders>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Borders>
              <w:bottom w:val="single" w:sz="8" w:color="634140"/>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bottom w:val="single" w:sz="8" w:color="634140"/>
            </w:tcBorders>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bottom w:val="single" w:sz="8" w:color="634140"/>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bottom w:val="single" w:sz="8" w:color="634140"/>
            </w:tcBorders>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-1446530</wp:posOffset>
            </wp:positionV>
            <wp:extent cx="6877685" cy="37452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2">
                      <a:extLst>
                        <a:ext uri="{28A0092B-C50C-407E-A947-70E740481C1C}"/>
                      </a:extLst>
                    </a:blip>
                    <a:srcRect/>
                    <a:stretch>
                      <a:fillRect/>
                    </a:stretch>
                  </pic:blipFill>
                  <pic:spPr bwMode="auto">
                    <a:xfrm>
                      <a:off x="0" y="0"/>
                      <a:ext cx="6877685" cy="374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line="270" w:lineRule="exact"/>
        <w:tabs>
          <w:tab w:leader="none" w:pos="3560" w:val="left"/>
          <w:tab w:leader="none" w:pos="6940" w:val="left"/>
        </w:tabs>
        <w:rPr>
          <w:sz w:val="20"/>
          <w:szCs w:val="20"/>
          <w:color w:val="auto"/>
        </w:rPr>
      </w:pPr>
      <w:r>
        <w:rPr>
          <w:rFonts w:ascii="Arial" w:cs="Arial" w:eastAsia="Arial" w:hAnsi="Arial"/>
          <w:sz w:val="14"/>
          <w:szCs w:val="14"/>
          <w:color w:val="634140"/>
        </w:rPr>
        <w:t>qccb</w:t>
      </w:r>
      <w:r>
        <w:rPr>
          <w:rFonts w:ascii="PMingLiU" w:cs="PMingLiU" w:eastAsia="PMingLiU" w:hAnsi="PMingLiU"/>
          <w:sz w:val="14"/>
          <w:szCs w:val="14"/>
          <w:color w:val="634140"/>
        </w:rPr>
        <w:t/>
      </w:r>
      <w:r>
        <w:rPr>
          <w:rFonts w:ascii="Arial" w:cs="Arial" w:eastAsia="Arial" w:hAnsi="Arial"/>
          <w:sz w:val="14"/>
          <w:szCs w:val="14"/>
          <w:color w:val="634140"/>
        </w:rPr>
        <w:t xml:space="preserve">am_rgle       </w:t>
      </w:r>
      <w:r>
        <w:rPr>
          <w:sz w:val="1"/>
          <w:szCs w:val="1"/>
          <w:color w:val="auto"/>
        </w:rPr>
        <w:drawing>
          <wp:inline distT="0" distB="0" distL="0" distR="0">
            <wp:extent cx="112395" cy="1524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3">
                      <a:extLst>
                        <a:ext uri="{28A0092B-C50C-407E-A947-70E740481C1C}"/>
                      </a:extLst>
                    </a:blip>
                    <a:srcRect/>
                    <a:stretch>
                      <a:fillRect/>
                    </a:stretch>
                  </pic:blipFill>
                  <pic:spPr bwMode="auto">
                    <a:xfrm>
                      <a:off x="0" y="0"/>
                      <a:ext cx="112395" cy="152400"/>
                    </a:xfrm>
                    <a:prstGeom prst="rect">
                      <a:avLst/>
                    </a:prstGeom>
                    <a:noFill/>
                    <a:ln>
                      <a:noFill/>
                    </a:ln>
                  </pic:spPr>
                </pic:pic>
              </a:graphicData>
            </a:graphic>
          </wp:inline>
        </w:drawing>
        <w:drawing>
          <wp:inline distT="0" distB="0" distL="0" distR="0">
            <wp:extent cx="91440" cy="11938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4">
                      <a:extLst>
                        <a:ext uri="{28A0092B-C50C-407E-A947-70E740481C1C}"/>
                      </a:extLst>
                    </a:blip>
                    <a:srcRect/>
                    <a:stretch>
                      <a:fillRect/>
                    </a:stretch>
                  </pic:blipFill>
                  <pic:spPr bwMode="auto">
                    <a:xfrm>
                      <a:off x="0" y="0"/>
                      <a:ext cx="91440" cy="119380"/>
                    </a:xfrm>
                    <a:prstGeom prst="rect">
                      <a:avLst/>
                    </a:prstGeom>
                    <a:noFill/>
                    <a:ln>
                      <a:noFill/>
                    </a:ln>
                  </pic:spPr>
                </pic:pic>
              </a:graphicData>
            </a:graphic>
          </wp:inline>
        </w:drawing>
      </w:r>
      <w:r>
        <w:rPr>
          <w:rFonts w:ascii="Arial" w:cs="Arial" w:eastAsia="Arial" w:hAnsi="Arial"/>
          <w:sz w:val="14"/>
          <w:szCs w:val="14"/>
          <w:color w:val="634140"/>
        </w:rPr>
        <w:t xml:space="preserve">    `gmnpmacqqgle</w:t>
      </w:r>
      <w:r>
        <w:rPr>
          <w:rFonts w:ascii="PMingLiU" w:cs="PMingLiU" w:eastAsia="PMingLiU" w:hAnsi="PMingLiU"/>
          <w:sz w:val="14"/>
          <w:szCs w:val="14"/>
          <w:color w:val="634140"/>
        </w:rPr>
        <w:t/>
      </w:r>
      <w:r>
        <w:rPr>
          <w:sz w:val="20"/>
          <w:szCs w:val="20"/>
          <w:color w:val="auto"/>
        </w:rPr>
        <w:tab/>
      </w:r>
      <w:r>
        <w:rPr>
          <w:rFonts w:ascii="Arial" w:cs="Arial" w:eastAsia="Arial" w:hAnsi="Arial"/>
          <w:sz w:val="14"/>
          <w:szCs w:val="14"/>
          <w:color w:val="634140"/>
        </w:rPr>
        <w:t xml:space="preserve">_bhst_lrq         </w:t>
      </w:r>
      <w:r>
        <w:rPr>
          <w:sz w:val="1"/>
          <w:szCs w:val="1"/>
          <w:color w:val="auto"/>
        </w:rPr>
        <w:drawing>
          <wp:inline distT="0" distB="0" distL="0" distR="0">
            <wp:extent cx="112395" cy="1524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5">
                      <a:extLst>
                        <a:ext uri="{28A0092B-C50C-407E-A947-70E740481C1C}"/>
                      </a:extLst>
                    </a:blip>
                    <a:srcRect/>
                    <a:stretch>
                      <a:fillRect/>
                    </a:stretch>
                  </pic:blipFill>
                  <pic:spPr bwMode="auto">
                    <a:xfrm>
                      <a:off x="0" y="0"/>
                      <a:ext cx="112395" cy="152400"/>
                    </a:xfrm>
                    <a:prstGeom prst="rect">
                      <a:avLst/>
                    </a:prstGeom>
                    <a:noFill/>
                    <a:ln>
                      <a:noFill/>
                    </a:ln>
                  </pic:spPr>
                </pic:pic>
              </a:graphicData>
            </a:graphic>
          </wp:inline>
        </w:drawing>
        <w:drawing>
          <wp:inline distT="0" distB="0" distL="0" distR="0">
            <wp:extent cx="91440" cy="11938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6">
                      <a:extLst>
                        <a:ext uri="{28A0092B-C50C-407E-A947-70E740481C1C}"/>
                      </a:extLst>
                    </a:blip>
                    <a:srcRect/>
                    <a:stretch>
                      <a:fillRect/>
                    </a:stretch>
                  </pic:blipFill>
                  <pic:spPr bwMode="auto">
                    <a:xfrm>
                      <a:off x="0" y="0"/>
                      <a:ext cx="91440" cy="119380"/>
                    </a:xfrm>
                    <a:prstGeom prst="rect">
                      <a:avLst/>
                    </a:prstGeom>
                    <a:noFill/>
                    <a:ln>
                      <a:noFill/>
                    </a:ln>
                  </pic:spPr>
                </pic:pic>
              </a:graphicData>
            </a:graphic>
          </wp:inline>
        </w:drawing>
      </w:r>
      <w:r>
        <w:rPr>
          <w:rFonts w:ascii="Arial" w:cs="Arial" w:eastAsia="Arial" w:hAnsi="Arial"/>
          <w:sz w:val="14"/>
          <w:szCs w:val="14"/>
          <w:color w:val="634140"/>
        </w:rPr>
        <w:t xml:space="preserve">      qmjs`gjgxcp</w:t>
      </w:r>
      <w:r>
        <w:rPr>
          <w:rFonts w:ascii="PMingLiU" w:cs="PMingLiU" w:eastAsia="PMingLiU" w:hAnsi="PMingLiU"/>
          <w:sz w:val="14"/>
          <w:szCs w:val="14"/>
          <w:color w:val="634140"/>
        </w:rPr>
        <w:t/>
      </w:r>
      <w:r>
        <w:rPr>
          <w:sz w:val="20"/>
          <w:szCs w:val="20"/>
          <w:color w:val="auto"/>
        </w:rPr>
        <w:tab/>
      </w:r>
      <w:r>
        <w:rPr>
          <w:rFonts w:ascii="Arial" w:cs="Arial" w:eastAsia="Arial" w:hAnsi="Arial"/>
          <w:sz w:val="14"/>
          <w:szCs w:val="14"/>
          <w:color w:val="634140"/>
        </w:rPr>
        <w:t xml:space="preserve">_bhst_lrq         </w:t>
      </w:r>
      <w:r>
        <w:rPr>
          <w:sz w:val="1"/>
          <w:szCs w:val="1"/>
          <w:color w:val="auto"/>
        </w:rPr>
        <w:drawing>
          <wp:inline distT="0" distB="0" distL="0" distR="0">
            <wp:extent cx="112395" cy="1524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7">
                      <a:extLst>
                        <a:ext uri="{28A0092B-C50C-407E-A947-70E740481C1C}"/>
                      </a:extLst>
                    </a:blip>
                    <a:srcRect/>
                    <a:stretch>
                      <a:fillRect/>
                    </a:stretch>
                  </pic:blipFill>
                  <pic:spPr bwMode="auto">
                    <a:xfrm>
                      <a:off x="0" y="0"/>
                      <a:ext cx="112395" cy="152400"/>
                    </a:xfrm>
                    <a:prstGeom prst="rect">
                      <a:avLst/>
                    </a:prstGeom>
                    <a:noFill/>
                    <a:ln>
                      <a:noFill/>
                    </a:ln>
                  </pic:spPr>
                </pic:pic>
              </a:graphicData>
            </a:graphic>
          </wp:inline>
        </w:drawing>
        <w:drawing>
          <wp:inline distT="0" distB="0" distL="0" distR="0">
            <wp:extent cx="91440" cy="11938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8">
                      <a:extLst>
                        <a:ext uri="{28A0092B-C50C-407E-A947-70E740481C1C}"/>
                      </a:extLst>
                    </a:blip>
                    <a:srcRect/>
                    <a:stretch>
                      <a:fillRect/>
                    </a:stretch>
                  </pic:blipFill>
                  <pic:spPr bwMode="auto">
                    <a:xfrm>
                      <a:off x="0" y="0"/>
                      <a:ext cx="91440" cy="119380"/>
                    </a:xfrm>
                    <a:prstGeom prst="rect">
                      <a:avLst/>
                    </a:prstGeom>
                    <a:noFill/>
                    <a:ln>
                      <a:noFill/>
                    </a:ln>
                  </pic:spPr>
                </pic:pic>
              </a:graphicData>
            </a:graphic>
          </wp:inline>
        </w:drawing>
      </w:r>
      <w:r>
        <w:rPr>
          <w:rFonts w:ascii="Arial" w:cs="Arial" w:eastAsia="Arial" w:hAnsi="Arial"/>
          <w:sz w:val="14"/>
          <w:szCs w:val="14"/>
          <w:color w:val="634140"/>
        </w:rPr>
        <w:t xml:space="preserve">      qmjs`gjgxcp</w:t>
      </w:r>
      <w:r>
        <w:rPr>
          <w:rFonts w:ascii="PMingLiU" w:cs="PMingLiU" w:eastAsia="PMingLiU" w:hAnsi="PMingLiU"/>
          <w:sz w:val="14"/>
          <w:szCs w:val="14"/>
          <w:color w:val="634140"/>
        </w:rPr>
        <w:t/>
      </w:r>
    </w:p>
    <w:p>
      <w:pPr>
        <w:ind w:left="180"/>
        <w:spacing w:after="0" w:line="285" w:lineRule="exact"/>
        <w:tabs>
          <w:tab w:leader="none" w:pos="3540" w:val="left"/>
          <w:tab w:leader="none" w:pos="6920" w:val="left"/>
        </w:tabs>
        <w:rPr>
          <w:sz w:val="20"/>
          <w:szCs w:val="20"/>
          <w:color w:val="auto"/>
        </w:rPr>
      </w:pPr>
      <w:r>
        <w:rPr>
          <w:rFonts w:ascii="Arial" w:cs="Arial" w:eastAsia="Arial" w:hAnsi="Arial"/>
          <w:sz w:val="14"/>
          <w:szCs w:val="14"/>
          <w:color w:val="634140"/>
        </w:rPr>
        <w:t>+apmn</w:t>
      </w:r>
      <w:r>
        <w:rPr>
          <w:rFonts w:ascii="PMingLiU" w:cs="PMingLiU" w:eastAsia="PMingLiU" w:hAnsi="PMingLiU"/>
          <w:sz w:val="14"/>
          <w:szCs w:val="14"/>
          <w:color w:val="634140"/>
        </w:rPr>
        <w:t/>
      </w:r>
      <w:r>
        <w:rPr>
          <w:rFonts w:ascii="Arial" w:cs="Arial" w:eastAsia="Arial" w:hAnsi="Arial"/>
          <w:sz w:val="14"/>
          <w:szCs w:val="14"/>
          <w:color w:val="634140"/>
        </w:rPr>
        <w:t xml:space="preserve">a_pc,       </w:t>
      </w:r>
      <w:r>
        <w:rPr>
          <w:sz w:val="1"/>
          <w:szCs w:val="1"/>
          <w:color w:val="auto"/>
        </w:rPr>
        <w:drawing>
          <wp:inline distT="0" distB="0" distL="0" distR="0">
            <wp:extent cx="280670" cy="16192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9">
                      <a:extLst>
                        <a:ext uri="{28A0092B-C50C-407E-A947-70E740481C1C}"/>
                      </a:extLst>
                    </a:blip>
                    <a:srcRect/>
                    <a:stretch>
                      <a:fillRect/>
                    </a:stretch>
                  </pic:blipFill>
                  <pic:spPr bwMode="auto">
                    <a:xfrm>
                      <a:off x="0" y="0"/>
                      <a:ext cx="280670" cy="161925"/>
                    </a:xfrm>
                    <a:prstGeom prst="rect">
                      <a:avLst/>
                    </a:prstGeom>
                    <a:noFill/>
                    <a:ln>
                      <a:noFill/>
                    </a:ln>
                  </pic:spPr>
                </pic:pic>
              </a:graphicData>
            </a:graphic>
          </wp:inline>
        </w:drawing>
      </w:r>
      <w:r>
        <w:rPr>
          <w:rFonts w:ascii="Arial" w:cs="Arial" w:eastAsia="Arial" w:hAnsi="Arial"/>
          <w:sz w:val="14"/>
          <w:szCs w:val="14"/>
          <w:color w:val="634140"/>
        </w:rPr>
        <w:t xml:space="preserve">      +nf_pk_,</w:t>
      </w:r>
      <w:r>
        <w:rPr>
          <w:sz w:val="20"/>
          <w:szCs w:val="20"/>
          <w:color w:val="auto"/>
        </w:rPr>
        <w:tab/>
      </w:r>
      <w:r>
        <w:rPr>
          <w:rFonts w:ascii="Arial" w:cs="Arial" w:eastAsia="Arial" w:hAnsi="Arial"/>
          <w:sz w:val="14"/>
          <w:szCs w:val="14"/>
          <w:color w:val="634140"/>
        </w:rPr>
        <w:t>+apmn</w:t>
      </w:r>
      <w:r>
        <w:rPr>
          <w:rFonts w:ascii="PMingLiU" w:cs="PMingLiU" w:eastAsia="PMingLiU" w:hAnsi="PMingLiU"/>
          <w:sz w:val="14"/>
          <w:szCs w:val="14"/>
          <w:color w:val="634140"/>
        </w:rPr>
        <w:t/>
      </w:r>
      <w:r>
        <w:rPr>
          <w:rFonts w:ascii="Arial" w:cs="Arial" w:eastAsia="Arial" w:hAnsi="Arial"/>
          <w:sz w:val="14"/>
          <w:szCs w:val="14"/>
          <w:color w:val="634140"/>
        </w:rPr>
        <w:t xml:space="preserve">a_pc,        </w:t>
      </w:r>
      <w:r>
        <w:rPr>
          <w:sz w:val="1"/>
          <w:szCs w:val="1"/>
          <w:color w:val="auto"/>
        </w:rPr>
        <w:drawing>
          <wp:inline distT="0" distB="0" distL="0" distR="0">
            <wp:extent cx="280670" cy="1619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0">
                      <a:extLst>
                        <a:ext uri="{28A0092B-C50C-407E-A947-70E740481C1C}"/>
                      </a:extLst>
                    </a:blip>
                    <a:srcRect/>
                    <a:stretch>
                      <a:fillRect/>
                    </a:stretch>
                  </pic:blipFill>
                  <pic:spPr bwMode="auto">
                    <a:xfrm>
                      <a:off x="0" y="0"/>
                      <a:ext cx="280670" cy="161925"/>
                    </a:xfrm>
                    <a:prstGeom prst="rect">
                      <a:avLst/>
                    </a:prstGeom>
                    <a:noFill/>
                    <a:ln>
                      <a:noFill/>
                    </a:ln>
                  </pic:spPr>
                </pic:pic>
              </a:graphicData>
            </a:graphic>
          </wp:inline>
        </w:drawing>
      </w:r>
      <w:r>
        <w:rPr>
          <w:rFonts w:ascii="Arial" w:cs="Arial" w:eastAsia="Arial" w:hAnsi="Arial"/>
          <w:sz w:val="14"/>
          <w:szCs w:val="14"/>
          <w:color w:val="634140"/>
        </w:rPr>
        <w:t xml:space="preserve">      +nf_pk_,</w:t>
      </w:r>
      <w:r>
        <w:rPr>
          <w:sz w:val="20"/>
          <w:szCs w:val="20"/>
          <w:color w:val="auto"/>
        </w:rPr>
        <w:tab/>
      </w:r>
      <w:r>
        <w:rPr>
          <w:rFonts w:ascii="Arial" w:cs="Arial" w:eastAsia="Arial" w:hAnsi="Arial"/>
          <w:sz w:val="14"/>
          <w:szCs w:val="14"/>
          <w:color w:val="634140"/>
        </w:rPr>
        <w:t>+apmn</w:t>
      </w:r>
      <w:r>
        <w:rPr>
          <w:rFonts w:ascii="PMingLiU" w:cs="PMingLiU" w:eastAsia="PMingLiU" w:hAnsi="PMingLiU"/>
          <w:sz w:val="14"/>
          <w:szCs w:val="14"/>
          <w:color w:val="634140"/>
        </w:rPr>
        <w:t/>
      </w:r>
      <w:r>
        <w:rPr>
          <w:rFonts w:ascii="Arial" w:cs="Arial" w:eastAsia="Arial" w:hAnsi="Arial"/>
          <w:sz w:val="14"/>
          <w:szCs w:val="14"/>
          <w:color w:val="634140"/>
        </w:rPr>
        <w:t xml:space="preserve">a_pc,        </w:t>
      </w:r>
      <w:r>
        <w:rPr>
          <w:sz w:val="1"/>
          <w:szCs w:val="1"/>
          <w:color w:val="auto"/>
        </w:rPr>
        <w:drawing>
          <wp:inline distT="0" distB="0" distL="0" distR="0">
            <wp:extent cx="280670" cy="16192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1">
                      <a:extLst>
                        <a:ext uri="{28A0092B-C50C-407E-A947-70E740481C1C}"/>
                      </a:extLst>
                    </a:blip>
                    <a:srcRect/>
                    <a:stretch>
                      <a:fillRect/>
                    </a:stretch>
                  </pic:blipFill>
                  <pic:spPr bwMode="auto">
                    <a:xfrm>
                      <a:off x="0" y="0"/>
                      <a:ext cx="280670" cy="161925"/>
                    </a:xfrm>
                    <a:prstGeom prst="rect">
                      <a:avLst/>
                    </a:prstGeom>
                    <a:noFill/>
                    <a:ln>
                      <a:noFill/>
                    </a:ln>
                  </pic:spPr>
                </pic:pic>
              </a:graphicData>
            </a:graphic>
          </wp:inline>
        </w:drawing>
      </w:r>
      <w:r>
        <w:rPr>
          <w:rFonts w:ascii="Arial" w:cs="Arial" w:eastAsia="Arial" w:hAnsi="Arial"/>
          <w:sz w:val="14"/>
          <w:szCs w:val="14"/>
          <w:color w:val="634140"/>
        </w:rPr>
        <w:t xml:space="preserve">    +ncpqml_j</w:t>
      </w:r>
      <w:r>
        <w:rPr>
          <w:rFonts w:ascii="PMingLiU" w:cs="PMingLiU" w:eastAsia="PMingLiU" w:hAnsi="PMingLiU"/>
          <w:sz w:val="14"/>
          <w:szCs w:val="14"/>
          <w:color w:val="634140"/>
        </w:rPr>
        <w:t/>
      </w:r>
      <w:r>
        <w:rPr>
          <w:rFonts w:ascii="Arial" w:cs="Arial" w:eastAsia="Arial" w:hAnsi="Arial"/>
          <w:sz w:val="14"/>
          <w:szCs w:val="14"/>
          <w:color w:val="634140"/>
        </w:rPr>
        <w:t>a_pc,</w:t>
      </w:r>
    </w:p>
    <w:p>
      <w:pPr>
        <w:spacing w:after="0" w:line="62" w:lineRule="exact"/>
        <w:rPr>
          <w:sz w:val="20"/>
          <w:szCs w:val="20"/>
          <w:color w:val="auto"/>
        </w:rPr>
      </w:pPr>
    </w:p>
    <w:p>
      <w:pPr>
        <w:ind w:left="1120"/>
        <w:spacing w:after="0" w:line="170" w:lineRule="exact"/>
        <w:tabs>
          <w:tab w:leader="none" w:pos="4560" w:val="left"/>
          <w:tab w:leader="none" w:pos="7940" w:val="left"/>
        </w:tabs>
        <w:rPr>
          <w:sz w:val="20"/>
          <w:szCs w:val="20"/>
          <w:color w:val="auto"/>
        </w:rPr>
      </w:pPr>
      <w:r>
        <w:rPr>
          <w:rFonts w:ascii="Arial" w:cs="Arial" w:eastAsia="Arial" w:hAnsi="Arial"/>
          <w:sz w:val="14"/>
          <w:szCs w:val="14"/>
          <w:color w:val="634140"/>
        </w:rPr>
        <w:t>r_`jcr</w:t>
      </w:r>
      <w:r>
        <w:rPr>
          <w:rFonts w:ascii="PMingLiU" w:cs="PMingLiU" w:eastAsia="PMingLiU" w:hAnsi="PMingLiU"/>
          <w:sz w:val="14"/>
          <w:szCs w:val="14"/>
          <w:color w:val="634140"/>
        </w:rPr>
        <w:t/>
      </w:r>
      <w:r>
        <w:rPr>
          <w:rFonts w:ascii="Arial" w:cs="Arial" w:eastAsia="Arial" w:hAnsi="Arial"/>
          <w:sz w:val="14"/>
          <w:szCs w:val="14"/>
          <w:color w:val="634140"/>
        </w:rPr>
        <w:t>am_rgle</w:t>
      </w:r>
      <w:r>
        <w:rPr>
          <w:sz w:val="20"/>
          <w:szCs w:val="20"/>
          <w:color w:val="auto"/>
        </w:rPr>
        <w:tab/>
      </w:r>
      <w:r>
        <w:rPr>
          <w:rFonts w:ascii="Arial" w:cs="Arial" w:eastAsia="Arial" w:hAnsi="Arial"/>
          <w:sz w:val="14"/>
          <w:szCs w:val="14"/>
          <w:color w:val="634140"/>
        </w:rPr>
        <w:t>`gmnpmacqqgle</w:t>
      </w:r>
      <w:r>
        <w:rPr>
          <w:sz w:val="20"/>
          <w:szCs w:val="20"/>
          <w:color w:val="auto"/>
        </w:rPr>
        <w:tab/>
      </w:r>
      <w:r>
        <w:rPr>
          <w:rFonts w:ascii="Arial" w:cs="Arial" w:eastAsia="Arial" w:hAnsi="Arial"/>
          <w:sz w:val="12"/>
          <w:szCs w:val="12"/>
          <w:color w:val="634140"/>
        </w:rPr>
        <w:t>`gmnpmacqqgle</w:t>
      </w:r>
    </w:p>
    <w:p>
      <w:pPr>
        <w:ind w:left="1280"/>
        <w:spacing w:after="0" w:line="215" w:lineRule="auto"/>
        <w:tabs>
          <w:tab w:leader="none" w:pos="4720" w:val="left"/>
          <w:tab w:leader="none" w:pos="8100" w:val="left"/>
        </w:tabs>
        <w:rPr>
          <w:sz w:val="20"/>
          <w:szCs w:val="20"/>
          <w:color w:val="auto"/>
        </w:rPr>
      </w:pPr>
      <w:r>
        <w:rPr>
          <w:rFonts w:ascii="Arial" w:cs="Arial" w:eastAsia="Arial" w:hAnsi="Arial"/>
          <w:sz w:val="14"/>
          <w:szCs w:val="14"/>
          <w:color w:val="634140"/>
        </w:rPr>
        <w:t>+nf_pk_,</w:t>
      </w:r>
      <w:r>
        <w:rPr>
          <w:sz w:val="20"/>
          <w:szCs w:val="20"/>
          <w:color w:val="auto"/>
        </w:rPr>
        <w:tab/>
      </w:r>
      <w:r>
        <w:rPr>
          <w:rFonts w:ascii="Arial" w:cs="Arial" w:eastAsia="Arial" w:hAnsi="Arial"/>
          <w:sz w:val="14"/>
          <w:szCs w:val="14"/>
          <w:color w:val="634140"/>
        </w:rPr>
        <w:t>+nf_pk_,</w:t>
      </w:r>
      <w:r>
        <w:rPr>
          <w:sz w:val="20"/>
          <w:szCs w:val="20"/>
          <w:color w:val="auto"/>
        </w:rPr>
        <w:tab/>
      </w:r>
      <w:r>
        <w:rPr>
          <w:rFonts w:ascii="Arial" w:cs="Arial" w:eastAsia="Arial" w:hAnsi="Arial"/>
          <w:sz w:val="14"/>
          <w:szCs w:val="14"/>
          <w:color w:val="634140"/>
        </w:rPr>
        <w:t>+nf_pk_,</w:t>
      </w:r>
    </w:p>
    <w:p>
      <w:pPr>
        <w:spacing w:after="0" w:line="200" w:lineRule="exact"/>
        <w:rPr>
          <w:sz w:val="20"/>
          <w:szCs w:val="20"/>
          <w:color w:val="auto"/>
        </w:rPr>
      </w:pPr>
    </w:p>
    <w:p>
      <w:pPr>
        <w:spacing w:after="0" w:line="252" w:lineRule="exact"/>
        <w:rPr>
          <w:sz w:val="20"/>
          <w:szCs w:val="20"/>
          <w:color w:val="auto"/>
        </w:rPr>
      </w:pPr>
    </w:p>
    <w:p>
      <w:pPr>
        <w:ind w:left="320"/>
        <w:spacing w:after="0" w:line="291" w:lineRule="exact"/>
        <w:tabs>
          <w:tab w:leader="none" w:pos="3680" w:val="left"/>
          <w:tab w:leader="none" w:pos="7020" w:val="left"/>
        </w:tabs>
        <w:rPr>
          <w:sz w:val="20"/>
          <w:szCs w:val="20"/>
          <w:color w:val="auto"/>
        </w:rPr>
      </w:pPr>
      <w:r>
        <w:rPr>
          <w:rFonts w:ascii="Arial" w:cs="Arial" w:eastAsia="Arial" w:hAnsi="Arial"/>
          <w:sz w:val="24"/>
          <w:szCs w:val="24"/>
          <w:color w:val="FFFFFF"/>
        </w:rPr>
        <w:t>ξ ˩</w:t>
      </w:r>
      <w:r>
        <w:rPr>
          <w:rFonts w:ascii="PMingLiU" w:cs="PMingLiU" w:eastAsia="PMingLiU" w:hAnsi="PMingLiU"/>
          <w:sz w:val="24"/>
          <w:szCs w:val="24"/>
          <w:color w:val="FFFFFF"/>
        </w:rPr>
        <w:t/>
      </w:r>
      <w:r>
        <w:rPr>
          <w:rFonts w:ascii="Arial" w:cs="Arial" w:eastAsia="Arial" w:hAnsi="Arial"/>
          <w:sz w:val="24"/>
          <w:szCs w:val="24"/>
          <w:color w:val="FFFFFF"/>
        </w:rPr>
        <w:t>˦F</w:t>
      </w:r>
      <w:r>
        <w:rPr>
          <w:rFonts w:ascii="PMingLiU" w:cs="PMingLiU" w:eastAsia="PMingLiU" w:hAnsi="PMingLiU"/>
          <w:sz w:val="24"/>
          <w:szCs w:val="24"/>
          <w:color w:val="FFFFFF"/>
        </w:rPr>
        <w:t/>
      </w:r>
      <w:r>
        <w:rPr>
          <w:rFonts w:ascii="Arial" w:cs="Arial" w:eastAsia="Arial" w:hAnsi="Arial"/>
          <w:sz w:val="24"/>
          <w:szCs w:val="24"/>
          <w:color w:val="FFFFFF"/>
        </w:rPr>
        <w:t>XEQ</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epmugle</w:t>
      </w:r>
      <w:r>
        <w:rPr>
          <w:sz w:val="20"/>
          <w:szCs w:val="20"/>
          <w:color w:val="auto"/>
        </w:rPr>
        <w:tab/>
      </w:r>
      <w:r>
        <w:rPr>
          <w:rFonts w:ascii="Arial" w:cs="Arial" w:eastAsia="Arial" w:hAnsi="Arial"/>
          <w:sz w:val="24"/>
          <w:szCs w:val="24"/>
          <w:color w:val="FFFFFF"/>
        </w:rPr>
        <w:t>ξ ˦</w:t>
      </w:r>
      <w:r>
        <w:rPr>
          <w:rFonts w:ascii="PMingLiU" w:cs="PMingLiU" w:eastAsia="PMingLiU" w:hAnsi="PMingLiU"/>
          <w:sz w:val="24"/>
          <w:szCs w:val="24"/>
          <w:color w:val="FFFFFF"/>
        </w:rPr>
        <w:t/>
      </w:r>
      <w:r>
        <w:rPr>
          <w:rFonts w:ascii="Arial" w:cs="Arial" w:eastAsia="Arial" w:hAnsi="Arial"/>
          <w:sz w:val="24"/>
          <w:szCs w:val="24"/>
          <w:color w:val="FFFFFF"/>
        </w:rPr>
        <w:t>˭F</w:t>
      </w:r>
      <w:r>
        <w:rPr>
          <w:rFonts w:ascii="PMingLiU" w:cs="PMingLiU" w:eastAsia="PMingLiU" w:hAnsi="PMingLiU"/>
          <w:sz w:val="24"/>
          <w:szCs w:val="24"/>
          <w:color w:val="FFFFFF"/>
        </w:rPr>
        <w:t/>
      </w:r>
      <w:r>
        <w:rPr>
          <w:rFonts w:ascii="Arial" w:cs="Arial" w:eastAsia="Arial" w:hAnsi="Arial"/>
          <w:sz w:val="24"/>
          <w:szCs w:val="24"/>
          <w:color w:val="FFFFFF"/>
        </w:rPr>
        <w:t>XEQ</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epmugle</w:t>
      </w:r>
      <w:r>
        <w:rPr>
          <w:sz w:val="20"/>
          <w:szCs w:val="20"/>
          <w:color w:val="auto"/>
        </w:rPr>
        <w:tab/>
      </w:r>
      <w:r>
        <w:rPr>
          <w:rFonts w:ascii="Arial" w:cs="Arial" w:eastAsia="Arial" w:hAnsi="Arial"/>
          <w:sz w:val="24"/>
          <w:szCs w:val="24"/>
          <w:color w:val="FFFFFF"/>
        </w:rPr>
        <w:t>ξ ˥</w:t>
      </w:r>
      <w:r>
        <w:rPr>
          <w:rFonts w:ascii="PMingLiU" w:cs="PMingLiU" w:eastAsia="PMingLiU" w:hAnsi="PMingLiU"/>
          <w:sz w:val="24"/>
          <w:szCs w:val="24"/>
          <w:color w:val="FFFFFF"/>
        </w:rPr>
        <w:t/>
      </w:r>
      <w:r>
        <w:rPr>
          <w:rFonts w:ascii="Arial" w:cs="Arial" w:eastAsia="Arial" w:hAnsi="Arial"/>
          <w:sz w:val="24"/>
          <w:szCs w:val="24"/>
          <w:color w:val="FFFFFF"/>
        </w:rPr>
        <w:t>˪F</w:t>
      </w:r>
      <w:r>
        <w:rPr>
          <w:rFonts w:ascii="PMingLiU" w:cs="PMingLiU" w:eastAsia="PMingLiU" w:hAnsi="PMingLiU"/>
          <w:sz w:val="24"/>
          <w:szCs w:val="24"/>
          <w:color w:val="FFFFFF"/>
        </w:rPr>
        <w:t/>
      </w:r>
      <w:r>
        <w:rPr>
          <w:rFonts w:ascii="Arial" w:cs="Arial" w:eastAsia="Arial" w:hAnsi="Arial"/>
          <w:sz w:val="24"/>
          <w:szCs w:val="24"/>
          <w:color w:val="FFFFFF"/>
        </w:rPr>
        <w:t>XEQ</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epmugle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300990</wp:posOffset>
            </wp:positionV>
            <wp:extent cx="589915" cy="6305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2">
                      <a:extLst>
                        <a:ext uri="{28A0092B-C50C-407E-A947-70E740481C1C}"/>
                      </a:extLst>
                    </a:blip>
                    <a:srcRect/>
                    <a:stretch>
                      <a:fillRect/>
                    </a:stretch>
                  </pic:blipFill>
                  <pic:spPr bwMode="auto">
                    <a:xfrm>
                      <a:off x="0" y="0"/>
                      <a:ext cx="589915" cy="630555"/>
                    </a:xfrm>
                    <a:prstGeom prst="rect">
                      <a:avLst/>
                    </a:prstGeom>
                    <a:noFill/>
                  </pic:spPr>
                </pic:pic>
              </a:graphicData>
            </a:graphic>
          </wp:anchor>
        </w:drawing>
        <w:drawing>
          <wp:anchor simplePos="0" relativeHeight="251657728" behindDoc="1" locked="0" layoutInCell="0" allowOverlap="1">
            <wp:simplePos x="0" y="0"/>
            <wp:positionH relativeFrom="column">
              <wp:posOffset>3448050</wp:posOffset>
            </wp:positionH>
            <wp:positionV relativeFrom="paragraph">
              <wp:posOffset>365760</wp:posOffset>
            </wp:positionV>
            <wp:extent cx="361315" cy="3575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3">
                      <a:extLst>
                        <a:ext uri="{28A0092B-C50C-407E-A947-70E740481C1C}"/>
                      </a:extLst>
                    </a:blip>
                    <a:srcRect/>
                    <a:stretch>
                      <a:fillRect/>
                    </a:stretch>
                  </pic:blipFill>
                  <pic:spPr bwMode="auto">
                    <a:xfrm>
                      <a:off x="0" y="0"/>
                      <a:ext cx="361315" cy="35750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303530</wp:posOffset>
            </wp:positionV>
            <wp:extent cx="361315" cy="3575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4">
                      <a:extLst>
                        <a:ext uri="{28A0092B-C50C-407E-A947-70E740481C1C}"/>
                      </a:extLst>
                    </a:blip>
                    <a:srcRect/>
                    <a:stretch>
                      <a:fillRect/>
                    </a:stretch>
                  </pic:blipFill>
                  <pic:spPr bwMode="auto">
                    <a:xfrm>
                      <a:off x="0" y="0"/>
                      <a:ext cx="361315" cy="35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line="267" w:lineRule="exact"/>
        <w:rPr>
          <w:sz w:val="20"/>
          <w:szCs w:val="20"/>
          <w:color w:val="auto"/>
        </w:rPr>
      </w:pPr>
      <w:r>
        <w:rPr>
          <w:rFonts w:ascii="Arial" w:cs="Arial" w:eastAsia="Arial" w:hAnsi="Arial"/>
          <w:sz w:val="22"/>
          <w:szCs w:val="22"/>
          <w:color w:val="634140"/>
        </w:rPr>
        <w:t>jc_pl</w:t>
      </w:r>
      <w:r>
        <w:rPr>
          <w:rFonts w:ascii="PMingLiU" w:cs="PMingLiU" w:eastAsia="PMingLiU" w:hAnsi="PMingLiU"/>
          <w:sz w:val="22"/>
          <w:szCs w:val="22"/>
          <w:color w:val="634140"/>
        </w:rPr>
        <w:t/>
      </w:r>
      <w:r>
        <w:rPr>
          <w:rFonts w:ascii="Arial" w:cs="Arial" w:eastAsia="Arial" w:hAnsi="Arial"/>
          <w:sz w:val="22"/>
          <w:szCs w:val="22"/>
          <w:color w:val="634140"/>
        </w:rPr>
        <w:t>kmpc</w:t>
      </w:r>
      <w:r>
        <w:rPr>
          <w:rFonts w:ascii="PMingLiU" w:cs="PMingLiU" w:eastAsia="PMingLiU" w:hAnsi="PMingLiU"/>
          <w:sz w:val="22"/>
          <w:szCs w:val="22"/>
          <w:color w:val="634140"/>
        </w:rPr>
        <w:t/>
      </w:r>
      <w:r>
        <w:rPr>
          <w:rFonts w:ascii="Arial" w:cs="Arial" w:eastAsia="Arial" w:hAnsi="Arial"/>
          <w:sz w:val="22"/>
          <w:szCs w:val="22"/>
          <w:color w:val="634140"/>
        </w:rPr>
        <w:t xml:space="preserve">_r </w:t>
      </w:r>
      <w:r>
        <w:rPr>
          <w:rFonts w:ascii="Arial" w:cs="Arial" w:eastAsia="Arial" w:hAnsi="Arial"/>
          <w:sz w:val="22"/>
          <w:szCs w:val="22"/>
          <w:b w:val="1"/>
          <w:bCs w:val="1"/>
          <w:color w:val="59BDB6"/>
        </w:rPr>
        <w:t>_qfj_lb</w:t>
      </w:r>
      <w:r>
        <w:rPr>
          <w:rFonts w:ascii="PMingLiU" w:cs="PMingLiU" w:eastAsia="PMingLiU" w:hAnsi="PMingLiU"/>
          <w:sz w:val="22"/>
          <w:szCs w:val="22"/>
          <w:b w:val="1"/>
          <w:bCs w:val="1"/>
          <w:color w:val="59BDB6"/>
        </w:rPr>
        <w:t/>
      </w:r>
      <w:r>
        <w:rPr>
          <w:rFonts w:ascii="Arial" w:cs="Arial" w:eastAsia="Arial" w:hAnsi="Arial"/>
          <w:sz w:val="22"/>
          <w:szCs w:val="22"/>
          <w:b w:val="1"/>
          <w:bCs w:val="1"/>
          <w:color w:val="59BDB6"/>
        </w:rPr>
        <w:t>amk5nj_rdmpkq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149225</wp:posOffset>
            </wp:positionV>
            <wp:extent cx="630872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5">
                      <a:extLst>
                        <a:ext uri="{28A0092B-C50C-407E-A947-70E740481C1C}"/>
                      </a:extLst>
                    </a:blip>
                    <a:srcRect/>
                    <a:stretch>
                      <a:fillRect/>
                    </a:stretch>
                  </pic:blipFill>
                  <pic:spPr bwMode="auto">
                    <a:xfrm>
                      <a:off x="0" y="0"/>
                      <a:ext cx="6308725" cy="1270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250825</wp:posOffset>
            </wp:positionV>
            <wp:extent cx="1198245" cy="4076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6">
                      <a:extLst>
                        <a:ext uri="{28A0092B-C50C-407E-A947-70E740481C1C}"/>
                      </a:extLst>
                    </a:blip>
                    <a:srcRect/>
                    <a:stretch>
                      <a:fillRect/>
                    </a:stretch>
                  </pic:blipFill>
                  <pic:spPr bwMode="auto">
                    <a:xfrm>
                      <a:off x="0" y="0"/>
                      <a:ext cx="1198245" cy="407670"/>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231775</wp:posOffset>
            </wp:positionV>
            <wp:extent cx="361315" cy="3575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7">
                      <a:extLst>
                        <a:ext uri="{28A0092B-C50C-407E-A947-70E740481C1C}"/>
                      </a:extLst>
                    </a:blip>
                    <a:srcRect/>
                    <a:stretch>
                      <a:fillRect/>
                    </a:stretch>
                  </pic:blipFill>
                  <pic:spPr bwMode="auto">
                    <a:xfrm>
                      <a:off x="0" y="0"/>
                      <a:ext cx="361315" cy="357505"/>
                    </a:xfrm>
                    <a:prstGeom prst="rect">
                      <a:avLst/>
                    </a:prstGeom>
                    <a:noFill/>
                  </pic:spPr>
                </pic:pic>
              </a:graphicData>
            </a:graphic>
          </wp:anchor>
        </w:drawing>
      </w:r>
    </w:p>
    <w:p>
      <w:pPr>
        <w:spacing w:after="0" w:line="397" w:lineRule="exact"/>
        <w:rPr>
          <w:sz w:val="20"/>
          <w:szCs w:val="20"/>
          <w:color w:val="auto"/>
        </w:rPr>
      </w:pPr>
    </w:p>
    <w:p>
      <w:pPr>
        <w:ind w:left="20"/>
        <w:spacing w:after="0" w:line="146" w:lineRule="exact"/>
        <w:rPr>
          <w:sz w:val="20"/>
          <w:szCs w:val="20"/>
          <w:color w:val="auto"/>
        </w:rPr>
      </w:pPr>
      <w:r>
        <w:rPr>
          <w:rFonts w:ascii="Arial" w:cs="Arial" w:eastAsia="Arial" w:hAnsi="Arial"/>
          <w:sz w:val="12"/>
          <w:szCs w:val="12"/>
          <w:color w:val="634140"/>
        </w:rPr>
        <w:t>GEWI</w:t>
      </w:r>
      <w:r>
        <w:rPr>
          <w:rFonts w:ascii="PMingLiU" w:cs="PMingLiU" w:eastAsia="PMingLiU" w:hAnsi="PMingLiU"/>
          <w:sz w:val="12"/>
          <w:szCs w:val="12"/>
          <w:color w:val="634140"/>
        </w:rPr>
        <w:t/>
      </w:r>
      <w:r>
        <w:rPr>
          <w:rFonts w:ascii="Arial" w:cs="Arial" w:eastAsia="Arial" w:hAnsi="Arial"/>
          <w:sz w:val="12"/>
          <w:szCs w:val="12"/>
          <w:color w:val="634140"/>
        </w:rPr>
        <w:t>+am_rgleq</w:t>
      </w:r>
      <w:r>
        <w:rPr>
          <w:rFonts w:ascii="PMingLiU" w:cs="PMingLiU" w:eastAsia="PMingLiU" w:hAnsi="PMingLiU"/>
          <w:sz w:val="12"/>
          <w:szCs w:val="12"/>
          <w:color w:val="634140"/>
        </w:rPr>
        <w:t/>
      </w:r>
      <w:r>
        <w:rPr>
          <w:rFonts w:ascii="Arial" w:cs="Arial" w:eastAsia="Arial" w:hAnsi="Arial"/>
          <w:sz w:val="12"/>
          <w:szCs w:val="12"/>
          <w:color w:val="634140"/>
        </w:rPr>
        <w:t>_bfcqgtcq</w:t>
      </w:r>
      <w:r>
        <w:rPr>
          <w:rFonts w:ascii="PMingLiU" w:cs="PMingLiU" w:eastAsia="PMingLiU" w:hAnsi="PMingLiU"/>
          <w:sz w:val="12"/>
          <w:szCs w:val="12"/>
          <w:color w:val="634140"/>
        </w:rPr>
        <w:t/>
      </w:r>
      <w:r>
        <w:rPr>
          <w:rFonts w:ascii="Arial" w:cs="Arial" w:eastAsia="Arial" w:hAnsi="Arial"/>
          <w:sz w:val="12"/>
          <w:szCs w:val="12"/>
          <w:color w:val="634140"/>
        </w:rPr>
        <w:t>qc_j_lrq</w:t>
      </w:r>
      <w:r>
        <w:rPr>
          <w:rFonts w:ascii="PMingLiU" w:cs="PMingLiU" w:eastAsia="PMingLiU" w:hAnsi="PMingLiU"/>
          <w:sz w:val="12"/>
          <w:szCs w:val="12"/>
          <w:color w:val="634140"/>
        </w:rPr>
        <w:t/>
      </w:r>
      <w:r>
        <w:rPr>
          <w:rFonts w:ascii="Arial" w:cs="Arial" w:eastAsia="Arial" w:hAnsi="Arial"/>
          <w:sz w:val="12"/>
          <w:szCs w:val="12"/>
          <w:color w:val="634140"/>
        </w:rPr>
        <w:t>_lb</w:t>
      </w:r>
      <w:r>
        <w:rPr>
          <w:rFonts w:ascii="PMingLiU" w:cs="PMingLiU" w:eastAsia="PMingLiU" w:hAnsi="PMingLiU"/>
          <w:sz w:val="12"/>
          <w:szCs w:val="12"/>
          <w:color w:val="634140"/>
        </w:rPr>
        <w:t/>
      </w:r>
      <w:r>
        <w:rPr>
          <w:rFonts w:ascii="Arial" w:cs="Arial" w:eastAsia="Arial" w:hAnsi="Arial"/>
          <w:sz w:val="12"/>
          <w:szCs w:val="12"/>
          <w:color w:val="634140"/>
        </w:rPr>
        <w:t>cj_qrmkcpq,</w:t>
      </w:r>
      <w:r>
        <w:rPr>
          <w:rFonts w:ascii="PMingLiU" w:cs="PMingLiU" w:eastAsia="PMingLiU" w:hAnsi="PMingLiU"/>
          <w:sz w:val="12"/>
          <w:szCs w:val="12"/>
          <w:color w:val="634140"/>
        </w:rPr>
        <w:t/>
      </w:r>
    </w:p>
    <w:p>
      <w:pPr>
        <w:spacing w:after="0" w:line="16" w:lineRule="exact"/>
        <w:rPr>
          <w:sz w:val="20"/>
          <w:szCs w:val="20"/>
          <w:color w:val="auto"/>
        </w:rPr>
      </w:pPr>
    </w:p>
    <w:p>
      <w:pPr>
        <w:ind w:left="20"/>
        <w:spacing w:after="0" w:line="146" w:lineRule="exact"/>
        <w:rPr>
          <w:sz w:val="20"/>
          <w:szCs w:val="20"/>
          <w:color w:val="auto"/>
        </w:rPr>
      </w:pPr>
      <w:r>
        <w:rPr>
          <w:rFonts w:ascii="Arial" w:cs="Arial" w:eastAsia="Arial" w:hAnsi="Arial"/>
          <w:sz w:val="12"/>
          <w:szCs w:val="12"/>
          <w:color w:val="634140"/>
        </w:rPr>
        <w:t>Q[J</w:t>
      </w:r>
      <w:r>
        <w:rPr>
          <w:rFonts w:ascii="PMingLiU" w:cs="PMingLiU" w:eastAsia="PMingLiU" w:hAnsi="PMingLiU"/>
          <w:sz w:val="12"/>
          <w:szCs w:val="12"/>
          <w:color w:val="634140"/>
        </w:rPr>
        <w:t/>
      </w:r>
      <w:r>
        <w:rPr>
          <w:rFonts w:ascii="Arial" w:cs="Arial" w:eastAsia="Arial" w:hAnsi="Arial"/>
          <w:sz w:val="12"/>
          <w:szCs w:val="12"/>
          <w:color w:val="634140"/>
        </w:rPr>
        <w:t>+kcr_j</w:t>
      </w:r>
      <w:r>
        <w:rPr>
          <w:rFonts w:ascii="PMingLiU" w:cs="PMingLiU" w:eastAsia="PMingLiU" w:hAnsi="PMingLiU"/>
          <w:sz w:val="12"/>
          <w:szCs w:val="12"/>
          <w:color w:val="634140"/>
        </w:rPr>
        <w:t/>
      </w:r>
      <w:r>
        <w:rPr>
          <w:rFonts w:ascii="Arial" w:cs="Arial" w:eastAsia="Arial" w:hAnsi="Arial"/>
          <w:sz w:val="12"/>
          <w:szCs w:val="12"/>
          <w:color w:val="634140"/>
        </w:rPr>
        <w:t>umpiglg flsgbq,</w:t>
      </w:r>
    </w:p>
    <w:p>
      <w:pPr>
        <w:sectPr>
          <w:pgSz w:w="12240" w:h="15840" w:orient="portrait"/>
          <w:cols w:equalWidth="0" w:num="1">
            <w:col w:w="10020"/>
          </w:cols>
          <w:pgMar w:left="1100" w:top="1440" w:right="1120" w:bottom="218"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1765" cy="10057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8">
                      <a:extLst>
                        <a:ext uri="{28A0092B-C50C-407E-A947-70E740481C1C}"/>
                      </a:extLst>
                    </a:blip>
                    <a:srcRect/>
                    <a:stretch>
                      <a:fillRect/>
                    </a:stretch>
                  </pic:blipFill>
                  <pic:spPr bwMode="auto">
                    <a:xfrm>
                      <a:off x="0" y="0"/>
                      <a:ext cx="7771765"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103" w:lineRule="exact"/>
        <w:rPr>
          <w:sz w:val="20"/>
          <w:szCs w:val="20"/>
          <w:color w:val="auto"/>
        </w:rPr>
      </w:pPr>
      <w:r>
        <w:rPr>
          <w:rFonts w:ascii="Arial" w:cs="Arial" w:eastAsia="Arial" w:hAnsi="Arial"/>
          <w:sz w:val="91"/>
          <w:szCs w:val="91"/>
          <w:color w:val="FFFFFF"/>
        </w:rPr>
        <w:t>jgdc</w:t>
      </w:r>
      <w:r>
        <w:rPr>
          <w:rFonts w:ascii="PMingLiU" w:cs="PMingLiU" w:eastAsia="PMingLiU" w:hAnsi="PMingLiU"/>
          <w:sz w:val="91"/>
          <w:szCs w:val="91"/>
          <w:color w:val="FFFFFF"/>
        </w:rPr>
        <w:t/>
      </w:r>
      <w:r>
        <w:rPr>
          <w:rFonts w:ascii="Arial" w:cs="Arial" w:eastAsia="Arial" w:hAnsi="Arial"/>
          <w:sz w:val="91"/>
          <w:szCs w:val="91"/>
          <w:color w:val="FFFFFF"/>
        </w:rPr>
        <w:t>qagclacq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348" w:lineRule="exact"/>
        <w:rPr>
          <w:sz w:val="20"/>
          <w:szCs w:val="20"/>
          <w:color w:val="auto"/>
        </w:rPr>
      </w:pPr>
      <w:r>
        <w:rPr>
          <w:rFonts w:ascii="Arial" w:cs="Arial" w:eastAsia="Arial" w:hAnsi="Arial"/>
          <w:sz w:val="24"/>
          <w:szCs w:val="24"/>
          <w:color w:val="634140"/>
        </w:rPr>
        <w:t>Hcjgtcpgle</w:t>
      </w:r>
      <w:r>
        <w:rPr>
          <w:rFonts w:ascii="PMingLiU" w:cs="PMingLiU" w:eastAsia="PMingLiU" w:hAnsi="PMingLiU"/>
          <w:sz w:val="24"/>
          <w:szCs w:val="24"/>
          <w:color w:val="634140"/>
        </w:rPr>
        <w:t/>
      </w:r>
      <w:r>
        <w:rPr>
          <w:rFonts w:ascii="Arial" w:cs="Arial" w:eastAsia="Arial" w:hAnsi="Arial"/>
          <w:sz w:val="24"/>
          <w:szCs w:val="24"/>
          <w:color w:val="634140"/>
        </w:rPr>
        <w:t>gllmt_rgtc</w:t>
      </w:r>
      <w:r>
        <w:rPr>
          <w:rFonts w:ascii="PMingLiU" w:cs="PMingLiU" w:eastAsia="PMingLiU" w:hAnsi="PMingLiU"/>
          <w:sz w:val="24"/>
          <w:szCs w:val="24"/>
          <w:color w:val="634140"/>
        </w:rPr>
        <w:t/>
      </w:r>
      <w:r>
        <w:rPr>
          <w:rFonts w:ascii="Arial" w:cs="Arial" w:eastAsia="Arial" w:hAnsi="Arial"/>
          <w:sz w:val="24"/>
          <w:szCs w:val="24"/>
          <w:color w:val="634140"/>
        </w:rPr>
        <w:t>rcaflmjmegcq</w:t>
      </w:r>
      <w:r>
        <w:rPr>
          <w:rFonts w:ascii="PMingLiU" w:cs="PMingLiU" w:eastAsia="PMingLiU" w:hAnsi="PMingLiU"/>
          <w:sz w:val="24"/>
          <w:szCs w:val="24"/>
          <w:color w:val="634140"/>
        </w:rPr>
        <w:t/>
      </w:r>
      <w:r>
        <w:rPr>
          <w:rFonts w:ascii="Arial" w:cs="Arial" w:eastAsia="Arial" w:hAnsi="Arial"/>
          <w:sz w:val="24"/>
          <w:szCs w:val="24"/>
          <w:color w:val="634140"/>
        </w:rPr>
        <w:t>umpjbugbc</w:t>
      </w:r>
      <w:r>
        <w:rPr>
          <w:rFonts w:ascii="PMingLiU" w:cs="PMingLiU" w:eastAsia="PMingLiU" w:hAnsi="PMingLiU"/>
          <w:sz w:val="24"/>
          <w:szCs w:val="24"/>
          <w:color w:val="634140"/>
        </w:rPr>
        <w:t/>
      </w:r>
      <w:r>
        <w:rPr>
          <w:rFonts w:ascii="Arial" w:cs="Arial" w:eastAsia="Arial" w:hAnsi="Arial"/>
          <w:sz w:val="24"/>
          <w:szCs w:val="24"/>
          <w:color w:val="634140"/>
        </w:rPr>
        <w:t>Eqfj_lb</w:t>
      </w:r>
      <w:r>
        <w:rPr>
          <w:rFonts w:ascii="PMingLiU" w:cs="PMingLiU" w:eastAsia="PMingLiU" w:hAnsi="PMingLiU"/>
          <w:sz w:val="24"/>
          <w:szCs w:val="24"/>
          <w:color w:val="634140"/>
        </w:rPr>
        <w:t/>
      </w:r>
      <w:r>
        <w:rPr>
          <w:rFonts w:ascii="Arial" w:cs="Arial" w:eastAsia="Arial" w:hAnsi="Arial"/>
          <w:sz w:val="24"/>
          <w:szCs w:val="24"/>
          <w:color w:val="634140"/>
        </w:rPr>
        <w:t>gq</w:t>
      </w:r>
      <w:r>
        <w:rPr>
          <w:rFonts w:ascii="PMingLiU" w:cs="PMingLiU" w:eastAsia="PMingLiU" w:hAnsi="PMingLiU"/>
          <w:sz w:val="24"/>
          <w:szCs w:val="24"/>
          <w:color w:val="634140"/>
        </w:rPr>
        <w:t/>
      </w:r>
      <w:r>
        <w:rPr>
          <w:rFonts w:ascii="Arial" w:cs="Arial" w:eastAsia="Arial" w:hAnsi="Arial"/>
          <w:sz w:val="24"/>
          <w:szCs w:val="24"/>
          <w:color w:val="634140"/>
        </w:rPr>
        <w:t>_</w:t>
      </w:r>
      <w:r>
        <w:rPr>
          <w:rFonts w:ascii="PMingLiU" w:cs="PMingLiU" w:eastAsia="PMingLiU" w:hAnsi="PMingLiU"/>
          <w:sz w:val="24"/>
          <w:szCs w:val="24"/>
          <w:color w:val="634140"/>
        </w:rPr>
        <w:t/>
      </w:r>
      <w:r>
        <w:rPr>
          <w:rFonts w:ascii="Arial" w:cs="Arial" w:eastAsia="Arial" w:hAnsi="Arial"/>
          <w:sz w:val="24"/>
          <w:szCs w:val="24"/>
          <w:color w:val="634140"/>
        </w:rPr>
        <w:t>rpsqrcb</w:t>
      </w:r>
      <w:r>
        <w:rPr>
          <w:rFonts w:ascii="PMingLiU" w:cs="PMingLiU" w:eastAsia="PMingLiU" w:hAnsi="PMingLiU"/>
          <w:sz w:val="24"/>
          <w:szCs w:val="24"/>
          <w:color w:val="634140"/>
        </w:rPr>
        <w:t/>
      </w:r>
      <w:r>
        <w:rPr>
          <w:rFonts w:ascii="Arial" w:cs="Arial" w:eastAsia="Arial" w:hAnsi="Arial"/>
          <w:sz w:val="24"/>
          <w:szCs w:val="24"/>
          <w:color w:val="634140"/>
        </w:rPr>
        <w:t>n_prlcp</w:t>
      </w:r>
      <w:r>
        <w:rPr>
          <w:rFonts w:ascii="PMingLiU" w:cs="PMingLiU" w:eastAsia="PMingLiU" w:hAnsi="PMingLiU"/>
          <w:sz w:val="24"/>
          <w:szCs w:val="24"/>
          <w:color w:val="634140"/>
        </w:rPr>
        <w:t/>
      </w:r>
      <w:r>
        <w:rPr>
          <w:rFonts w:ascii="Arial" w:cs="Arial" w:eastAsia="Arial" w:hAnsi="Arial"/>
          <w:sz w:val="24"/>
          <w:szCs w:val="24"/>
          <w:color w:val="634140"/>
        </w:rPr>
        <w:t>gl</w:t>
      </w:r>
      <w:r>
        <w:rPr>
          <w:rFonts w:ascii="PMingLiU" w:cs="PMingLiU" w:eastAsia="PMingLiU" w:hAnsi="PMingLiU"/>
          <w:sz w:val="24"/>
          <w:szCs w:val="24"/>
          <w:color w:val="634140"/>
        </w:rPr>
        <w:t/>
      </w:r>
      <w:r>
        <w:rPr>
          <w:rFonts w:ascii="Arial" w:cs="Arial" w:eastAsia="Arial" w:hAnsi="Arial"/>
          <w:sz w:val="24"/>
          <w:szCs w:val="24"/>
          <w:color w:val="634140"/>
        </w:rPr>
        <w:t>Pgdc</w:t>
      </w:r>
      <w:r>
        <w:rPr>
          <w:rFonts w:ascii="PMingLiU" w:cs="PMingLiU" w:eastAsia="PMingLiU" w:hAnsi="PMingLiU"/>
          <w:sz w:val="24"/>
          <w:szCs w:val="24"/>
          <w:color w:val="634140"/>
        </w:rPr>
        <w:t/>
      </w:r>
      <w:r>
        <w:rPr>
          <w:rFonts w:ascii="Arial" w:cs="Arial" w:eastAsia="Arial" w:hAnsi="Arial"/>
          <w:sz w:val="24"/>
          <w:szCs w:val="24"/>
          <w:color w:val="634140"/>
        </w:rPr>
        <w:t>Wagclacq</w:t>
      </w:r>
      <w:r>
        <w:rPr>
          <w:rFonts w:ascii="PMingLiU" w:cs="PMingLiU" w:eastAsia="PMingLiU" w:hAnsi="PMingLiU"/>
          <w:sz w:val="24"/>
          <w:szCs w:val="24"/>
          <w:color w:val="634140"/>
        </w:rPr>
        <w:t/>
      </w:r>
      <w:r>
        <w:rPr>
          <w:rFonts w:ascii="Arial" w:cs="Arial" w:eastAsia="Arial" w:hAnsi="Arial"/>
          <w:sz w:val="24"/>
          <w:szCs w:val="24"/>
          <w:color w:val="634140"/>
        </w:rPr>
        <w:t xml:space="preserve"> [c</w:t>
      </w:r>
      <w:r>
        <w:rPr>
          <w:rFonts w:ascii="PMingLiU" w:cs="PMingLiU" w:eastAsia="PMingLiU" w:hAnsi="PMingLiU"/>
          <w:sz w:val="24"/>
          <w:szCs w:val="24"/>
          <w:color w:val="634140"/>
        </w:rPr>
        <w:t/>
      </w:r>
      <w:r>
        <w:rPr>
          <w:rFonts w:ascii="Arial" w:cs="Arial" w:eastAsia="Arial" w:hAnsi="Arial"/>
          <w:sz w:val="24"/>
          <w:szCs w:val="24"/>
          <w:color w:val="634140"/>
        </w:rPr>
        <w:t>pc</w:t>
      </w:r>
      <w:r>
        <w:rPr>
          <w:rFonts w:ascii="PMingLiU" w:cs="PMingLiU" w:eastAsia="PMingLiU" w:hAnsi="PMingLiU"/>
          <w:sz w:val="24"/>
          <w:szCs w:val="24"/>
          <w:color w:val="634140"/>
        </w:rPr>
        <w:t/>
      </w:r>
      <w:r>
        <w:rPr>
          <w:rFonts w:ascii="Arial" w:cs="Arial" w:eastAsia="Arial" w:hAnsi="Arial"/>
          <w:sz w:val="24"/>
          <w:szCs w:val="24"/>
          <w:color w:val="634140"/>
        </w:rPr>
        <w:t>_bt_lagle</w:t>
      </w:r>
      <w:r>
        <w:rPr>
          <w:rFonts w:ascii="PMingLiU" w:cs="PMingLiU" w:eastAsia="PMingLiU" w:hAnsi="PMingLiU"/>
          <w:sz w:val="24"/>
          <w:szCs w:val="24"/>
          <w:color w:val="634140"/>
        </w:rPr>
        <w:t/>
      </w:r>
      <w:r>
        <w:rPr>
          <w:rFonts w:ascii="Arial" w:cs="Arial" w:eastAsia="Arial" w:hAnsi="Arial"/>
          <w:sz w:val="24"/>
          <w:szCs w:val="24"/>
          <w:color w:val="634140"/>
        </w:rPr>
        <w:t>lcvr&amp;eclcp_rgml</w:t>
      </w:r>
      <w:r>
        <w:rPr>
          <w:rFonts w:ascii="PMingLiU" w:cs="PMingLiU" w:eastAsia="PMingLiU" w:hAnsi="PMingLiU"/>
          <w:sz w:val="24"/>
          <w:szCs w:val="24"/>
          <w:color w:val="634140"/>
        </w:rPr>
        <w:t/>
      </w:r>
      <w:r>
        <w:rPr>
          <w:rFonts w:ascii="Arial" w:cs="Arial" w:eastAsia="Arial" w:hAnsi="Arial"/>
          <w:sz w:val="24"/>
          <w:szCs w:val="24"/>
          <w:color w:val="634140"/>
        </w:rPr>
        <w:t>r_`jcr</w:t>
      </w:r>
      <w:r>
        <w:rPr>
          <w:rFonts w:ascii="PMingLiU" w:cs="PMingLiU" w:eastAsia="PMingLiU" w:hAnsi="PMingLiU"/>
          <w:sz w:val="24"/>
          <w:szCs w:val="24"/>
          <w:color w:val="634140"/>
        </w:rPr>
        <w:t/>
      </w:r>
      <w:r>
        <w:rPr>
          <w:rFonts w:ascii="Arial" w:cs="Arial" w:eastAsia="Arial" w:hAnsi="Arial"/>
          <w:sz w:val="24"/>
          <w:szCs w:val="24"/>
          <w:color w:val="634140"/>
        </w:rPr>
        <w:t>am_rgleq</w:t>
      </w:r>
      <w:r>
        <w:rPr>
          <w:rFonts w:ascii="PMingLiU" w:cs="PMingLiU" w:eastAsia="PMingLiU" w:hAnsi="PMingLiU"/>
          <w:sz w:val="24"/>
          <w:szCs w:val="24"/>
          <w:color w:val="634140"/>
        </w:rPr>
        <w:t/>
      </w:r>
      <w:r>
        <w:rPr>
          <w:rFonts w:ascii="Arial" w:cs="Arial" w:eastAsia="Arial" w:hAnsi="Arial"/>
          <w:sz w:val="24"/>
          <w:szCs w:val="24"/>
          <w:color w:val="634140"/>
        </w:rPr>
        <w:t>dmp</w:t>
      </w:r>
      <w:r>
        <w:rPr>
          <w:rFonts w:ascii="PMingLiU" w:cs="PMingLiU" w:eastAsia="PMingLiU" w:hAnsi="PMingLiU"/>
          <w:sz w:val="24"/>
          <w:szCs w:val="24"/>
          <w:color w:val="634140"/>
        </w:rPr>
        <w:t/>
      </w:r>
      <w:r>
        <w:rPr>
          <w:rFonts w:ascii="Arial" w:cs="Arial" w:eastAsia="Arial" w:hAnsi="Arial"/>
          <w:sz w:val="24"/>
          <w:szCs w:val="24"/>
          <w:color w:val="634140"/>
        </w:rPr>
        <w:t>`crrcp</w:t>
      </w:r>
      <w:r>
        <w:rPr>
          <w:rFonts w:ascii="PMingLiU" w:cs="PMingLiU" w:eastAsia="PMingLiU" w:hAnsi="PMingLiU"/>
          <w:sz w:val="24"/>
          <w:szCs w:val="24"/>
          <w:color w:val="634140"/>
        </w:rPr>
        <w:t/>
      </w:r>
      <w:r>
        <w:rPr>
          <w:rFonts w:ascii="Arial" w:cs="Arial" w:eastAsia="Arial" w:hAnsi="Arial"/>
          <w:sz w:val="24"/>
          <w:szCs w:val="24"/>
          <w:color w:val="634140"/>
        </w:rPr>
        <w:t>ncpdmpk_lac</w:t>
      </w:r>
      <w:r>
        <w:rPr>
          <w:rFonts w:ascii="PMingLiU" w:cs="PMingLiU" w:eastAsia="PMingLiU" w:hAnsi="PMingLiU"/>
          <w:sz w:val="24"/>
          <w:szCs w:val="24"/>
          <w:color w:val="634140"/>
        </w:rPr>
        <w:t/>
      </w:r>
      <w:r>
        <w:rPr>
          <w:rFonts w:ascii="Arial" w:cs="Arial" w:eastAsia="Arial" w:hAnsi="Arial"/>
          <w:sz w:val="24"/>
          <w:szCs w:val="24"/>
          <w:color w:val="634140"/>
        </w:rPr>
        <w:t>_lb</w:t>
      </w:r>
      <w:r>
        <w:rPr>
          <w:rFonts w:ascii="PMingLiU" w:cs="PMingLiU" w:eastAsia="PMingLiU" w:hAnsi="PMingLiU"/>
          <w:sz w:val="24"/>
          <w:szCs w:val="24"/>
          <w:color w:val="634140"/>
        </w:rPr>
        <w:t/>
      </w:r>
      <w:r>
        <w:rPr>
          <w:rFonts w:ascii="Arial" w:cs="Arial" w:eastAsia="Arial" w:hAnsi="Arial"/>
          <w:sz w:val="24"/>
          <w:szCs w:val="24"/>
          <w:color w:val="634140"/>
        </w:rPr>
        <w:t>qsqr_gl_`gjgrw</w:t>
      </w:r>
      <w:r>
        <w:rPr>
          <w:rFonts w:ascii="PMingLiU" w:cs="PMingLiU" w:eastAsia="PMingLiU" w:hAnsi="PMingLiU"/>
          <w:sz w:val="24"/>
          <w:szCs w:val="24"/>
          <w:color w:val="634140"/>
        </w:rPr>
        <w:t/>
      </w:r>
      <w:r>
        <w:rPr>
          <w:rFonts w:ascii="Arial" w:cs="Arial" w:eastAsia="Arial" w:hAnsi="Arial"/>
          <w:sz w:val="24"/>
          <w:szCs w:val="24"/>
          <w:color w:val="634140"/>
        </w:rPr>
        <w:t xml:space="preserve"> ejm`_jgxgle</w:t>
      </w:r>
      <w:r>
        <w:rPr>
          <w:rFonts w:ascii="PMingLiU" w:cs="PMingLiU" w:eastAsia="PMingLiU" w:hAnsi="PMingLiU"/>
          <w:sz w:val="24"/>
          <w:szCs w:val="24"/>
          <w:color w:val="634140"/>
        </w:rPr>
        <w:t/>
      </w:r>
      <w:r>
        <w:rPr>
          <w:rFonts w:ascii="Arial" w:cs="Arial" w:eastAsia="Arial" w:hAnsi="Arial"/>
          <w:sz w:val="24"/>
          <w:szCs w:val="24"/>
          <w:color w:val="634140"/>
        </w:rPr>
        <w:t>cvagngclrq</w:t>
      </w:r>
      <w:r>
        <w:rPr>
          <w:rFonts w:ascii="PMingLiU" w:cs="PMingLiU" w:eastAsia="PMingLiU" w:hAnsi="PMingLiU"/>
          <w:sz w:val="24"/>
          <w:szCs w:val="24"/>
          <w:color w:val="634140"/>
        </w:rPr>
        <w:t/>
      </w:r>
      <w:r>
        <w:rPr>
          <w:rFonts w:ascii="Arial" w:cs="Arial" w:eastAsia="Arial" w:hAnsi="Arial"/>
          <w:sz w:val="24"/>
          <w:szCs w:val="24"/>
          <w:color w:val="634140"/>
        </w:rPr>
        <w:t>dmp</w:t>
      </w:r>
      <w:r>
        <w:rPr>
          <w:rFonts w:ascii="PMingLiU" w:cs="PMingLiU" w:eastAsia="PMingLiU" w:hAnsi="PMingLiU"/>
          <w:sz w:val="24"/>
          <w:szCs w:val="24"/>
          <w:color w:val="634140"/>
        </w:rPr>
        <w:t/>
      </w:r>
      <w:r>
        <w:rPr>
          <w:rFonts w:ascii="Arial" w:cs="Arial" w:eastAsia="Arial" w:hAnsi="Arial"/>
          <w:sz w:val="24"/>
          <w:szCs w:val="24"/>
          <w:color w:val="634140"/>
        </w:rPr>
        <w:t>glhcar_`jcq</w:t>
      </w:r>
      <w:r>
        <w:rPr>
          <w:rFonts w:ascii="PMingLiU" w:cs="PMingLiU" w:eastAsia="PMingLiU" w:hAnsi="PMingLiU"/>
          <w:sz w:val="24"/>
          <w:szCs w:val="24"/>
          <w:color w:val="634140"/>
        </w:rPr>
        <w:t/>
      </w:r>
      <w:r>
        <w:rPr>
          <w:rFonts w:ascii="Arial" w:cs="Arial" w:eastAsia="Arial" w:hAnsi="Arial"/>
          <w:sz w:val="24"/>
          <w:szCs w:val="24"/>
          <w:color w:val="634140"/>
        </w:rPr>
        <w:t>rm</w:t>
      </w:r>
      <w:r>
        <w:rPr>
          <w:rFonts w:ascii="PMingLiU" w:cs="PMingLiU" w:eastAsia="PMingLiU" w:hAnsi="PMingLiU"/>
          <w:sz w:val="24"/>
          <w:szCs w:val="24"/>
          <w:color w:val="634140"/>
        </w:rPr>
        <w:t/>
      </w:r>
      <w:r>
        <w:rPr>
          <w:rFonts w:ascii="Arial" w:cs="Arial" w:eastAsia="Arial" w:hAnsi="Arial"/>
          <w:sz w:val="24"/>
          <w:szCs w:val="24"/>
          <w:color w:val="634140"/>
        </w:rPr>
        <w:t>bgqpsnr</w:t>
      </w:r>
      <w:r>
        <w:rPr>
          <w:rFonts w:ascii="PMingLiU" w:cs="PMingLiU" w:eastAsia="PMingLiU" w:hAnsi="PMingLiU"/>
          <w:sz w:val="24"/>
          <w:szCs w:val="24"/>
          <w:color w:val="634140"/>
        </w:rPr>
        <w:t/>
      </w:r>
      <w:r>
        <w:rPr>
          <w:rFonts w:ascii="Arial" w:cs="Arial" w:eastAsia="Arial" w:hAnsi="Arial"/>
          <w:sz w:val="24"/>
          <w:szCs w:val="24"/>
          <w:color w:val="634140"/>
        </w:rPr>
        <w:t>_lb</w:t>
      </w:r>
      <w:r>
        <w:rPr>
          <w:rFonts w:ascii="PMingLiU" w:cs="PMingLiU" w:eastAsia="PMingLiU" w:hAnsi="PMingLiU"/>
          <w:sz w:val="24"/>
          <w:szCs w:val="24"/>
          <w:color w:val="634140"/>
        </w:rPr>
        <w:t/>
      </w:r>
      <w:r>
        <w:rPr>
          <w:rFonts w:ascii="Arial" w:cs="Arial" w:eastAsia="Arial" w:hAnsi="Arial"/>
          <w:sz w:val="24"/>
          <w:szCs w:val="24"/>
          <w:color w:val="634140"/>
        </w:rPr>
        <w:t>rp_lqdmpk</w:t>
      </w:r>
      <w:r>
        <w:rPr>
          <w:rFonts w:ascii="PMingLiU" w:cs="PMingLiU" w:eastAsia="PMingLiU" w:hAnsi="PMingLiU"/>
          <w:sz w:val="24"/>
          <w:szCs w:val="24"/>
          <w:color w:val="634140"/>
        </w:rPr>
        <w:t/>
      </w:r>
      <w:r>
        <w:rPr>
          <w:rFonts w:ascii="Arial" w:cs="Arial" w:eastAsia="Arial" w:hAnsi="Arial"/>
          <w:sz w:val="24"/>
          <w:szCs w:val="24"/>
          <w:color w:val="634140"/>
        </w:rPr>
        <w:t>fgef&amp;epmurf</w:t>
      </w:r>
      <w:r>
        <w:rPr>
          <w:rFonts w:ascii="PMingLiU" w:cs="PMingLiU" w:eastAsia="PMingLiU" w:hAnsi="PMingLiU"/>
          <w:sz w:val="24"/>
          <w:szCs w:val="24"/>
          <w:color w:val="634140"/>
        </w:rPr>
        <w:t/>
      </w:r>
      <w:r>
        <w:rPr>
          <w:rFonts w:ascii="Arial" w:cs="Arial" w:eastAsia="Arial" w:hAnsi="Arial"/>
          <w:sz w:val="24"/>
          <w:szCs w:val="24"/>
          <w:color w:val="634140"/>
        </w:rPr>
        <w:t>k_picrq</w:t>
      </w:r>
      <w:r>
        <w:rPr>
          <w:rFonts w:ascii="PMingLiU" w:cs="PMingLiU" w:eastAsia="PMingLiU" w:hAnsi="PMingLiU"/>
          <w:sz w:val="24"/>
          <w:szCs w:val="24"/>
          <w:color w:val="634140"/>
        </w:rPr>
        <w:t/>
      </w:r>
      <w:r>
        <w:rPr>
          <w:rFonts w:ascii="Arial" w:cs="Arial" w:eastAsia="Arial" w:hAnsi="Arial"/>
          <w:sz w:val="24"/>
          <w:szCs w:val="24"/>
          <w:color w:val="634140"/>
        </w:rPr>
        <w:t>glajsbgle</w:t>
      </w:r>
      <w:r>
        <w:rPr>
          <w:rFonts w:ascii="PMingLiU" w:cs="PMingLiU" w:eastAsia="PMingLiU" w:hAnsi="PMingLiU"/>
          <w:sz w:val="24"/>
          <w:szCs w:val="24"/>
          <w:color w:val="634140"/>
        </w:rPr>
        <w:t/>
      </w:r>
      <w:r>
        <w:rPr>
          <w:rFonts w:ascii="Arial" w:cs="Arial" w:eastAsia="Arial" w:hAnsi="Arial"/>
          <w:sz w:val="24"/>
          <w:szCs w:val="24"/>
          <w:color w:val="634140"/>
        </w:rPr>
        <w:t xml:space="preserve"> ckcpegle</w:t>
      </w:r>
      <w:r>
        <w:rPr>
          <w:rFonts w:ascii="PMingLiU" w:cs="PMingLiU" w:eastAsia="PMingLiU" w:hAnsi="PMingLiU"/>
          <w:sz w:val="24"/>
          <w:szCs w:val="24"/>
          <w:color w:val="634140"/>
        </w:rPr>
        <w:t/>
      </w:r>
      <w:r>
        <w:rPr>
          <w:rFonts w:ascii="Arial" w:cs="Arial" w:eastAsia="Arial" w:hAnsi="Arial"/>
          <w:sz w:val="24"/>
          <w:szCs w:val="24"/>
          <w:color w:val="634140"/>
        </w:rPr>
        <w:t>rfcp_ncsrgaq</w:t>
      </w:r>
      <w:r>
        <w:rPr>
          <w:rFonts w:ascii="PMingLiU" w:cs="PMingLiU" w:eastAsia="PMingLiU" w:hAnsi="PMingLiU"/>
          <w:sz w:val="24"/>
          <w:szCs w:val="24"/>
          <w:color w:val="634140"/>
        </w:rPr>
        <w:t/>
      </w:r>
      <w:r>
        <w:rPr>
          <w:rFonts w:ascii="Arial" w:cs="Arial" w:eastAsia="Arial" w:hAnsi="Arial"/>
          <w:sz w:val="24"/>
          <w:szCs w:val="24"/>
          <w:color w:val="634140"/>
        </w:rPr>
        <w:t>Elb</w:t>
      </w:r>
      <w:r>
        <w:rPr>
          <w:rFonts w:ascii="PMingLiU" w:cs="PMingLiU" w:eastAsia="PMingLiU" w:hAnsi="PMingLiU"/>
          <w:sz w:val="24"/>
          <w:szCs w:val="24"/>
          <w:color w:val="634140"/>
        </w:rPr>
        <w:t/>
      </w:r>
      <w:r>
        <w:rPr>
          <w:rFonts w:ascii="Arial" w:cs="Arial" w:eastAsia="Arial" w:hAnsi="Arial"/>
          <w:sz w:val="24"/>
          <w:szCs w:val="24"/>
          <w:color w:val="634140"/>
        </w:rPr>
        <w:t>uc</w:t>
      </w:r>
      <w:r>
        <w:rPr>
          <w:rFonts w:ascii="PMingLiU" w:cs="PMingLiU" w:eastAsia="PMingLiU" w:hAnsi="PMingLiU"/>
          <w:sz w:val="24"/>
          <w:szCs w:val="24"/>
          <w:color w:val="634140"/>
        </w:rPr>
        <w:t/>
      </w:r>
      <w:r>
        <w:rPr>
          <w:rFonts w:ascii="Arial" w:cs="Arial" w:eastAsia="Arial" w:hAnsi="Arial"/>
          <w:sz w:val="24"/>
          <w:szCs w:val="24"/>
          <w:color w:val="634140"/>
        </w:rPr>
        <w:t>pc</w:t>
      </w:r>
      <w:r>
        <w:rPr>
          <w:rFonts w:ascii="PMingLiU" w:cs="PMingLiU" w:eastAsia="PMingLiU" w:hAnsi="PMingLiU"/>
          <w:sz w:val="24"/>
          <w:szCs w:val="24"/>
          <w:color w:val="634140"/>
        </w:rPr>
        <w:t/>
      </w:r>
      <w:r>
        <w:rPr>
          <w:rFonts w:ascii="Arial" w:cs="Arial" w:eastAsia="Arial" w:hAnsi="Arial"/>
          <w:sz w:val="24"/>
          <w:szCs w:val="24"/>
          <w:color w:val="634140"/>
        </w:rPr>
        <w:t>cvn_lbgle</w:t>
      </w:r>
      <w:r>
        <w:rPr>
          <w:rFonts w:ascii="PMingLiU" w:cs="PMingLiU" w:eastAsia="PMingLiU" w:hAnsi="PMingLiU"/>
          <w:sz w:val="24"/>
          <w:szCs w:val="24"/>
          <w:color w:val="634140"/>
        </w:rPr>
        <w:t/>
      </w:r>
      <w:r>
        <w:rPr>
          <w:rFonts w:ascii="Arial" w:cs="Arial" w:eastAsia="Arial" w:hAnsi="Arial"/>
          <w:sz w:val="24"/>
          <w:szCs w:val="24"/>
          <w:color w:val="634140"/>
        </w:rPr>
        <w:t>msp</w:t>
      </w:r>
      <w:r>
        <w:rPr>
          <w:rFonts w:ascii="PMingLiU" w:cs="PMingLiU" w:eastAsia="PMingLiU" w:hAnsi="PMingLiU"/>
          <w:sz w:val="24"/>
          <w:szCs w:val="24"/>
          <w:color w:val="634140"/>
        </w:rPr>
        <w:t/>
      </w:r>
      <w:r>
        <w:rPr>
          <w:rFonts w:ascii="Arial" w:cs="Arial" w:eastAsia="Arial" w:hAnsi="Arial"/>
          <w:sz w:val="24"/>
          <w:szCs w:val="24"/>
          <w:color w:val="634140"/>
        </w:rPr>
        <w:t>epmugle</w:t>
      </w:r>
      <w:r>
        <w:rPr>
          <w:rFonts w:ascii="PMingLiU" w:cs="PMingLiU" w:eastAsia="PMingLiU" w:hAnsi="PMingLiU"/>
          <w:sz w:val="24"/>
          <w:szCs w:val="24"/>
          <w:color w:val="634140"/>
        </w:rPr>
        <w:t/>
      </w:r>
      <w:r>
        <w:rPr>
          <w:rFonts w:ascii="Arial" w:cs="Arial" w:eastAsia="Arial" w:hAnsi="Arial"/>
          <w:sz w:val="24"/>
          <w:szCs w:val="24"/>
          <w:color w:val="634140"/>
        </w:rPr>
        <w:t>nmprdmjgm</w:t>
      </w:r>
      <w:r>
        <w:rPr>
          <w:rFonts w:ascii="PMingLiU" w:cs="PMingLiU" w:eastAsia="PMingLiU" w:hAnsi="PMingLiU"/>
          <w:sz w:val="24"/>
          <w:szCs w:val="24"/>
          <w:color w:val="634140"/>
        </w:rPr>
        <w:t/>
      </w:r>
      <w:r>
        <w:rPr>
          <w:rFonts w:ascii="Arial" w:cs="Arial" w:eastAsia="Arial" w:hAnsi="Arial"/>
          <w:sz w:val="24"/>
          <w:szCs w:val="24"/>
          <w:color w:val="634140"/>
        </w:rPr>
        <w:t>md</w:t>
      </w:r>
      <w:r>
        <w:rPr>
          <w:rFonts w:ascii="PMingLiU" w:cs="PMingLiU" w:eastAsia="PMingLiU" w:hAnsi="PMingLiU"/>
          <w:sz w:val="24"/>
          <w:szCs w:val="24"/>
          <w:color w:val="634140"/>
        </w:rPr>
        <w:t/>
      </w:r>
      <w:r>
        <w:rPr>
          <w:rFonts w:ascii="Arial" w:cs="Arial" w:eastAsia="Arial" w:hAnsi="Arial"/>
          <w:sz w:val="24"/>
          <w:szCs w:val="24"/>
          <w:color w:val="634140"/>
        </w:rPr>
        <w:t>gllmt_rgtc</w:t>
      </w:r>
      <w:r>
        <w:rPr>
          <w:rFonts w:ascii="PMingLiU" w:cs="PMingLiU" w:eastAsia="PMingLiU" w:hAnsi="PMingLiU"/>
          <w:sz w:val="24"/>
          <w:szCs w:val="24"/>
          <w:color w:val="634140"/>
        </w:rPr>
        <w:t/>
      </w:r>
      <w:r>
        <w:rPr>
          <w:rFonts w:ascii="Arial" w:cs="Arial" w:eastAsia="Arial" w:hAnsi="Arial"/>
          <w:sz w:val="24"/>
          <w:szCs w:val="24"/>
          <w:color w:val="634140"/>
        </w:rPr>
        <w:t>apmn</w:t>
      </w:r>
      <w:r>
        <w:rPr>
          <w:rFonts w:ascii="PMingLiU" w:cs="PMingLiU" w:eastAsia="PMingLiU" w:hAnsi="PMingLiU"/>
          <w:sz w:val="24"/>
          <w:szCs w:val="24"/>
          <w:color w:val="634140"/>
        </w:rPr>
        <w:t/>
      </w:r>
      <w:r>
        <w:rPr>
          <w:rFonts w:ascii="Arial" w:cs="Arial" w:eastAsia="Arial" w:hAnsi="Arial"/>
          <w:sz w:val="24"/>
          <w:szCs w:val="24"/>
          <w:color w:val="634140"/>
        </w:rPr>
        <w:t xml:space="preserve"> a_pc</w:t>
      </w:r>
      <w:r>
        <w:rPr>
          <w:rFonts w:ascii="PMingLiU" w:cs="PMingLiU" w:eastAsia="PMingLiU" w:hAnsi="PMingLiU"/>
          <w:sz w:val="24"/>
          <w:szCs w:val="24"/>
          <w:color w:val="634140"/>
        </w:rPr>
        <w:t/>
      </w:r>
      <w:r>
        <w:rPr>
          <w:rFonts w:ascii="Arial" w:cs="Arial" w:eastAsia="Arial" w:hAnsi="Arial"/>
          <w:sz w:val="24"/>
          <w:szCs w:val="24"/>
          <w:color w:val="634140"/>
        </w:rPr>
        <w:t>qmjsrgmlq</w:t>
      </w:r>
      <w:r>
        <w:rPr>
          <w:rFonts w:ascii="PMingLiU" w:cs="PMingLiU" w:eastAsia="PMingLiU" w:hAnsi="PMingLiU"/>
          <w:sz w:val="24"/>
          <w:szCs w:val="24"/>
          <w:color w:val="634140"/>
        </w:rPr>
        <w:t/>
      </w:r>
    </w:p>
    <w:p>
      <w:pPr>
        <w:spacing w:after="0" w:line="278" w:lineRule="exact"/>
        <w:rPr>
          <w:sz w:val="20"/>
          <w:szCs w:val="20"/>
          <w:color w:val="auto"/>
        </w:rPr>
      </w:pPr>
    </w:p>
    <w:p>
      <w:pPr>
        <w:spacing w:after="0" w:line="291" w:lineRule="exact"/>
        <w:rPr>
          <w:sz w:val="20"/>
          <w:szCs w:val="20"/>
          <w:color w:val="auto"/>
        </w:rPr>
      </w:pPr>
      <w:r>
        <w:rPr>
          <w:rFonts w:ascii="Arial" w:cs="Arial" w:eastAsia="Arial" w:hAnsi="Arial"/>
          <w:sz w:val="24"/>
          <w:szCs w:val="24"/>
          <w:b w:val="1"/>
          <w:bCs w:val="1"/>
          <w:color w:val="634140"/>
        </w:rPr>
        <w:t>_qfj_lb</w:t>
      </w:r>
      <w:r>
        <w:rPr>
          <w:rFonts w:ascii="PMingLiU" w:cs="PMingLiU" w:eastAsia="PMingLiU" w:hAnsi="PMingLiU"/>
          <w:sz w:val="24"/>
          <w:szCs w:val="24"/>
          <w:b w:val="1"/>
          <w:bCs w:val="1"/>
          <w:color w:val="634140"/>
        </w:rPr>
        <w:t/>
      </w:r>
      <w:r>
        <w:rPr>
          <w:rFonts w:ascii="Arial" w:cs="Arial" w:eastAsia="Arial" w:hAnsi="Arial"/>
          <w:sz w:val="24"/>
          <w:szCs w:val="24"/>
          <w:b w:val="1"/>
          <w:bCs w:val="1"/>
          <w:color w:val="634140"/>
        </w:rPr>
        <w:t>amk5PW&amp;EV</w:t>
      </w:r>
    </w:p>
    <w:p>
      <w:pPr>
        <w:sectPr>
          <w:pgSz w:w="12240" w:h="15840" w:orient="portrait"/>
          <w:cols w:equalWidth="0" w:num="1">
            <w:col w:w="9960"/>
          </w:cols>
          <w:pgMar w:left="1120" w:top="144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40"/>
        <w:spacing w:after="0" w:line="339" w:lineRule="exact"/>
        <w:rPr>
          <w:sz w:val="20"/>
          <w:szCs w:val="20"/>
          <w:color w:val="auto"/>
        </w:rPr>
      </w:pPr>
      <w:r>
        <w:rPr>
          <w:rFonts w:ascii="PMingLiU" w:cs="PMingLiU" w:eastAsia="PMingLiU" w:hAnsi="PMingLiU"/>
          <w:sz w:val="19"/>
          <w:szCs w:val="19"/>
          <w:b w:val="1"/>
          <w:bCs w:val="1"/>
          <w:color w:val="FFFFFF"/>
        </w:rPr>
        <w:t/>
      </w:r>
      <w:r>
        <w:rPr>
          <w:sz w:val="1"/>
          <w:szCs w:val="1"/>
          <w:color w:val="auto"/>
        </w:rPr>
        <w:drawing>
          <wp:inline distT="0" distB="0" distL="0" distR="0">
            <wp:extent cx="93345" cy="19113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9">
                      <a:extLst>
                        <a:ext uri="{28A0092B-C50C-407E-A947-70E740481C1C}"/>
                      </a:extLst>
                    </a:blip>
                    <a:srcRect/>
                    <a:stretch>
                      <a:fillRect/>
                    </a:stretch>
                  </pic:blipFill>
                  <pic:spPr bwMode="auto">
                    <a:xfrm>
                      <a:off x="0" y="0"/>
                      <a:ext cx="93345" cy="191135"/>
                    </a:xfrm>
                    <a:prstGeom prst="rect">
                      <a:avLst/>
                    </a:prstGeom>
                    <a:noFill/>
                    <a:ln>
                      <a:noFill/>
                    </a:ln>
                  </pic:spPr>
                </pic:pic>
              </a:graphicData>
            </a:graphic>
          </wp:inline>
        </w:drawing>
      </w:r>
      <w:r>
        <w:rPr>
          <w:rFonts w:ascii="PMingLiU" w:cs="PMingLiU" w:eastAsia="PMingLiU" w:hAnsi="PMingLiU"/>
          <w:sz w:val="19"/>
          <w:szCs w:val="19"/>
          <w:b w:val="1"/>
          <w:bCs w:val="1"/>
          <w:color w:val="FFFFFF"/>
        </w:rPr>
        <w:t xml:space="preserve"> </w:t>
      </w:r>
    </w:p>
    <w:p>
      <w:pPr>
        <w:sectPr>
          <w:pgSz w:w="12240" w:h="15840" w:orient="portrait"/>
          <w:cols w:equalWidth="0" w:num="1">
            <w:col w:w="9960"/>
          </w:cols>
          <w:pgMar w:left="1120" w:top="1440" w:right="1160" w:bottom="0" w:gutter="0" w:footer="0" w:header="0"/>
          <w:type w:val="continuous"/>
        </w:sectPr>
      </w:pPr>
    </w:p>
    <w:bookmarkStart w:id="8" w:name="page9"/>
    <w:bookmarkEnd w:id="8"/>
    <w:p>
      <w:pPr>
        <w:spacing w:after="0" w:line="388" w:lineRule="exact"/>
        <w:rPr>
          <w:sz w:val="20"/>
          <w:szCs w:val="20"/>
          <w:color w:val="auto"/>
        </w:rPr>
      </w:pPr>
      <w:r>
        <w:rPr>
          <w:rFonts w:ascii="Arial" w:cs="Arial" w:eastAsia="Arial" w:hAnsi="Arial"/>
          <w:sz w:val="32"/>
          <w:szCs w:val="32"/>
          <w:b w:val="1"/>
          <w:bCs w:val="1"/>
          <w:color w:val="66C3C4"/>
        </w:rPr>
        <w:drawing>
          <wp:anchor simplePos="0" relativeHeight="251657728" behindDoc="1" locked="0" layoutInCell="0" allowOverlap="1">
            <wp:simplePos x="0" y="0"/>
            <wp:positionH relativeFrom="page">
              <wp:posOffset>541655</wp:posOffset>
            </wp:positionH>
            <wp:positionV relativeFrom="page">
              <wp:posOffset>0</wp:posOffset>
            </wp:positionV>
            <wp:extent cx="7230110" cy="10057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0">
                      <a:extLst>
                        <a:ext uri="{28A0092B-C50C-407E-A947-70E740481C1C}"/>
                      </a:extLst>
                    </a:blip>
                    <a:srcRect/>
                    <a:stretch>
                      <a:fillRect/>
                    </a:stretch>
                  </pic:blipFill>
                  <pic:spPr bwMode="auto">
                    <a:xfrm>
                      <a:off x="0" y="0"/>
                      <a:ext cx="7230110" cy="10057765"/>
                    </a:xfrm>
                    <a:prstGeom prst="rect">
                      <a:avLst/>
                    </a:prstGeom>
                    <a:noFill/>
                  </pic:spPr>
                </pic:pic>
              </a:graphicData>
            </a:graphic>
          </wp:anchor>
        </w:drawing>
        <w:t>J]</w:t>
      </w:r>
      <w:r>
        <w:rPr>
          <w:rFonts w:ascii="PMingLiU" w:cs="PMingLiU" w:eastAsia="PMingLiU" w:hAnsi="PMingLiU"/>
          <w:sz w:val="32"/>
          <w:szCs w:val="32"/>
          <w:b w:val="1"/>
          <w:bCs w:val="1"/>
          <w:color w:val="66C3C4"/>
        </w:rPr>
        <w:t/>
      </w:r>
      <w:r>
        <w:rPr>
          <w:rFonts w:ascii="Arial" w:cs="Arial" w:eastAsia="Arial" w:hAnsi="Arial"/>
          <w:sz w:val="32"/>
          <w:szCs w:val="32"/>
          <w:b w:val="1"/>
          <w:bCs w:val="1"/>
          <w:color w:val="66C3C4"/>
        </w:rPr>
        <w:t>˧˥˧˪</w:t>
      </w:r>
      <w:r>
        <w:rPr>
          <w:rFonts w:ascii="PMingLiU" w:cs="PMingLiU" w:eastAsia="PMingLiU" w:hAnsi="PMingLiU"/>
          <w:sz w:val="32"/>
          <w:szCs w:val="32"/>
          <w:b w:val="1"/>
          <w:bCs w:val="1"/>
          <w:color w:val="66C3C4"/>
        </w:rPr>
        <w:t/>
      </w:r>
      <w:r>
        <w:rPr>
          <w:rFonts w:ascii="Arial" w:cs="Arial" w:eastAsia="Arial" w:hAnsi="Arial"/>
          <w:sz w:val="32"/>
          <w:szCs w:val="32"/>
          <w:b w:val="1"/>
          <w:bCs w:val="1"/>
          <w:color w:val="66C3C4"/>
        </w:rPr>
        <w:t>fgefjgefrq</w:t>
      </w:r>
    </w:p>
    <w:p>
      <w:pPr>
        <w:spacing w:after="0" w:line="173" w:lineRule="exact"/>
        <w:rPr>
          <w:sz w:val="20"/>
          <w:szCs w:val="20"/>
          <w:color w:val="auto"/>
        </w:rPr>
      </w:pPr>
    </w:p>
    <w:p>
      <w:pPr>
        <w:ind w:left="3080"/>
        <w:spacing w:after="0" w:line="414" w:lineRule="exact"/>
        <w:rPr>
          <w:sz w:val="20"/>
          <w:szCs w:val="20"/>
          <w:color w:val="auto"/>
        </w:rPr>
      </w:pPr>
      <w:r>
        <w:rPr>
          <w:rFonts w:ascii="Arial" w:cs="Arial" w:eastAsia="Arial" w:hAnsi="Arial"/>
          <w:sz w:val="18"/>
          <w:szCs w:val="18"/>
          <w:b w:val="1"/>
          <w:bCs w:val="1"/>
          <w:color w:val="59BDB6"/>
        </w:rPr>
        <w:t>tg_rcj</w:t>
      </w:r>
      <w:r>
        <w:rPr>
          <w:rFonts w:ascii="Arial" w:cs="Arial" w:eastAsia="Arial" w:hAnsi="Arial"/>
          <w:sz w:val="36"/>
          <w:szCs w:val="36"/>
          <w:b w:val="1"/>
          <w:bCs w:val="1"/>
          <w:color w:val="59BDB6"/>
          <w:vertAlign w:val="superscript"/>
        </w:rPr>
        <w:t>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`gmpcqmp`_`jc</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nmjwkcp</w:t>
      </w:r>
      <w:r>
        <w:rPr>
          <w:rFonts w:ascii="PMingLiU" w:cs="PMingLiU" w:eastAsia="PMingLiU" w:hAnsi="PMingLiU"/>
          <w:sz w:val="18"/>
          <w:szCs w:val="18"/>
          <w:b w:val="1"/>
          <w:bCs w:val="1"/>
          <w:color w:val="59BDB6"/>
        </w:rPr>
        <w:t/>
      </w:r>
    </w:p>
    <w:p>
      <w:pPr>
        <w:ind w:left="3080"/>
        <w:spacing w:after="0" w:line="185" w:lineRule="exact"/>
        <w:rPr>
          <w:sz w:val="20"/>
          <w:szCs w:val="20"/>
          <w:color w:val="auto"/>
        </w:rPr>
      </w:pPr>
      <w:r>
        <w:rPr>
          <w:rFonts w:ascii="Arial" w:cs="Arial" w:eastAsia="Arial" w:hAnsi="Arial"/>
          <w:sz w:val="18"/>
          <w:szCs w:val="18"/>
          <w:b w:val="1"/>
          <w:bCs w:val="1"/>
          <w:color w:val="59BDB6"/>
        </w:rPr>
        <w:t>ep_bcq</w:t>
      </w:r>
      <w:r>
        <w:rPr>
          <w:rFonts w:ascii="PMingLiU" w:cs="PMingLiU" w:eastAsia="PMingLiU" w:hAnsi="PMingLiU"/>
          <w:sz w:val="18"/>
          <w:szCs w:val="18"/>
          <w:b w:val="1"/>
          <w:bCs w:val="1"/>
          <w:color w:val="59BDB6"/>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kcbga_j</w:t>
      </w:r>
      <w:r>
        <w:rPr>
          <w:rFonts w:ascii="PMingLiU" w:cs="PMingLiU" w:eastAsia="PMingLiU" w:hAnsi="PMingLiU"/>
          <w:sz w:val="18"/>
          <w:szCs w:val="18"/>
          <w:color w:val="634140"/>
        </w:rPr>
        <w:t/>
      </w:r>
      <w:r>
        <w:rPr>
          <w:rFonts w:ascii="Arial" w:cs="Arial" w:eastAsia="Arial" w:hAnsi="Arial"/>
          <w:sz w:val="18"/>
          <w:szCs w:val="18"/>
          <w:color w:val="634140"/>
        </w:rPr>
        <w:t>bctgacq</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p>
    <w:p>
      <w:pPr>
        <w:spacing w:after="0" w:line="46" w:lineRule="exact"/>
        <w:rPr>
          <w:sz w:val="20"/>
          <w:szCs w:val="20"/>
          <w:color w:val="auto"/>
        </w:rPr>
      </w:pPr>
    </w:p>
    <w:p>
      <w:pPr>
        <w:jc w:val="both"/>
        <w:ind w:left="3080" w:right="140"/>
        <w:spacing w:after="0" w:line="248" w:lineRule="exact"/>
        <w:rPr>
          <w:sz w:val="20"/>
          <w:szCs w:val="20"/>
          <w:color w:val="auto"/>
        </w:rPr>
      </w:pPr>
      <w:r>
        <w:rPr>
          <w:rFonts w:ascii="Arial" w:cs="Arial" w:eastAsia="Arial" w:hAnsi="Arial"/>
          <w:sz w:val="18"/>
          <w:szCs w:val="18"/>
          <w:color w:val="634140"/>
        </w:rPr>
        <w:t>_cqrfcrga</w:t>
      </w:r>
      <w:r>
        <w:rPr>
          <w:rFonts w:ascii="PMingLiU" w:cs="PMingLiU" w:eastAsia="PMingLiU" w:hAnsi="PMingLiU"/>
          <w:sz w:val="18"/>
          <w:szCs w:val="18"/>
          <w:color w:val="634140"/>
        </w:rPr>
        <w:t/>
      </w:r>
      <w:r>
        <w:rPr>
          <w:rFonts w:ascii="Arial" w:cs="Arial" w:eastAsia="Arial" w:hAnsi="Arial"/>
          <w:sz w:val="18"/>
          <w:szCs w:val="18"/>
          <w:color w:val="634140"/>
        </w:rPr>
        <w:t>kcbgaglc</w:t>
      </w:r>
      <w:r>
        <w:rPr>
          <w:rFonts w:ascii="PMingLiU" w:cs="PMingLiU" w:eastAsia="PMingLiU" w:hAnsi="PMingLiU"/>
          <w:sz w:val="18"/>
          <w:szCs w:val="18"/>
          <w:color w:val="634140"/>
        </w:rPr>
        <w:t/>
      </w:r>
      <w:r>
        <w:rPr>
          <w:rFonts w:ascii="Arial" w:cs="Arial" w:eastAsia="Arial" w:hAnsi="Arial"/>
          <w:sz w:val="18"/>
          <w:szCs w:val="18"/>
          <w:color w:val="634140"/>
        </w:rPr>
        <w:t>_pc</w:t>
      </w:r>
      <w:r>
        <w:rPr>
          <w:rFonts w:ascii="PMingLiU" w:cs="PMingLiU" w:eastAsia="PMingLiU" w:hAnsi="PMingLiU"/>
          <w:sz w:val="18"/>
          <w:szCs w:val="18"/>
          <w:color w:val="634140"/>
        </w:rPr>
        <w:t/>
      </w:r>
      <w:r>
        <w:rPr>
          <w:rFonts w:ascii="Arial" w:cs="Arial" w:eastAsia="Arial" w:hAnsi="Arial"/>
          <w:sz w:val="18"/>
          <w:szCs w:val="18"/>
          <w:color w:val="634140"/>
        </w:rPr>
        <w:t>_jrcpl_rgtcq</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 xml:space="preserve"> ncpk_lclr</w:t>
      </w:r>
      <w:r>
        <w:rPr>
          <w:rFonts w:ascii="PMingLiU" w:cs="PMingLiU" w:eastAsia="PMingLiU" w:hAnsi="PMingLiU"/>
          <w:sz w:val="18"/>
          <w:szCs w:val="18"/>
          <w:color w:val="634140"/>
        </w:rPr>
        <w:t/>
      </w:r>
      <w:r>
        <w:rPr>
          <w:rFonts w:ascii="Arial" w:cs="Arial" w:eastAsia="Arial" w:hAnsi="Arial"/>
          <w:sz w:val="18"/>
          <w:szCs w:val="18"/>
          <w:color w:val="634140"/>
        </w:rPr>
        <w:t>lmlbcep_b_`jc</w:t>
      </w:r>
      <w:r>
        <w:rPr>
          <w:rFonts w:ascii="PMingLiU" w:cs="PMingLiU" w:eastAsia="PMingLiU" w:hAnsi="PMingLiU"/>
          <w:sz w:val="18"/>
          <w:szCs w:val="18"/>
          <w:color w:val="634140"/>
        </w:rPr>
        <w:t/>
      </w:r>
      <w:r>
        <w:rPr>
          <w:rFonts w:ascii="Arial" w:cs="Arial" w:eastAsia="Arial" w:hAnsi="Arial"/>
          <w:sz w:val="18"/>
          <w:szCs w:val="18"/>
          <w:color w:val="634140"/>
        </w:rPr>
        <w:t>k_rcpg_jq</w:t>
      </w:r>
      <w:r>
        <w:rPr>
          <w:rFonts w:ascii="PMingLiU" w:cs="PMingLiU" w:eastAsia="PMingLiU" w:hAnsi="PMingLiU"/>
          <w:sz w:val="18"/>
          <w:szCs w:val="18"/>
          <w:color w:val="634140"/>
        </w:rPr>
        <w:t/>
      </w:r>
      <w:r>
        <w:rPr>
          <w:rFonts w:ascii="Arial" w:cs="Arial" w:eastAsia="Arial" w:hAnsi="Arial"/>
          <w:sz w:val="18"/>
          <w:szCs w:val="18"/>
          <w:color w:val="634140"/>
        </w:rPr>
        <w:t xml:space="preserve"> gl</w:t>
      </w:r>
      <w:r>
        <w:rPr>
          <w:rFonts w:ascii="PMingLiU" w:cs="PMingLiU" w:eastAsia="PMingLiU" w:hAnsi="PMingLiU"/>
          <w:sz w:val="18"/>
          <w:szCs w:val="18"/>
          <w:color w:val="634140"/>
        </w:rPr>
        <w:t/>
      </w:r>
      <w:r>
        <w:rPr>
          <w:rFonts w:ascii="Arial" w:cs="Arial" w:eastAsia="Arial" w:hAnsi="Arial"/>
          <w:sz w:val="18"/>
          <w:szCs w:val="18"/>
          <w:color w:val="634140"/>
        </w:rPr>
        <w:t>`gmkcbga_j</w:t>
      </w:r>
      <w:r>
        <w:rPr>
          <w:rFonts w:ascii="PMingLiU" w:cs="PMingLiU" w:eastAsia="PMingLiU" w:hAnsi="PMingLiU"/>
          <w:sz w:val="18"/>
          <w:szCs w:val="18"/>
          <w:color w:val="634140"/>
        </w:rPr>
        <w:t/>
      </w:r>
      <w:r>
        <w:rPr>
          <w:rFonts w:ascii="Arial" w:cs="Arial" w:eastAsia="Arial" w:hAnsi="Arial"/>
          <w:sz w:val="18"/>
          <w:szCs w:val="18"/>
          <w:color w:val="634140"/>
        </w:rPr>
        <w:t>_nnjga_rgmlq</w:t>
      </w:r>
      <w:r>
        <w:rPr>
          <w:rFonts w:ascii="PMingLiU" w:cs="PMingLiU" w:eastAsia="PMingLiU" w:hAnsi="PMingLiU"/>
          <w:sz w:val="18"/>
          <w:szCs w:val="18"/>
          <w:color w:val="634140"/>
        </w:rPr>
        <w:t/>
      </w:r>
    </w:p>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80" w:right="220"/>
        <w:spacing w:after="0" w:line="242" w:lineRule="exact"/>
        <w:rPr>
          <w:sz w:val="20"/>
          <w:szCs w:val="20"/>
          <w:color w:val="auto"/>
        </w:rPr>
      </w:pPr>
      <w:r>
        <w:rPr>
          <w:rFonts w:ascii="Arial" w:cs="Arial" w:eastAsia="Arial" w:hAnsi="Arial"/>
          <w:sz w:val="18"/>
          <w:szCs w:val="18"/>
          <w:b w:val="1"/>
          <w:bCs w:val="1"/>
          <w:color w:val="59BDB6"/>
        </w:rPr>
        <w:t>dmpsk</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ml</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nf_pk_</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`sgjbgle</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`crrcp</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 xml:space="preserve"> glhcar_`jcq</w:t>
      </w:r>
      <w:r>
        <w:rPr>
          <w:rFonts w:ascii="PMingLiU" w:cs="PMingLiU" w:eastAsia="PMingLiU" w:hAnsi="PMingLiU"/>
          <w:sz w:val="18"/>
          <w:szCs w:val="18"/>
          <w:color w:val="634140"/>
        </w:rPr>
        <w:t/>
      </w:r>
    </w:p>
    <w:p>
      <w:pPr>
        <w:spacing w:after="0" w:line="46" w:lineRule="exact"/>
        <w:rPr>
          <w:sz w:val="20"/>
          <w:szCs w:val="20"/>
          <w:color w:val="auto"/>
        </w:rPr>
      </w:pPr>
    </w:p>
    <w:p>
      <w:pPr>
        <w:ind w:left="3080" w:right="60"/>
        <w:spacing w:after="0" w:line="251" w:lineRule="exact"/>
        <w:rPr>
          <w:sz w:val="20"/>
          <w:szCs w:val="20"/>
          <w:color w:val="auto"/>
        </w:rPr>
      </w:pPr>
      <w:r>
        <w:rPr>
          <w:rFonts w:ascii="Arial" w:cs="Arial" w:eastAsia="Arial" w:hAnsi="Arial"/>
          <w:sz w:val="18"/>
          <w:szCs w:val="18"/>
          <w:color w:val="634140"/>
        </w:rPr>
        <w:t>Xfc</w:t>
      </w:r>
      <w:r>
        <w:rPr>
          <w:rFonts w:ascii="PMingLiU" w:cs="PMingLiU" w:eastAsia="PMingLiU" w:hAnsi="PMingLiU"/>
          <w:sz w:val="18"/>
          <w:szCs w:val="18"/>
          <w:color w:val="634140"/>
        </w:rPr>
        <w:t/>
      </w:r>
      <w:r>
        <w:rPr>
          <w:rFonts w:ascii="Arial" w:cs="Arial" w:eastAsia="Arial" w:hAnsi="Arial"/>
          <w:sz w:val="18"/>
          <w:szCs w:val="18"/>
          <w:color w:val="634140"/>
        </w:rPr>
        <w:t>gl_sesp_j</w:t>
      </w:r>
      <w:r>
        <w:rPr>
          <w:rFonts w:ascii="PMingLiU" w:cs="PMingLiU" w:eastAsia="PMingLiU" w:hAnsi="PMingLiU"/>
          <w:sz w:val="18"/>
          <w:szCs w:val="18"/>
          <w:color w:val="634140"/>
        </w:rPr>
        <w:t/>
      </w:r>
      <w:r>
        <w:rPr>
          <w:rFonts w:ascii="Arial" w:cs="Arial" w:eastAsia="Arial" w:hAnsi="Arial"/>
          <w:sz w:val="18"/>
          <w:szCs w:val="18"/>
          <w:color w:val="634140"/>
        </w:rPr>
        <w:t>glhcar_`jcq</w:t>
      </w:r>
      <w:r>
        <w:rPr>
          <w:rFonts w:ascii="PMingLiU" w:cs="PMingLiU" w:eastAsia="PMingLiU" w:hAnsi="PMingLiU"/>
          <w:sz w:val="18"/>
          <w:szCs w:val="18"/>
          <w:color w:val="634140"/>
        </w:rPr>
        <w:t/>
      </w:r>
      <w:r>
        <w:rPr>
          <w:rFonts w:ascii="Arial" w:cs="Arial" w:eastAsia="Arial" w:hAnsi="Arial"/>
          <w:sz w:val="18"/>
          <w:szCs w:val="18"/>
          <w:color w:val="634140"/>
        </w:rPr>
        <w:t>qafmmj</w:t>
      </w:r>
      <w:r>
        <w:rPr>
          <w:rFonts w:ascii="PMingLiU" w:cs="PMingLiU" w:eastAsia="PMingLiU" w:hAnsi="PMingLiU"/>
          <w:sz w:val="18"/>
          <w:szCs w:val="18"/>
          <w:color w:val="634140"/>
        </w:rPr>
        <w:t/>
      </w:r>
      <w:r>
        <w:rPr>
          <w:rFonts w:ascii="Arial" w:cs="Arial" w:eastAsia="Arial" w:hAnsi="Arial"/>
          <w:sz w:val="18"/>
          <w:szCs w:val="18"/>
          <w:color w:val="634140"/>
        </w:rPr>
        <w:t>u_q</w:t>
      </w:r>
      <w:r>
        <w:rPr>
          <w:rFonts w:ascii="PMingLiU" w:cs="PMingLiU" w:eastAsia="PMingLiU" w:hAnsi="PMingLiU"/>
          <w:sz w:val="18"/>
          <w:szCs w:val="18"/>
          <w:color w:val="634140"/>
        </w:rPr>
        <w:t/>
      </w:r>
      <w:r>
        <w:rPr>
          <w:rFonts w:ascii="Arial" w:cs="Arial" w:eastAsia="Arial" w:hAnsi="Arial"/>
          <w:sz w:val="18"/>
          <w:szCs w:val="18"/>
          <w:color w:val="634140"/>
        </w:rPr>
        <w:t xml:space="preserve"> fcjb</w:t>
      </w:r>
      <w:r>
        <w:rPr>
          <w:rFonts w:ascii="PMingLiU" w:cs="PMingLiU" w:eastAsia="PMingLiU" w:hAnsi="PMingLiU"/>
          <w:sz w:val="18"/>
          <w:szCs w:val="18"/>
          <w:color w:val="634140"/>
        </w:rPr>
        <w:t/>
      </w:r>
      <w:r>
        <w:rPr>
          <w:rFonts w:ascii="Arial" w:cs="Arial" w:eastAsia="Arial" w:hAnsi="Arial"/>
          <w:sz w:val="18"/>
          <w:szCs w:val="18"/>
          <w:color w:val="634140"/>
        </w:rPr>
        <w:t>_r</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r>
        <w:rPr>
          <w:rFonts w:ascii="Arial" w:cs="Arial" w:eastAsia="Arial" w:hAnsi="Arial"/>
          <w:sz w:val="18"/>
          <w:szCs w:val="18"/>
          <w:color w:val="634140"/>
        </w:rPr>
        <w:t>qr_rc&amp;md&amp;rfc&amp;_pr</w:t>
      </w:r>
      <w:r>
        <w:rPr>
          <w:rFonts w:ascii="PMingLiU" w:cs="PMingLiU" w:eastAsia="PMingLiU" w:hAnsi="PMingLiU"/>
          <w:sz w:val="18"/>
          <w:szCs w:val="18"/>
          <w:color w:val="634140"/>
        </w:rPr>
        <w:t/>
      </w:r>
      <w:r>
        <w:rPr>
          <w:rFonts w:ascii="Arial" w:cs="Arial" w:eastAsia="Arial" w:hAnsi="Arial"/>
          <w:sz w:val="18"/>
          <w:szCs w:val="18"/>
          <w:color w:val="634140"/>
        </w:rPr>
        <w:t>[gjkglerml</w:t>
      </w:r>
      <w:r>
        <w:rPr>
          <w:rFonts w:ascii="PMingLiU" w:cs="PMingLiU" w:eastAsia="PMingLiU" w:hAnsi="PMingLiU"/>
          <w:sz w:val="18"/>
          <w:szCs w:val="18"/>
          <w:color w:val="634140"/>
        </w:rPr>
        <w:t/>
      </w:r>
      <w:r>
        <w:rPr>
          <w:rFonts w:ascii="Arial" w:cs="Arial" w:eastAsia="Arial" w:hAnsi="Arial"/>
          <w:sz w:val="18"/>
          <w:szCs w:val="18"/>
          <w:color w:val="634140"/>
        </w:rPr>
        <w:t xml:space="preserve"> pcqc_paf</w:t>
      </w:r>
      <w:r>
        <w:rPr>
          <w:rFonts w:ascii="PMingLiU" w:cs="PMingLiU" w:eastAsia="PMingLiU" w:hAnsi="PMingLiU"/>
          <w:sz w:val="18"/>
          <w:szCs w:val="18"/>
          <w:color w:val="634140"/>
        </w:rPr>
        <w:t/>
      </w:r>
      <w:r>
        <w:rPr>
          <w:rFonts w:ascii="Arial" w:cs="Arial" w:eastAsia="Arial" w:hAnsi="Arial"/>
          <w:sz w:val="18"/>
          <w:szCs w:val="18"/>
          <w:color w:val="634140"/>
        </w:rPr>
        <w:t>aclrcp</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u_s fijjcb</w:t>
      </w:r>
      <w:r>
        <w:rPr>
          <w:rFonts w:ascii="PMingLiU" w:cs="PMingLiU" w:eastAsia="PMingLiU" w:hAnsi="PMingLiU"/>
          <w:sz w:val="18"/>
          <w:szCs w:val="18"/>
          <w:color w:val="634140"/>
        </w:rPr>
        <w:t/>
      </w:r>
      <w:r>
        <w:rPr>
          <w:rFonts w:ascii="Arial" w:cs="Arial" w:eastAsia="Arial" w:hAnsi="Arial"/>
          <w:sz w:val="18"/>
          <w:szCs w:val="18"/>
          <w:color w:val="634140"/>
        </w:rPr>
        <w:t>ugrf</w:t>
      </w:r>
      <w:r>
        <w:rPr>
          <w:rFonts w:ascii="PMingLiU" w:cs="PMingLiU" w:eastAsia="PMingLiU" w:hAnsi="PMingLiU"/>
          <w:sz w:val="18"/>
          <w:szCs w:val="18"/>
          <w:color w:val="634140"/>
        </w:rPr>
        <w:t/>
      </w:r>
      <w:r>
        <w:rPr>
          <w:rFonts w:ascii="Arial" w:cs="Arial" w:eastAsia="Arial" w:hAnsi="Arial"/>
          <w:sz w:val="18"/>
          <w:szCs w:val="18"/>
          <w:color w:val="634140"/>
        </w:rPr>
        <w:t xml:space="preserve"> bwl_kga</w:t>
      </w:r>
      <w:r>
        <w:rPr>
          <w:rFonts w:ascii="PMingLiU" w:cs="PMingLiU" w:eastAsia="PMingLiU" w:hAnsi="PMingLiU"/>
          <w:sz w:val="18"/>
          <w:szCs w:val="18"/>
          <w:color w:val="634140"/>
        </w:rPr>
        <w:t/>
      </w:r>
      <w:r>
        <w:rPr>
          <w:rFonts w:ascii="Arial" w:cs="Arial" w:eastAsia="Arial" w:hAnsi="Arial"/>
          <w:sz w:val="18"/>
          <w:szCs w:val="18"/>
          <w:color w:val="634140"/>
        </w:rPr>
        <w:t>jc_plgle</w:t>
      </w:r>
      <w:r>
        <w:rPr>
          <w:rFonts w:ascii="PMingLiU" w:cs="PMingLiU" w:eastAsia="PMingLiU" w:hAnsi="PMingLiU"/>
          <w:sz w:val="18"/>
          <w:szCs w:val="18"/>
          <w:color w:val="634140"/>
        </w:rPr>
        <w:t/>
      </w:r>
    </w:p>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080" w:right="540"/>
        <w:spacing w:after="0" w:line="242" w:lineRule="exact"/>
        <w:rPr>
          <w:sz w:val="20"/>
          <w:szCs w:val="20"/>
          <w:color w:val="auto"/>
        </w:rPr>
      </w:pPr>
      <w:r>
        <w:rPr>
          <w:rFonts w:ascii="Arial" w:cs="Arial" w:eastAsia="Arial" w:hAnsi="Arial"/>
          <w:sz w:val="17"/>
          <w:szCs w:val="17"/>
          <w:b w:val="1"/>
          <w:bCs w:val="1"/>
          <w:color w:val="59BDB6"/>
        </w:rPr>
        <w:t>jmu</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lgrpgrc</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cvagngclrq</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dmp</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q_dcp</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 xml:space="preserve"> bpse</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npmbsarq</w:t>
      </w:r>
      <w:r>
        <w:rPr>
          <w:rFonts w:ascii="PMingLiU" w:cs="PMingLiU" w:eastAsia="PMingLiU" w:hAnsi="PMingLiU"/>
          <w:sz w:val="17"/>
          <w:szCs w:val="17"/>
          <w:b w:val="1"/>
          <w:bCs w:val="1"/>
          <w:color w:val="59BDB6"/>
        </w:rPr>
        <w:t/>
      </w:r>
    </w:p>
    <w:p>
      <w:pPr>
        <w:spacing w:after="0" w:line="47" w:lineRule="exact"/>
        <w:rPr>
          <w:sz w:val="20"/>
          <w:szCs w:val="20"/>
          <w:color w:val="auto"/>
        </w:rPr>
      </w:pPr>
    </w:p>
    <w:p>
      <w:pPr>
        <w:ind w:left="3080" w:right="260"/>
        <w:spacing w:after="0" w:line="255" w:lineRule="exact"/>
        <w:rPr>
          <w:sz w:val="20"/>
          <w:szCs w:val="20"/>
          <w:color w:val="auto"/>
        </w:rPr>
      </w:pPr>
      <w:r>
        <w:rPr>
          <w:rFonts w:ascii="Arial" w:cs="Arial" w:eastAsia="Arial" w:hAnsi="Arial"/>
          <w:sz w:val="18"/>
          <w:szCs w:val="18"/>
          <w:color w:val="634140"/>
        </w:rPr>
        <w:t>Eqfj_lb</w:t>
      </w:r>
      <w:r>
        <w:rPr>
          <w:rFonts w:ascii="PMingLiU" w:cs="PMingLiU" w:eastAsia="PMingLiU" w:hAnsi="PMingLiU"/>
          <w:sz w:val="18"/>
          <w:szCs w:val="18"/>
          <w:color w:val="634140"/>
        </w:rPr>
        <w:t/>
      </w:r>
      <w:r>
        <w:rPr>
          <w:rFonts w:ascii="Arial" w:cs="Arial" w:eastAsia="Arial" w:hAnsi="Arial"/>
          <w:sz w:val="18"/>
          <w:szCs w:val="18"/>
          <w:color w:val="634140"/>
        </w:rPr>
        <w:t>mffcpq</w:t>
      </w:r>
      <w:r>
        <w:rPr>
          <w:rFonts w:ascii="PMingLiU" w:cs="PMingLiU" w:eastAsia="PMingLiU" w:hAnsi="PMingLiU"/>
          <w:sz w:val="18"/>
          <w:szCs w:val="18"/>
          <w:color w:val="634140"/>
        </w:rPr>
        <w:t/>
      </w:r>
      <w:r>
        <w:rPr>
          <w:rFonts w:ascii="Arial" w:cs="Arial" w:eastAsia="Arial" w:hAnsi="Arial"/>
          <w:sz w:val="18"/>
          <w:szCs w:val="18"/>
          <w:color w:val="634140"/>
        </w:rPr>
        <w:t>npmbsarq</w:t>
      </w:r>
      <w:r>
        <w:rPr>
          <w:rFonts w:ascii="PMingLiU" w:cs="PMingLiU" w:eastAsia="PMingLiU" w:hAnsi="PMingLiU"/>
          <w:sz w:val="18"/>
          <w:szCs w:val="18"/>
          <w:color w:val="634140"/>
        </w:rPr>
        <w:t/>
      </w:r>
      <w:r>
        <w:rPr>
          <w:rFonts w:ascii="Arial" w:cs="Arial" w:eastAsia="Arial" w:hAnsi="Arial"/>
          <w:sz w:val="18"/>
          <w:szCs w:val="18"/>
          <w:color w:val="634140"/>
        </w:rPr>
        <w:t>ugrf</w:t>
      </w:r>
      <w:r>
        <w:rPr>
          <w:rFonts w:ascii="PMingLiU" w:cs="PMingLiU" w:eastAsia="PMingLiU" w:hAnsi="PMingLiU"/>
          <w:sz w:val="18"/>
          <w:szCs w:val="18"/>
          <w:color w:val="634140"/>
        </w:rPr>
        <w:t/>
      </w:r>
      <w:r>
        <w:rPr>
          <w:rFonts w:ascii="Arial" w:cs="Arial" w:eastAsia="Arial" w:hAnsi="Arial"/>
          <w:sz w:val="18"/>
          <w:szCs w:val="18"/>
          <w:color w:val="634140"/>
        </w:rPr>
        <w:t xml:space="preserve"> amkncrgrgtcjw</w:t>
      </w:r>
      <w:r>
        <w:rPr>
          <w:rFonts w:ascii="PMingLiU" w:cs="PMingLiU" w:eastAsia="PMingLiU" w:hAnsi="PMingLiU"/>
          <w:sz w:val="18"/>
          <w:szCs w:val="18"/>
          <w:color w:val="634140"/>
        </w:rPr>
        <w:t/>
      </w:r>
      <w:r>
        <w:rPr>
          <w:rFonts w:ascii="Arial" w:cs="Arial" w:eastAsia="Arial" w:hAnsi="Arial"/>
          <w:sz w:val="18"/>
          <w:szCs w:val="18"/>
          <w:color w:val="634140"/>
        </w:rPr>
        <w:t>jmu</w:t>
      </w:r>
      <w:r>
        <w:rPr>
          <w:rFonts w:ascii="PMingLiU" w:cs="PMingLiU" w:eastAsia="PMingLiU" w:hAnsi="PMingLiU"/>
          <w:sz w:val="18"/>
          <w:szCs w:val="18"/>
          <w:color w:val="634140"/>
        </w:rPr>
        <w:t/>
      </w:r>
      <w:r>
        <w:rPr>
          <w:rFonts w:ascii="Arial" w:cs="Arial" w:eastAsia="Arial" w:hAnsi="Arial"/>
          <w:sz w:val="18"/>
          <w:szCs w:val="18"/>
          <w:color w:val="634140"/>
        </w:rPr>
        <w:t>lgrpgrc</w:t>
      </w:r>
      <w:r>
        <w:rPr>
          <w:rFonts w:ascii="PMingLiU" w:cs="PMingLiU" w:eastAsia="PMingLiU" w:hAnsi="PMingLiU"/>
          <w:sz w:val="18"/>
          <w:szCs w:val="18"/>
          <w:color w:val="634140"/>
        </w:rPr>
        <w:t/>
      </w:r>
      <w:r>
        <w:rPr>
          <w:rFonts w:ascii="Arial" w:cs="Arial" w:eastAsia="Arial" w:hAnsi="Arial"/>
          <w:sz w:val="18"/>
          <w:szCs w:val="18"/>
          <w:color w:val="634140"/>
        </w:rPr>
        <w:t>jctcjq</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 xml:space="preserve"> fcjn</w:t>
      </w:r>
      <w:r>
        <w:rPr>
          <w:rFonts w:ascii="PMingLiU" w:cs="PMingLiU" w:eastAsia="PMingLiU" w:hAnsi="PMingLiU"/>
          <w:sz w:val="18"/>
          <w:szCs w:val="18"/>
          <w:color w:val="634140"/>
        </w:rPr>
        <w:t/>
      </w:r>
      <w:r>
        <w:rPr>
          <w:rFonts w:ascii="Arial" w:cs="Arial" w:eastAsia="Arial" w:hAnsi="Arial"/>
          <w:sz w:val="18"/>
          <w:szCs w:val="18"/>
          <w:color w:val="634140"/>
        </w:rPr>
        <w:t>pcbsac</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pgqi</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lgrpmq_kglc</w:t>
      </w:r>
      <w:r>
        <w:rPr>
          <w:rFonts w:ascii="PMingLiU" w:cs="PMingLiU" w:eastAsia="PMingLiU" w:hAnsi="PMingLiU"/>
          <w:sz w:val="18"/>
          <w:szCs w:val="18"/>
          <w:color w:val="634140"/>
        </w:rPr>
        <w:t/>
      </w:r>
      <w:r>
        <w:rPr>
          <w:rFonts w:ascii="Arial" w:cs="Arial" w:eastAsia="Arial" w:hAnsi="Arial"/>
          <w:sz w:val="18"/>
          <w:szCs w:val="18"/>
          <w:color w:val="634140"/>
        </w:rPr>
        <w:t xml:space="preserve"> dmpk_rgml</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cqr_`jgqfgle</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lcu</w:t>
      </w:r>
      <w:r>
        <w:rPr>
          <w:rFonts w:ascii="PMingLiU" w:cs="PMingLiU" w:eastAsia="PMingLiU" w:hAnsi="PMingLiU"/>
          <w:sz w:val="18"/>
          <w:szCs w:val="18"/>
          <w:color w:val="634140"/>
        </w:rPr>
        <w:t/>
      </w:r>
      <w:r>
        <w:rPr>
          <w:rFonts w:ascii="Arial" w:cs="Arial" w:eastAsia="Arial" w:hAnsi="Arial"/>
          <w:sz w:val="18"/>
          <w:szCs w:val="18"/>
          <w:color w:val="634140"/>
        </w:rPr>
        <w:t xml:space="preserve"> glbsqrpw</w:t>
      </w:r>
      <w:r>
        <w:rPr>
          <w:rFonts w:ascii="PMingLiU" w:cs="PMingLiU" w:eastAsia="PMingLiU" w:hAnsi="PMingLiU"/>
          <w:sz w:val="18"/>
          <w:szCs w:val="18"/>
          <w:color w:val="634140"/>
        </w:rPr>
        <w:t/>
      </w:r>
      <w:r>
        <w:rPr>
          <w:rFonts w:ascii="Arial" w:cs="Arial" w:eastAsia="Arial" w:hAnsi="Arial"/>
          <w:sz w:val="18"/>
          <w:szCs w:val="18"/>
          <w:color w:val="634140"/>
        </w:rPr>
        <w:t>`clafk_pi</w:t>
      </w:r>
      <w:r>
        <w:rPr>
          <w:rFonts w:ascii="PMingLiU" w:cs="PMingLiU" w:eastAsia="PMingLiU" w:hAnsi="PMingLiU"/>
          <w:sz w:val="18"/>
          <w:szCs w:val="18"/>
          <w:color w:val="634140"/>
        </w:rPr>
        <w:t/>
      </w:r>
      <w:r>
        <w:rPr>
          <w:rFonts w:ascii="Arial" w:cs="Arial" w:eastAsia="Arial" w:hAnsi="Arial"/>
          <w:sz w:val="18"/>
          <w:szCs w:val="18"/>
          <w:color w:val="634140"/>
        </w:rPr>
        <w:t>`w</w:t>
      </w:r>
      <w:r>
        <w:rPr>
          <w:rFonts w:ascii="PMingLiU" w:cs="PMingLiU" w:eastAsia="PMingLiU" w:hAnsi="PMingLiU"/>
          <w:sz w:val="18"/>
          <w:szCs w:val="18"/>
          <w:color w:val="634140"/>
        </w:rPr>
        <w:t/>
      </w:r>
      <w:r>
        <w:rPr>
          <w:rFonts w:ascii="Arial" w:cs="Arial" w:eastAsia="Arial" w:hAnsi="Arial"/>
          <w:sz w:val="18"/>
          <w:szCs w:val="18"/>
          <w:color w:val="634140"/>
        </w:rPr>
        <w:t>qcrrgle</w:t>
      </w:r>
      <w:r>
        <w:rPr>
          <w:rFonts w:ascii="PMingLiU" w:cs="PMingLiU" w:eastAsia="PMingLiU" w:hAnsi="PMingLiU"/>
          <w:sz w:val="18"/>
          <w:szCs w:val="18"/>
          <w:color w:val="634140"/>
        </w:rPr>
        <w:t/>
      </w:r>
      <w:r>
        <w:rPr>
          <w:rFonts w:ascii="Arial" w:cs="Arial" w:eastAsia="Arial" w:hAnsi="Arial"/>
          <w:sz w:val="18"/>
          <w:szCs w:val="18"/>
          <w:color w:val="634140"/>
        </w:rPr>
        <w:t>lgrpgrc</w:t>
      </w:r>
      <w:r>
        <w:rPr>
          <w:rFonts w:ascii="PMingLiU" w:cs="PMingLiU" w:eastAsia="PMingLiU" w:hAnsi="PMingLiU"/>
          <w:sz w:val="18"/>
          <w:szCs w:val="18"/>
          <w:color w:val="634140"/>
        </w:rPr>
        <w:t/>
      </w:r>
      <w:r>
        <w:rPr>
          <w:rFonts w:ascii="Arial" w:cs="Arial" w:eastAsia="Arial" w:hAnsi="Arial"/>
          <w:sz w:val="18"/>
          <w:szCs w:val="18"/>
          <w:color w:val="634140"/>
        </w:rPr>
        <w:t xml:space="preserve"> qncagfia_rgmlq</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ZT;H</w:t>
      </w:r>
      <w:r>
        <w:rPr>
          <w:rFonts w:ascii="PMingLiU" w:cs="PMingLiU" w:eastAsia="PMingLiU" w:hAnsi="PMingLiU"/>
          <w:sz w:val="18"/>
          <w:szCs w:val="18"/>
          <w:color w:val="634140"/>
        </w:rPr>
        <w:t/>
      </w:r>
    </w:p>
    <w:p>
      <w:pPr>
        <w:spacing w:after="0" w:line="320"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b w:val="1"/>
          <w:bCs w:val="1"/>
          <w:color w:val="59BDB6"/>
        </w:rPr>
        <w:t>_epgkcpB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cam&amp;am_r</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nmjwkcp</w:t>
      </w:r>
      <w:r>
        <w:rPr>
          <w:rFonts w:ascii="PMingLiU" w:cs="PMingLiU" w:eastAsia="PMingLiU" w:hAnsi="PMingLiU"/>
          <w:sz w:val="18"/>
          <w:szCs w:val="18"/>
          <w:b w:val="1"/>
          <w:bCs w:val="1"/>
          <w:color w:val="59BDB6"/>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p>
    <w:p>
      <w:pPr>
        <w:spacing w:after="0" w:line="20" w:lineRule="exact"/>
        <w:rPr>
          <w:sz w:val="20"/>
          <w:szCs w:val="20"/>
          <w:color w:val="auto"/>
        </w:rPr>
      </w:pPr>
    </w:p>
    <w:p>
      <w:pPr>
        <w:spacing w:after="0" w:line="29" w:lineRule="exact"/>
        <w:rPr>
          <w:sz w:val="20"/>
          <w:szCs w:val="20"/>
          <w:color w:val="auto"/>
        </w:rPr>
      </w:pPr>
    </w:p>
    <w:p>
      <w:pPr>
        <w:ind w:left="3080" w:right="300"/>
        <w:spacing w:after="0" w:line="240" w:lineRule="exact"/>
        <w:rPr>
          <w:sz w:val="20"/>
          <w:szCs w:val="20"/>
          <w:color w:val="auto"/>
        </w:rPr>
      </w:pPr>
      <w:r>
        <w:rPr>
          <w:rFonts w:ascii="Arial" w:cs="Arial" w:eastAsia="Arial" w:hAnsi="Arial"/>
          <w:sz w:val="18"/>
          <w:szCs w:val="18"/>
          <w:color w:val="634140"/>
        </w:rPr>
        <w:t>l_rspc&amp;`_qcb</w:t>
      </w:r>
      <w:r>
        <w:rPr>
          <w:rFonts w:ascii="PMingLiU" w:cs="PMingLiU" w:eastAsia="PMingLiU" w:hAnsi="PMingLiU"/>
          <w:sz w:val="18"/>
          <w:szCs w:val="18"/>
          <w:color w:val="634140"/>
        </w:rPr>
        <w:t/>
      </w:r>
      <w:r>
        <w:rPr>
          <w:rFonts w:ascii="Arial" w:cs="Arial" w:eastAsia="Arial" w:hAnsi="Arial"/>
          <w:sz w:val="18"/>
          <w:szCs w:val="18"/>
          <w:color w:val="634140"/>
        </w:rPr>
        <w:t>kgapmnj_qrga&amp;dpcc</w:t>
      </w:r>
      <w:r>
        <w:rPr>
          <w:rFonts w:ascii="PMingLiU" w:cs="PMingLiU" w:eastAsia="PMingLiU" w:hAnsi="PMingLiU"/>
          <w:sz w:val="18"/>
          <w:szCs w:val="18"/>
          <w:color w:val="634140"/>
        </w:rPr>
        <w:t/>
      </w:r>
      <w:r>
        <w:rPr>
          <w:rFonts w:ascii="Arial" w:cs="Arial" w:eastAsia="Arial" w:hAnsi="Arial"/>
          <w:sz w:val="18"/>
          <w:szCs w:val="18"/>
          <w:color w:val="634140"/>
        </w:rPr>
        <w:t xml:space="preserve"> glfcpclrjw</w:t>
      </w:r>
      <w:r>
        <w:rPr>
          <w:rFonts w:ascii="PMingLiU" w:cs="PMingLiU" w:eastAsia="PMingLiU" w:hAnsi="PMingLiU"/>
          <w:sz w:val="18"/>
          <w:szCs w:val="18"/>
          <w:color w:val="634140"/>
        </w:rPr>
        <w:t/>
      </w:r>
      <w:r>
        <w:rPr>
          <w:rFonts w:ascii="Arial" w:cs="Arial" w:eastAsia="Arial" w:hAnsi="Arial"/>
          <w:sz w:val="18"/>
          <w:szCs w:val="18"/>
          <w:color w:val="634140"/>
        </w:rPr>
        <w:t>`gmbcep_b_`jc</w:t>
      </w:r>
      <w:r>
        <w:rPr>
          <w:rFonts w:ascii="PMingLiU" w:cs="PMingLiU" w:eastAsia="PMingLiU" w:hAnsi="PMingLiU"/>
          <w:sz w:val="18"/>
          <w:szCs w:val="18"/>
          <w:color w:val="634140"/>
        </w:rPr>
        <w:t/>
      </w:r>
      <w:r>
        <w:rPr>
          <w:rFonts w:ascii="Arial" w:cs="Arial" w:eastAsia="Arial" w:hAnsi="Arial"/>
          <w:sz w:val="18"/>
          <w:szCs w:val="18"/>
          <w:color w:val="634140"/>
        </w:rPr>
        <w:t>_bt_lacb</w:t>
      </w:r>
      <w:r>
        <w:rPr>
          <w:rFonts w:ascii="PMingLiU" w:cs="PMingLiU" w:eastAsia="PMingLiU" w:hAnsi="PMingLiU"/>
          <w:sz w:val="18"/>
          <w:szCs w:val="18"/>
          <w:color w:val="634140"/>
        </w:rPr>
        <w:t/>
      </w:r>
    </w:p>
    <w:p>
      <w:pPr>
        <w:spacing w:after="0" w:line="47" w:lineRule="exact"/>
        <w:rPr>
          <w:sz w:val="20"/>
          <w:szCs w:val="20"/>
          <w:color w:val="auto"/>
        </w:rPr>
      </w:pPr>
    </w:p>
    <w:p>
      <w:pPr>
        <w:ind w:left="2300"/>
        <w:spacing w:after="0" w:line="219" w:lineRule="exact"/>
        <w:rPr>
          <w:sz w:val="20"/>
          <w:szCs w:val="20"/>
          <w:color w:val="auto"/>
        </w:rPr>
      </w:pPr>
      <w:r>
        <w:rPr>
          <w:sz w:val="1"/>
          <w:szCs w:val="1"/>
          <w:color w:val="auto"/>
        </w:rPr>
        <w:drawing>
          <wp:inline distT="0" distB="0" distL="0" distR="0">
            <wp:extent cx="459105" cy="6794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1">
                      <a:extLst>
                        <a:ext uri="{28A0092B-C50C-407E-A947-70E740481C1C}"/>
                      </a:extLst>
                    </a:blip>
                    <a:srcRect/>
                    <a:stretch>
                      <a:fillRect/>
                    </a:stretch>
                  </pic:blipFill>
                  <pic:spPr bwMode="auto">
                    <a:xfrm>
                      <a:off x="0" y="0"/>
                      <a:ext cx="459105" cy="67945"/>
                    </a:xfrm>
                    <a:prstGeom prst="rect">
                      <a:avLst/>
                    </a:prstGeom>
                    <a:noFill/>
                    <a:ln>
                      <a:noFill/>
                    </a:ln>
                  </pic:spPr>
                </pic:pic>
              </a:graphicData>
            </a:graphic>
          </wp:inline>
        </w:drawing>
      </w:r>
      <w:r>
        <w:rPr>
          <w:rFonts w:ascii="Arial" w:cs="Arial" w:eastAsia="Arial" w:hAnsi="Arial"/>
          <w:sz w:val="18"/>
          <w:szCs w:val="18"/>
          <w:color w:val="634140"/>
        </w:rPr>
        <w:t xml:space="preserve"> qccb</w:t>
      </w:r>
      <w:r>
        <w:rPr>
          <w:rFonts w:ascii="PMingLiU" w:cs="PMingLiU" w:eastAsia="PMingLiU" w:hAnsi="PMingLiU"/>
          <w:sz w:val="18"/>
          <w:szCs w:val="18"/>
          <w:color w:val="634140"/>
        </w:rPr>
        <w:t/>
      </w:r>
      <w:r>
        <w:rPr>
          <w:rFonts w:ascii="Arial" w:cs="Arial" w:eastAsia="Arial" w:hAnsi="Arial"/>
          <w:sz w:val="18"/>
          <w:szCs w:val="18"/>
          <w:color w:val="634140"/>
        </w:rPr>
        <w:t>am_rgle</w:t>
      </w:r>
      <w:r>
        <w:rPr>
          <w:rFonts w:ascii="PMingLiU" w:cs="PMingLiU" w:eastAsia="PMingLiU" w:hAnsi="PMingLiU"/>
          <w:sz w:val="18"/>
          <w:szCs w:val="18"/>
          <w:color w:val="634140"/>
        </w:rPr>
        <w:t/>
      </w:r>
      <w:r>
        <w:rPr>
          <w:rFonts w:ascii="Arial" w:cs="Arial" w:eastAsia="Arial" w:hAnsi="Arial"/>
          <w:sz w:val="18"/>
          <w:szCs w:val="18"/>
          <w:color w:val="634140"/>
        </w:rPr>
        <w:t>rcaflmjmew</w:t>
      </w:r>
      <w:r>
        <w:rPr>
          <w:rFonts w:ascii="PMingLiU" w:cs="PMingLiU" w:eastAsia="PMingLiU" w:hAnsi="PMingLiU"/>
          <w:sz w:val="18"/>
          <w:szCs w:val="18"/>
          <w:color w:val="634140"/>
        </w:rPr>
        <w:t/>
      </w:r>
      <w:r>
        <w:rPr>
          <w:rFonts w:ascii="Arial" w:cs="Arial" w:eastAsia="Arial" w:hAnsi="Arial"/>
          <w:sz w:val="18"/>
          <w:szCs w:val="18"/>
          <w:color w:val="634140"/>
        </w:rPr>
        <w:t>rf_r</w:t>
      </w:r>
      <w:r>
        <w:rPr>
          <w:rFonts w:ascii="PMingLiU" w:cs="PMingLiU" w:eastAsia="PMingLiU" w:hAnsi="PMingLiU"/>
          <w:sz w:val="18"/>
          <w:szCs w:val="18"/>
          <w:color w:val="634140"/>
        </w:rPr>
        <w:t/>
      </w:r>
      <w:r>
        <w:rPr>
          <w:rFonts w:ascii="Arial" w:cs="Arial" w:eastAsia="Arial" w:hAnsi="Arial"/>
          <w:sz w:val="18"/>
          <w:szCs w:val="18"/>
          <w:color w:val="634140"/>
        </w:rPr>
        <w:t>bcjgtcpq</w:t>
      </w:r>
      <w:r>
        <w:rPr>
          <w:rFonts w:ascii="PMingLiU" w:cs="PMingLiU" w:eastAsia="PMingLiU" w:hAnsi="PMingLiU"/>
          <w:sz w:val="18"/>
          <w:szCs w:val="18"/>
          <w:color w:val="634140"/>
        </w:rPr>
        <w:t/>
      </w:r>
    </w:p>
    <w:p>
      <w:pPr>
        <w:spacing w:after="0" w:line="46" w:lineRule="exact"/>
        <w:rPr>
          <w:sz w:val="20"/>
          <w:szCs w:val="20"/>
          <w:color w:val="auto"/>
        </w:rPr>
      </w:pPr>
    </w:p>
    <w:p>
      <w:pPr>
        <w:ind w:left="3080" w:right="80" w:hanging="785"/>
        <w:spacing w:after="0" w:line="248" w:lineRule="exact"/>
        <w:rPr>
          <w:sz w:val="20"/>
          <w:szCs w:val="20"/>
          <w:color w:val="auto"/>
        </w:rPr>
      </w:pPr>
      <w:r>
        <w:rPr>
          <w:sz w:val="1"/>
          <w:szCs w:val="1"/>
          <w:color w:val="auto"/>
        </w:rPr>
        <w:drawing>
          <wp:inline distT="0" distB="0" distL="0" distR="0">
            <wp:extent cx="459105" cy="6794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2">
                      <a:extLst>
                        <a:ext uri="{28A0092B-C50C-407E-A947-70E740481C1C}"/>
                      </a:extLst>
                    </a:blip>
                    <a:srcRect/>
                    <a:stretch>
                      <a:fillRect/>
                    </a:stretch>
                  </pic:blipFill>
                  <pic:spPr bwMode="auto">
                    <a:xfrm>
                      <a:off x="0" y="0"/>
                      <a:ext cx="459105" cy="67945"/>
                    </a:xfrm>
                    <a:prstGeom prst="rect">
                      <a:avLst/>
                    </a:prstGeom>
                    <a:noFill/>
                    <a:ln>
                      <a:noFill/>
                    </a:ln>
                  </pic:spPr>
                </pic:pic>
              </a:graphicData>
            </a:graphic>
          </wp:inline>
        </w:drawing>
      </w:r>
      <w:r>
        <w:rPr>
          <w:rFonts w:ascii="Arial" w:cs="Arial" w:eastAsia="Arial" w:hAnsi="Arial"/>
          <w:sz w:val="18"/>
          <w:szCs w:val="18"/>
          <w:color w:val="634140"/>
        </w:rPr>
        <w:t xml:space="preserve"> qsncpgmp</w:t>
      </w:r>
      <w:r>
        <w:rPr>
          <w:rFonts w:ascii="PMingLiU" w:cs="PMingLiU" w:eastAsia="PMingLiU" w:hAnsi="PMingLiU"/>
          <w:sz w:val="18"/>
          <w:szCs w:val="18"/>
          <w:color w:val="634140"/>
        </w:rPr>
        <w:t/>
      </w:r>
      <w:r>
        <w:rPr>
          <w:rFonts w:ascii="Arial" w:cs="Arial" w:eastAsia="Arial" w:hAnsi="Arial"/>
          <w:sz w:val="18"/>
          <w:szCs w:val="18"/>
          <w:color w:val="634140"/>
        </w:rPr>
        <w:t>ncpdmpk_lac</w:t>
      </w:r>
      <w:r>
        <w:rPr>
          <w:rFonts w:ascii="PMingLiU" w:cs="PMingLiU" w:eastAsia="PMingLiU" w:hAnsi="PMingLiU"/>
          <w:sz w:val="18"/>
          <w:szCs w:val="18"/>
          <w:color w:val="634140"/>
        </w:rPr>
        <w:t/>
      </w:r>
      <w:r>
        <w:rPr>
          <w:rFonts w:ascii="Arial" w:cs="Arial" w:eastAsia="Arial" w:hAnsi="Arial"/>
          <w:sz w:val="18"/>
          <w:szCs w:val="18"/>
          <w:color w:val="634140"/>
        </w:rPr>
        <w:t>ufgjc</w:t>
      </w:r>
      <w:r>
        <w:rPr>
          <w:rFonts w:ascii="PMingLiU" w:cs="PMingLiU" w:eastAsia="PMingLiU" w:hAnsi="PMingLiU"/>
          <w:sz w:val="18"/>
          <w:szCs w:val="18"/>
          <w:color w:val="634140"/>
        </w:rPr>
        <w:t/>
      </w:r>
      <w:r>
        <w:rPr>
          <w:rFonts w:ascii="Arial" w:cs="Arial" w:eastAsia="Arial" w:hAnsi="Arial"/>
          <w:sz w:val="18"/>
          <w:szCs w:val="18"/>
          <w:color w:val="634140"/>
        </w:rPr>
        <w:t>qsnnmprgle</w:t>
      </w:r>
      <w:r>
        <w:rPr>
          <w:rFonts w:ascii="PMingLiU" w:cs="PMingLiU" w:eastAsia="PMingLiU" w:hAnsi="PMingLiU"/>
          <w:sz w:val="18"/>
          <w:szCs w:val="18"/>
          <w:color w:val="634140"/>
        </w:rPr>
        <w:t/>
      </w:r>
      <w:r>
        <w:rPr>
          <w:rFonts w:ascii="Arial" w:cs="Arial" w:eastAsia="Arial" w:hAnsi="Arial"/>
          <w:sz w:val="18"/>
          <w:szCs w:val="18"/>
          <w:color w:val="634140"/>
        </w:rPr>
        <w:t xml:space="preserve"> pcesj_rmpw</w:t>
      </w:r>
      <w:r>
        <w:rPr>
          <w:rFonts w:ascii="PMingLiU" w:cs="PMingLiU" w:eastAsia="PMingLiU" w:hAnsi="PMingLiU"/>
          <w:sz w:val="18"/>
          <w:szCs w:val="18"/>
          <w:color w:val="634140"/>
        </w:rPr>
        <w:t/>
      </w:r>
      <w:r>
        <w:rPr>
          <w:rFonts w:ascii="Arial" w:cs="Arial" w:eastAsia="Arial" w:hAnsi="Arial"/>
          <w:sz w:val="18"/>
          <w:szCs w:val="18"/>
          <w:color w:val="634140"/>
        </w:rPr>
        <w:t>amknjg_lac</w:t>
      </w:r>
      <w:r>
        <w:rPr>
          <w:rFonts w:ascii="PMingLiU" w:cs="PMingLiU" w:eastAsia="PMingLiU" w:hAnsi="PMingLiU"/>
          <w:sz w:val="18"/>
          <w:szCs w:val="18"/>
          <w:color w:val="634140"/>
        </w:rPr>
        <w:t/>
      </w:r>
      <w:r>
        <w:rPr>
          <w:rFonts w:ascii="Arial" w:cs="Arial" w:eastAsia="Arial" w:hAnsi="Arial"/>
          <w:sz w:val="18"/>
          <w:szCs w:val="18"/>
          <w:color w:val="634140"/>
        </w:rPr>
        <w:t>_apmqq</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 xml:space="preserve"> _epgasjrsp_j</w:t>
      </w:r>
      <w:r>
        <w:rPr>
          <w:rFonts w:ascii="PMingLiU" w:cs="PMingLiU" w:eastAsia="PMingLiU" w:hAnsi="PMingLiU"/>
          <w:sz w:val="18"/>
          <w:szCs w:val="18"/>
          <w:color w:val="634140"/>
        </w:rPr>
        <w:t/>
      </w:r>
      <w:r>
        <w:rPr>
          <w:rFonts w:ascii="Arial" w:cs="Arial" w:eastAsia="Arial" w:hAnsi="Arial"/>
          <w:sz w:val="18"/>
          <w:szCs w:val="18"/>
          <w:color w:val="634140"/>
        </w:rPr>
        <w:t>t_jsc</w:t>
      </w:r>
      <w:r>
        <w:rPr>
          <w:rFonts w:ascii="PMingLiU" w:cs="PMingLiU" w:eastAsia="PMingLiU" w:hAnsi="PMingLiU"/>
          <w:sz w:val="18"/>
          <w:szCs w:val="18"/>
          <w:color w:val="634140"/>
        </w:rPr>
        <w:t/>
      </w:r>
      <w:r>
        <w:rPr>
          <w:rFonts w:ascii="Arial" w:cs="Arial" w:eastAsia="Arial" w:hAnsi="Arial"/>
          <w:sz w:val="18"/>
          <w:szCs w:val="18"/>
          <w:color w:val="634140"/>
        </w:rPr>
        <w:t>af_gl</w:t>
      </w:r>
      <w:r>
        <w:rPr>
          <w:rFonts w:ascii="PMingLiU" w:cs="PMingLiU" w:eastAsia="PMingLiU" w:hAnsi="PMingLiU"/>
          <w:sz w:val="18"/>
          <w:szCs w:val="18"/>
          <w:color w:val="634140"/>
        </w:rPr>
        <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b w:val="1"/>
          <w:bCs w:val="1"/>
          <w:color w:val="59BDB6"/>
        </w:rPr>
        <w:t>e_dafpmkgaB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gl&amp;tgtm</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bmqgkcrpw</w:t>
      </w:r>
      <w:r>
        <w:rPr>
          <w:rFonts w:ascii="PMingLiU" w:cs="PMingLiU" w:eastAsia="PMingLiU" w:hAnsi="PMingLiU"/>
          <w:sz w:val="18"/>
          <w:szCs w:val="18"/>
          <w:b w:val="1"/>
          <w:bCs w:val="1"/>
          <w:color w:val="59BDB6"/>
        </w:rPr>
        <w:t/>
      </w:r>
    </w:p>
    <w:p>
      <w:pPr>
        <w:spacing w:after="0" w:line="45" w:lineRule="exact"/>
        <w:rPr>
          <w:sz w:val="20"/>
          <w:szCs w:val="20"/>
          <w:color w:val="auto"/>
        </w:rPr>
      </w:pPr>
    </w:p>
    <w:p>
      <w:pPr>
        <w:ind w:left="3080"/>
        <w:spacing w:after="0" w:line="260" w:lineRule="exact"/>
        <w:rPr>
          <w:sz w:val="20"/>
          <w:szCs w:val="20"/>
          <w:color w:val="auto"/>
        </w:rPr>
      </w:pPr>
      <w:r>
        <w:rPr>
          <w:rFonts w:ascii="Arial" w:cs="Arial" w:eastAsia="Arial" w:hAnsi="Arial"/>
          <w:sz w:val="18"/>
          <w:szCs w:val="18"/>
          <w:b w:val="1"/>
          <w:bCs w:val="1"/>
          <w:color w:val="59BDB6"/>
        </w:rPr>
        <w:t>qwqrck</w:t>
      </w:r>
      <w:r>
        <w:rPr>
          <w:rFonts w:ascii="PMingLiU" w:cs="PMingLiU" w:eastAsia="PMingLiU" w:hAnsi="PMingLiU"/>
          <w:sz w:val="18"/>
          <w:szCs w:val="18"/>
          <w:b w:val="1"/>
          <w:bCs w:val="1"/>
          <w:color w:val="59BDB6"/>
        </w:rPr>
        <w:t/>
      </w:r>
      <w:r>
        <w:rPr>
          <w:rFonts w:ascii="Arial" w:cs="Arial" w:eastAsia="Arial" w:hAnsi="Arial"/>
          <w:sz w:val="18"/>
          <w:szCs w:val="18"/>
          <w:color w:val="634140"/>
        </w:rPr>
        <w:t>ugrf</w:t>
      </w:r>
      <w:r>
        <w:rPr>
          <w:rFonts w:ascii="PMingLiU" w:cs="PMingLiU" w:eastAsia="PMingLiU" w:hAnsi="PMingLiU"/>
          <w:sz w:val="18"/>
          <w:szCs w:val="18"/>
          <w:color w:val="634140"/>
        </w:rPr>
        <w:t/>
      </w:r>
      <w:r>
        <w:rPr>
          <w:rFonts w:ascii="Arial" w:cs="Arial" w:eastAsia="Arial" w:hAnsi="Arial"/>
          <w:sz w:val="18"/>
          <w:szCs w:val="18"/>
          <w:color w:val="634140"/>
        </w:rPr>
        <w:t>snep_bcd fijkUE</w:t>
      </w:r>
      <w:r>
        <w:rPr>
          <w:rFonts w:ascii="PMingLiU" w:cs="PMingLiU" w:eastAsia="PMingLiU" w:hAnsi="PMingLiU"/>
          <w:sz w:val="18"/>
          <w:szCs w:val="18"/>
          <w:color w:val="634140"/>
        </w:rPr>
        <w:t/>
      </w:r>
      <w:r>
        <w:rPr>
          <w:rFonts w:ascii="Arial" w:cs="Arial" w:eastAsia="Arial" w:hAnsi="Arial"/>
          <w:sz w:val="18"/>
          <w:szCs w:val="18"/>
          <w:color w:val="634140"/>
        </w:rPr>
        <w:t>npmB</w:t>
      </w:r>
      <w:r>
        <w:rPr>
          <w:rFonts w:ascii="PMingLiU" w:cs="PMingLiU" w:eastAsia="PMingLiU" w:hAnsi="PMingLiU"/>
          <w:sz w:val="18"/>
          <w:szCs w:val="18"/>
          <w:color w:val="634140"/>
        </w:rPr>
        <w:t/>
      </w:r>
      <w:r>
        <w:rPr>
          <w:rFonts w:ascii="Arial" w:cs="Arial" w:eastAsia="Arial" w:hAnsi="Arial"/>
          <w:sz w:val="18"/>
          <w:szCs w:val="18"/>
          <w:color w:val="634140"/>
        </w:rPr>
        <w:t>gl&amp;</w:t>
      </w:r>
      <w:r>
        <w:rPr>
          <w:rFonts w:ascii="Arial" w:cs="Arial" w:eastAsia="Arial" w:hAnsi="Arial"/>
          <w:sz w:val="18"/>
          <w:szCs w:val="18"/>
          <w:b w:val="1"/>
          <w:bCs w:val="1"/>
          <w:color w:val="59BDB6"/>
        </w:rPr>
        <w:t xml:space="preserve"> </w:t>
      </w:r>
      <w:r>
        <w:rPr>
          <w:rFonts w:ascii="Arial" w:cs="Arial" w:eastAsia="Arial" w:hAnsi="Arial"/>
          <w:sz w:val="18"/>
          <w:szCs w:val="18"/>
          <w:color w:val="634140"/>
        </w:rPr>
        <w:t>tgtm</w:t>
      </w:r>
      <w:r>
        <w:rPr>
          <w:rFonts w:ascii="PMingLiU" w:cs="PMingLiU" w:eastAsia="PMingLiU" w:hAnsi="PMingLiU"/>
          <w:sz w:val="18"/>
          <w:szCs w:val="18"/>
          <w:color w:val="634140"/>
        </w:rPr>
        <w:t/>
      </w:r>
      <w:r>
        <w:rPr>
          <w:rFonts w:ascii="Arial" w:cs="Arial" w:eastAsia="Arial" w:hAnsi="Arial"/>
          <w:sz w:val="18"/>
          <w:szCs w:val="18"/>
          <w:color w:val="634140"/>
        </w:rPr>
        <w:t>qmdru_pc</w:t>
      </w:r>
      <w:r>
        <w:rPr>
          <w:rFonts w:ascii="PMingLiU" w:cs="PMingLiU" w:eastAsia="PMingLiU" w:hAnsi="PMingLiU"/>
          <w:sz w:val="18"/>
          <w:szCs w:val="18"/>
          <w:color w:val="634140"/>
        </w:rPr>
        <w:t/>
      </w:r>
      <w:r>
        <w:rPr>
          <w:rFonts w:ascii="Arial" w:cs="Arial" w:eastAsia="Arial" w:hAnsi="Arial"/>
          <w:sz w:val="18"/>
          <w:szCs w:val="18"/>
          <w:color w:val="634140"/>
        </w:rPr>
        <w:t>kmbsjc</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e_dafpmkgaB</w:t>
      </w:r>
      <w:r>
        <w:rPr>
          <w:rFonts w:ascii="PMingLiU" w:cs="PMingLiU" w:eastAsia="PMingLiU" w:hAnsi="PMingLiU"/>
          <w:sz w:val="18"/>
          <w:szCs w:val="18"/>
          <w:color w:val="634140"/>
        </w:rPr>
        <w:t/>
      </w:r>
      <w:r>
        <w:rPr>
          <w:rFonts w:ascii="Arial" w:cs="Arial" w:eastAsia="Arial" w:hAnsi="Arial"/>
          <w:sz w:val="18"/>
          <w:szCs w:val="18"/>
          <w:color w:val="634140"/>
        </w:rPr>
        <w:t xml:space="preserve"> fijk&amp;`_qcb</w:t>
      </w:r>
      <w:r>
        <w:rPr>
          <w:rFonts w:ascii="PMingLiU" w:cs="PMingLiU" w:eastAsia="PMingLiU" w:hAnsi="PMingLiU"/>
          <w:sz w:val="18"/>
          <w:szCs w:val="18"/>
          <w:color w:val="634140"/>
        </w:rPr>
        <w:t/>
      </w:r>
      <w:r>
        <w:rPr>
          <w:rFonts w:ascii="Arial" w:cs="Arial" w:eastAsia="Arial" w:hAnsi="Arial"/>
          <w:sz w:val="18"/>
          <w:szCs w:val="18"/>
          <w:color w:val="634140"/>
        </w:rPr>
        <w:t>rcaflmjmew</w:t>
      </w:r>
      <w:r>
        <w:rPr>
          <w:rFonts w:ascii="PMingLiU" w:cs="PMingLiU" w:eastAsia="PMingLiU" w:hAnsi="PMingLiU"/>
          <w:sz w:val="18"/>
          <w:szCs w:val="18"/>
          <w:color w:val="634140"/>
        </w:rPr>
        <w:t/>
      </w:r>
      <w:r>
        <w:rPr>
          <w:rFonts w:ascii="Arial" w:cs="Arial" w:eastAsia="Arial" w:hAnsi="Arial"/>
          <w:sz w:val="18"/>
          <w:szCs w:val="18"/>
          <w:color w:val="634140"/>
        </w:rPr>
        <w:t>a_rcpcb</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gl&amp; tgtm</w:t>
      </w:r>
      <w:r>
        <w:rPr>
          <w:rFonts w:ascii="PMingLiU" w:cs="PMingLiU" w:eastAsia="PMingLiU" w:hAnsi="PMingLiU"/>
          <w:sz w:val="18"/>
          <w:szCs w:val="18"/>
          <w:color w:val="634140"/>
        </w:rPr>
        <w:t/>
      </w:r>
      <w:r>
        <w:rPr>
          <w:rFonts w:ascii="Arial" w:cs="Arial" w:eastAsia="Arial" w:hAnsi="Arial"/>
          <w:sz w:val="18"/>
          <w:szCs w:val="18"/>
          <w:color w:val="634140"/>
        </w:rPr>
        <w:t>_nnjga_rgmlq</w:t>
      </w:r>
      <w:r>
        <w:rPr>
          <w:rFonts w:ascii="PMingLiU" w:cs="PMingLiU" w:eastAsia="PMingLiU" w:hAnsi="PMingLiU"/>
          <w:sz w:val="18"/>
          <w:szCs w:val="18"/>
          <w:color w:val="634140"/>
        </w:rPr>
        <w:t/>
      </w:r>
      <w:r>
        <w:rPr>
          <w:rFonts w:ascii="Arial" w:cs="Arial" w:eastAsia="Arial" w:hAnsi="Arial"/>
          <w:sz w:val="18"/>
          <w:szCs w:val="18"/>
          <w:color w:val="634140"/>
        </w:rPr>
        <w:t>Hcqgelcb</w:t>
      </w:r>
      <w:r>
        <w:rPr>
          <w:rFonts w:ascii="PMingLiU" w:cs="PMingLiU" w:eastAsia="PMingLiU" w:hAnsi="PMingLiU"/>
          <w:sz w:val="18"/>
          <w:szCs w:val="18"/>
          <w:color w:val="634140"/>
        </w:rPr>
        <w:t/>
      </w:r>
      <w:r>
        <w:rPr>
          <w:rFonts w:ascii="Arial" w:cs="Arial" w:eastAsia="Arial" w:hAnsi="Arial"/>
          <w:sz w:val="18"/>
          <w:szCs w:val="18"/>
          <w:color w:val="634140"/>
        </w:rPr>
        <w:t>ugrf</w:t>
      </w:r>
      <w:r>
        <w:rPr>
          <w:rFonts w:ascii="PMingLiU" w:cs="PMingLiU" w:eastAsia="PMingLiU" w:hAnsi="PMingLiU"/>
          <w:sz w:val="18"/>
          <w:szCs w:val="18"/>
          <w:color w:val="634140"/>
        </w:rPr>
        <w:t/>
      </w:r>
      <w:r>
        <w:rPr>
          <w:rFonts w:ascii="Arial" w:cs="Arial" w:eastAsia="Arial" w:hAnsi="Arial"/>
          <w:sz w:val="18"/>
          <w:szCs w:val="18"/>
          <w:color w:val="634140"/>
        </w:rPr>
        <w:t>n_rgclr</w:t>
      </w:r>
      <w:r>
        <w:rPr>
          <w:rFonts w:ascii="PMingLiU" w:cs="PMingLiU" w:eastAsia="PMingLiU" w:hAnsi="PMingLiU"/>
          <w:sz w:val="18"/>
          <w:szCs w:val="18"/>
          <w:color w:val="634140"/>
        </w:rPr>
        <w:t/>
      </w:r>
      <w:r>
        <w:rPr>
          <w:rFonts w:ascii="Arial" w:cs="Arial" w:eastAsia="Arial" w:hAnsi="Arial"/>
          <w:sz w:val="18"/>
          <w:szCs w:val="18"/>
          <w:color w:val="634140"/>
        </w:rPr>
        <w:t xml:space="preserve"> q_dcrw</w:t>
      </w:r>
      <w:r>
        <w:rPr>
          <w:rFonts w:ascii="PMingLiU" w:cs="PMingLiU" w:eastAsia="PMingLiU" w:hAnsi="PMingLiU"/>
          <w:sz w:val="18"/>
          <w:szCs w:val="18"/>
          <w:color w:val="634140"/>
        </w:rPr>
        <w:t/>
      </w:r>
      <w:r>
        <w:rPr>
          <w:rFonts w:ascii="Arial" w:cs="Arial" w:eastAsia="Arial" w:hAnsi="Arial"/>
          <w:sz w:val="18"/>
          <w:szCs w:val="18"/>
          <w:color w:val="634140"/>
        </w:rPr>
        <w:t>npcagqgml</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ajglgag_l</w:t>
      </w:r>
      <w:r>
        <w:rPr>
          <w:rFonts w:ascii="PMingLiU" w:cs="PMingLiU" w:eastAsia="PMingLiU" w:hAnsi="PMingLiU"/>
          <w:sz w:val="18"/>
          <w:szCs w:val="18"/>
          <w:color w:val="634140"/>
        </w:rPr>
        <w:t/>
      </w:r>
      <w:r>
        <w:rPr>
          <w:rFonts w:ascii="Arial" w:cs="Arial" w:eastAsia="Arial" w:hAnsi="Arial"/>
          <w:sz w:val="18"/>
          <w:szCs w:val="18"/>
          <w:color w:val="634140"/>
        </w:rPr>
        <w:t>cffiagclaw</w:t>
      </w:r>
      <w:r>
        <w:rPr>
          <w:rFonts w:ascii="PMingLiU" w:cs="PMingLiU" w:eastAsia="PMingLiU" w:hAnsi="PMingLiU"/>
          <w:sz w:val="18"/>
          <w:szCs w:val="18"/>
          <w:color w:val="634140"/>
        </w:rPr>
        <w:t/>
      </w:r>
      <w:r>
        <w:rPr>
          <w:rFonts w:ascii="Arial" w:cs="Arial" w:eastAsia="Arial" w:hAnsi="Arial"/>
          <w:sz w:val="18"/>
          <w:szCs w:val="18"/>
          <w:color w:val="634140"/>
        </w:rPr>
        <w:t xml:space="preserve"> gl</w:t>
      </w:r>
      <w:r>
        <w:rPr>
          <w:rFonts w:ascii="PMingLiU" w:cs="PMingLiU" w:eastAsia="PMingLiU" w:hAnsi="PMingLiU"/>
          <w:sz w:val="18"/>
          <w:szCs w:val="18"/>
          <w:color w:val="634140"/>
        </w:rPr>
        <w:t/>
      </w:r>
      <w:r>
        <w:rPr>
          <w:rFonts w:ascii="Arial" w:cs="Arial" w:eastAsia="Arial" w:hAnsi="Arial"/>
          <w:sz w:val="18"/>
          <w:szCs w:val="18"/>
          <w:color w:val="634140"/>
        </w:rPr>
        <w:t>kglb</w:t>
      </w:r>
      <w:r>
        <w:rPr>
          <w:rFonts w:ascii="PMingLiU" w:cs="PMingLiU" w:eastAsia="PMingLiU" w:hAnsi="PMingLiU"/>
          <w:sz w:val="18"/>
          <w:szCs w:val="18"/>
          <w:color w:val="634140"/>
        </w:rPr>
        <w:t/>
      </w:r>
      <w:r>
        <w:rPr>
          <w:rFonts w:ascii="Arial" w:cs="Arial" w:eastAsia="Arial" w:hAnsi="Arial"/>
          <w:sz w:val="18"/>
          <w:szCs w:val="18"/>
          <w:color w:val="634140"/>
        </w:rPr>
        <w:t>rfgq</w:t>
      </w:r>
      <w:r>
        <w:rPr>
          <w:rFonts w:ascii="PMingLiU" w:cs="PMingLiU" w:eastAsia="PMingLiU" w:hAnsi="PMingLiU"/>
          <w:sz w:val="18"/>
          <w:szCs w:val="18"/>
          <w:color w:val="634140"/>
        </w:rPr>
        <w:t/>
      </w:r>
      <w:r>
        <w:rPr>
          <w:rFonts w:ascii="Arial" w:cs="Arial" w:eastAsia="Arial" w:hAnsi="Arial"/>
          <w:sz w:val="18"/>
          <w:szCs w:val="18"/>
          <w:color w:val="634140"/>
        </w:rPr>
        <w:t>asrrgle&amp;cbec</w:t>
      </w:r>
      <w:r>
        <w:rPr>
          <w:rFonts w:ascii="PMingLiU" w:cs="PMingLiU" w:eastAsia="PMingLiU" w:hAnsi="PMingLiU"/>
          <w:sz w:val="18"/>
          <w:szCs w:val="18"/>
          <w:color w:val="634140"/>
        </w:rPr>
        <w:t/>
      </w:r>
      <w:r>
        <w:rPr>
          <w:rFonts w:ascii="Arial" w:cs="Arial" w:eastAsia="Arial" w:hAnsi="Arial"/>
          <w:sz w:val="18"/>
          <w:szCs w:val="18"/>
          <w:color w:val="634140"/>
        </w:rPr>
        <w:t>rcaflmjmew</w:t>
      </w:r>
      <w:r>
        <w:rPr>
          <w:rFonts w:ascii="PMingLiU" w:cs="PMingLiU" w:eastAsia="PMingLiU" w:hAnsi="PMingLiU"/>
          <w:sz w:val="18"/>
          <w:szCs w:val="18"/>
          <w:color w:val="634140"/>
        </w:rPr>
        <w:t/>
      </w:r>
      <w:r>
        <w:rPr>
          <w:rFonts w:ascii="Arial" w:cs="Arial" w:eastAsia="Arial" w:hAnsi="Arial"/>
          <w:sz w:val="18"/>
          <w:szCs w:val="18"/>
          <w:color w:val="634140"/>
        </w:rPr>
        <w:t xml:space="preserve"> pcbcfilcq</w:t>
      </w:r>
      <w:r>
        <w:rPr>
          <w:rFonts w:ascii="PMingLiU" w:cs="PMingLiU" w:eastAsia="PMingLiU" w:hAnsi="PMingLiU"/>
          <w:sz w:val="18"/>
          <w:szCs w:val="18"/>
          <w:color w:val="634140"/>
        </w:rPr>
        <w:t/>
      </w:r>
      <w:r>
        <w:rPr>
          <w:rFonts w:ascii="Arial" w:cs="Arial" w:eastAsia="Arial" w:hAnsi="Arial"/>
          <w:sz w:val="18"/>
          <w:szCs w:val="18"/>
          <w:color w:val="634140"/>
        </w:rPr>
        <w:t>fmu</w:t>
      </w:r>
      <w:r>
        <w:rPr>
          <w:rFonts w:ascii="PMingLiU" w:cs="PMingLiU" w:eastAsia="PMingLiU" w:hAnsi="PMingLiU"/>
          <w:sz w:val="18"/>
          <w:szCs w:val="18"/>
          <w:color w:val="634140"/>
        </w:rPr>
        <w:t/>
      </w:r>
      <w:r>
        <w:rPr>
          <w:rFonts w:ascii="Arial" w:cs="Arial" w:eastAsia="Arial" w:hAnsi="Arial"/>
          <w:sz w:val="18"/>
          <w:szCs w:val="18"/>
          <w:color w:val="634140"/>
        </w:rPr>
        <w:t>p_bg_rgml</w:t>
      </w:r>
      <w:r>
        <w:rPr>
          <w:rFonts w:ascii="PMingLiU" w:cs="PMingLiU" w:eastAsia="PMingLiU" w:hAnsi="PMingLiU"/>
          <w:sz w:val="18"/>
          <w:szCs w:val="18"/>
          <w:color w:val="634140"/>
        </w:rPr>
        <w:t/>
      </w:r>
      <w:r>
        <w:rPr>
          <w:rFonts w:ascii="Arial" w:cs="Arial" w:eastAsia="Arial" w:hAnsi="Arial"/>
          <w:sz w:val="18"/>
          <w:szCs w:val="18"/>
          <w:color w:val="634140"/>
        </w:rPr>
        <w:t>bmqcq</w:t>
      </w:r>
      <w:r>
        <w:rPr>
          <w:rFonts w:ascii="PMingLiU" w:cs="PMingLiU" w:eastAsia="PMingLiU" w:hAnsi="PMingLiU"/>
          <w:sz w:val="18"/>
          <w:szCs w:val="18"/>
          <w:color w:val="634140"/>
        </w:rPr>
        <w:t/>
      </w:r>
      <w:r>
        <w:rPr>
          <w:rFonts w:ascii="Arial" w:cs="Arial" w:eastAsia="Arial" w:hAnsi="Arial"/>
          <w:sz w:val="18"/>
          <w:szCs w:val="18"/>
          <w:color w:val="634140"/>
        </w:rPr>
        <w:t>_pc</w:t>
      </w:r>
      <w:r>
        <w:rPr>
          <w:rFonts w:ascii="PMingLiU" w:cs="PMingLiU" w:eastAsia="PMingLiU" w:hAnsi="PMingLiU"/>
          <w:sz w:val="18"/>
          <w:szCs w:val="18"/>
          <w:color w:val="634140"/>
        </w:rPr>
        <w:t/>
      </w:r>
      <w:r>
        <w:rPr>
          <w:rFonts w:ascii="Arial" w:cs="Arial" w:eastAsia="Arial" w:hAnsi="Arial"/>
          <w:sz w:val="18"/>
          <w:szCs w:val="18"/>
          <w:color w:val="634140"/>
        </w:rPr>
        <w:t xml:space="preserve"> tcpgficb</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lc_p</w:t>
      </w:r>
      <w:r>
        <w:rPr>
          <w:rFonts w:ascii="PMingLiU" w:cs="PMingLiU" w:eastAsia="PMingLiU" w:hAnsi="PMingLiU"/>
          <w:sz w:val="18"/>
          <w:szCs w:val="18"/>
          <w:color w:val="634140"/>
        </w:rPr>
        <w:t/>
      </w:r>
      <w:r>
        <w:rPr>
          <w:rFonts w:ascii="Arial" w:cs="Arial" w:eastAsia="Arial" w:hAnsi="Arial"/>
          <w:sz w:val="18"/>
          <w:szCs w:val="18"/>
          <w:color w:val="634140"/>
        </w:rPr>
        <w:t>pc_j&amp;rgkc</w:t>
      </w:r>
      <w:r>
        <w:rPr>
          <w:rFonts w:ascii="PMingLiU" w:cs="PMingLiU" w:eastAsia="PMingLiU" w:hAnsi="PMingLiU"/>
          <w:sz w:val="18"/>
          <w:szCs w:val="18"/>
          <w:color w:val="634140"/>
        </w:rPr>
        <w:t/>
      </w:r>
      <w:r>
        <w:rPr>
          <w:rFonts w:ascii="Arial" w:cs="Arial" w:eastAsia="Arial" w:hAnsi="Arial"/>
          <w:sz w:val="18"/>
          <w:szCs w:val="18"/>
          <w:color w:val="634140"/>
        </w:rPr>
        <w:t>fcjngle</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 xml:space="preserve"> bcjgtcp</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kmqr</w:t>
      </w:r>
      <w:r>
        <w:rPr>
          <w:rFonts w:ascii="PMingLiU" w:cs="PMingLiU" w:eastAsia="PMingLiU" w:hAnsi="PMingLiU"/>
          <w:sz w:val="18"/>
          <w:szCs w:val="18"/>
          <w:color w:val="634140"/>
        </w:rPr>
        <w:t/>
      </w:r>
      <w:r>
        <w:rPr>
          <w:rFonts w:ascii="Arial" w:cs="Arial" w:eastAsia="Arial" w:hAnsi="Arial"/>
          <w:sz w:val="18"/>
          <w:szCs w:val="18"/>
          <w:color w:val="634140"/>
        </w:rPr>
        <w:t>_aasp_rc</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cffcargtc</w:t>
      </w:r>
      <w:r>
        <w:rPr>
          <w:rFonts w:ascii="PMingLiU" w:cs="PMingLiU" w:eastAsia="PMingLiU" w:hAnsi="PMingLiU"/>
          <w:sz w:val="18"/>
          <w:szCs w:val="18"/>
          <w:color w:val="634140"/>
        </w:rPr>
        <w:t/>
      </w:r>
      <w:r>
        <w:rPr>
          <w:rFonts w:ascii="Arial" w:cs="Arial" w:eastAsia="Arial" w:hAnsi="Arial"/>
          <w:sz w:val="18"/>
          <w:szCs w:val="18"/>
          <w:color w:val="634140"/>
        </w:rPr>
        <w:t xml:space="preserve"> rpc_rkclrq</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cl_`jgle</w:t>
      </w:r>
      <w:r>
        <w:rPr>
          <w:rFonts w:ascii="PMingLiU" w:cs="PMingLiU" w:eastAsia="PMingLiU" w:hAnsi="PMingLiU"/>
          <w:sz w:val="18"/>
          <w:szCs w:val="18"/>
          <w:color w:val="634140"/>
        </w:rPr>
        <w:t/>
      </w:r>
      <w:r>
        <w:rPr>
          <w:rFonts w:ascii="Arial" w:cs="Arial" w:eastAsia="Arial" w:hAnsi="Arial"/>
          <w:sz w:val="18"/>
          <w:szCs w:val="18"/>
          <w:color w:val="634140"/>
        </w:rPr>
        <w:t>ajglgag_lq</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 xml:space="preserve"> _bhsqr</w:t>
      </w:r>
      <w:r>
        <w:rPr>
          <w:rFonts w:ascii="PMingLiU" w:cs="PMingLiU" w:eastAsia="PMingLiU" w:hAnsi="PMingLiU"/>
          <w:sz w:val="18"/>
          <w:szCs w:val="18"/>
          <w:color w:val="634140"/>
        </w:rPr>
        <w:t/>
      </w:r>
      <w:r>
        <w:rPr>
          <w:rFonts w:ascii="Arial" w:cs="Arial" w:eastAsia="Arial" w:hAnsi="Arial"/>
          <w:sz w:val="18"/>
          <w:szCs w:val="18"/>
          <w:color w:val="634140"/>
        </w:rPr>
        <w:t>p_bg_rgml</w:t>
      </w:r>
      <w:r>
        <w:rPr>
          <w:rFonts w:ascii="PMingLiU" w:cs="PMingLiU" w:eastAsia="PMingLiU" w:hAnsi="PMingLiU"/>
          <w:sz w:val="18"/>
          <w:szCs w:val="18"/>
          <w:color w:val="634140"/>
        </w:rPr>
        <w:t/>
      </w:r>
      <w:r>
        <w:rPr>
          <w:rFonts w:ascii="Arial" w:cs="Arial" w:eastAsia="Arial" w:hAnsi="Arial"/>
          <w:sz w:val="18"/>
          <w:szCs w:val="18"/>
          <w:color w:val="634140"/>
        </w:rPr>
        <w:t>bmqcq</w:t>
      </w:r>
      <w:r>
        <w:rPr>
          <w:rFonts w:ascii="PMingLiU" w:cs="PMingLiU" w:eastAsia="PMingLiU" w:hAnsi="PMingLiU"/>
          <w:sz w:val="18"/>
          <w:szCs w:val="18"/>
          <w:color w:val="634140"/>
        </w:rPr>
        <w:t/>
      </w:r>
      <w:r>
        <w:rPr>
          <w:rFonts w:ascii="Arial" w:cs="Arial" w:eastAsia="Arial" w:hAnsi="Arial"/>
          <w:sz w:val="18"/>
          <w:szCs w:val="18"/>
          <w:color w:val="634140"/>
        </w:rPr>
        <w:t>ugrf</w:t>
      </w:r>
      <w:r>
        <w:rPr>
          <w:rFonts w:ascii="PMingLiU" w:cs="PMingLiU" w:eastAsia="PMingLiU" w:hAnsi="PMingLiU"/>
          <w:sz w:val="18"/>
          <w:szCs w:val="18"/>
          <w:color w:val="634140"/>
        </w:rPr>
        <w:t/>
      </w:r>
      <w:r>
        <w:rPr>
          <w:rFonts w:ascii="Arial" w:cs="Arial" w:eastAsia="Arial" w:hAnsi="Arial"/>
          <w:sz w:val="18"/>
          <w:szCs w:val="18"/>
          <w:color w:val="634140"/>
        </w:rPr>
        <w:t>amlfibclac</w:t>
      </w:r>
      <w:r>
        <w:rPr>
          <w:rFonts w:ascii="PMingLiU" w:cs="PMingLiU" w:eastAsia="PMingLiU" w:hAnsi="PMingLiU"/>
          <w:sz w:val="18"/>
          <w:szCs w:val="18"/>
          <w:color w:val="634140"/>
        </w:rPr>
        <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80"/>
        <w:spacing w:after="0" w:line="242" w:lineRule="exact"/>
        <w:rPr>
          <w:sz w:val="20"/>
          <w:szCs w:val="20"/>
          <w:color w:val="auto"/>
        </w:rPr>
      </w:pPr>
      <w:r>
        <w:rPr>
          <w:rFonts w:ascii="Arial" w:cs="Arial" w:eastAsia="Arial" w:hAnsi="Arial"/>
          <w:sz w:val="18"/>
          <w:szCs w:val="18"/>
          <w:b w:val="1"/>
          <w:bCs w:val="1"/>
          <w:color w:val="59BDB6"/>
        </w:rPr>
        <w:t>G_`pcst_</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nf_pk_acsrga_j</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nj_lr</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 xml:space="preserve"> cvn_lqgml</w:t>
      </w:r>
    </w:p>
    <w:p>
      <w:pPr>
        <w:spacing w:after="0" w:line="318"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Ml</w:t>
      </w:r>
      <w:r>
        <w:rPr>
          <w:rFonts w:ascii="PMingLiU" w:cs="PMingLiU" w:eastAsia="PMingLiU" w:hAnsi="PMingLiU"/>
          <w:sz w:val="18"/>
          <w:szCs w:val="18"/>
          <w:color w:val="634140"/>
        </w:rPr>
        <w:t/>
      </w:r>
      <w:r>
        <w:rPr>
          <w:rFonts w:ascii="Arial" w:cs="Arial" w:eastAsia="Arial" w:hAnsi="Arial"/>
          <w:sz w:val="18"/>
          <w:szCs w:val="18"/>
          <w:color w:val="634140"/>
        </w:rPr>
        <w:t>˧˥˧˪</w:t>
      </w:r>
      <w:r>
        <w:rPr>
          <w:rFonts w:ascii="PMingLiU" w:cs="PMingLiU" w:eastAsia="PMingLiU" w:hAnsi="PMingLiU"/>
          <w:sz w:val="18"/>
          <w:szCs w:val="18"/>
          <w:color w:val="634140"/>
        </w:rPr>
        <w:t/>
      </w:r>
      <w:r>
        <w:rPr>
          <w:rFonts w:ascii="Arial" w:cs="Arial" w:eastAsia="Arial" w:hAnsi="Arial"/>
          <w:sz w:val="18"/>
          <w:szCs w:val="18"/>
          <w:color w:val="634140"/>
        </w:rPr>
        <w:t>Eqfj_lb</w:t>
      </w:r>
      <w:r>
        <w:rPr>
          <w:rFonts w:ascii="PMingLiU" w:cs="PMingLiU" w:eastAsia="PMingLiU" w:hAnsi="PMingLiU"/>
          <w:sz w:val="18"/>
          <w:szCs w:val="18"/>
          <w:color w:val="634140"/>
        </w:rPr>
        <w:t/>
      </w:r>
      <w:r>
        <w:rPr>
          <w:rFonts w:ascii="Arial" w:cs="Arial" w:eastAsia="Arial" w:hAnsi="Arial"/>
          <w:sz w:val="18"/>
          <w:szCs w:val="18"/>
          <w:color w:val="634140"/>
        </w:rPr>
        <w:t>amknjcrcb</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˦˥&amp;kgjjgml&amp;bmjj_p</w:t>
      </w:r>
      <w:r>
        <w:rPr>
          <w:rFonts w:ascii="PMingLiU" w:cs="PMingLiU" w:eastAsia="PMingLiU" w:hAnsi="PMingLiU"/>
          <w:sz w:val="18"/>
          <w:szCs w:val="18"/>
          <w:color w:val="634140"/>
        </w:rPr>
        <w:t/>
      </w:r>
      <w:r>
        <w:rPr>
          <w:rFonts w:ascii="Arial" w:cs="Arial" w:eastAsia="Arial" w:hAnsi="Arial"/>
          <w:sz w:val="18"/>
          <w:szCs w:val="18"/>
          <w:color w:val="634140"/>
        </w:rPr>
        <w:t>cvn_lqgml</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grq</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nf_pk_acsrga_j</w:t>
      </w:r>
      <w:r>
        <w:rPr>
          <w:rFonts w:ascii="PMingLiU" w:cs="PMingLiU" w:eastAsia="PMingLiU" w:hAnsi="PMingLiU"/>
          <w:sz w:val="18"/>
          <w:szCs w:val="18"/>
          <w:color w:val="634140"/>
        </w:rPr>
        <w:t/>
      </w:r>
      <w:r>
        <w:rPr>
          <w:rFonts w:ascii="Arial" w:cs="Arial" w:eastAsia="Arial" w:hAnsi="Arial"/>
          <w:sz w:val="18"/>
          <w:szCs w:val="18"/>
          <w:color w:val="634140"/>
        </w:rPr>
        <w:t>k_lsd_arspgle</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nj_lr</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G_`pcst_</w:t>
      </w:r>
      <w:r>
        <w:rPr>
          <w:rFonts w:ascii="PMingLiU" w:cs="PMingLiU" w:eastAsia="PMingLiU" w:hAnsi="PMingLiU"/>
          <w:sz w:val="18"/>
          <w:szCs w:val="18"/>
          <w:color w:val="634140"/>
        </w:rPr>
        <w:t/>
      </w:r>
      <w:r>
        <w:rPr>
          <w:rFonts w:ascii="Arial" w:cs="Arial" w:eastAsia="Arial" w:hAnsi="Arial"/>
          <w:sz w:val="18"/>
          <w:szCs w:val="18"/>
          <w:color w:val="634140"/>
        </w:rPr>
        <w:t>Fp_xgj</w:t>
      </w:r>
      <w:r>
        <w:rPr>
          <w:rFonts w:ascii="PMingLiU" w:cs="PMingLiU" w:eastAsia="PMingLiU" w:hAnsi="PMingLiU"/>
          <w:sz w:val="18"/>
          <w:szCs w:val="18"/>
          <w:color w:val="634140"/>
        </w:rPr>
        <w:t/>
      </w:r>
      <w:r>
        <w:rPr>
          <w:rFonts w:ascii="Arial" w:cs="Arial" w:eastAsia="Arial" w:hAnsi="Arial"/>
          <w:sz w:val="18"/>
          <w:szCs w:val="18"/>
          <w:color w:val="634140"/>
        </w:rPr>
        <w:t>glapc_qgle</w:t>
      </w:r>
      <w:r>
        <w:rPr>
          <w:rFonts w:ascii="PMingLiU" w:cs="PMingLiU" w:eastAsia="PMingLiU" w:hAnsi="PMingLiU"/>
          <w:sz w:val="18"/>
          <w:szCs w:val="18"/>
          <w:color w:val="634140"/>
        </w:rPr>
        <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7"/>
          <w:szCs w:val="17"/>
          <w:color w:val="634140"/>
        </w:rPr>
        <w:t>a_n_`gjgrgcq</w:t>
      </w:r>
      <w:r>
        <w:rPr>
          <w:rFonts w:ascii="PMingLiU" w:cs="PMingLiU" w:eastAsia="PMingLiU" w:hAnsi="PMingLiU"/>
          <w:sz w:val="17"/>
          <w:szCs w:val="17"/>
          <w:color w:val="634140"/>
        </w:rPr>
        <w:t/>
      </w:r>
      <w:r>
        <w:rPr>
          <w:rFonts w:ascii="Arial" w:cs="Arial" w:eastAsia="Arial" w:hAnsi="Arial"/>
          <w:sz w:val="17"/>
          <w:szCs w:val="17"/>
          <w:color w:val="634140"/>
        </w:rPr>
        <w:t>dmp</w:t>
      </w:r>
      <w:r>
        <w:rPr>
          <w:rFonts w:ascii="PMingLiU" w:cs="PMingLiU" w:eastAsia="PMingLiU" w:hAnsi="PMingLiU"/>
          <w:sz w:val="17"/>
          <w:szCs w:val="17"/>
          <w:color w:val="634140"/>
        </w:rPr>
        <w:t/>
      </w:r>
      <w:r>
        <w:rPr>
          <w:rFonts w:ascii="Arial" w:cs="Arial" w:eastAsia="Arial" w:hAnsi="Arial"/>
          <w:sz w:val="17"/>
          <w:szCs w:val="17"/>
          <w:color w:val="634140"/>
        </w:rPr>
        <w:t>_os_pgsqB</w:t>
      </w:r>
      <w:r>
        <w:rPr>
          <w:rFonts w:ascii="PMingLiU" w:cs="PMingLiU" w:eastAsia="PMingLiU" w:hAnsi="PMingLiU"/>
          <w:sz w:val="17"/>
          <w:szCs w:val="17"/>
          <w:color w:val="634140"/>
        </w:rPr>
        <w:t/>
      </w:r>
      <w:r>
        <w:rPr>
          <w:rFonts w:ascii="Arial" w:cs="Arial" w:eastAsia="Arial" w:hAnsi="Arial"/>
          <w:sz w:val="17"/>
          <w:szCs w:val="17"/>
          <w:color w:val="634140"/>
        </w:rPr>
        <w:t>fijk</w:t>
      </w:r>
      <w:r>
        <w:rPr>
          <w:rFonts w:ascii="PMingLiU" w:cs="PMingLiU" w:eastAsia="PMingLiU" w:hAnsi="PMingLiU"/>
          <w:sz w:val="17"/>
          <w:szCs w:val="17"/>
          <w:color w:val="634140"/>
        </w:rPr>
        <w:t/>
      </w:r>
      <w:r>
        <w:rPr>
          <w:rFonts w:ascii="Arial" w:cs="Arial" w:eastAsia="Arial" w:hAnsi="Arial"/>
          <w:sz w:val="17"/>
          <w:szCs w:val="17"/>
          <w:color w:val="634140"/>
        </w:rPr>
        <w:t>am_rgleq</w:t>
      </w:r>
      <w:r>
        <w:rPr>
          <w:rFonts w:ascii="PMingLiU" w:cs="PMingLiU" w:eastAsia="PMingLiU" w:hAnsi="PMingLiU"/>
          <w:sz w:val="17"/>
          <w:szCs w:val="17"/>
          <w:color w:val="634140"/>
        </w:rPr>
        <w:t/>
      </w:r>
    </w:p>
    <w:p>
      <w:pPr>
        <w:spacing w:after="0" w:line="56"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qgelgfia_lrjw</w:t>
      </w:r>
      <w:r>
        <w:rPr>
          <w:rFonts w:ascii="PMingLiU" w:cs="PMingLiU" w:eastAsia="PMingLiU" w:hAnsi="PMingLiU"/>
          <w:sz w:val="18"/>
          <w:szCs w:val="18"/>
          <w:color w:val="634140"/>
        </w:rPr>
        <w:t/>
      </w:r>
      <w:r>
        <w:rPr>
          <w:rFonts w:ascii="Arial" w:cs="Arial" w:eastAsia="Arial" w:hAnsi="Arial"/>
          <w:sz w:val="18"/>
          <w:szCs w:val="18"/>
          <w:color w:val="634140"/>
        </w:rPr>
        <w:t>cvn_lbgle</w:t>
      </w:r>
      <w:r>
        <w:rPr>
          <w:rFonts w:ascii="PMingLiU" w:cs="PMingLiU" w:eastAsia="PMingLiU" w:hAnsi="PMingLiU"/>
          <w:sz w:val="18"/>
          <w:szCs w:val="18"/>
          <w:color w:val="634140"/>
        </w:rPr>
        <w:t/>
      </w:r>
      <w:r>
        <w:rPr>
          <w:rFonts w:ascii="Arial" w:cs="Arial" w:eastAsia="Arial" w:hAnsi="Arial"/>
          <w:sz w:val="18"/>
          <w:szCs w:val="18"/>
          <w:color w:val="634140"/>
        </w:rPr>
        <w:t>grq</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nf_pk_acsrga_j</w:t>
      </w:r>
      <w:r>
        <w:rPr>
          <w:rFonts w:ascii="PMingLiU" w:cs="PMingLiU" w:eastAsia="PMingLiU" w:hAnsi="PMingLiU"/>
          <w:sz w:val="18"/>
          <w:szCs w:val="18"/>
          <w:color w:val="634140"/>
        </w:rPr>
        <w:t/>
      </w:r>
      <w:r>
        <w:rPr>
          <w:rFonts w:ascii="Arial" w:cs="Arial" w:eastAsia="Arial" w:hAnsi="Arial"/>
          <w:sz w:val="18"/>
          <w:szCs w:val="18"/>
          <w:color w:val="634140"/>
        </w:rPr>
        <w:t>dmmrnpglr</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kccr</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glapc_qgle</w:t>
      </w:r>
      <w:r>
        <w:rPr>
          <w:rFonts w:ascii="PMingLiU" w:cs="PMingLiU" w:eastAsia="PMingLiU" w:hAnsi="PMingLiU"/>
          <w:sz w:val="18"/>
          <w:szCs w:val="18"/>
          <w:color w:val="634140"/>
        </w:rPr>
        <w:t/>
      </w:r>
      <w:r>
        <w:rPr>
          <w:rFonts w:ascii="Arial" w:cs="Arial" w:eastAsia="Arial" w:hAnsi="Arial"/>
          <w:sz w:val="18"/>
          <w:szCs w:val="18"/>
          <w:color w:val="634140"/>
        </w:rPr>
        <w:t>k_picr</w:t>
      </w:r>
      <w:r>
        <w:rPr>
          <w:rFonts w:ascii="PMingLiU" w:cs="PMingLiU" w:eastAsia="PMingLiU" w:hAnsi="PMingLiU"/>
          <w:sz w:val="18"/>
          <w:szCs w:val="18"/>
          <w:color w:val="634140"/>
        </w:rPr>
        <w:t/>
      </w:r>
      <w:r>
        <w:rPr>
          <w:rFonts w:ascii="Arial" w:cs="Arial" w:eastAsia="Arial" w:hAnsi="Arial"/>
          <w:sz w:val="18"/>
          <w:szCs w:val="18"/>
          <w:color w:val="634140"/>
        </w:rPr>
        <w:t>bck_lb</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pcegml</w:t>
      </w:r>
      <w:r>
        <w:rPr>
          <w:rFonts w:ascii="PMingLiU" w:cs="PMingLiU" w:eastAsia="PMingLiU" w:hAnsi="PMingLiU"/>
          <w:sz w:val="18"/>
          <w:szCs w:val="18"/>
          <w:color w:val="634140"/>
        </w:rPr>
        <w:t/>
      </w:r>
    </w:p>
    <w:p>
      <w:pPr>
        <w:spacing w:after="0" w:line="319" w:lineRule="exact"/>
        <w:rPr>
          <w:sz w:val="20"/>
          <w:szCs w:val="20"/>
          <w:color w:val="auto"/>
        </w:rPr>
      </w:pPr>
    </w:p>
    <w:p>
      <w:pPr>
        <w:spacing w:after="0" w:line="282" w:lineRule="exact"/>
        <w:rPr>
          <w:sz w:val="20"/>
          <w:szCs w:val="20"/>
          <w:color w:val="auto"/>
        </w:rPr>
      </w:pPr>
      <w:r>
        <w:rPr>
          <w:rFonts w:ascii="Arial" w:cs="Arial" w:eastAsia="Arial" w:hAnsi="Arial"/>
          <w:sz w:val="18"/>
          <w:szCs w:val="18"/>
          <w:color w:val="634140"/>
        </w:rPr>
        <w:t>Fcruccl</w:t>
      </w:r>
      <w:r>
        <w:rPr>
          <w:rFonts w:ascii="PMingLiU" w:cs="PMingLiU" w:eastAsia="PMingLiU" w:hAnsi="PMingLiU"/>
          <w:sz w:val="18"/>
          <w:szCs w:val="18"/>
          <w:color w:val="634140"/>
        </w:rPr>
        <w:t/>
      </w:r>
      <w:r>
        <w:rPr>
          <w:rFonts w:ascii="Arial" w:cs="Arial" w:eastAsia="Arial" w:hAnsi="Arial"/>
          <w:sz w:val="18"/>
          <w:szCs w:val="18"/>
          <w:color w:val="634140"/>
        </w:rPr>
        <w:t>˧˥˦ˮ</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 xml:space="preserve"> amlqsknrgml</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am_rcb</w:t>
      </w:r>
      <w:r>
        <w:rPr>
          <w:rFonts w:ascii="PMingLiU" w:cs="PMingLiU" w:eastAsia="PMingLiU" w:hAnsi="PMingLiU"/>
          <w:sz w:val="18"/>
          <w:szCs w:val="18"/>
          <w:color w:val="634140"/>
        </w:rPr>
        <w:t/>
      </w:r>
      <w:r>
        <w:rPr>
          <w:rFonts w:ascii="Arial" w:cs="Arial" w:eastAsia="Arial" w:hAnsi="Arial"/>
          <w:sz w:val="18"/>
          <w:szCs w:val="18"/>
          <w:color w:val="634140"/>
        </w:rPr>
        <w:t>r_`jcrq</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P_rgl</w:t>
      </w:r>
      <w:r>
        <w:rPr>
          <w:rFonts w:ascii="PMingLiU" w:cs="PMingLiU" w:eastAsia="PMingLiU" w:hAnsi="PMingLiU"/>
          <w:sz w:val="18"/>
          <w:szCs w:val="18"/>
          <w:color w:val="634140"/>
        </w:rPr>
        <w:t/>
      </w:r>
      <w:r>
        <w:rPr>
          <w:rFonts w:ascii="Arial" w:cs="Arial" w:eastAsia="Arial" w:hAnsi="Arial"/>
          <w:sz w:val="18"/>
          <w:szCs w:val="18"/>
          <w:color w:val="634140"/>
        </w:rPr>
        <w:t xml:space="preserve"> Ekcpga_</w:t>
      </w:r>
      <w:r>
        <w:rPr>
          <w:rFonts w:ascii="PMingLiU" w:cs="PMingLiU" w:eastAsia="PMingLiU" w:hAnsi="PMingLiU"/>
          <w:sz w:val="18"/>
          <w:szCs w:val="18"/>
          <w:color w:val="634140"/>
        </w:rPr>
        <w:t/>
      </w:r>
      <w:r>
        <w:rPr>
          <w:rFonts w:ascii="Arial" w:cs="Arial" w:eastAsia="Arial" w:hAnsi="Arial"/>
          <w:sz w:val="18"/>
          <w:szCs w:val="18"/>
          <w:color w:val="634140"/>
        </w:rPr>
        <w:t>f_b</w:t>
      </w:r>
      <w:r>
        <w:rPr>
          <w:rFonts w:ascii="PMingLiU" w:cs="PMingLiU" w:eastAsia="PMingLiU" w:hAnsi="PMingLiU"/>
          <w:sz w:val="18"/>
          <w:szCs w:val="18"/>
          <w:color w:val="634140"/>
        </w:rPr>
        <w:t/>
      </w:r>
      <w:r>
        <w:rPr>
          <w:rFonts w:ascii="Arial" w:cs="Arial" w:eastAsia="Arial" w:hAnsi="Arial"/>
          <w:sz w:val="18"/>
          <w:szCs w:val="18"/>
          <w:color w:val="634140"/>
        </w:rPr>
        <w:t>_l</w:t>
      </w:r>
      <w:r>
        <w:rPr>
          <w:rFonts w:ascii="PMingLiU" w:cs="PMingLiU" w:eastAsia="PMingLiU" w:hAnsi="PMingLiU"/>
          <w:sz w:val="18"/>
          <w:szCs w:val="18"/>
          <w:color w:val="634140"/>
        </w:rPr>
        <w:t/>
      </w:r>
      <w:r>
        <w:rPr>
          <w:rFonts w:ascii="Arial" w:cs="Arial" w:eastAsia="Arial" w:hAnsi="Arial"/>
          <w:sz w:val="18"/>
          <w:szCs w:val="18"/>
          <w:color w:val="634140"/>
        </w:rPr>
        <w:t>_tcp_ec</w:t>
      </w:r>
      <w:r>
        <w:rPr>
          <w:rFonts w:ascii="PMingLiU" w:cs="PMingLiU" w:eastAsia="PMingLiU" w:hAnsi="PMingLiU"/>
          <w:sz w:val="18"/>
          <w:szCs w:val="18"/>
          <w:color w:val="634140"/>
        </w:rPr>
        <w:t/>
      </w:r>
      <w:r>
        <w:rPr>
          <w:rFonts w:ascii="Arial" w:cs="Arial" w:eastAsia="Arial" w:hAnsi="Arial"/>
          <w:sz w:val="18"/>
          <w:szCs w:val="18"/>
          <w:color w:val="634140"/>
        </w:rPr>
        <w:t>epmurf</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w:t>
      </w:r>
      <w:r>
        <w:rPr>
          <w:rFonts w:ascii="PMingLiU" w:cs="PMingLiU" w:eastAsia="PMingLiU" w:hAnsi="PMingLiU"/>
          <w:sz w:val="18"/>
          <w:szCs w:val="18"/>
          <w:color w:val="634140"/>
        </w:rPr>
        <w:t/>
      </w:r>
      <w:r>
        <w:rPr>
          <w:rFonts w:ascii="Arial" w:cs="Arial" w:eastAsia="Arial" w:hAnsi="Arial"/>
          <w:sz w:val="18"/>
          <w:szCs w:val="18"/>
          <w:color w:val="634140"/>
        </w:rPr>
        <w:t>˨</w:t>
      </w:r>
      <w:r>
        <w:rPr>
          <w:rFonts w:ascii="PMingLiU" w:cs="PMingLiU" w:eastAsia="PMingLiU" w:hAnsi="PMingLiU"/>
          <w:sz w:val="18"/>
          <w:szCs w:val="18"/>
          <w:color w:val="634140"/>
        </w:rPr>
        <w:t/>
      </w:r>
      <w:r>
        <w:rPr>
          <w:rFonts w:ascii="Arial" w:cs="Arial" w:eastAsia="Arial" w:hAnsi="Arial"/>
          <w:sz w:val="18"/>
          <w:szCs w:val="18"/>
          <w:color w:val="634140"/>
        </w:rPr>
        <w:t xml:space="preserve"> ncpaclr</w:t>
      </w:r>
      <w:r>
        <w:rPr>
          <w:rFonts w:ascii="PMingLiU" w:cs="PMingLiU" w:eastAsia="PMingLiU" w:hAnsi="PMingLiU"/>
          <w:sz w:val="18"/>
          <w:szCs w:val="18"/>
          <w:color w:val="634140"/>
        </w:rPr>
        <w:t/>
      </w:r>
      <w:r>
        <w:rPr>
          <w:rFonts w:ascii="Arial" w:cs="Arial" w:eastAsia="Arial" w:hAnsi="Arial"/>
          <w:sz w:val="18"/>
          <w:szCs w:val="18"/>
          <w:color w:val="634140"/>
        </w:rPr>
        <w:t>ncp</w:t>
      </w:r>
      <w:r>
        <w:rPr>
          <w:rFonts w:ascii="PMingLiU" w:cs="PMingLiU" w:eastAsia="PMingLiU" w:hAnsi="PMingLiU"/>
          <w:sz w:val="18"/>
          <w:szCs w:val="18"/>
          <w:color w:val="634140"/>
        </w:rPr>
        <w:t/>
      </w:r>
      <w:r>
        <w:rPr>
          <w:rFonts w:ascii="Arial" w:cs="Arial" w:eastAsia="Arial" w:hAnsi="Arial"/>
          <w:sz w:val="18"/>
          <w:szCs w:val="18"/>
          <w:color w:val="634140"/>
        </w:rPr>
        <w:t>wc_p</w:t>
      </w:r>
      <w:r>
        <w:rPr>
          <w:rFonts w:ascii="PMingLiU" w:cs="PMingLiU" w:eastAsia="PMingLiU" w:hAnsi="PMingLiU"/>
          <w:sz w:val="18"/>
          <w:szCs w:val="18"/>
          <w:color w:val="634140"/>
        </w:rPr>
        <w:t/>
      </w:r>
      <w:r>
        <w:rPr>
          <w:rFonts w:ascii="Arial" w:cs="Arial" w:eastAsia="Arial" w:hAnsi="Arial"/>
          <w:sz w:val="18"/>
          <w:szCs w:val="18"/>
          <w:color w:val="634140"/>
        </w:rPr>
        <w:t>ufgjc</w:t>
      </w:r>
      <w:r>
        <w:rPr>
          <w:rFonts w:ascii="PMingLiU" w:cs="PMingLiU" w:eastAsia="PMingLiU" w:hAnsi="PMingLiU"/>
          <w:sz w:val="18"/>
          <w:szCs w:val="18"/>
          <w:color w:val="634140"/>
        </w:rPr>
        <w:t/>
      </w:r>
      <w:r>
        <w:rPr>
          <w:rFonts w:ascii="Arial" w:cs="Arial" w:eastAsia="Arial" w:hAnsi="Arial"/>
          <w:sz w:val="18"/>
          <w:szCs w:val="18"/>
          <w:color w:val="634140"/>
        </w:rPr>
        <w:t>Fp_xgj</w:t>
      </w:r>
      <w:r>
        <w:rPr>
          <w:rFonts w:ascii="PMingLiU" w:cs="PMingLiU" w:eastAsia="PMingLiU" w:hAnsi="PMingLiU"/>
          <w:sz w:val="18"/>
          <w:szCs w:val="18"/>
          <w:color w:val="634140"/>
        </w:rPr>
        <w:t/>
      </w:r>
      <w:r>
        <w:rPr>
          <w:rFonts w:ascii="Arial" w:cs="Arial" w:eastAsia="Arial" w:hAnsi="Arial"/>
          <w:sz w:val="18"/>
          <w:szCs w:val="18"/>
          <w:color w:val="634140"/>
        </w:rPr>
        <w:t>pc_afcb</w:t>
      </w:r>
      <w:r>
        <w:rPr>
          <w:rFonts w:ascii="PMingLiU" w:cs="PMingLiU" w:eastAsia="PMingLiU" w:hAnsi="PMingLiU"/>
          <w:sz w:val="18"/>
          <w:szCs w:val="18"/>
          <w:color w:val="634140"/>
        </w:rPr>
        <w:t/>
      </w:r>
      <w:r>
        <w:rPr>
          <w:rFonts w:ascii="Arial" w:cs="Arial" w:eastAsia="Arial" w:hAnsi="Arial"/>
          <w:sz w:val="18"/>
          <w:szCs w:val="18"/>
          <w:color w:val="634140"/>
        </w:rPr>
        <w:t xml:space="preserve"> epmurf</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w:t>
      </w:r>
      <w:r>
        <w:rPr>
          <w:rFonts w:ascii="PMingLiU" w:cs="PMingLiU" w:eastAsia="PMingLiU" w:hAnsi="PMingLiU"/>
          <w:sz w:val="18"/>
          <w:szCs w:val="18"/>
          <w:color w:val="634140"/>
        </w:rPr>
        <w:t/>
      </w:r>
      <w:r>
        <w:rPr>
          <w:rFonts w:ascii="Arial" w:cs="Arial" w:eastAsia="Arial" w:hAnsi="Arial"/>
          <w:sz w:val="18"/>
          <w:szCs w:val="18"/>
          <w:color w:val="634140"/>
        </w:rPr>
        <w:t>ˬ</w:t>
      </w:r>
      <w:r>
        <w:rPr>
          <w:rFonts w:ascii="PMingLiU" w:cs="PMingLiU" w:eastAsia="PMingLiU" w:hAnsi="PMingLiU"/>
          <w:sz w:val="18"/>
          <w:szCs w:val="18"/>
          <w:color w:val="634140"/>
        </w:rPr>
        <w:t/>
      </w:r>
      <w:r>
        <w:rPr>
          <w:rFonts w:ascii="Arial" w:cs="Arial" w:eastAsia="Arial" w:hAnsi="Arial"/>
          <w:sz w:val="18"/>
          <w:szCs w:val="18"/>
          <w:color w:val="634140"/>
        </w:rPr>
        <w:t>ncpaclr</w:t>
      </w:r>
      <w:r>
        <w:rPr>
          <w:rFonts w:ascii="PMingLiU" w:cs="PMingLiU" w:eastAsia="PMingLiU" w:hAnsi="PMingLiU"/>
          <w:sz w:val="18"/>
          <w:szCs w:val="18"/>
          <w:color w:val="634140"/>
        </w:rPr>
        <w:t/>
      </w:r>
      <w:r>
        <w:rPr>
          <w:rFonts w:ascii="Arial" w:cs="Arial" w:eastAsia="Arial" w:hAnsi="Arial"/>
          <w:sz w:val="18"/>
          <w:szCs w:val="18"/>
          <w:color w:val="634140"/>
        </w:rPr>
        <w:t>ncp</w:t>
      </w:r>
      <w:r>
        <w:rPr>
          <w:rFonts w:ascii="PMingLiU" w:cs="PMingLiU" w:eastAsia="PMingLiU" w:hAnsi="PMingLiU"/>
          <w:sz w:val="18"/>
          <w:szCs w:val="18"/>
          <w:color w:val="634140"/>
        </w:rPr>
        <w:t/>
      </w:r>
      <w:r>
        <w:rPr>
          <w:rFonts w:ascii="Arial" w:cs="Arial" w:eastAsia="Arial" w:hAnsi="Arial"/>
          <w:sz w:val="18"/>
          <w:szCs w:val="18"/>
          <w:color w:val="634140"/>
        </w:rPr>
        <w:t>wc_p</w:t>
      </w:r>
      <w:r>
        <w:rPr>
          <w:rFonts w:ascii="Arial" w:cs="Arial" w:eastAsia="Arial" w:hAnsi="Arial"/>
          <w:sz w:val="32"/>
          <w:szCs w:val="32"/>
          <w:color w:val="634140"/>
          <w:vertAlign w:val="superscript"/>
        </w:rPr>
        <w:t>η</w:t>
      </w:r>
      <w:r>
        <w:rPr>
          <w:rFonts w:ascii="PMingLiU" w:cs="PMingLiU" w:eastAsia="PMingLiU" w:hAnsi="PMingLiU"/>
          <w:sz w:val="18"/>
          <w:szCs w:val="18"/>
          <w:color w:val="634140"/>
        </w:rPr>
        <w:t/>
      </w:r>
    </w:p>
    <w:p>
      <w:pPr>
        <w:spacing w:after="0" w:line="185" w:lineRule="exact"/>
        <w:rPr>
          <w:sz w:val="20"/>
          <w:szCs w:val="20"/>
          <w:color w:val="auto"/>
        </w:rPr>
      </w:pPr>
    </w:p>
    <w:p>
      <w:pPr>
        <w:ind w:right="240"/>
        <w:spacing w:after="0" w:line="259" w:lineRule="exact"/>
        <w:rPr>
          <w:sz w:val="20"/>
          <w:szCs w:val="20"/>
          <w:color w:val="auto"/>
        </w:rPr>
      </w:pPr>
      <w:r>
        <w:rPr>
          <w:rFonts w:ascii="Arial" w:cs="Arial" w:eastAsia="Arial" w:hAnsi="Arial"/>
          <w:sz w:val="18"/>
          <w:szCs w:val="18"/>
          <w:color w:val="634140"/>
        </w:rPr>
        <w:t>Xfc</w:t>
      </w:r>
      <w:r>
        <w:rPr>
          <w:rFonts w:ascii="PMingLiU" w:cs="PMingLiU" w:eastAsia="PMingLiU" w:hAnsi="PMingLiU"/>
          <w:sz w:val="18"/>
          <w:szCs w:val="18"/>
          <w:color w:val="634140"/>
        </w:rPr>
        <w:t/>
      </w:r>
      <w:r>
        <w:rPr>
          <w:rFonts w:ascii="Arial" w:cs="Arial" w:eastAsia="Arial" w:hAnsi="Arial"/>
          <w:sz w:val="18"/>
          <w:szCs w:val="18"/>
          <w:color w:val="634140"/>
        </w:rPr>
        <w:t>lcu</w:t>
      </w:r>
      <w:r>
        <w:rPr>
          <w:rFonts w:ascii="PMingLiU" w:cs="PMingLiU" w:eastAsia="PMingLiU" w:hAnsi="PMingLiU"/>
          <w:sz w:val="18"/>
          <w:szCs w:val="18"/>
          <w:color w:val="634140"/>
        </w:rPr>
        <w:t/>
      </w:r>
      <w:r>
        <w:rPr>
          <w:rFonts w:ascii="Arial" w:cs="Arial" w:eastAsia="Arial" w:hAnsi="Arial"/>
          <w:sz w:val="18"/>
          <w:szCs w:val="18"/>
          <w:color w:val="634140"/>
        </w:rPr>
        <w:t>nj_lr</w:t>
      </w:r>
      <w:r>
        <w:rPr>
          <w:rFonts w:ascii="PMingLiU" w:cs="PMingLiU" w:eastAsia="PMingLiU" w:hAnsi="PMingLiU"/>
          <w:sz w:val="18"/>
          <w:szCs w:val="18"/>
          <w:color w:val="634140"/>
        </w:rPr>
        <w:t/>
      </w:r>
      <w:r>
        <w:rPr>
          <w:rFonts w:ascii="Arial" w:cs="Arial" w:eastAsia="Arial" w:hAnsi="Arial"/>
          <w:sz w:val="18"/>
          <w:szCs w:val="18"/>
          <w:color w:val="634140"/>
        </w:rPr>
        <w:t>_aamkkmb_rcq</w:t>
      </w:r>
      <w:r>
        <w:rPr>
          <w:rFonts w:ascii="PMingLiU" w:cs="PMingLiU" w:eastAsia="PMingLiU" w:hAnsi="PMingLiU"/>
          <w:sz w:val="18"/>
          <w:szCs w:val="18"/>
          <w:color w:val="634140"/>
        </w:rPr>
        <w:t/>
      </w:r>
      <w:r>
        <w:rPr>
          <w:rFonts w:ascii="Arial" w:cs="Arial" w:eastAsia="Arial" w:hAnsi="Arial"/>
          <w:sz w:val="18"/>
          <w:szCs w:val="18"/>
          <w:color w:val="634140"/>
        </w:rPr>
        <w:t>fgef&amp; ncpdmpk_lac</w:t>
      </w:r>
      <w:r>
        <w:rPr>
          <w:rFonts w:ascii="PMingLiU" w:cs="PMingLiU" w:eastAsia="PMingLiU" w:hAnsi="PMingLiU"/>
          <w:sz w:val="18"/>
          <w:szCs w:val="18"/>
          <w:color w:val="634140"/>
        </w:rPr>
        <w:t/>
      </w:r>
      <w:r>
        <w:rPr>
          <w:rFonts w:ascii="Arial" w:cs="Arial" w:eastAsia="Arial" w:hAnsi="Arial"/>
          <w:sz w:val="18"/>
          <w:szCs w:val="18"/>
          <w:color w:val="634140"/>
        </w:rPr>
        <w:t>npmbsargml</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mffcpq</w:t>
      </w:r>
      <w:r>
        <w:rPr>
          <w:rFonts w:ascii="PMingLiU" w:cs="PMingLiU" w:eastAsia="PMingLiU" w:hAnsi="PMingLiU"/>
          <w:sz w:val="18"/>
          <w:szCs w:val="18"/>
          <w:color w:val="634140"/>
        </w:rPr>
        <w:t/>
      </w:r>
      <w:r>
        <w:rPr>
          <w:rFonts w:ascii="Arial" w:cs="Arial" w:eastAsia="Arial" w:hAnsi="Arial"/>
          <w:sz w:val="18"/>
          <w:szCs w:val="18"/>
          <w:color w:val="634140"/>
        </w:rPr>
        <w:t xml:space="preserve"> asqrmkcpq</w:t>
      </w:r>
      <w:r>
        <w:rPr>
          <w:rFonts w:ascii="PMingLiU" w:cs="PMingLiU" w:eastAsia="PMingLiU" w:hAnsi="PMingLiU"/>
          <w:sz w:val="18"/>
          <w:szCs w:val="18"/>
          <w:color w:val="634140"/>
        </w:rPr>
        <w:t/>
      </w:r>
      <w:r>
        <w:rPr>
          <w:rFonts w:ascii="Arial" w:cs="Arial" w:eastAsia="Arial" w:hAnsi="Arial"/>
          <w:sz w:val="18"/>
          <w:szCs w:val="18"/>
          <w:color w:val="634140"/>
        </w:rPr>
        <w:t>bgffcpclrg_rcb</w:t>
      </w:r>
      <w:r>
        <w:rPr>
          <w:rFonts w:ascii="PMingLiU" w:cs="PMingLiU" w:eastAsia="PMingLiU" w:hAnsi="PMingLiU"/>
          <w:sz w:val="18"/>
          <w:szCs w:val="18"/>
          <w:color w:val="634140"/>
        </w:rPr>
        <w:t/>
      </w:r>
      <w:r>
        <w:rPr>
          <w:rFonts w:ascii="Arial" w:cs="Arial" w:eastAsia="Arial" w:hAnsi="Arial"/>
          <w:sz w:val="18"/>
          <w:szCs w:val="18"/>
          <w:color w:val="634140"/>
        </w:rPr>
        <w:t>rcaflga_j</w:t>
      </w:r>
      <w:r>
        <w:rPr>
          <w:rFonts w:ascii="PMingLiU" w:cs="PMingLiU" w:eastAsia="PMingLiU" w:hAnsi="PMingLiU"/>
          <w:sz w:val="18"/>
          <w:szCs w:val="18"/>
          <w:color w:val="634140"/>
        </w:rPr>
        <w:t/>
      </w:r>
      <w:r>
        <w:rPr>
          <w:rFonts w:ascii="Arial" w:cs="Arial" w:eastAsia="Arial" w:hAnsi="Arial"/>
          <w:sz w:val="18"/>
          <w:szCs w:val="18"/>
          <w:color w:val="634140"/>
        </w:rPr>
        <w:t xml:space="preserve"> qsnnmpr</w:t>
      </w:r>
      <w:r>
        <w:rPr>
          <w:rFonts w:ascii="PMingLiU" w:cs="PMingLiU" w:eastAsia="PMingLiU" w:hAnsi="PMingLiU"/>
          <w:sz w:val="18"/>
          <w:szCs w:val="18"/>
          <w:color w:val="634140"/>
        </w:rPr>
        <w:t/>
      </w:r>
      <w:r>
        <w:rPr>
          <w:rFonts w:ascii="Arial" w:cs="Arial" w:eastAsia="Arial" w:hAnsi="Arial"/>
          <w:sz w:val="18"/>
          <w:szCs w:val="18"/>
          <w:color w:val="634140"/>
        </w:rPr>
        <w:t>dpmk</w:t>
      </w:r>
      <w:r>
        <w:rPr>
          <w:rFonts w:ascii="PMingLiU" w:cs="PMingLiU" w:eastAsia="PMingLiU" w:hAnsi="PMingLiU"/>
          <w:sz w:val="18"/>
          <w:szCs w:val="18"/>
          <w:color w:val="634140"/>
        </w:rPr>
        <w:t/>
      </w:r>
      <w:r>
        <w:rPr>
          <w:rFonts w:ascii="Arial" w:cs="Arial" w:eastAsia="Arial" w:hAnsi="Arial"/>
          <w:sz w:val="18"/>
          <w:szCs w:val="18"/>
          <w:color w:val="634140"/>
        </w:rPr>
        <w:t>dmpksj_rgml</w:t>
      </w:r>
      <w:r>
        <w:rPr>
          <w:rFonts w:ascii="PMingLiU" w:cs="PMingLiU" w:eastAsia="PMingLiU" w:hAnsi="PMingLiU"/>
          <w:sz w:val="18"/>
          <w:szCs w:val="18"/>
          <w:color w:val="634140"/>
        </w:rPr>
        <w:t/>
      </w:r>
      <w:r>
        <w:rPr>
          <w:rFonts w:ascii="Arial" w:cs="Arial" w:eastAsia="Arial" w:hAnsi="Arial"/>
          <w:sz w:val="18"/>
          <w:szCs w:val="18"/>
          <w:color w:val="634140"/>
        </w:rPr>
        <w:t>bcqgel</w:t>
      </w:r>
      <w:r>
        <w:rPr>
          <w:rFonts w:ascii="PMingLiU" w:cs="PMingLiU" w:eastAsia="PMingLiU" w:hAnsi="PMingLiU"/>
          <w:sz w:val="18"/>
          <w:szCs w:val="18"/>
          <w:color w:val="634140"/>
        </w:rPr>
        <w:t/>
      </w:r>
      <w:r>
        <w:rPr>
          <w:rFonts w:ascii="Arial" w:cs="Arial" w:eastAsia="Arial" w:hAnsi="Arial"/>
          <w:sz w:val="18"/>
          <w:szCs w:val="18"/>
          <w:color w:val="634140"/>
        </w:rPr>
        <w:t xml:space="preserve"> rm</w:t>
      </w:r>
      <w:r>
        <w:rPr>
          <w:rFonts w:ascii="PMingLiU" w:cs="PMingLiU" w:eastAsia="PMingLiU" w:hAnsi="PMingLiU"/>
          <w:sz w:val="18"/>
          <w:szCs w:val="18"/>
          <w:color w:val="634140"/>
        </w:rPr>
        <w:t/>
      </w:r>
      <w:r>
        <w:rPr>
          <w:rFonts w:ascii="Arial" w:cs="Arial" w:eastAsia="Arial" w:hAnsi="Arial"/>
          <w:sz w:val="18"/>
          <w:szCs w:val="18"/>
          <w:color w:val="634140"/>
        </w:rPr>
        <w:t>glbsqrpg_j</w:t>
      </w:r>
      <w:r>
        <w:rPr>
          <w:rFonts w:ascii="PMingLiU" w:cs="PMingLiU" w:eastAsia="PMingLiU" w:hAnsi="PMingLiU"/>
          <w:sz w:val="18"/>
          <w:szCs w:val="18"/>
          <w:color w:val="634140"/>
        </w:rPr>
        <w:t/>
      </w:r>
      <w:r>
        <w:rPr>
          <w:rFonts w:ascii="Arial" w:cs="Arial" w:eastAsia="Arial" w:hAnsi="Arial"/>
          <w:sz w:val="18"/>
          <w:szCs w:val="18"/>
          <w:color w:val="634140"/>
        </w:rPr>
        <w:t>qa_jc</w:t>
      </w:r>
      <w:r>
        <w:rPr>
          <w:rFonts w:ascii="PMingLiU" w:cs="PMingLiU" w:eastAsia="PMingLiU" w:hAnsi="PMingLiU"/>
          <w:sz w:val="18"/>
          <w:szCs w:val="18"/>
          <w:color w:val="634140"/>
        </w:rPr>
        <w:t/>
      </w:r>
      <w:r>
        <w:rPr>
          <w:rFonts w:ascii="Arial" w:cs="Arial" w:eastAsia="Arial" w:hAnsi="Arial"/>
          <w:sz w:val="18"/>
          <w:szCs w:val="18"/>
          <w:color w:val="634140"/>
        </w:rPr>
        <w:t>cl_`jgle</w:t>
      </w:r>
      <w:r>
        <w:rPr>
          <w:rFonts w:ascii="PMingLiU" w:cs="PMingLiU" w:eastAsia="PMingLiU" w:hAnsi="PMingLiU"/>
          <w:sz w:val="18"/>
          <w:szCs w:val="18"/>
          <w:color w:val="634140"/>
        </w:rPr>
        <w:t/>
      </w:r>
      <w:r>
        <w:rPr>
          <w:rFonts w:ascii="Arial" w:cs="Arial" w:eastAsia="Arial" w:hAnsi="Arial"/>
          <w:sz w:val="18"/>
          <w:szCs w:val="18"/>
          <w:color w:val="634140"/>
        </w:rPr>
        <w:t>lcu</w:t>
      </w:r>
      <w:r>
        <w:rPr>
          <w:rFonts w:ascii="PMingLiU" w:cs="PMingLiU" w:eastAsia="PMingLiU" w:hAnsi="PMingLiU"/>
          <w:sz w:val="18"/>
          <w:szCs w:val="18"/>
          <w:color w:val="634140"/>
        </w:rPr>
        <w:t/>
      </w:r>
      <w:r>
        <w:rPr>
          <w:rFonts w:ascii="Arial" w:cs="Arial" w:eastAsia="Arial" w:hAnsi="Arial"/>
          <w:sz w:val="18"/>
          <w:szCs w:val="18"/>
          <w:color w:val="634140"/>
        </w:rPr>
        <w:t xml:space="preserve"> gllmt_rgmlq</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mpe_lga</w:t>
      </w:r>
      <w:r>
        <w:rPr>
          <w:rFonts w:ascii="PMingLiU" w:cs="PMingLiU" w:eastAsia="PMingLiU" w:hAnsi="PMingLiU"/>
          <w:sz w:val="18"/>
          <w:szCs w:val="18"/>
          <w:color w:val="634140"/>
        </w:rPr>
        <w:t/>
      </w:r>
      <w:r>
        <w:rPr>
          <w:rFonts w:ascii="Arial" w:cs="Arial" w:eastAsia="Arial" w:hAnsi="Arial"/>
          <w:sz w:val="18"/>
          <w:szCs w:val="18"/>
          <w:color w:val="634140"/>
        </w:rPr>
        <w:t>epmurf</w:t>
      </w:r>
      <w:r>
        <w:rPr>
          <w:rFonts w:ascii="PMingLiU" w:cs="PMingLiU" w:eastAsia="PMingLiU" w:hAnsi="PMingLiU"/>
          <w:sz w:val="18"/>
          <w:szCs w:val="18"/>
          <w:color w:val="634140"/>
        </w:rPr>
        <w:t/>
      </w:r>
      <w:r>
        <w:rPr>
          <w:rFonts w:ascii="Arial" w:cs="Arial" w:eastAsia="Arial" w:hAnsi="Arial"/>
          <w:sz w:val="18"/>
          <w:szCs w:val="18"/>
          <w:color w:val="634140"/>
        </w:rPr>
        <w:t xml:space="preserve"> Xfc</w:t>
      </w:r>
      <w:r>
        <w:rPr>
          <w:rFonts w:ascii="PMingLiU" w:cs="PMingLiU" w:eastAsia="PMingLiU" w:hAnsi="PMingLiU"/>
          <w:sz w:val="18"/>
          <w:szCs w:val="18"/>
          <w:color w:val="634140"/>
        </w:rPr>
        <w:t/>
      </w:r>
      <w:r>
        <w:rPr>
          <w:rFonts w:ascii="Arial" w:cs="Arial" w:eastAsia="Arial" w:hAnsi="Arial"/>
          <w:sz w:val="18"/>
          <w:szCs w:val="18"/>
          <w:color w:val="634140"/>
        </w:rPr>
        <w:t>G_`pcst_</w:t>
      </w:r>
      <w:r>
        <w:rPr>
          <w:rFonts w:ascii="PMingLiU" w:cs="PMingLiU" w:eastAsia="PMingLiU" w:hAnsi="PMingLiU"/>
          <w:sz w:val="18"/>
          <w:szCs w:val="18"/>
          <w:color w:val="634140"/>
        </w:rPr>
        <w:t/>
      </w:r>
      <w:r>
        <w:rPr>
          <w:rFonts w:ascii="Arial" w:cs="Arial" w:eastAsia="Arial" w:hAnsi="Arial"/>
          <w:sz w:val="18"/>
          <w:szCs w:val="18"/>
          <w:color w:val="634140"/>
        </w:rPr>
        <w:t>cvn_lqgml</w:t>
      </w:r>
      <w:r>
        <w:rPr>
          <w:rFonts w:ascii="PMingLiU" w:cs="PMingLiU" w:eastAsia="PMingLiU" w:hAnsi="PMingLiU"/>
          <w:sz w:val="18"/>
          <w:szCs w:val="18"/>
          <w:color w:val="634140"/>
        </w:rPr>
        <w:t/>
      </w:r>
      <w:r>
        <w:rPr>
          <w:rFonts w:ascii="Arial" w:cs="Arial" w:eastAsia="Arial" w:hAnsi="Arial"/>
          <w:sz w:val="18"/>
          <w:szCs w:val="18"/>
          <w:color w:val="634140"/>
        </w:rPr>
        <w:t>dmjjmuq</w:t>
      </w:r>
      <w:r>
        <w:rPr>
          <w:rFonts w:ascii="PMingLiU" w:cs="PMingLiU" w:eastAsia="PMingLiU" w:hAnsi="PMingLiU"/>
          <w:sz w:val="18"/>
          <w:szCs w:val="18"/>
          <w:color w:val="634140"/>
        </w:rPr>
        <w:t/>
      </w:r>
      <w:r>
        <w:rPr>
          <w:rFonts w:ascii="Arial" w:cs="Arial" w:eastAsia="Arial" w:hAnsi="Arial"/>
          <w:sz w:val="18"/>
          <w:szCs w:val="18"/>
          <w:color w:val="634140"/>
        </w:rPr>
        <w:t xml:space="preserve"> Eqfj_lb</w:t>
      </w:r>
      <w:r>
        <w:rPr>
          <w:rFonts w:ascii="PMingLiU" w:cs="PMingLiU" w:eastAsia="PMingLiU" w:hAnsi="PMingLiU"/>
          <w:sz w:val="18"/>
          <w:szCs w:val="18"/>
          <w:color w:val="634140"/>
        </w:rPr>
        <w:t/>
      </w:r>
      <w:r>
        <w:rPr>
          <w:rFonts w:ascii="Arial" w:cs="Arial" w:eastAsia="Arial" w:hAnsi="Arial"/>
          <w:sz w:val="18"/>
          <w:szCs w:val="18"/>
          <w:color w:val="634140"/>
        </w:rPr>
        <w:t>q</w:t>
      </w:r>
      <w:r>
        <w:rPr>
          <w:rFonts w:ascii="PMingLiU" w:cs="PMingLiU" w:eastAsia="PMingLiU" w:hAnsi="PMingLiU"/>
          <w:sz w:val="18"/>
          <w:szCs w:val="18"/>
          <w:color w:val="634140"/>
        </w:rPr>
        <w:t/>
      </w:r>
      <w:r>
        <w:rPr>
          <w:rFonts w:ascii="Arial" w:cs="Arial" w:eastAsia="Arial" w:hAnsi="Arial"/>
          <w:sz w:val="18"/>
          <w:szCs w:val="18"/>
          <w:color w:val="634140"/>
        </w:rPr>
        <w:t>npctgmsq</w:t>
      </w:r>
      <w:r>
        <w:rPr>
          <w:rFonts w:ascii="PMingLiU" w:cs="PMingLiU" w:eastAsia="PMingLiU" w:hAnsi="PMingLiU"/>
          <w:sz w:val="18"/>
          <w:szCs w:val="18"/>
          <w:color w:val="634140"/>
        </w:rPr>
        <w:t/>
      </w:r>
      <w:r>
        <w:rPr>
          <w:rFonts w:ascii="Arial" w:cs="Arial" w:eastAsia="Arial" w:hAnsi="Arial"/>
          <w:sz w:val="18"/>
          <w:szCs w:val="18"/>
          <w:color w:val="634140"/>
        </w:rPr>
        <w:t>gltcqrkclr</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 xml:space="preserve"> cvn_lb</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`gmpcqmp`_`jc</w:t>
      </w:r>
      <w:r>
        <w:rPr>
          <w:rFonts w:ascii="PMingLiU" w:cs="PMingLiU" w:eastAsia="PMingLiU" w:hAnsi="PMingLiU"/>
          <w:sz w:val="18"/>
          <w:szCs w:val="18"/>
          <w:color w:val="634140"/>
        </w:rPr>
        <w:t/>
      </w:r>
      <w:r>
        <w:rPr>
          <w:rFonts w:ascii="Arial" w:cs="Arial" w:eastAsia="Arial" w:hAnsi="Arial"/>
          <w:sz w:val="18"/>
          <w:szCs w:val="18"/>
          <w:color w:val="634140"/>
        </w:rPr>
        <w:t>nmjwkcpq</w:t>
      </w:r>
      <w:r>
        <w:rPr>
          <w:rFonts w:ascii="PMingLiU" w:cs="PMingLiU" w:eastAsia="PMingLiU" w:hAnsi="PMingLiU"/>
          <w:sz w:val="18"/>
          <w:szCs w:val="18"/>
          <w:color w:val="634140"/>
        </w:rPr>
        <w:t/>
      </w:r>
      <w:r>
        <w:rPr>
          <w:rFonts w:ascii="Arial" w:cs="Arial" w:eastAsia="Arial" w:hAnsi="Arial"/>
          <w:sz w:val="18"/>
          <w:szCs w:val="18"/>
          <w:color w:val="634140"/>
        </w:rPr>
        <w:t xml:space="preserve"> d_agjgrw</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Qsjjgle_p</w:t>
      </w:r>
      <w:r>
        <w:rPr>
          <w:rFonts w:ascii="PMingLiU" w:cs="PMingLiU" w:eastAsia="PMingLiU" w:hAnsi="PMingLiU"/>
          <w:sz w:val="18"/>
          <w:szCs w:val="18"/>
          <w:color w:val="634140"/>
        </w:rPr>
        <w:t/>
      </w:r>
      <w:r>
        <w:rPr>
          <w:rFonts w:ascii="Arial" w:cs="Arial" w:eastAsia="Arial" w:hAnsi="Arial"/>
          <w:sz w:val="18"/>
          <w:szCs w:val="18"/>
          <w:color w:val="634140"/>
        </w:rPr>
        <w:t>Mpcj_lb</w:t>
      </w:r>
      <w:r>
        <w:rPr>
          <w:rFonts w:ascii="PMingLiU" w:cs="PMingLiU" w:eastAsia="PMingLiU" w:hAnsi="PMingLiU"/>
          <w:sz w:val="18"/>
          <w:szCs w:val="18"/>
          <w:color w:val="634140"/>
        </w:rPr>
        <w:t/>
      </w:r>
    </w:p>
    <w:p>
      <w:pPr>
        <w:spacing w:after="0" w:line="1563" w:lineRule="exact"/>
        <w:rPr>
          <w:sz w:val="20"/>
          <w:szCs w:val="20"/>
          <w:color w:val="auto"/>
        </w:rPr>
      </w:pPr>
    </w:p>
    <w:p>
      <w:pPr>
        <w:sectPr>
          <w:pgSz w:w="12240" w:h="15840" w:orient="portrait"/>
          <w:cols w:equalWidth="0" w:num="2">
            <w:col w:w="6300" w:space="620"/>
            <w:col w:w="3120"/>
          </w:cols>
          <w:pgMar w:left="1120" w:top="780" w:right="1080" w:bottom="789" w:gutter="0" w:footer="0" w:header="0"/>
        </w:sectPr>
      </w:pPr>
    </w:p>
    <w:p>
      <w:pPr>
        <w:spacing w:after="0" w:line="78" w:lineRule="exact"/>
        <w:rPr>
          <w:sz w:val="20"/>
          <w:szCs w:val="20"/>
          <w:color w:val="auto"/>
        </w:rPr>
      </w:pPr>
    </w:p>
    <w:p>
      <w:pPr>
        <w:ind w:left="6920"/>
        <w:spacing w:after="0" w:line="134" w:lineRule="exact"/>
        <w:rPr>
          <w:sz w:val="20"/>
          <w:szCs w:val="20"/>
          <w:color w:val="auto"/>
        </w:rPr>
      </w:pPr>
      <w:r>
        <w:rPr>
          <w:rFonts w:ascii="Arial" w:cs="Arial" w:eastAsia="Arial" w:hAnsi="Arial"/>
          <w:sz w:val="11"/>
          <w:szCs w:val="11"/>
          <w:color w:val="634140"/>
        </w:rPr>
        <w:t>η</w:t>
      </w:r>
      <w:r>
        <w:rPr>
          <w:rFonts w:ascii="PMingLiU" w:cs="PMingLiU" w:eastAsia="PMingLiU" w:hAnsi="PMingLiU"/>
          <w:sz w:val="11"/>
          <w:szCs w:val="11"/>
          <w:color w:val="634140"/>
        </w:rPr>
        <w:t/>
      </w:r>
      <w:r>
        <w:rPr>
          <w:rFonts w:ascii="Arial" w:cs="Arial" w:eastAsia="Arial" w:hAnsi="Arial"/>
          <w:sz w:val="11"/>
          <w:szCs w:val="11"/>
          <w:color w:val="634140"/>
        </w:rPr>
        <w:t>b_r_</w:t>
      </w:r>
      <w:r>
        <w:rPr>
          <w:rFonts w:ascii="PMingLiU" w:cs="PMingLiU" w:eastAsia="PMingLiU" w:hAnsi="PMingLiU"/>
          <w:sz w:val="11"/>
          <w:szCs w:val="11"/>
          <w:color w:val="634140"/>
        </w:rPr>
        <w:t/>
      </w:r>
      <w:r>
        <w:rPr>
          <w:rFonts w:ascii="Arial" w:cs="Arial" w:eastAsia="Arial" w:hAnsi="Arial"/>
          <w:sz w:val="11"/>
          <w:szCs w:val="11"/>
          <w:color w:val="634140"/>
        </w:rPr>
        <w:t>dpmk</w:t>
      </w:r>
      <w:r>
        <w:rPr>
          <w:rFonts w:ascii="PMingLiU" w:cs="PMingLiU" w:eastAsia="PMingLiU" w:hAnsi="PMingLiU"/>
          <w:sz w:val="11"/>
          <w:szCs w:val="11"/>
          <w:color w:val="634140"/>
        </w:rPr>
        <w:t/>
      </w:r>
      <w:r>
        <w:rPr>
          <w:rFonts w:ascii="Arial" w:cs="Arial" w:eastAsia="Arial" w:hAnsi="Arial"/>
          <w:sz w:val="11"/>
          <w:szCs w:val="11"/>
          <w:color w:val="634140"/>
        </w:rPr>
        <w:t>MUZME</w:t>
      </w:r>
    </w:p>
    <w:p>
      <w:pPr>
        <w:sectPr>
          <w:pgSz w:w="12240" w:h="15840" w:orient="portrait"/>
          <w:cols w:equalWidth="0" w:num="1">
            <w:col w:w="10040"/>
          </w:cols>
          <w:pgMar w:left="1120" w:top="780" w:right="1080" w:bottom="789"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103" w:lineRule="exact"/>
        <w:rPr>
          <w:sz w:val="20"/>
          <w:szCs w:val="20"/>
          <w:color w:val="auto"/>
        </w:rPr>
      </w:pPr>
      <w:r>
        <w:rPr>
          <w:rFonts w:ascii="Arial" w:cs="Arial" w:eastAsia="Arial" w:hAnsi="Arial"/>
          <w:sz w:val="91"/>
          <w:szCs w:val="91"/>
          <w:color w:val="FFFFFF"/>
        </w:rPr>
        <w:t>ncpqml_j</w:t>
      </w:r>
      <w:r>
        <w:rPr>
          <w:rFonts w:ascii="PMingLiU" w:cs="PMingLiU" w:eastAsia="PMingLiU" w:hAnsi="PMingLiU"/>
          <w:sz w:val="91"/>
          <w:szCs w:val="91"/>
          <w:color w:val="FFFFFF"/>
        </w:rPr>
        <w:t/>
      </w:r>
      <w:r>
        <w:rPr>
          <w:rFonts w:ascii="Arial" w:cs="Arial" w:eastAsia="Arial" w:hAnsi="Arial"/>
          <w:sz w:val="91"/>
          <w:szCs w:val="91"/>
          <w:color w:val="FFFFFF"/>
        </w:rPr>
        <w:t>a_pc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line="352" w:lineRule="exact"/>
        <w:rPr>
          <w:sz w:val="20"/>
          <w:szCs w:val="20"/>
          <w:color w:val="auto"/>
        </w:rPr>
      </w:pPr>
      <w:r>
        <w:rPr>
          <w:rFonts w:ascii="Arial" w:cs="Arial" w:eastAsia="Arial" w:hAnsi="Arial"/>
          <w:sz w:val="24"/>
          <w:szCs w:val="24"/>
          <w:color w:val="FFFFFF"/>
        </w:rPr>
        <w:t>Eqfj_lb</w:t>
      </w:r>
      <w:r>
        <w:rPr>
          <w:rFonts w:ascii="PMingLiU" w:cs="PMingLiU" w:eastAsia="PMingLiU" w:hAnsi="PMingLiU"/>
          <w:sz w:val="24"/>
          <w:szCs w:val="24"/>
          <w:color w:val="FFFFFF"/>
        </w:rPr>
        <w:t/>
      </w:r>
      <w:r>
        <w:rPr>
          <w:rFonts w:ascii="Arial" w:cs="Arial" w:eastAsia="Arial" w:hAnsi="Arial"/>
          <w:sz w:val="24"/>
          <w:szCs w:val="24"/>
          <w:color w:val="FFFFFF"/>
        </w:rPr>
        <w:t>qmjtcpq</w:t>
      </w:r>
      <w:r>
        <w:rPr>
          <w:rFonts w:ascii="PMingLiU" w:cs="PMingLiU" w:eastAsia="PMingLiU" w:hAnsi="PMingLiU"/>
          <w:sz w:val="24"/>
          <w:szCs w:val="24"/>
          <w:color w:val="FFFFFF"/>
        </w:rPr>
        <w:t/>
      </w:r>
      <w:r>
        <w:rPr>
          <w:rFonts w:ascii="Arial" w:cs="Arial" w:eastAsia="Arial" w:hAnsi="Arial"/>
          <w:sz w:val="24"/>
          <w:szCs w:val="24"/>
          <w:color w:val="FFFFFF"/>
        </w:rPr>
        <w:t>ilmu</w:t>
      </w:r>
      <w:r>
        <w:rPr>
          <w:rFonts w:ascii="PMingLiU" w:cs="PMingLiU" w:eastAsia="PMingLiU" w:hAnsi="PMingLiU"/>
          <w:sz w:val="24"/>
          <w:szCs w:val="24"/>
          <w:color w:val="FFFFFF"/>
        </w:rPr>
        <w:t/>
      </w:r>
      <w:r>
        <w:rPr>
          <w:rFonts w:ascii="Arial" w:cs="Arial" w:eastAsia="Arial" w:hAnsi="Arial"/>
          <w:sz w:val="24"/>
          <w:szCs w:val="24"/>
          <w:color w:val="FFFFFF"/>
        </w:rPr>
        <w:t>qsaacqq</w:t>
      </w:r>
      <w:r>
        <w:rPr>
          <w:rFonts w:ascii="PMingLiU" w:cs="PMingLiU" w:eastAsia="PMingLiU" w:hAnsi="PMingLiU"/>
          <w:sz w:val="24"/>
          <w:szCs w:val="24"/>
          <w:color w:val="FFFFFF"/>
        </w:rPr>
        <w:t/>
      </w:r>
      <w:r>
        <w:rPr>
          <w:rFonts w:ascii="Arial" w:cs="Arial" w:eastAsia="Arial" w:hAnsi="Arial"/>
          <w:sz w:val="24"/>
          <w:szCs w:val="24"/>
          <w:color w:val="FFFFFF"/>
        </w:rPr>
        <w:t>gl</w:t>
      </w:r>
      <w:r>
        <w:rPr>
          <w:rFonts w:ascii="PMingLiU" w:cs="PMingLiU" w:eastAsia="PMingLiU" w:hAnsi="PMingLiU"/>
          <w:sz w:val="24"/>
          <w:szCs w:val="24"/>
          <w:color w:val="FFFFFF"/>
        </w:rPr>
        <w:t/>
      </w:r>
      <w:r>
        <w:rPr>
          <w:rFonts w:ascii="Arial" w:cs="Arial" w:eastAsia="Arial" w:hAnsi="Arial"/>
          <w:sz w:val="24"/>
          <w:szCs w:val="24"/>
          <w:color w:val="FFFFFF"/>
        </w:rPr>
        <w:t>amknjcv</w:t>
      </w:r>
      <w:r>
        <w:rPr>
          <w:rFonts w:ascii="PMingLiU" w:cs="PMingLiU" w:eastAsia="PMingLiU" w:hAnsi="PMingLiU"/>
          <w:sz w:val="24"/>
          <w:szCs w:val="24"/>
          <w:color w:val="FFFFFF"/>
        </w:rPr>
        <w:t/>
      </w:r>
      <w:r>
        <w:rPr>
          <w:rFonts w:ascii="Arial" w:cs="Arial" w:eastAsia="Arial" w:hAnsi="Arial"/>
          <w:sz w:val="24"/>
          <w:szCs w:val="24"/>
          <w:color w:val="FFFFFF"/>
        </w:rPr>
        <w:t>j_lbqa_ncq</w:t>
      </w:r>
      <w:r>
        <w:rPr>
          <w:rFonts w:ascii="PMingLiU" w:cs="PMingLiU" w:eastAsia="PMingLiU" w:hAnsi="PMingLiU"/>
          <w:sz w:val="24"/>
          <w:szCs w:val="24"/>
          <w:color w:val="FFFFFF"/>
        </w:rPr>
        <w:t/>
      </w:r>
      <w:r>
        <w:rPr>
          <w:rFonts w:ascii="Arial" w:cs="Arial" w:eastAsia="Arial" w:hAnsi="Arial"/>
          <w:sz w:val="24"/>
          <w:szCs w:val="24"/>
          <w:color w:val="FFFFFF"/>
        </w:rPr>
        <w:t>pcosgpcq</w:t>
      </w:r>
      <w:r>
        <w:rPr>
          <w:rFonts w:ascii="PMingLiU" w:cs="PMingLiU" w:eastAsia="PMingLiU" w:hAnsi="PMingLiU"/>
          <w:sz w:val="24"/>
          <w:szCs w:val="24"/>
          <w:color w:val="FFFFFF"/>
        </w:rPr>
        <w:t/>
      </w:r>
      <w:r>
        <w:rPr>
          <w:rFonts w:ascii="Arial" w:cs="Arial" w:eastAsia="Arial" w:hAnsi="Arial"/>
          <w:sz w:val="24"/>
          <w:szCs w:val="24"/>
          <w:color w:val="FFFFFF"/>
        </w:rPr>
        <w:t>pcegml_j</w:t>
      </w:r>
      <w:r>
        <w:rPr>
          <w:rFonts w:ascii="PMingLiU" w:cs="PMingLiU" w:eastAsia="PMingLiU" w:hAnsi="PMingLiU"/>
          <w:sz w:val="24"/>
          <w:szCs w:val="24"/>
          <w:color w:val="FFFFFF"/>
        </w:rPr>
        <w:t/>
      </w:r>
      <w:r>
        <w:rPr>
          <w:rFonts w:ascii="Arial" w:cs="Arial" w:eastAsia="Arial" w:hAnsi="Arial"/>
          <w:sz w:val="24"/>
          <w:szCs w:val="24"/>
          <w:color w:val="FFFFFF"/>
        </w:rPr>
        <w:t>_egjgrw</w:t>
      </w:r>
      <w:r>
        <w:rPr>
          <w:rFonts w:ascii="PMingLiU" w:cs="PMingLiU" w:eastAsia="PMingLiU" w:hAnsi="PMingLiU"/>
          <w:sz w:val="24"/>
          <w:szCs w:val="24"/>
          <w:color w:val="FFFFFF"/>
        </w:rPr>
        <w:t/>
      </w:r>
      <w:r>
        <w:rPr>
          <w:rFonts w:ascii="Arial" w:cs="Arial" w:eastAsia="Arial" w:hAnsi="Arial"/>
          <w:sz w:val="24"/>
          <w:szCs w:val="24"/>
          <w:color w:val="FFFFFF"/>
        </w:rPr>
        <w:t>Ml</w:t>
      </w:r>
      <w:r>
        <w:rPr>
          <w:rFonts w:ascii="PMingLiU" w:cs="PMingLiU" w:eastAsia="PMingLiU" w:hAnsi="PMingLiU"/>
          <w:sz w:val="24"/>
          <w:szCs w:val="24"/>
          <w:color w:val="FFFFFF"/>
        </w:rPr>
        <w:t/>
      </w:r>
      <w:r>
        <w:rPr>
          <w:rFonts w:ascii="Arial" w:cs="Arial" w:eastAsia="Arial" w:hAnsi="Arial"/>
          <w:sz w:val="24"/>
          <w:szCs w:val="24"/>
          <w:color w:val="FFFFFF"/>
        </w:rPr>
        <w:t>Tcpqml_j</w:t>
      </w:r>
      <w:r>
        <w:rPr>
          <w:rFonts w:ascii="PMingLiU" w:cs="PMingLiU" w:eastAsia="PMingLiU" w:hAnsi="PMingLiU"/>
          <w:sz w:val="24"/>
          <w:szCs w:val="24"/>
          <w:color w:val="FFFFFF"/>
        </w:rPr>
        <w:t/>
      </w:r>
      <w:r>
        <w:rPr>
          <w:rFonts w:ascii="Arial" w:cs="Arial" w:eastAsia="Arial" w:hAnsi="Arial"/>
          <w:sz w:val="24"/>
          <w:szCs w:val="24"/>
          <w:color w:val="FFFFFF"/>
        </w:rPr>
        <w:t xml:space="preserve"> G_pc</w:t>
      </w:r>
      <w:r>
        <w:rPr>
          <w:rFonts w:ascii="PMingLiU" w:cs="PMingLiU" w:eastAsia="PMingLiU" w:hAnsi="PMingLiU"/>
          <w:sz w:val="24"/>
          <w:szCs w:val="24"/>
          <w:color w:val="FFFFFF"/>
        </w:rPr>
        <w:t/>
      </w:r>
      <w:r>
        <w:rPr>
          <w:rFonts w:ascii="Arial" w:cs="Arial" w:eastAsia="Arial" w:hAnsi="Arial"/>
          <w:sz w:val="24"/>
          <w:szCs w:val="24"/>
          <w:color w:val="FFFFFF"/>
        </w:rPr>
        <w:t>msp</w:t>
      </w:r>
      <w:r>
        <w:rPr>
          <w:rFonts w:ascii="PMingLiU" w:cs="PMingLiU" w:eastAsia="PMingLiU" w:hAnsi="PMingLiU"/>
          <w:sz w:val="24"/>
          <w:szCs w:val="24"/>
          <w:color w:val="FFFFFF"/>
        </w:rPr>
        <w:t/>
      </w:r>
      <w:r>
        <w:rPr>
          <w:rFonts w:ascii="Arial" w:cs="Arial" w:eastAsia="Arial" w:hAnsi="Arial"/>
          <w:sz w:val="24"/>
          <w:szCs w:val="24"/>
          <w:color w:val="FFFFFF"/>
        </w:rPr>
        <w:t>jma_jgxcb</w:t>
      </w:r>
      <w:r>
        <w:rPr>
          <w:rFonts w:ascii="PMingLiU" w:cs="PMingLiU" w:eastAsia="PMingLiU" w:hAnsi="PMingLiU"/>
          <w:sz w:val="24"/>
          <w:szCs w:val="24"/>
          <w:color w:val="FFFFFF"/>
        </w:rPr>
        <w:t/>
      </w:r>
      <w:r>
        <w:rPr>
          <w:rFonts w:ascii="Arial" w:cs="Arial" w:eastAsia="Arial" w:hAnsi="Arial"/>
          <w:sz w:val="24"/>
          <w:szCs w:val="24"/>
          <w:color w:val="FFFFFF"/>
        </w:rPr>
        <w:t>_nnpm_af</w:t>
      </w:r>
      <w:r>
        <w:rPr>
          <w:rFonts w:ascii="PMingLiU" w:cs="PMingLiU" w:eastAsia="PMingLiU" w:hAnsi="PMingLiU"/>
          <w:sz w:val="24"/>
          <w:szCs w:val="24"/>
          <w:color w:val="FFFFFF"/>
        </w:rPr>
        <w:t/>
      </w:r>
      <w:r>
        <w:rPr>
          <w:rFonts w:ascii="Arial" w:cs="Arial" w:eastAsia="Arial" w:hAnsi="Arial"/>
          <w:sz w:val="24"/>
          <w:szCs w:val="24"/>
          <w:color w:val="FFFFFF"/>
        </w:rPr>
        <w:t>rm</w:t>
      </w:r>
      <w:r>
        <w:rPr>
          <w:rFonts w:ascii="PMingLiU" w:cs="PMingLiU" w:eastAsia="PMingLiU" w:hAnsi="PMingLiU"/>
          <w:sz w:val="24"/>
          <w:szCs w:val="24"/>
          <w:color w:val="FFFFFF"/>
        </w:rPr>
        <w:t/>
      </w:r>
      <w:r>
        <w:rPr>
          <w:rFonts w:ascii="Arial" w:cs="Arial" w:eastAsia="Arial" w:hAnsi="Arial"/>
          <w:sz w:val="24"/>
          <w:szCs w:val="24"/>
          <w:color w:val="FFFFFF"/>
        </w:rPr>
        <w:t>gllmt_rgml</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npmbsar</w:t>
      </w:r>
      <w:r>
        <w:rPr>
          <w:rFonts w:ascii="PMingLiU" w:cs="PMingLiU" w:eastAsia="PMingLiU" w:hAnsi="PMingLiU"/>
          <w:sz w:val="24"/>
          <w:szCs w:val="24"/>
          <w:color w:val="FFFFFF"/>
        </w:rPr>
        <w:t/>
      </w:r>
      <w:r>
        <w:rPr>
          <w:rFonts w:ascii="Arial" w:cs="Arial" w:eastAsia="Arial" w:hAnsi="Arial"/>
          <w:sz w:val="24"/>
          <w:szCs w:val="24"/>
          <w:color w:val="FFFFFF"/>
        </w:rPr>
        <w:t>bctcjmnkclr</w:t>
      </w:r>
      <w:r>
        <w:rPr>
          <w:rFonts w:ascii="PMingLiU" w:cs="PMingLiU" w:eastAsia="PMingLiU" w:hAnsi="PMingLiU"/>
          <w:sz w:val="24"/>
          <w:szCs w:val="24"/>
          <w:color w:val="FFFFFF"/>
        </w:rPr>
        <w:t/>
      </w:r>
      <w:r>
        <w:rPr>
          <w:rFonts w:ascii="Arial" w:cs="Arial" w:eastAsia="Arial" w:hAnsi="Arial"/>
          <w:sz w:val="24"/>
          <w:szCs w:val="24"/>
          <w:color w:val="FFFFFF"/>
        </w:rPr>
        <w:t>clqspcq</w:t>
      </w:r>
      <w:r>
        <w:rPr>
          <w:rFonts w:ascii="PMingLiU" w:cs="PMingLiU" w:eastAsia="PMingLiU" w:hAnsi="PMingLiU"/>
          <w:sz w:val="24"/>
          <w:szCs w:val="24"/>
          <w:color w:val="FFFFFF"/>
        </w:rPr>
        <w:t/>
      </w:r>
      <w:r>
        <w:rPr>
          <w:rFonts w:ascii="Arial" w:cs="Arial" w:eastAsia="Arial" w:hAnsi="Arial"/>
          <w:sz w:val="24"/>
          <w:szCs w:val="24"/>
          <w:color w:val="FFFFFF"/>
        </w:rPr>
        <w:t>msp</w:t>
      </w:r>
      <w:r>
        <w:rPr>
          <w:rFonts w:ascii="PMingLiU" w:cs="PMingLiU" w:eastAsia="PMingLiU" w:hAnsi="PMingLiU"/>
          <w:sz w:val="24"/>
          <w:szCs w:val="24"/>
          <w:color w:val="FFFFFF"/>
        </w:rPr>
        <w:t/>
      </w:r>
      <w:r>
        <w:rPr>
          <w:rFonts w:ascii="Arial" w:cs="Arial" w:eastAsia="Arial" w:hAnsi="Arial"/>
          <w:sz w:val="24"/>
          <w:szCs w:val="24"/>
          <w:color w:val="FFFFFF"/>
        </w:rPr>
        <w:t xml:space="preserve"> qmjsrgmlq</w:t>
      </w:r>
      <w:r>
        <w:rPr>
          <w:rFonts w:ascii="PMingLiU" w:cs="PMingLiU" w:eastAsia="PMingLiU" w:hAnsi="PMingLiU"/>
          <w:sz w:val="24"/>
          <w:szCs w:val="24"/>
          <w:color w:val="FFFFFF"/>
        </w:rPr>
        <w:t/>
      </w:r>
      <w:r>
        <w:rPr>
          <w:rFonts w:ascii="Arial" w:cs="Arial" w:eastAsia="Arial" w:hAnsi="Arial"/>
          <w:sz w:val="24"/>
          <w:szCs w:val="24"/>
          <w:color w:val="FFFFFF"/>
        </w:rPr>
        <w:t>_pc</w:t>
      </w:r>
      <w:r>
        <w:rPr>
          <w:rFonts w:ascii="PMingLiU" w:cs="PMingLiU" w:eastAsia="PMingLiU" w:hAnsi="PMingLiU"/>
          <w:sz w:val="24"/>
          <w:szCs w:val="24"/>
          <w:color w:val="FFFFFF"/>
        </w:rPr>
        <w:t/>
      </w:r>
      <w:r>
        <w:rPr>
          <w:rFonts w:ascii="Arial" w:cs="Arial" w:eastAsia="Arial" w:hAnsi="Arial"/>
          <w:sz w:val="24"/>
          <w:szCs w:val="24"/>
          <w:color w:val="FFFFFF"/>
        </w:rPr>
        <w:t>_b_nrcb</w:t>
      </w:r>
      <w:r>
        <w:rPr>
          <w:rFonts w:ascii="PMingLiU" w:cs="PMingLiU" w:eastAsia="PMingLiU" w:hAnsi="PMingLiU"/>
          <w:sz w:val="24"/>
          <w:szCs w:val="24"/>
          <w:color w:val="FFFFFF"/>
        </w:rPr>
        <w:t/>
      </w:r>
      <w:r>
        <w:rPr>
          <w:rFonts w:ascii="Arial" w:cs="Arial" w:eastAsia="Arial" w:hAnsi="Arial"/>
          <w:sz w:val="24"/>
          <w:szCs w:val="24"/>
          <w:color w:val="FFFFFF"/>
        </w:rPr>
        <w:t>rm</w:t>
      </w:r>
      <w:r>
        <w:rPr>
          <w:rFonts w:ascii="PMingLiU" w:cs="PMingLiU" w:eastAsia="PMingLiU" w:hAnsi="PMingLiU"/>
          <w:sz w:val="24"/>
          <w:szCs w:val="24"/>
          <w:color w:val="FFFFFF"/>
        </w:rPr>
        <w:t/>
      </w:r>
      <w:r>
        <w:rPr>
          <w:rFonts w:ascii="Arial" w:cs="Arial" w:eastAsia="Arial" w:hAnsi="Arial"/>
          <w:sz w:val="24"/>
          <w:szCs w:val="24"/>
          <w:color w:val="FFFFFF"/>
        </w:rPr>
        <w:t>kccr</w:t>
      </w:r>
      <w:r>
        <w:rPr>
          <w:rFonts w:ascii="PMingLiU" w:cs="PMingLiU" w:eastAsia="PMingLiU" w:hAnsi="PMingLiU"/>
          <w:sz w:val="24"/>
          <w:szCs w:val="24"/>
          <w:color w:val="FFFFFF"/>
        </w:rPr>
        <w:t/>
      </w:r>
      <w:r>
        <w:rPr>
          <w:rFonts w:ascii="Arial" w:cs="Arial" w:eastAsia="Arial" w:hAnsi="Arial"/>
          <w:sz w:val="24"/>
          <w:szCs w:val="24"/>
          <w:color w:val="FFFFFF"/>
        </w:rPr>
        <w:t>rfc</w:t>
      </w:r>
      <w:r>
        <w:rPr>
          <w:rFonts w:ascii="PMingLiU" w:cs="PMingLiU" w:eastAsia="PMingLiU" w:hAnsi="PMingLiU"/>
          <w:sz w:val="24"/>
          <w:szCs w:val="24"/>
          <w:color w:val="FFFFFF"/>
        </w:rPr>
        <w:t/>
      </w:r>
      <w:r>
        <w:rPr>
          <w:rFonts w:ascii="Arial" w:cs="Arial" w:eastAsia="Arial" w:hAnsi="Arial"/>
          <w:sz w:val="24"/>
          <w:szCs w:val="24"/>
          <w:color w:val="FFFFFF"/>
        </w:rPr>
        <w:t>qncagfia</w:t>
      </w:r>
      <w:r>
        <w:rPr>
          <w:rFonts w:ascii="PMingLiU" w:cs="PMingLiU" w:eastAsia="PMingLiU" w:hAnsi="PMingLiU"/>
          <w:sz w:val="24"/>
          <w:szCs w:val="24"/>
          <w:color w:val="FFFFFF"/>
        </w:rPr>
        <w:t/>
      </w:r>
      <w:r>
        <w:rPr>
          <w:rFonts w:ascii="Arial" w:cs="Arial" w:eastAsia="Arial" w:hAnsi="Arial"/>
          <w:sz w:val="24"/>
          <w:szCs w:val="24"/>
          <w:color w:val="FFFFFF"/>
        </w:rPr>
        <w:t>lccbq</w:t>
      </w:r>
      <w:r>
        <w:rPr>
          <w:rFonts w:ascii="PMingLiU" w:cs="PMingLiU" w:eastAsia="PMingLiU" w:hAnsi="PMingLiU"/>
          <w:sz w:val="24"/>
          <w:szCs w:val="24"/>
          <w:color w:val="FFFFFF"/>
        </w:rPr>
        <w:t/>
      </w:r>
      <w:r>
        <w:rPr>
          <w:rFonts w:ascii="Arial" w:cs="Arial" w:eastAsia="Arial" w:hAnsi="Arial"/>
          <w:sz w:val="24"/>
          <w:szCs w:val="24"/>
          <w:color w:val="FFFFFF"/>
        </w:rPr>
        <w:t>md</w:t>
      </w:r>
      <w:r>
        <w:rPr>
          <w:rFonts w:ascii="PMingLiU" w:cs="PMingLiU" w:eastAsia="PMingLiU" w:hAnsi="PMingLiU"/>
          <w:sz w:val="24"/>
          <w:szCs w:val="24"/>
          <w:color w:val="FFFFFF"/>
        </w:rPr>
        <w:t/>
      </w:r>
      <w:r>
        <w:rPr>
          <w:rFonts w:ascii="Arial" w:cs="Arial" w:eastAsia="Arial" w:hAnsi="Arial"/>
          <w:sz w:val="24"/>
          <w:szCs w:val="24"/>
          <w:color w:val="FFFFFF"/>
        </w:rPr>
        <w:t>c_af</w:t>
      </w:r>
      <w:r>
        <w:rPr>
          <w:rFonts w:ascii="PMingLiU" w:cs="PMingLiU" w:eastAsia="PMingLiU" w:hAnsi="PMingLiU"/>
          <w:sz w:val="24"/>
          <w:szCs w:val="24"/>
          <w:color w:val="FFFFFF"/>
        </w:rPr>
        <w:t/>
      </w:r>
      <w:r>
        <w:rPr>
          <w:rFonts w:ascii="Arial" w:cs="Arial" w:eastAsia="Arial" w:hAnsi="Arial"/>
          <w:sz w:val="24"/>
          <w:szCs w:val="24"/>
          <w:color w:val="FFFFFF"/>
        </w:rPr>
        <w:t>k_picr</w:t>
      </w:r>
      <w:r>
        <w:rPr>
          <w:rFonts w:ascii="PMingLiU" w:cs="PMingLiU" w:eastAsia="PMingLiU" w:hAnsi="PMingLiU"/>
          <w:sz w:val="24"/>
          <w:szCs w:val="24"/>
          <w:color w:val="FFFFFF"/>
        </w:rPr>
        <w:t/>
      </w:r>
      <w:r>
        <w:rPr>
          <w:rFonts w:ascii="Arial" w:cs="Arial" w:eastAsia="Arial" w:hAnsi="Arial"/>
          <w:sz w:val="24"/>
          <w:szCs w:val="24"/>
          <w:color w:val="FFFFFF"/>
        </w:rPr>
        <w:t>Xfgq</w:t>
      </w:r>
      <w:r>
        <w:rPr>
          <w:rFonts w:ascii="PMingLiU" w:cs="PMingLiU" w:eastAsia="PMingLiU" w:hAnsi="PMingLiU"/>
          <w:sz w:val="24"/>
          <w:szCs w:val="24"/>
          <w:color w:val="FFFFFF"/>
        </w:rPr>
        <w:t/>
      </w:r>
      <w:r>
        <w:rPr>
          <w:rFonts w:ascii="Arial" w:cs="Arial" w:eastAsia="Arial" w:hAnsi="Arial"/>
          <w:sz w:val="24"/>
          <w:szCs w:val="24"/>
          <w:color w:val="FFFFFF"/>
        </w:rPr>
        <w:t>cl_`jcq</w:t>
      </w:r>
      <w:r>
        <w:rPr>
          <w:rFonts w:ascii="PMingLiU" w:cs="PMingLiU" w:eastAsia="PMingLiU" w:hAnsi="PMingLiU"/>
          <w:sz w:val="24"/>
          <w:szCs w:val="24"/>
          <w:color w:val="FFFFFF"/>
        </w:rPr>
        <w:t/>
      </w:r>
      <w:r>
        <w:rPr>
          <w:rFonts w:ascii="Arial" w:cs="Arial" w:eastAsia="Arial" w:hAnsi="Arial"/>
          <w:sz w:val="24"/>
          <w:szCs w:val="24"/>
          <w:color w:val="FFFFFF"/>
        </w:rPr>
        <w:t>sq</w:t>
      </w:r>
      <w:r>
        <w:rPr>
          <w:rFonts w:ascii="PMingLiU" w:cs="PMingLiU" w:eastAsia="PMingLiU" w:hAnsi="PMingLiU"/>
          <w:sz w:val="24"/>
          <w:szCs w:val="24"/>
          <w:color w:val="FFFFFF"/>
        </w:rPr>
        <w:t/>
      </w:r>
      <w:r>
        <w:rPr>
          <w:rFonts w:ascii="Arial" w:cs="Arial" w:eastAsia="Arial" w:hAnsi="Arial"/>
          <w:sz w:val="24"/>
          <w:szCs w:val="24"/>
          <w:color w:val="FFFFFF"/>
        </w:rPr>
        <w:t>rm</w:t>
      </w:r>
      <w:r>
        <w:rPr>
          <w:rFonts w:ascii="PMingLiU" w:cs="PMingLiU" w:eastAsia="PMingLiU" w:hAnsi="PMingLiU"/>
          <w:sz w:val="24"/>
          <w:szCs w:val="24"/>
          <w:color w:val="FFFFFF"/>
        </w:rPr>
        <w:t/>
      </w:r>
      <w:r>
        <w:rPr>
          <w:rFonts w:ascii="Arial" w:cs="Arial" w:eastAsia="Arial" w:hAnsi="Arial"/>
          <w:sz w:val="24"/>
          <w:szCs w:val="24"/>
          <w:color w:val="FFFFFF"/>
        </w:rPr>
        <w:t xml:space="preserve"> pcqnmlb</w:t>
      </w:r>
      <w:r>
        <w:rPr>
          <w:rFonts w:ascii="PMingLiU" w:cs="PMingLiU" w:eastAsia="PMingLiU" w:hAnsi="PMingLiU"/>
          <w:sz w:val="24"/>
          <w:szCs w:val="24"/>
          <w:color w:val="FFFFFF"/>
        </w:rPr>
        <w:t/>
      </w:r>
      <w:r>
        <w:rPr>
          <w:rFonts w:ascii="Arial" w:cs="Arial" w:eastAsia="Arial" w:hAnsi="Arial"/>
          <w:sz w:val="24"/>
          <w:szCs w:val="24"/>
          <w:color w:val="FFFFFF"/>
        </w:rPr>
        <w:t>kmpc</w:t>
      </w:r>
      <w:r>
        <w:rPr>
          <w:rFonts w:ascii="PMingLiU" w:cs="PMingLiU" w:eastAsia="PMingLiU" w:hAnsi="PMingLiU"/>
          <w:sz w:val="24"/>
          <w:szCs w:val="24"/>
          <w:color w:val="FFFFFF"/>
        </w:rPr>
        <w:t/>
      </w:r>
      <w:r>
        <w:rPr>
          <w:rFonts w:ascii="Arial" w:cs="Arial" w:eastAsia="Arial" w:hAnsi="Arial"/>
          <w:sz w:val="24"/>
          <w:szCs w:val="24"/>
          <w:color w:val="FFFFFF"/>
        </w:rPr>
        <w:t>osgaijw</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cffcargtcjw</w:t>
      </w:r>
      <w:r>
        <w:rPr>
          <w:rFonts w:ascii="PMingLiU" w:cs="PMingLiU" w:eastAsia="PMingLiU" w:hAnsi="PMingLiU"/>
          <w:sz w:val="24"/>
          <w:szCs w:val="24"/>
          <w:color w:val="FFFFFF"/>
        </w:rPr>
        <w:t/>
      </w:r>
      <w:r>
        <w:rPr>
          <w:rFonts w:ascii="Arial" w:cs="Arial" w:eastAsia="Arial" w:hAnsi="Arial"/>
          <w:sz w:val="24"/>
          <w:szCs w:val="24"/>
          <w:color w:val="FFFFFF"/>
        </w:rPr>
        <w:t>fcjngle</w:t>
      </w:r>
      <w:r>
        <w:rPr>
          <w:rFonts w:ascii="PMingLiU" w:cs="PMingLiU" w:eastAsia="PMingLiU" w:hAnsi="PMingLiU"/>
          <w:sz w:val="24"/>
          <w:szCs w:val="24"/>
          <w:color w:val="FFFFFF"/>
        </w:rPr>
        <w:t/>
      </w:r>
      <w:r>
        <w:rPr>
          <w:rFonts w:ascii="Arial" w:cs="Arial" w:eastAsia="Arial" w:hAnsi="Arial"/>
          <w:sz w:val="24"/>
          <w:szCs w:val="24"/>
          <w:color w:val="FFFFFF"/>
        </w:rPr>
        <w:t>dmpksj_rmpq</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k_picrcpq</w:t>
      </w:r>
      <w:r>
        <w:rPr>
          <w:rFonts w:ascii="PMingLiU" w:cs="PMingLiU" w:eastAsia="PMingLiU" w:hAnsi="PMingLiU"/>
          <w:sz w:val="24"/>
          <w:szCs w:val="24"/>
          <w:color w:val="FFFFFF"/>
        </w:rPr>
        <w:t/>
      </w:r>
      <w:r>
        <w:rPr>
          <w:rFonts w:ascii="Arial" w:cs="Arial" w:eastAsia="Arial" w:hAnsi="Arial"/>
          <w:sz w:val="24"/>
          <w:szCs w:val="24"/>
          <w:color w:val="FFFFFF"/>
        </w:rPr>
        <w:t>gllmt_rc</w:t>
      </w:r>
      <w:r>
        <w:rPr>
          <w:rFonts w:ascii="PMingLiU" w:cs="PMingLiU" w:eastAsia="PMingLiU" w:hAnsi="PMingLiU"/>
          <w:sz w:val="24"/>
          <w:szCs w:val="24"/>
          <w:color w:val="FFFFFF"/>
        </w:rPr>
        <w:t/>
      </w:r>
      <w:r>
        <w:rPr>
          <w:rFonts w:ascii="Arial" w:cs="Arial" w:eastAsia="Arial" w:hAnsi="Arial"/>
          <w:sz w:val="24"/>
          <w:szCs w:val="24"/>
          <w:color w:val="FFFFFF"/>
        </w:rPr>
        <w:t>ufgjc</w:t>
      </w:r>
      <w:r>
        <w:rPr>
          <w:rFonts w:ascii="PMingLiU" w:cs="PMingLiU" w:eastAsia="PMingLiU" w:hAnsi="PMingLiU"/>
          <w:sz w:val="24"/>
          <w:szCs w:val="24"/>
          <w:color w:val="FFFFFF"/>
        </w:rPr>
        <w:t/>
      </w:r>
      <w:r>
        <w:rPr>
          <w:rFonts w:ascii="Arial" w:cs="Arial" w:eastAsia="Arial" w:hAnsi="Arial"/>
          <w:sz w:val="24"/>
          <w:szCs w:val="24"/>
          <w:color w:val="FFFFFF"/>
        </w:rPr>
        <w:t xml:space="preserve"> pcgk_eglgle</w:t>
      </w:r>
      <w:r>
        <w:rPr>
          <w:rFonts w:ascii="PMingLiU" w:cs="PMingLiU" w:eastAsia="PMingLiU" w:hAnsi="PMingLiU"/>
          <w:sz w:val="24"/>
          <w:szCs w:val="24"/>
          <w:color w:val="FFFFFF"/>
        </w:rPr>
        <w:t/>
      </w:r>
      <w:r>
        <w:rPr>
          <w:rFonts w:ascii="Arial" w:cs="Arial" w:eastAsia="Arial" w:hAnsi="Arial"/>
          <w:sz w:val="24"/>
          <w:szCs w:val="24"/>
          <w:color w:val="FFFFFF"/>
        </w:rPr>
        <w:t>`c_srw</w:t>
      </w:r>
      <w:r>
        <w:rPr>
          <w:rFonts w:ascii="PMingLiU" w:cs="PMingLiU" w:eastAsia="PMingLiU" w:hAnsi="PMingLiU"/>
          <w:sz w:val="24"/>
          <w:szCs w:val="24"/>
          <w:color w:val="FFFFFF"/>
        </w:rPr>
        <w:t/>
      </w:r>
      <w:r>
        <w:rPr>
          <w:rFonts w:ascii="Arial" w:cs="Arial" w:eastAsia="Arial" w:hAnsi="Arial"/>
          <w:sz w:val="24"/>
          <w:szCs w:val="24"/>
          <w:color w:val="FFFFFF"/>
        </w:rPr>
        <w:t>dmp</w:t>
      </w:r>
      <w:r>
        <w:rPr>
          <w:rFonts w:ascii="PMingLiU" w:cs="PMingLiU" w:eastAsia="PMingLiU" w:hAnsi="PMingLiU"/>
          <w:sz w:val="24"/>
          <w:szCs w:val="24"/>
          <w:color w:val="FFFFFF"/>
        </w:rPr>
        <w:t/>
      </w:r>
      <w:r>
        <w:rPr>
          <w:rFonts w:ascii="Arial" w:cs="Arial" w:eastAsia="Arial" w:hAnsi="Arial"/>
          <w:sz w:val="24"/>
          <w:szCs w:val="24"/>
          <w:color w:val="FFFFFF"/>
        </w:rPr>
        <w:t>ctcpw</w:t>
      </w:r>
      <w:r>
        <w:rPr>
          <w:rFonts w:ascii="PMingLiU" w:cs="PMingLiU" w:eastAsia="PMingLiU" w:hAnsi="PMingLiU"/>
          <w:sz w:val="24"/>
          <w:szCs w:val="24"/>
          <w:color w:val="FFFFFF"/>
        </w:rPr>
        <w:t/>
      </w:r>
      <w:r>
        <w:rPr>
          <w:rFonts w:ascii="Arial" w:cs="Arial" w:eastAsia="Arial" w:hAnsi="Arial"/>
          <w:sz w:val="24"/>
          <w:szCs w:val="24"/>
          <w:color w:val="FFFFFF"/>
        </w:rPr>
        <w:t>amslrpw</w:t>
      </w:r>
      <w:r>
        <w:rPr>
          <w:rFonts w:ascii="PMingLiU" w:cs="PMingLiU" w:eastAsia="PMingLiU" w:hAnsi="PMingLiU"/>
          <w:sz w:val="24"/>
          <w:szCs w:val="24"/>
          <w:color w:val="FFFFFF"/>
        </w:rPr>
        <w:t/>
      </w:r>
      <w:r>
        <w:rPr>
          <w:rFonts w:ascii="Arial" w:cs="Arial" w:eastAsia="Arial" w:hAnsi="Arial"/>
          <w:sz w:val="24"/>
          <w:szCs w:val="24"/>
          <w:color w:val="FFFFFF"/>
        </w:rPr>
        <w:t>asjrspc</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amlqskcp</w:t>
      </w:r>
      <w:r>
        <w:rPr>
          <w:rFonts w:ascii="PMingLiU" w:cs="PMingLiU" w:eastAsia="PMingLiU" w:hAnsi="PMingLiU"/>
          <w:sz w:val="24"/>
          <w:szCs w:val="24"/>
          <w:color w:val="FFFFFF"/>
        </w:rPr>
        <w:t/>
      </w:r>
      <w:r>
        <w:rPr>
          <w:rFonts w:ascii="Arial" w:cs="Arial" w:eastAsia="Arial" w:hAnsi="Arial"/>
          <w:sz w:val="24"/>
          <w:szCs w:val="24"/>
          <w:color w:val="FFFFFF"/>
        </w:rPr>
        <w:t>pcesj_rmpw</w:t>
      </w:r>
      <w:r>
        <w:rPr>
          <w:rFonts w:ascii="PMingLiU" w:cs="PMingLiU" w:eastAsia="PMingLiU" w:hAnsi="PMingLiU"/>
          <w:sz w:val="24"/>
          <w:szCs w:val="24"/>
          <w:color w:val="FFFFFF"/>
        </w:rPr>
        <w:t/>
      </w:r>
      <w:r>
        <w:rPr>
          <w:rFonts w:ascii="Arial" w:cs="Arial" w:eastAsia="Arial" w:hAnsi="Arial"/>
          <w:sz w:val="24"/>
          <w:szCs w:val="24"/>
          <w:color w:val="FFFFFF"/>
        </w:rPr>
        <w:t>af_lec</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 xml:space="preserve"> ckcpegle</w:t>
      </w:r>
      <w:r>
        <w:rPr>
          <w:rFonts w:ascii="PMingLiU" w:cs="PMingLiU" w:eastAsia="PMingLiU" w:hAnsi="PMingLiU"/>
          <w:sz w:val="24"/>
          <w:szCs w:val="24"/>
          <w:color w:val="FFFFFF"/>
        </w:rPr>
        <w:t/>
      </w:r>
      <w:r>
        <w:rPr>
          <w:rFonts w:ascii="Arial" w:cs="Arial" w:eastAsia="Arial" w:hAnsi="Arial"/>
          <w:sz w:val="24"/>
          <w:szCs w:val="24"/>
          <w:color w:val="FFFFFF"/>
        </w:rPr>
        <w:t>rpclb</w:t>
      </w:r>
      <w:r>
        <w:rPr>
          <w:rFonts w:ascii="PMingLiU" w:cs="PMingLiU" w:eastAsia="PMingLiU" w:hAnsi="PMingLiU"/>
          <w:sz w:val="24"/>
          <w:szCs w:val="24"/>
          <w:color w:val="FFFFFF"/>
        </w:rPr>
        <w:t/>
      </w:r>
    </w:p>
    <w:p>
      <w:pPr>
        <w:spacing w:after="0" w:line="242" w:lineRule="exact"/>
        <w:rPr>
          <w:sz w:val="20"/>
          <w:szCs w:val="20"/>
          <w:color w:val="auto"/>
        </w:rPr>
      </w:pPr>
    </w:p>
    <w:p>
      <w:pPr>
        <w:ind w:left="20"/>
        <w:spacing w:after="0" w:line="291" w:lineRule="exact"/>
        <w:rPr>
          <w:sz w:val="20"/>
          <w:szCs w:val="20"/>
          <w:color w:val="auto"/>
        </w:rPr>
      </w:pPr>
      <w:r>
        <w:rPr>
          <w:rFonts w:ascii="Arial" w:cs="Arial" w:eastAsia="Arial" w:hAnsi="Arial"/>
          <w:sz w:val="24"/>
          <w:szCs w:val="24"/>
          <w:b w:val="1"/>
          <w:bCs w:val="1"/>
          <w:color w:val="FFFFFF"/>
        </w:rPr>
        <w:t>_qfj_lb</w:t>
      </w:r>
      <w:r>
        <w:rPr>
          <w:rFonts w:ascii="PMingLiU" w:cs="PMingLiU" w:eastAsia="PMingLiU" w:hAnsi="PMingLiU"/>
          <w:sz w:val="24"/>
          <w:szCs w:val="24"/>
          <w:b w:val="1"/>
          <w:bCs w:val="1"/>
          <w:color w:val="FFFFFF"/>
        </w:rPr>
        <w:t/>
      </w:r>
      <w:r>
        <w:rPr>
          <w:rFonts w:ascii="Arial" w:cs="Arial" w:eastAsia="Arial" w:hAnsi="Arial"/>
          <w:sz w:val="24"/>
          <w:szCs w:val="24"/>
          <w:b w:val="1"/>
          <w:bCs w:val="1"/>
          <w:color w:val="FFFFFF"/>
        </w:rPr>
        <w:t>amk5TG&amp;EV</w:t>
      </w:r>
    </w:p>
    <w:p>
      <w:pPr>
        <w:spacing w:after="0" w:line="200" w:lineRule="exact"/>
        <w:rPr>
          <w:sz w:val="20"/>
          <w:szCs w:val="20"/>
          <w:color w:val="auto"/>
        </w:rPr>
      </w:pPr>
    </w:p>
    <w:p>
      <w:pPr>
        <w:spacing w:after="0" w:line="341" w:lineRule="exact"/>
        <w:rPr>
          <w:sz w:val="20"/>
          <w:szCs w:val="20"/>
          <w:color w:val="auto"/>
        </w:rPr>
      </w:pPr>
    </w:p>
    <w:p>
      <w:pPr>
        <w:ind w:left="940"/>
        <w:spacing w:after="0"/>
        <w:rPr>
          <w:sz w:val="20"/>
          <w:szCs w:val="20"/>
          <w:color w:val="auto"/>
        </w:rPr>
      </w:pPr>
      <w:r>
        <w:rPr>
          <w:sz w:val="1"/>
          <w:szCs w:val="1"/>
          <w:color w:val="auto"/>
        </w:rPr>
        <w:drawing>
          <wp:inline distT="0" distB="0" distL="0" distR="0">
            <wp:extent cx="93345" cy="19113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4">
                      <a:extLst>
                        <a:ext uri="{28A0092B-C50C-407E-A947-70E740481C1C}"/>
                      </a:extLst>
                    </a:blip>
                    <a:srcRect/>
                    <a:stretch>
                      <a:fillRect/>
                    </a:stretch>
                  </pic:blipFill>
                  <pic:spPr bwMode="auto">
                    <a:xfrm>
                      <a:off x="0" y="0"/>
                      <a:ext cx="93345" cy="191135"/>
                    </a:xfrm>
                    <a:prstGeom prst="rect">
                      <a:avLst/>
                    </a:prstGeom>
                    <a:noFill/>
                    <a:ln>
                      <a:noFill/>
                    </a:ln>
                  </pic:spPr>
                </pic:pic>
              </a:graphicData>
            </a:graphic>
          </wp:inline>
        </w:drawing>
      </w:r>
      <w:r>
        <w:rPr>
          <w:rFonts w:ascii="Arial" w:cs="Arial" w:eastAsia="Arial" w:hAnsi="Arial"/>
          <w:sz w:val="19"/>
          <w:szCs w:val="19"/>
          <w:b w:val="1"/>
          <w:bCs w:val="1"/>
          <w:color w:val="FFFFFF"/>
        </w:rPr>
        <w:t xml:space="preserve"> ˦˥</w:t>
      </w:r>
    </w:p>
    <w:p>
      <w:pPr>
        <w:sectPr>
          <w:pgSz w:w="12240" w:h="15840" w:orient="portrait"/>
          <w:cols w:equalWidth="0" w:num="1">
            <w:col w:w="9720"/>
          </w:cols>
          <w:pgMar w:left="1120" w:top="1440" w:right="1400" w:bottom="0" w:gutter="0" w:footer="0" w:header="0"/>
        </w:sectPr>
      </w:pPr>
    </w:p>
    <w:bookmarkStart w:id="10" w:name="page11"/>
    <w:bookmarkEnd w:id="10"/>
    <w:p>
      <w:pPr>
        <w:spacing w:after="0" w:line="388" w:lineRule="exact"/>
        <w:rPr>
          <w:sz w:val="20"/>
          <w:szCs w:val="20"/>
          <w:color w:val="auto"/>
        </w:rPr>
      </w:pPr>
      <w:r>
        <w:rPr>
          <w:rFonts w:ascii="Arial" w:cs="Arial" w:eastAsia="Arial" w:hAnsi="Arial"/>
          <w:sz w:val="32"/>
          <w:szCs w:val="32"/>
          <w:b w:val="1"/>
          <w:bCs w:val="1"/>
          <w:color w:val="66C3C4"/>
        </w:rPr>
        <w:t>J]</w:t>
      </w:r>
      <w:r>
        <w:rPr>
          <w:rFonts w:ascii="PMingLiU" w:cs="PMingLiU" w:eastAsia="PMingLiU" w:hAnsi="PMingLiU"/>
          <w:sz w:val="32"/>
          <w:szCs w:val="32"/>
          <w:b w:val="1"/>
          <w:bCs w:val="1"/>
          <w:color w:val="66C3C4"/>
        </w:rPr>
        <w:t/>
      </w:r>
      <w:r>
        <w:rPr>
          <w:rFonts w:ascii="Arial" w:cs="Arial" w:eastAsia="Arial" w:hAnsi="Arial"/>
          <w:sz w:val="32"/>
          <w:szCs w:val="32"/>
          <w:b w:val="1"/>
          <w:bCs w:val="1"/>
          <w:color w:val="66C3C4"/>
        </w:rPr>
        <w:t>˧˥˧˪</w:t>
      </w:r>
      <w:r>
        <w:rPr>
          <w:rFonts w:ascii="PMingLiU" w:cs="PMingLiU" w:eastAsia="PMingLiU" w:hAnsi="PMingLiU"/>
          <w:sz w:val="32"/>
          <w:szCs w:val="32"/>
          <w:b w:val="1"/>
          <w:bCs w:val="1"/>
          <w:color w:val="66C3C4"/>
        </w:rPr>
        <w:t/>
      </w:r>
      <w:r>
        <w:rPr>
          <w:rFonts w:ascii="Arial" w:cs="Arial" w:eastAsia="Arial" w:hAnsi="Arial"/>
          <w:sz w:val="32"/>
          <w:szCs w:val="32"/>
          <w:b w:val="1"/>
          <w:bCs w:val="1"/>
          <w:color w:val="66C3C4"/>
        </w:rPr>
        <w:t>fgefjgefrq</w:t>
      </w:r>
    </w:p>
    <w:p>
      <w:pPr>
        <w:spacing w:after="0" w:line="162" w:lineRule="exact"/>
        <w:rPr>
          <w:sz w:val="20"/>
          <w:szCs w:val="20"/>
          <w:color w:val="auto"/>
        </w:rPr>
      </w:pPr>
    </w:p>
    <w:p>
      <w:pPr>
        <w:ind w:left="3080"/>
        <w:spacing w:after="0" w:line="414" w:lineRule="exact"/>
        <w:rPr>
          <w:sz w:val="20"/>
          <w:szCs w:val="20"/>
          <w:color w:val="auto"/>
        </w:rPr>
      </w:pPr>
      <w:r>
        <w:rPr>
          <w:rFonts w:ascii="Arial" w:cs="Arial" w:eastAsia="Arial" w:hAnsi="Arial"/>
          <w:sz w:val="18"/>
          <w:szCs w:val="18"/>
          <w:b w:val="1"/>
          <w:bCs w:val="1"/>
          <w:color w:val="59BDB6"/>
        </w:rPr>
        <w:t>amjj_ncnrwj</w:t>
      </w:r>
      <w:r>
        <w:rPr>
          <w:rFonts w:ascii="Arial" w:cs="Arial" w:eastAsia="Arial" w:hAnsi="Arial"/>
          <w:sz w:val="36"/>
          <w:szCs w:val="36"/>
          <w:b w:val="1"/>
          <w:bCs w:val="1"/>
          <w:color w:val="59BDB6"/>
          <w:vertAlign w:val="superscript"/>
        </w:rPr>
        <w:t>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`gmdslargml_j</w:t>
      </w:r>
      <w:r>
        <w:rPr>
          <w:rFonts w:ascii="PMingLiU" w:cs="PMingLiU" w:eastAsia="PMingLiU" w:hAnsi="PMingLiU"/>
          <w:sz w:val="18"/>
          <w:szCs w:val="18"/>
          <w:b w:val="1"/>
          <w:bCs w:val="1"/>
          <w:color w:val="59BDB6"/>
        </w:rPr>
        <w:t/>
      </w:r>
      <w:r>
        <w:rPr>
          <w:rFonts w:ascii="PMingLiU" w:cs="PMingLiU" w:eastAsia="PMingLiU" w:hAnsi="PMingLiU"/>
          <w:sz w:val="18"/>
          <w:szCs w:val="18"/>
          <w:color w:val="634140"/>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-182245</wp:posOffset>
            </wp:positionV>
            <wp:extent cx="1882775" cy="1560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5">
                      <a:extLst>
                        <a:ext uri="{28A0092B-C50C-407E-A947-70E740481C1C}"/>
                      </a:extLst>
                    </a:blip>
                    <a:srcRect/>
                    <a:stretch>
                      <a:fillRect/>
                    </a:stretch>
                  </pic:blipFill>
                  <pic:spPr bwMode="auto">
                    <a:xfrm>
                      <a:off x="0" y="0"/>
                      <a:ext cx="1882775" cy="1560830"/>
                    </a:xfrm>
                    <a:prstGeom prst="rect">
                      <a:avLst/>
                    </a:prstGeom>
                    <a:noFill/>
                  </pic:spPr>
                </pic:pic>
              </a:graphicData>
            </a:graphic>
          </wp:anchor>
        </w:drawing>
      </w:r>
    </w:p>
    <w:p>
      <w:pPr>
        <w:ind w:left="3080" w:right="120"/>
        <w:spacing w:after="0" w:line="223" w:lineRule="exact"/>
        <w:rPr>
          <w:sz w:val="20"/>
          <w:szCs w:val="20"/>
          <w:color w:val="auto"/>
        </w:rPr>
      </w:pPr>
      <w:r>
        <w:rPr>
          <w:rFonts w:ascii="Arial" w:cs="Arial" w:eastAsia="Arial" w:hAnsi="Arial"/>
          <w:sz w:val="17"/>
          <w:szCs w:val="17"/>
          <w:color w:val="634140"/>
        </w:rPr>
        <w:t>fi</w:t>
      </w:r>
      <w:r>
        <w:rPr>
          <w:rFonts w:ascii="Arial" w:cs="Arial" w:eastAsia="Arial" w:hAnsi="Arial"/>
          <w:sz w:val="17"/>
          <w:szCs w:val="17"/>
          <w:color w:val="634140"/>
        </w:rPr>
        <w:t>pqr&amp;ctcp</w:t>
      </w:r>
      <w:r>
        <w:rPr>
          <w:rFonts w:ascii="PMingLiU" w:cs="PMingLiU" w:eastAsia="PMingLiU" w:hAnsi="PMingLiU"/>
          <w:sz w:val="17"/>
          <w:szCs w:val="17"/>
          <w:color w:val="634140"/>
        </w:rPr>
        <w:t/>
      </w:r>
      <w:r>
        <w:rPr>
          <w:rFonts w:ascii="Arial" w:cs="Arial" w:eastAsia="Arial" w:hAnsi="Arial"/>
          <w:sz w:val="17"/>
          <w:szCs w:val="17"/>
          <w:color w:val="634140"/>
        </w:rPr>
        <w:t>fw_jsncnrgbc</w:t>
      </w:r>
      <w:r>
        <w:rPr>
          <w:rFonts w:ascii="PMingLiU" w:cs="PMingLiU" w:eastAsia="PMingLiU" w:hAnsi="PMingLiU"/>
          <w:sz w:val="17"/>
          <w:szCs w:val="17"/>
          <w:color w:val="634140"/>
        </w:rPr>
        <w:t/>
      </w:r>
      <w:r>
        <w:rPr>
          <w:rFonts w:ascii="Arial" w:cs="Arial" w:eastAsia="Arial" w:hAnsi="Arial"/>
          <w:sz w:val="17"/>
          <w:szCs w:val="17"/>
          <w:color w:val="634140"/>
        </w:rPr>
        <w:t>fw`pgb</w:t>
      </w:r>
      <w:r>
        <w:rPr>
          <w:rFonts w:ascii="PMingLiU" w:cs="PMingLiU" w:eastAsia="PMingLiU" w:hAnsi="PMingLiU"/>
          <w:sz w:val="17"/>
          <w:szCs w:val="17"/>
          <w:color w:val="634140"/>
        </w:rPr>
        <w:t/>
      </w:r>
      <w:r>
        <w:rPr>
          <w:rFonts w:ascii="Arial" w:cs="Arial" w:eastAsia="Arial" w:hAnsi="Arial"/>
          <w:sz w:val="17"/>
          <w:szCs w:val="17"/>
          <w:color w:val="634140"/>
        </w:rPr>
        <w:t>kgkcrga</w:t>
      </w:r>
      <w:r>
        <w:rPr>
          <w:rFonts w:ascii="PMingLiU" w:cs="PMingLiU" w:eastAsia="PMingLiU" w:hAnsi="PMingLiU"/>
          <w:sz w:val="17"/>
          <w:szCs w:val="17"/>
          <w:color w:val="634140"/>
        </w:rPr>
        <w:t/>
      </w:r>
      <w:r>
        <w:rPr>
          <w:rFonts w:ascii="Arial" w:cs="Arial" w:eastAsia="Arial" w:hAnsi="Arial"/>
          <w:sz w:val="17"/>
          <w:szCs w:val="17"/>
          <w:color w:val="634140"/>
        </w:rPr>
        <w:t xml:space="preserve">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`mmqrcp</w:t>
      </w:r>
      <w:r>
        <w:rPr>
          <w:rFonts w:ascii="PMingLiU" w:cs="PMingLiU" w:eastAsia="PMingLiU" w:hAnsi="PMingLiU"/>
          <w:sz w:val="17"/>
          <w:szCs w:val="17"/>
          <w:color w:val="634140"/>
        </w:rPr>
        <w:t/>
      </w:r>
      <w:r>
        <w:rPr>
          <w:rFonts w:ascii="Arial" w:cs="Arial" w:eastAsia="Arial" w:hAnsi="Arial"/>
          <w:sz w:val="17"/>
          <w:szCs w:val="17"/>
          <w:color w:val="634140"/>
        </w:rPr>
        <w:t>rm</w:t>
      </w:r>
      <w:r>
        <w:rPr>
          <w:rFonts w:ascii="PMingLiU" w:cs="PMingLiU" w:eastAsia="PMingLiU" w:hAnsi="PMingLiU"/>
          <w:sz w:val="17"/>
          <w:szCs w:val="17"/>
          <w:color w:val="634140"/>
        </w:rPr>
        <w:t/>
      </w:r>
      <w:r>
        <w:rPr>
          <w:rFonts w:ascii="Arial" w:cs="Arial" w:eastAsia="Arial" w:hAnsi="Arial"/>
          <w:sz w:val="17"/>
          <w:szCs w:val="17"/>
          <w:color w:val="634140"/>
        </w:rPr>
        <w:t>˧˥</w:t>
      </w:r>
      <w:r>
        <w:rPr>
          <w:rFonts w:ascii="PMingLiU" w:cs="PMingLiU" w:eastAsia="PMingLiU" w:hAnsi="PMingLiU"/>
          <w:sz w:val="17"/>
          <w:szCs w:val="17"/>
          <w:color w:val="634140"/>
        </w:rPr>
        <w:t/>
      </w:r>
      <w:r>
        <w:rPr>
          <w:rFonts w:ascii="Arial" w:cs="Arial" w:eastAsia="Arial" w:hAnsi="Arial"/>
          <w:sz w:val="17"/>
          <w:szCs w:val="17"/>
          <w:color w:val="634140"/>
        </w:rPr>
        <w:t>qigl</w:t>
      </w:r>
      <w:r>
        <w:rPr>
          <w:rFonts w:ascii="PMingLiU" w:cs="PMingLiU" w:eastAsia="PMingLiU" w:hAnsi="PMingLiU"/>
          <w:sz w:val="17"/>
          <w:szCs w:val="17"/>
          <w:color w:val="634140"/>
        </w:rPr>
        <w:t/>
      </w:r>
      <w:r>
        <w:rPr>
          <w:rFonts w:ascii="Arial" w:cs="Arial" w:eastAsia="Arial" w:hAnsi="Arial"/>
          <w:sz w:val="17"/>
          <w:szCs w:val="17"/>
          <w:color w:val="634140"/>
        </w:rPr>
        <w:t>amjj_ecl</w:t>
      </w:r>
      <w:r>
        <w:rPr>
          <w:rFonts w:ascii="PMingLiU" w:cs="PMingLiU" w:eastAsia="PMingLiU" w:hAnsi="PMingLiU"/>
          <w:sz w:val="17"/>
          <w:szCs w:val="17"/>
          <w:color w:val="634140"/>
        </w:rPr>
        <w:t/>
      </w:r>
      <w:r>
        <w:rPr>
          <w:rFonts w:ascii="Arial" w:cs="Arial" w:eastAsia="Arial" w:hAnsi="Arial"/>
          <w:sz w:val="17"/>
          <w:szCs w:val="17"/>
          <w:color w:val="634140"/>
        </w:rPr>
        <w:t xml:space="preserve"> rwncq</w:t>
      </w:r>
      <w:r>
        <w:rPr>
          <w:rFonts w:ascii="PMingLiU" w:cs="PMingLiU" w:eastAsia="PMingLiU" w:hAnsi="PMingLiU"/>
          <w:sz w:val="17"/>
          <w:szCs w:val="17"/>
          <w:color w:val="634140"/>
        </w:rPr>
        <w:t/>
      </w:r>
      <w:r>
        <w:rPr>
          <w:rFonts w:ascii="Arial" w:cs="Arial" w:eastAsia="Arial" w:hAnsi="Arial"/>
          <w:sz w:val="17"/>
          <w:szCs w:val="17"/>
          <w:color w:val="634140"/>
        </w:rPr>
        <w:t>dmp</w:t>
      </w:r>
      <w:r>
        <w:rPr>
          <w:rFonts w:ascii="PMingLiU" w:cs="PMingLiU" w:eastAsia="PMingLiU" w:hAnsi="PMingLiU"/>
          <w:sz w:val="17"/>
          <w:szCs w:val="17"/>
          <w:color w:val="634140"/>
        </w:rPr>
        <w:t/>
      </w:r>
      <w:r>
        <w:rPr>
          <w:rFonts w:ascii="Arial" w:cs="Arial" w:eastAsia="Arial" w:hAnsi="Arial"/>
          <w:sz w:val="17"/>
          <w:szCs w:val="17"/>
          <w:color w:val="634140"/>
        </w:rPr>
        <w:t>glqr_lr</w:t>
      </w:r>
      <w:r>
        <w:rPr>
          <w:rFonts w:ascii="PMingLiU" w:cs="PMingLiU" w:eastAsia="PMingLiU" w:hAnsi="PMingLiU"/>
          <w:sz w:val="17"/>
          <w:szCs w:val="17"/>
          <w:color w:val="634140"/>
        </w:rPr>
        <w:t/>
      </w:r>
      <w:r>
        <w:rPr>
          <w:rFonts w:ascii="Arial" w:cs="Arial" w:eastAsia="Arial" w:hAnsi="Arial"/>
          <w:sz w:val="17"/>
          <w:szCs w:val="17"/>
          <w:color w:val="634140"/>
        </w:rPr>
        <w:t>ej_qq&amp;jgic</w:t>
      </w:r>
      <w:r>
        <w:rPr>
          <w:rFonts w:ascii="PMingLiU" w:cs="PMingLiU" w:eastAsia="PMingLiU" w:hAnsi="PMingLiU"/>
          <w:sz w:val="17"/>
          <w:szCs w:val="17"/>
          <w:color w:val="634140"/>
        </w:rPr>
        <w:t/>
      </w:r>
      <w:r>
        <w:rPr>
          <w:rFonts w:ascii="Arial" w:cs="Arial" w:eastAsia="Arial" w:hAnsi="Arial"/>
          <w:sz w:val="17"/>
          <w:szCs w:val="17"/>
          <w:color w:val="634140"/>
        </w:rPr>
        <w:t>ejmuw</w:t>
      </w:r>
      <w:r>
        <w:rPr>
          <w:rFonts w:ascii="PMingLiU" w:cs="PMingLiU" w:eastAsia="PMingLiU" w:hAnsi="PMingLiU"/>
          <w:sz w:val="17"/>
          <w:szCs w:val="17"/>
          <w:color w:val="634140"/>
        </w:rPr>
        <w:t/>
      </w:r>
      <w:r>
        <w:rPr>
          <w:rFonts w:ascii="Arial" w:cs="Arial" w:eastAsia="Arial" w:hAnsi="Arial"/>
          <w:sz w:val="17"/>
          <w:szCs w:val="17"/>
          <w:color w:val="634140"/>
        </w:rPr>
        <w:t>qigl</w:t>
      </w:r>
      <w:r>
        <w:rPr>
          <w:rFonts w:ascii="PMingLiU" w:cs="PMingLiU" w:eastAsia="PMingLiU" w:hAnsi="PMingLiU"/>
          <w:sz w:val="17"/>
          <w:szCs w:val="17"/>
          <w:color w:val="634140"/>
        </w:rPr>
        <w:t/>
      </w:r>
      <w:r>
        <w:rPr>
          <w:rFonts w:ascii="Arial" w:cs="Arial" w:eastAsia="Arial" w:hAnsi="Arial"/>
          <w:sz w:val="17"/>
          <w:szCs w:val="17"/>
          <w:color w:val="634140"/>
        </w:rPr>
        <w:t xml:space="preserve"> _lb</w:t>
      </w:r>
      <w:r>
        <w:rPr>
          <w:rFonts w:ascii="PMingLiU" w:cs="PMingLiU" w:eastAsia="PMingLiU" w:hAnsi="PMingLiU"/>
          <w:sz w:val="17"/>
          <w:szCs w:val="17"/>
          <w:color w:val="634140"/>
        </w:rPr>
        <w:t/>
      </w:r>
      <w:r>
        <w:rPr>
          <w:rFonts w:ascii="Arial" w:cs="Arial" w:eastAsia="Arial" w:hAnsi="Arial"/>
          <w:sz w:val="17"/>
          <w:szCs w:val="17"/>
          <w:color w:val="634140"/>
        </w:rPr>
        <w:t>upglijc</w:t>
      </w:r>
      <w:r>
        <w:rPr>
          <w:rFonts w:ascii="PMingLiU" w:cs="PMingLiU" w:eastAsia="PMingLiU" w:hAnsi="PMingLiU"/>
          <w:sz w:val="17"/>
          <w:szCs w:val="17"/>
          <w:color w:val="634140"/>
        </w:rPr>
        <w:t/>
      </w:r>
      <w:r>
        <w:rPr>
          <w:rFonts w:ascii="Arial" w:cs="Arial" w:eastAsia="Arial" w:hAnsi="Arial"/>
          <w:sz w:val="17"/>
          <w:szCs w:val="17"/>
          <w:color w:val="634140"/>
        </w:rPr>
        <w:t>_nnc_p_lac</w:t>
      </w:r>
      <w:r>
        <w:rPr>
          <w:rFonts w:ascii="PMingLiU" w:cs="PMingLiU" w:eastAsia="PMingLiU" w:hAnsi="PMingLiU"/>
          <w:sz w:val="17"/>
          <w:szCs w:val="17"/>
          <w:color w:val="634140"/>
        </w:rPr>
        <w:t/>
      </w:r>
      <w:r>
        <w:rPr>
          <w:rFonts w:ascii="Arial" w:cs="Arial" w:eastAsia="Arial" w:hAnsi="Arial"/>
          <w:sz w:val="17"/>
          <w:szCs w:val="17"/>
          <w:color w:val="634140"/>
        </w:rPr>
        <w:t>amppcargml</w:t>
      </w:r>
      <w:r>
        <w:rPr>
          <w:rFonts w:ascii="PMingLiU" w:cs="PMingLiU" w:eastAsia="PMingLiU" w:hAnsi="PMingLiU"/>
          <w:sz w:val="17"/>
          <w:szCs w:val="17"/>
          <w:color w:val="634140"/>
        </w:rPr>
        <w:t/>
      </w:r>
      <w:r>
        <w:rPr>
          <w:rFonts w:ascii="Arial" w:cs="Arial" w:eastAsia="Arial" w:hAnsi="Arial"/>
          <w:sz w:val="17"/>
          <w:szCs w:val="17"/>
          <w:color w:val="634140"/>
        </w:rPr>
        <w:t xml:space="preserve"> Xfgq</w:t>
      </w:r>
      <w:r>
        <w:rPr>
          <w:rFonts w:ascii="PMingLiU" w:cs="PMingLiU" w:eastAsia="PMingLiU" w:hAnsi="PMingLiU"/>
          <w:sz w:val="17"/>
          <w:szCs w:val="17"/>
          <w:color w:val="634140"/>
        </w:rPr>
        <w:t/>
      </w:r>
      <w:r>
        <w:rPr>
          <w:rFonts w:ascii="Arial" w:cs="Arial" w:eastAsia="Arial" w:hAnsi="Arial"/>
          <w:sz w:val="17"/>
          <w:szCs w:val="17"/>
          <w:color w:val="634140"/>
        </w:rPr>
        <w:t>tce_l</w:t>
      </w:r>
      <w:r>
        <w:rPr>
          <w:rFonts w:ascii="PMingLiU" w:cs="PMingLiU" w:eastAsia="PMingLiU" w:hAnsi="PMingLiU"/>
          <w:sz w:val="17"/>
          <w:szCs w:val="17"/>
          <w:color w:val="634140"/>
        </w:rPr>
        <w:t/>
      </w:r>
      <w:r>
        <w:rPr>
          <w:rFonts w:ascii="Arial" w:cs="Arial" w:eastAsia="Arial" w:hAnsi="Arial"/>
          <w:sz w:val="17"/>
          <w:szCs w:val="17"/>
          <w:color w:val="634140"/>
        </w:rPr>
        <w:t>TJEW&amp;dpcc</w:t>
      </w:r>
      <w:r>
        <w:rPr>
          <w:rFonts w:ascii="PMingLiU" w:cs="PMingLiU" w:eastAsia="PMingLiU" w:hAnsi="PMingLiU"/>
          <w:sz w:val="17"/>
          <w:szCs w:val="17"/>
          <w:color w:val="634140"/>
        </w:rPr>
        <w:t/>
      </w:r>
      <w:r>
        <w:rPr>
          <w:rFonts w:ascii="Arial" w:cs="Arial" w:eastAsia="Arial" w:hAnsi="Arial"/>
          <w:sz w:val="17"/>
          <w:szCs w:val="17"/>
          <w:color w:val="634140"/>
        </w:rPr>
        <w:t>ˮˮ</w:t>
      </w:r>
      <w:r>
        <w:rPr>
          <w:rFonts w:ascii="PMingLiU" w:cs="PMingLiU" w:eastAsia="PMingLiU" w:hAnsi="PMingLiU"/>
          <w:sz w:val="17"/>
          <w:szCs w:val="17"/>
          <w:color w:val="634140"/>
        </w:rPr>
        <w:t/>
      </w:r>
      <w:r>
        <w:rPr>
          <w:rFonts w:ascii="Arial" w:cs="Arial" w:eastAsia="Arial" w:hAnsi="Arial"/>
          <w:sz w:val="17"/>
          <w:szCs w:val="17"/>
          <w:color w:val="634140"/>
        </w:rPr>
        <w:t>ˬφ</w:t>
      </w:r>
      <w:r>
        <w:rPr>
          <w:rFonts w:ascii="PMingLiU" w:cs="PMingLiU" w:eastAsia="PMingLiU" w:hAnsi="PMingLiU"/>
          <w:sz w:val="17"/>
          <w:szCs w:val="17"/>
          <w:color w:val="634140"/>
        </w:rPr>
        <w:t/>
      </w:r>
      <w:r>
        <w:rPr>
          <w:rFonts w:ascii="Arial" w:cs="Arial" w:eastAsia="Arial" w:hAnsi="Arial"/>
          <w:sz w:val="17"/>
          <w:szCs w:val="17"/>
          <w:color w:val="634140"/>
        </w:rPr>
        <w:t>l_rsp_j</w:t>
      </w:r>
      <w:r>
        <w:rPr>
          <w:rFonts w:ascii="PMingLiU" w:cs="PMingLiU" w:eastAsia="PMingLiU" w:hAnsi="PMingLiU"/>
          <w:sz w:val="17"/>
          <w:szCs w:val="17"/>
          <w:color w:val="634140"/>
        </w:rPr>
        <w:t/>
      </w:r>
      <w:r>
        <w:rPr>
          <w:rFonts w:ascii="Arial" w:cs="Arial" w:eastAsia="Arial" w:hAnsi="Arial"/>
          <w:sz w:val="17"/>
          <w:szCs w:val="17"/>
          <w:color w:val="634140"/>
        </w:rPr>
        <w:t xml:space="preserve"> amjj_ecl</w:t>
      </w:r>
      <w:r>
        <w:rPr>
          <w:rFonts w:ascii="PMingLiU" w:cs="PMingLiU" w:eastAsia="PMingLiU" w:hAnsi="PMingLiU"/>
          <w:sz w:val="17"/>
          <w:szCs w:val="17"/>
          <w:color w:val="634140"/>
        </w:rPr>
        <w:t/>
      </w:r>
      <w:r>
        <w:rPr>
          <w:rFonts w:ascii="Arial" w:cs="Arial" w:eastAsia="Arial" w:hAnsi="Arial"/>
          <w:sz w:val="17"/>
          <w:szCs w:val="17"/>
          <w:color w:val="634140"/>
        </w:rPr>
        <w:t>ncnrgbc</w:t>
      </w:r>
      <w:r>
        <w:rPr>
          <w:rFonts w:ascii="PMingLiU" w:cs="PMingLiU" w:eastAsia="PMingLiU" w:hAnsi="PMingLiU"/>
          <w:sz w:val="17"/>
          <w:szCs w:val="17"/>
          <w:color w:val="634140"/>
        </w:rPr>
        <w:t/>
      </w:r>
      <w:r>
        <w:rPr>
          <w:rFonts w:ascii="Arial" w:cs="Arial" w:eastAsia="Arial" w:hAnsi="Arial"/>
          <w:sz w:val="17"/>
          <w:szCs w:val="17"/>
          <w:color w:val="634140"/>
        </w:rPr>
        <w:t>qmjsrgml</w:t>
      </w:r>
      <w:r>
        <w:rPr>
          <w:rFonts w:ascii="PMingLiU" w:cs="PMingLiU" w:eastAsia="PMingLiU" w:hAnsi="PMingLiU"/>
          <w:sz w:val="17"/>
          <w:szCs w:val="17"/>
          <w:color w:val="634140"/>
        </w:rPr>
        <w:t/>
      </w:r>
      <w:r>
        <w:rPr>
          <w:rFonts w:ascii="Arial" w:cs="Arial" w:eastAsia="Arial" w:hAnsi="Arial"/>
          <w:sz w:val="17"/>
          <w:szCs w:val="17"/>
          <w:color w:val="634140"/>
        </w:rPr>
        <w:t>bcjgtcpq</w:t>
      </w:r>
      <w:r>
        <w:rPr>
          <w:rFonts w:ascii="PMingLiU" w:cs="PMingLiU" w:eastAsia="PMingLiU" w:hAnsi="PMingLiU"/>
          <w:sz w:val="17"/>
          <w:szCs w:val="17"/>
          <w:color w:val="634140"/>
        </w:rPr>
        <w:t/>
      </w:r>
      <w:r>
        <w:rPr>
          <w:rFonts w:ascii="Arial" w:cs="Arial" w:eastAsia="Arial" w:hAnsi="Arial"/>
          <w:sz w:val="17"/>
          <w:szCs w:val="17"/>
          <w:color w:val="634140"/>
        </w:rPr>
        <w:t xml:space="preserve"> sln_p_jjcjcb</w:t>
      </w:r>
      <w:r>
        <w:rPr>
          <w:rFonts w:ascii="PMingLiU" w:cs="PMingLiU" w:eastAsia="PMingLiU" w:hAnsi="PMingLiU"/>
          <w:sz w:val="17"/>
          <w:szCs w:val="17"/>
          <w:color w:val="634140"/>
        </w:rPr>
        <w:t/>
      </w:r>
      <w:r>
        <w:rPr>
          <w:rFonts w:ascii="Arial" w:cs="Arial" w:eastAsia="Arial" w:hAnsi="Arial"/>
          <w:sz w:val="17"/>
          <w:szCs w:val="17"/>
          <w:color w:val="634140"/>
        </w:rPr>
        <w:t>qwlcpegqrga</w:t>
      </w:r>
      <w:r>
        <w:rPr>
          <w:rFonts w:ascii="PMingLiU" w:cs="PMingLiU" w:eastAsia="PMingLiU" w:hAnsi="PMingLiU"/>
          <w:sz w:val="17"/>
          <w:szCs w:val="17"/>
          <w:color w:val="634140"/>
        </w:rPr>
        <w:t/>
      </w:r>
      <w:r>
        <w:rPr>
          <w:rFonts w:ascii="Arial" w:cs="Arial" w:eastAsia="Arial" w:hAnsi="Arial"/>
          <w:sz w:val="17"/>
          <w:szCs w:val="17"/>
          <w:color w:val="634140"/>
        </w:rPr>
        <w:t>ncpdmpk_lac</w:t>
      </w:r>
      <w:r>
        <w:rPr>
          <w:rFonts w:ascii="PMingLiU" w:cs="PMingLiU" w:eastAsia="PMingLiU" w:hAnsi="PMingLiU"/>
          <w:sz w:val="17"/>
          <w:szCs w:val="17"/>
          <w:color w:val="634140"/>
        </w:rPr>
        <w:t/>
      </w:r>
    </w:p>
    <w:p>
      <w:pPr>
        <w:spacing w:after="0" w:line="2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80"/>
        <w:spacing w:after="0" w:line="249" w:lineRule="exact"/>
        <w:rPr>
          <w:sz w:val="20"/>
          <w:szCs w:val="20"/>
          <w:color w:val="auto"/>
        </w:rPr>
      </w:pPr>
      <w:r>
        <w:rPr>
          <w:rFonts w:ascii="Arial" w:cs="Arial" w:eastAsia="Arial" w:hAnsi="Arial"/>
          <w:sz w:val="17"/>
          <w:szCs w:val="17"/>
          <w:b w:val="1"/>
          <w:bCs w:val="1"/>
          <w:color w:val="59BDB6"/>
        </w:rPr>
        <w:t>qclqgt_B</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qa</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l_rsp_j</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 xml:space="preserve"> ksjrgdslargml_j</w:t>
      </w:r>
      <w:r>
        <w:rPr>
          <w:rFonts w:ascii="PMingLiU" w:cs="PMingLiU" w:eastAsia="PMingLiU" w:hAnsi="PMingLiU"/>
          <w:sz w:val="17"/>
          <w:szCs w:val="17"/>
          <w:color w:val="634140"/>
        </w:rPr>
        <w:t/>
      </w:r>
      <w:r>
        <w:rPr>
          <w:rFonts w:ascii="Arial" w:cs="Arial" w:eastAsia="Arial" w:hAnsi="Arial"/>
          <w:sz w:val="17"/>
          <w:szCs w:val="17"/>
          <w:color w:val="634140"/>
        </w:rPr>
        <w:t>gq</w:t>
      </w:r>
      <w:r>
        <w:rPr>
          <w:rFonts w:ascii="PMingLiU" w:cs="PMingLiU" w:eastAsia="PMingLiU" w:hAnsi="PMingLiU"/>
          <w:sz w:val="17"/>
          <w:szCs w:val="17"/>
          <w:color w:val="634140"/>
        </w:rPr>
        <w:t/>
      </w:r>
      <w:r>
        <w:rPr>
          <w:rFonts w:ascii="Arial" w:cs="Arial" w:eastAsia="Arial" w:hAnsi="Arial"/>
          <w:sz w:val="17"/>
          <w:szCs w:val="17"/>
          <w:color w:val="634140"/>
        </w:rPr>
        <w:t>_</w:t>
      </w:r>
      <w:r>
        <w:rPr>
          <w:rFonts w:ascii="PMingLiU" w:cs="PMingLiU" w:eastAsia="PMingLiU" w:hAnsi="PMingLiU"/>
          <w:sz w:val="17"/>
          <w:szCs w:val="17"/>
          <w:color w:val="634140"/>
        </w:rPr>
        <w:t/>
      </w:r>
      <w:r>
        <w:rPr>
          <w:rFonts w:ascii="Arial" w:cs="Arial" w:eastAsia="Arial" w:hAnsi="Arial"/>
          <w:sz w:val="17"/>
          <w:szCs w:val="17"/>
          <w:color w:val="634140"/>
        </w:rPr>
        <w:t>˦˥˥φ</w:t>
      </w:r>
      <w:r>
        <w:rPr>
          <w:rFonts w:ascii="PMingLiU" w:cs="PMingLiU" w:eastAsia="PMingLiU" w:hAnsi="PMingLiU"/>
          <w:sz w:val="17"/>
          <w:szCs w:val="17"/>
          <w:color w:val="634140"/>
        </w:rPr>
        <w:t/>
      </w:r>
      <w:r>
        <w:rPr>
          <w:rFonts w:ascii="Arial" w:cs="Arial" w:eastAsia="Arial" w:hAnsi="Arial"/>
          <w:sz w:val="17"/>
          <w:szCs w:val="17"/>
          <w:color w:val="634140"/>
        </w:rPr>
        <w:t>l_rsp_j</w:t>
      </w:r>
      <w:r>
        <w:rPr>
          <w:rFonts w:ascii="PMingLiU" w:cs="PMingLiU" w:eastAsia="PMingLiU" w:hAnsi="PMingLiU"/>
          <w:sz w:val="17"/>
          <w:szCs w:val="17"/>
          <w:color w:val="634140"/>
        </w:rPr>
        <w:t/>
      </w:r>
      <w:r>
        <w:rPr>
          <w:rFonts w:ascii="Arial" w:cs="Arial" w:eastAsia="Arial" w:hAnsi="Arial"/>
          <w:sz w:val="17"/>
          <w:szCs w:val="17"/>
          <w:b w:val="1"/>
          <w:bCs w:val="1"/>
          <w:color w:val="59BDB6"/>
        </w:rPr>
        <w:t xml:space="preserve"> </w:t>
      </w:r>
      <w:r>
        <w:rPr>
          <w:rFonts w:ascii="Arial" w:cs="Arial" w:eastAsia="Arial" w:hAnsi="Arial"/>
          <w:sz w:val="17"/>
          <w:szCs w:val="17"/>
          <w:color w:val="634140"/>
        </w:rPr>
        <w:t>tcpqgml</w:t>
      </w:r>
      <w:r>
        <w:rPr>
          <w:rFonts w:ascii="PMingLiU" w:cs="PMingLiU" w:eastAsia="PMingLiU" w:hAnsi="PMingLiU"/>
          <w:sz w:val="17"/>
          <w:szCs w:val="17"/>
          <w:color w:val="634140"/>
        </w:rPr>
        <w:t/>
      </w:r>
      <w:r>
        <w:rPr>
          <w:rFonts w:ascii="Arial" w:cs="Arial" w:eastAsia="Arial" w:hAnsi="Arial"/>
          <w:sz w:val="17"/>
          <w:szCs w:val="17"/>
          <w:color w:val="634140"/>
        </w:rPr>
        <w:t>md</w:t>
      </w:r>
      <w:r>
        <w:rPr>
          <w:rFonts w:ascii="PMingLiU" w:cs="PMingLiU" w:eastAsia="PMingLiU" w:hAnsi="PMingLiU"/>
          <w:sz w:val="17"/>
          <w:szCs w:val="17"/>
          <w:color w:val="634140"/>
        </w:rPr>
        <w:t/>
      </w:r>
      <w:r>
        <w:rPr>
          <w:rFonts w:ascii="Arial" w:cs="Arial" w:eastAsia="Arial" w:hAnsi="Arial"/>
          <w:sz w:val="17"/>
          <w:szCs w:val="17"/>
          <w:color w:val="634140"/>
        </w:rPr>
        <w:t>Irfwjfcvwjejwacpgl</w:t>
      </w:r>
      <w:r>
        <w:rPr>
          <w:rFonts w:ascii="PMingLiU" w:cs="PMingLiU" w:eastAsia="PMingLiU" w:hAnsi="PMingLiU"/>
          <w:sz w:val="17"/>
          <w:szCs w:val="17"/>
          <w:color w:val="634140"/>
        </w:rPr>
        <w:t/>
      </w:r>
      <w:r>
        <w:rPr>
          <w:rFonts w:ascii="Arial" w:cs="Arial" w:eastAsia="Arial" w:hAnsi="Arial"/>
          <w:sz w:val="17"/>
          <w:szCs w:val="17"/>
          <w:color w:val="634140"/>
        </w:rPr>
        <w:t>rf_r</w:t>
      </w:r>
      <w:r>
        <w:rPr>
          <w:rFonts w:ascii="PMingLiU" w:cs="PMingLiU" w:eastAsia="PMingLiU" w:hAnsi="PMingLiU"/>
          <w:sz w:val="17"/>
          <w:szCs w:val="17"/>
          <w:color w:val="634140"/>
        </w:rPr>
        <w:t/>
      </w:r>
      <w:r>
        <w:rPr>
          <w:rFonts w:ascii="Arial" w:cs="Arial" w:eastAsia="Arial" w:hAnsi="Arial"/>
          <w:sz w:val="17"/>
          <w:szCs w:val="17"/>
          <w:color w:val="634140"/>
        </w:rPr>
        <w:t>`mmqrq</w:t>
      </w:r>
      <w:r>
        <w:rPr>
          <w:rFonts w:ascii="PMingLiU" w:cs="PMingLiU" w:eastAsia="PMingLiU" w:hAnsi="PMingLiU"/>
          <w:sz w:val="17"/>
          <w:szCs w:val="17"/>
          <w:color w:val="634140"/>
        </w:rPr>
        <w:t/>
      </w:r>
      <w:r>
        <w:rPr>
          <w:rFonts w:ascii="Arial" w:cs="Arial" w:eastAsia="Arial" w:hAnsi="Arial"/>
          <w:sz w:val="17"/>
          <w:szCs w:val="17"/>
          <w:color w:val="634140"/>
        </w:rPr>
        <w:t xml:space="preserve"> _lrgkgapm`g_jq</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npmrcarq</w:t>
      </w:r>
      <w:r>
        <w:rPr>
          <w:rFonts w:ascii="PMingLiU" w:cs="PMingLiU" w:eastAsia="PMingLiU" w:hAnsi="PMingLiU"/>
          <w:sz w:val="17"/>
          <w:szCs w:val="17"/>
          <w:color w:val="634140"/>
        </w:rPr>
        <w:t/>
      </w:r>
      <w:r>
        <w:rPr>
          <w:rFonts w:ascii="Arial" w:cs="Arial" w:eastAsia="Arial" w:hAnsi="Arial"/>
          <w:sz w:val="17"/>
          <w:szCs w:val="17"/>
          <w:color w:val="634140"/>
        </w:rPr>
        <w:t>_e_glqr</w:t>
      </w:r>
      <w:r>
        <w:rPr>
          <w:rFonts w:ascii="PMingLiU" w:cs="PMingLiU" w:eastAsia="PMingLiU" w:hAnsi="PMingLiU"/>
          <w:sz w:val="17"/>
          <w:szCs w:val="17"/>
          <w:color w:val="634140"/>
        </w:rPr>
        <w:t/>
      </w:r>
      <w:r>
        <w:rPr>
          <w:rFonts w:ascii="Arial" w:cs="Arial" w:eastAsia="Arial" w:hAnsi="Arial"/>
          <w:sz w:val="17"/>
          <w:szCs w:val="17"/>
          <w:color w:val="634140"/>
        </w:rPr>
        <w:t xml:space="preserve"> k_jmbmp</w:t>
      </w:r>
      <w:r>
        <w:rPr>
          <w:rFonts w:ascii="PMingLiU" w:cs="PMingLiU" w:eastAsia="PMingLiU" w:hAnsi="PMingLiU"/>
          <w:sz w:val="17"/>
          <w:szCs w:val="17"/>
          <w:color w:val="634140"/>
        </w:rPr>
        <w:t/>
      </w:r>
      <w:r>
        <w:rPr>
          <w:rFonts w:ascii="Arial" w:cs="Arial" w:eastAsia="Arial" w:hAnsi="Arial"/>
          <w:sz w:val="17"/>
          <w:szCs w:val="17"/>
          <w:color w:val="634140"/>
        </w:rPr>
        <w:t>Mr</w:t>
      </w:r>
      <w:r>
        <w:rPr>
          <w:rFonts w:ascii="PMingLiU" w:cs="PMingLiU" w:eastAsia="PMingLiU" w:hAnsi="PMingLiU"/>
          <w:sz w:val="17"/>
          <w:szCs w:val="17"/>
          <w:color w:val="634140"/>
        </w:rPr>
        <w:t/>
      </w:r>
      <w:r>
        <w:rPr>
          <w:rFonts w:ascii="Arial" w:cs="Arial" w:eastAsia="Arial" w:hAnsi="Arial"/>
          <w:sz w:val="17"/>
          <w:szCs w:val="17"/>
          <w:color w:val="634140"/>
        </w:rPr>
        <w:t>_arq</w:t>
      </w:r>
      <w:r>
        <w:rPr>
          <w:rFonts w:ascii="PMingLiU" w:cs="PMingLiU" w:eastAsia="PMingLiU" w:hAnsi="PMingLiU"/>
          <w:sz w:val="17"/>
          <w:szCs w:val="17"/>
          <w:color w:val="634140"/>
        </w:rPr>
        <w:t/>
      </w:r>
      <w:r>
        <w:rPr>
          <w:rFonts w:ascii="Arial" w:cs="Arial" w:eastAsia="Arial" w:hAnsi="Arial"/>
          <w:sz w:val="17"/>
          <w:szCs w:val="17"/>
          <w:color w:val="634140"/>
        </w:rPr>
        <w:t>_q</w:t>
      </w:r>
      <w:r>
        <w:rPr>
          <w:rFonts w:ascii="PMingLiU" w:cs="PMingLiU" w:eastAsia="PMingLiU" w:hAnsi="PMingLiU"/>
          <w:sz w:val="17"/>
          <w:szCs w:val="17"/>
          <w:color w:val="634140"/>
        </w:rPr>
        <w:t/>
      </w:r>
      <w:r>
        <w:rPr>
          <w:rFonts w:ascii="Arial" w:cs="Arial" w:eastAsia="Arial" w:hAnsi="Arial"/>
          <w:sz w:val="17"/>
          <w:szCs w:val="17"/>
          <w:color w:val="634140"/>
        </w:rPr>
        <w:t>_</w:t>
      </w:r>
      <w:r>
        <w:rPr>
          <w:rFonts w:ascii="PMingLiU" w:cs="PMingLiU" w:eastAsia="PMingLiU" w:hAnsi="PMingLiU"/>
          <w:sz w:val="17"/>
          <w:szCs w:val="17"/>
          <w:color w:val="634140"/>
        </w:rPr>
        <w:t/>
      </w:r>
      <w:r>
        <w:rPr>
          <w:rFonts w:ascii="Arial" w:cs="Arial" w:eastAsia="Arial" w:hAnsi="Arial"/>
          <w:sz w:val="17"/>
          <w:szCs w:val="17"/>
          <w:color w:val="634140"/>
        </w:rPr>
        <w:t>ncpdsk</w:t>
      </w:r>
      <w:r>
        <w:rPr>
          <w:rFonts w:ascii="Arial" w:cs="Arial" w:eastAsia="Arial" w:hAnsi="Arial"/>
          <w:sz w:val="17"/>
          <w:szCs w:val="17"/>
          <w:color w:val="634140"/>
        </w:rPr>
        <w:t>e fi</w:t>
      </w:r>
      <w:r>
        <w:rPr>
          <w:rFonts w:ascii="Arial" w:cs="Arial" w:eastAsia="Arial" w:hAnsi="Arial"/>
          <w:sz w:val="17"/>
          <w:szCs w:val="17"/>
          <w:color w:val="634140"/>
        </w:rPr>
        <w:t>v_rgtc</w:t>
      </w:r>
      <w:r>
        <w:rPr>
          <w:rFonts w:ascii="PMingLiU" w:cs="PMingLiU" w:eastAsia="PMingLiU" w:hAnsi="PMingLiU"/>
          <w:sz w:val="17"/>
          <w:szCs w:val="17"/>
          <w:color w:val="634140"/>
        </w:rPr>
        <w:t/>
      </w:r>
      <w:r>
        <w:rPr>
          <w:rFonts w:ascii="Arial" w:cs="Arial" w:eastAsia="Arial" w:hAnsi="Arial"/>
          <w:sz w:val="17"/>
          <w:szCs w:val="17"/>
          <w:color w:val="634140"/>
        </w:rPr>
        <w:t xml:space="preserve"> dmp</w:t>
      </w:r>
      <w:r>
        <w:rPr>
          <w:rFonts w:ascii="PMingLiU" w:cs="PMingLiU" w:eastAsia="PMingLiU" w:hAnsi="PMingLiU"/>
          <w:sz w:val="17"/>
          <w:szCs w:val="17"/>
          <w:color w:val="634140"/>
        </w:rPr>
        <w:t/>
      </w:r>
      <w:r>
        <w:rPr>
          <w:rFonts w:ascii="Arial" w:cs="Arial" w:eastAsia="Arial" w:hAnsi="Arial"/>
          <w:sz w:val="17"/>
          <w:szCs w:val="17"/>
          <w:color w:val="634140"/>
        </w:rPr>
        <w:t>_l</w:t>
      </w:r>
      <w:r>
        <w:rPr>
          <w:rFonts w:ascii="PMingLiU" w:cs="PMingLiU" w:eastAsia="PMingLiU" w:hAnsi="PMingLiU"/>
          <w:sz w:val="17"/>
          <w:szCs w:val="17"/>
          <w:color w:val="634140"/>
        </w:rPr>
        <w:t/>
      </w:r>
      <w:r>
        <w:rPr>
          <w:rFonts w:ascii="Arial" w:cs="Arial" w:eastAsia="Arial" w:hAnsi="Arial"/>
          <w:sz w:val="17"/>
          <w:szCs w:val="17"/>
          <w:color w:val="634140"/>
        </w:rPr>
        <w:t>clbspgle</w:t>
      </w:r>
      <w:r>
        <w:rPr>
          <w:rFonts w:ascii="PMingLiU" w:cs="PMingLiU" w:eastAsia="PMingLiU" w:hAnsi="PMingLiU"/>
          <w:sz w:val="17"/>
          <w:szCs w:val="17"/>
          <w:color w:val="634140"/>
        </w:rPr>
        <w:t/>
      </w:r>
      <w:r>
        <w:rPr>
          <w:rFonts w:ascii="Arial" w:cs="Arial" w:eastAsia="Arial" w:hAnsi="Arial"/>
          <w:sz w:val="17"/>
          <w:szCs w:val="17"/>
          <w:color w:val="634140"/>
        </w:rPr>
        <w:t>qclqmpw</w:t>
      </w:r>
      <w:r>
        <w:rPr>
          <w:rFonts w:ascii="PMingLiU" w:cs="PMingLiU" w:eastAsia="PMingLiU" w:hAnsi="PMingLiU"/>
          <w:sz w:val="17"/>
          <w:szCs w:val="17"/>
          <w:color w:val="634140"/>
        </w:rPr>
        <w:t/>
      </w:r>
      <w:r>
        <w:rPr>
          <w:rFonts w:ascii="Arial" w:cs="Arial" w:eastAsia="Arial" w:hAnsi="Arial"/>
          <w:sz w:val="17"/>
          <w:szCs w:val="17"/>
          <w:color w:val="634140"/>
        </w:rPr>
        <w:t>cvncpgclac</w:t>
      </w:r>
      <w:r>
        <w:rPr>
          <w:rFonts w:ascii="PMingLiU" w:cs="PMingLiU" w:eastAsia="PMingLiU" w:hAnsi="PMingLiU"/>
          <w:sz w:val="17"/>
          <w:szCs w:val="17"/>
          <w:color w:val="634140"/>
        </w:rPr>
        <w:t/>
      </w:r>
      <w:r>
        <w:rPr>
          <w:rFonts w:ascii="Arial" w:cs="Arial" w:eastAsia="Arial" w:hAnsi="Arial"/>
          <w:sz w:val="17"/>
          <w:szCs w:val="17"/>
          <w:color w:val="634140"/>
        </w:rPr>
        <w:t xml:space="preserve"> _lb</w:t>
      </w:r>
      <w:r>
        <w:rPr>
          <w:rFonts w:ascii="PMingLiU" w:cs="PMingLiU" w:eastAsia="PMingLiU" w:hAnsi="PMingLiU"/>
          <w:sz w:val="17"/>
          <w:szCs w:val="17"/>
          <w:color w:val="634140"/>
        </w:rPr>
        <w:t/>
      </w:r>
      <w:r>
        <w:rPr>
          <w:rFonts w:ascii="Arial" w:cs="Arial" w:eastAsia="Arial" w:hAnsi="Arial"/>
          <w:sz w:val="17"/>
          <w:szCs w:val="17"/>
          <w:color w:val="634140"/>
        </w:rPr>
        <w:t>npmtgbcq</w:t>
      </w:r>
      <w:r>
        <w:rPr>
          <w:rFonts w:ascii="PMingLiU" w:cs="PMingLiU" w:eastAsia="PMingLiU" w:hAnsi="PMingLiU"/>
          <w:sz w:val="17"/>
          <w:szCs w:val="17"/>
          <w:color w:val="634140"/>
        </w:rPr>
        <w:t/>
      </w:r>
      <w:r>
        <w:rPr>
          <w:rFonts w:ascii="Arial" w:cs="Arial" w:eastAsia="Arial" w:hAnsi="Arial"/>
          <w:sz w:val="17"/>
          <w:szCs w:val="17"/>
          <w:color w:val="634140"/>
        </w:rPr>
        <w:t>epc_r</w:t>
      </w:r>
      <w:r>
        <w:rPr>
          <w:rFonts w:ascii="PMingLiU" w:cs="PMingLiU" w:eastAsia="PMingLiU" w:hAnsi="PMingLiU"/>
          <w:sz w:val="17"/>
          <w:szCs w:val="17"/>
          <w:color w:val="634140"/>
        </w:rPr>
        <w:t/>
      </w:r>
      <w:r>
        <w:rPr>
          <w:rFonts w:ascii="Arial" w:cs="Arial" w:eastAsia="Arial" w:hAnsi="Arial"/>
          <w:sz w:val="17"/>
          <w:szCs w:val="17"/>
          <w:color w:val="634140"/>
        </w:rPr>
        <w:t>ckmjjgclaw</w:t>
      </w:r>
      <w:r>
        <w:rPr>
          <w:rFonts w:ascii="PMingLiU" w:cs="PMingLiU" w:eastAsia="PMingLiU" w:hAnsi="PMingLiU"/>
          <w:sz w:val="17"/>
          <w:szCs w:val="17"/>
          <w:color w:val="634140"/>
        </w:rPr>
        <w:t/>
      </w:r>
      <w:r>
        <w:rPr>
          <w:rFonts w:ascii="Arial" w:cs="Arial" w:eastAsia="Arial" w:hAnsi="Arial"/>
          <w:sz w:val="17"/>
          <w:szCs w:val="17"/>
          <w:color w:val="634140"/>
        </w:rPr>
        <w:t>qm</w:t>
      </w:r>
      <w:r>
        <w:rPr>
          <w:rFonts w:ascii="PMingLiU" w:cs="PMingLiU" w:eastAsia="PMingLiU" w:hAnsi="PMingLiU"/>
          <w:sz w:val="17"/>
          <w:szCs w:val="17"/>
          <w:color w:val="634140"/>
        </w:rPr>
        <w:t/>
      </w:r>
      <w:r>
        <w:rPr>
          <w:rFonts w:ascii="Arial" w:cs="Arial" w:eastAsia="Arial" w:hAnsi="Arial"/>
          <w:sz w:val="17"/>
          <w:szCs w:val="17"/>
          <w:color w:val="634140"/>
        </w:rPr>
        <w:t>qigl</w:t>
      </w:r>
      <w:r>
        <w:rPr>
          <w:rFonts w:ascii="PMingLiU" w:cs="PMingLiU" w:eastAsia="PMingLiU" w:hAnsi="PMingLiU"/>
          <w:sz w:val="17"/>
          <w:szCs w:val="17"/>
          <w:color w:val="634140"/>
        </w:rPr>
        <w:t/>
      </w:r>
      <w:r>
        <w:rPr>
          <w:rFonts w:ascii="Arial" w:cs="Arial" w:eastAsia="Arial" w:hAnsi="Arial"/>
          <w:sz w:val="17"/>
          <w:szCs w:val="17"/>
          <w:color w:val="634140"/>
        </w:rPr>
        <w:t xml:space="preserve"> dccjq</w:t>
      </w:r>
      <w:r>
        <w:rPr>
          <w:rFonts w:ascii="PMingLiU" w:cs="PMingLiU" w:eastAsia="PMingLiU" w:hAnsi="PMingLiU"/>
          <w:sz w:val="17"/>
          <w:szCs w:val="17"/>
          <w:color w:val="634140"/>
        </w:rPr>
        <w:t/>
      </w:r>
      <w:r>
        <w:rPr>
          <w:rFonts w:ascii="Arial" w:cs="Arial" w:eastAsia="Arial" w:hAnsi="Arial"/>
          <w:sz w:val="17"/>
          <w:szCs w:val="17"/>
          <w:color w:val="634140"/>
        </w:rPr>
        <w:t>qmdr</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qkmmrf</w:t>
      </w:r>
      <w:r>
        <w:rPr>
          <w:rFonts w:ascii="PMingLiU" w:cs="PMingLiU" w:eastAsia="PMingLiU" w:hAnsi="PMingLiU"/>
          <w:sz w:val="17"/>
          <w:szCs w:val="17"/>
          <w:color w:val="634140"/>
        </w:rPr>
        <w:t/>
      </w:r>
      <w:r>
        <w:rPr>
          <w:rFonts w:ascii="Arial" w:cs="Arial" w:eastAsia="Arial" w:hAnsi="Arial"/>
          <w:sz w:val="17"/>
          <w:szCs w:val="17"/>
          <w:color w:val="634140"/>
        </w:rPr>
        <w:t>Yqcq</w:t>
      </w:r>
      <w:r>
        <w:rPr>
          <w:rFonts w:ascii="PMingLiU" w:cs="PMingLiU" w:eastAsia="PMingLiU" w:hAnsi="PMingLiU"/>
          <w:sz w:val="17"/>
          <w:szCs w:val="17"/>
          <w:color w:val="634140"/>
        </w:rPr>
        <w:t/>
      </w:r>
      <w:r>
        <w:rPr>
          <w:rFonts w:ascii="Arial" w:cs="Arial" w:eastAsia="Arial" w:hAnsi="Arial"/>
          <w:sz w:val="17"/>
          <w:szCs w:val="17"/>
          <w:color w:val="634140"/>
        </w:rPr>
        <w:t>glajsbc</w:t>
      </w:r>
      <w:r>
        <w:rPr>
          <w:rFonts w:ascii="PMingLiU" w:cs="PMingLiU" w:eastAsia="PMingLiU" w:hAnsi="PMingLiU"/>
          <w:sz w:val="17"/>
          <w:szCs w:val="17"/>
          <w:color w:val="634140"/>
        </w:rPr>
        <w:t/>
      </w:r>
      <w:r>
        <w:rPr>
          <w:rFonts w:ascii="Arial" w:cs="Arial" w:eastAsia="Arial" w:hAnsi="Arial"/>
          <w:sz w:val="17"/>
          <w:szCs w:val="17"/>
          <w:color w:val="634140"/>
        </w:rPr>
        <w:t xml:space="preserve"> jc_tc&amp;ml</w:t>
      </w:r>
      <w:r>
        <w:rPr>
          <w:rFonts w:ascii="PMingLiU" w:cs="PMingLiU" w:eastAsia="PMingLiU" w:hAnsi="PMingLiU"/>
          <w:sz w:val="17"/>
          <w:szCs w:val="17"/>
          <w:color w:val="634140"/>
        </w:rPr>
        <w:t/>
      </w:r>
      <w:r>
        <w:rPr>
          <w:rFonts w:ascii="Arial" w:cs="Arial" w:eastAsia="Arial" w:hAnsi="Arial"/>
          <w:sz w:val="17"/>
          <w:szCs w:val="17"/>
          <w:color w:val="634140"/>
        </w:rPr>
        <w:t>qigl</w:t>
      </w:r>
      <w:r>
        <w:rPr>
          <w:rFonts w:ascii="PMingLiU" w:cs="PMingLiU" w:eastAsia="PMingLiU" w:hAnsi="PMingLiU"/>
          <w:sz w:val="17"/>
          <w:szCs w:val="17"/>
          <w:color w:val="634140"/>
        </w:rPr>
        <w:t/>
      </w:r>
      <w:r>
        <w:rPr>
          <w:rFonts w:ascii="Arial" w:cs="Arial" w:eastAsia="Arial" w:hAnsi="Arial"/>
          <w:sz w:val="17"/>
          <w:szCs w:val="17"/>
          <w:color w:val="634140"/>
        </w:rPr>
        <w:t>a_pc</w:t>
      </w:r>
      <w:r>
        <w:rPr>
          <w:rFonts w:ascii="PMingLiU" w:cs="PMingLiU" w:eastAsia="PMingLiU" w:hAnsi="PMingLiU"/>
          <w:sz w:val="17"/>
          <w:szCs w:val="17"/>
          <w:color w:val="634140"/>
        </w:rPr>
        <w:t/>
      </w:r>
      <w:r>
        <w:rPr>
          <w:rFonts w:ascii="Arial" w:cs="Arial" w:eastAsia="Arial" w:hAnsi="Arial"/>
          <w:sz w:val="17"/>
          <w:szCs w:val="17"/>
          <w:color w:val="634140"/>
        </w:rPr>
        <w:t>jc_tc&amp;ml</w:t>
      </w:r>
      <w:r>
        <w:rPr>
          <w:rFonts w:ascii="PMingLiU" w:cs="PMingLiU" w:eastAsia="PMingLiU" w:hAnsi="PMingLiU"/>
          <w:sz w:val="17"/>
          <w:szCs w:val="17"/>
          <w:color w:val="634140"/>
        </w:rPr>
        <w:t/>
      </w:r>
      <w:r>
        <w:rPr>
          <w:rFonts w:ascii="Arial" w:cs="Arial" w:eastAsia="Arial" w:hAnsi="Arial"/>
          <w:sz w:val="17"/>
          <w:szCs w:val="17"/>
          <w:color w:val="634140"/>
        </w:rPr>
        <w:t>f_gp</w:t>
      </w:r>
      <w:r>
        <w:rPr>
          <w:rFonts w:ascii="PMingLiU" w:cs="PMingLiU" w:eastAsia="PMingLiU" w:hAnsi="PMingLiU"/>
          <w:sz w:val="17"/>
          <w:szCs w:val="17"/>
          <w:color w:val="634140"/>
        </w:rPr>
        <w:t/>
      </w:r>
      <w:r>
        <w:rPr>
          <w:rFonts w:ascii="Arial" w:cs="Arial" w:eastAsia="Arial" w:hAnsi="Arial"/>
          <w:sz w:val="17"/>
          <w:szCs w:val="17"/>
          <w:color w:val="634140"/>
        </w:rPr>
        <w:t>a_pc</w:t>
      </w:r>
      <w:r>
        <w:rPr>
          <w:rFonts w:ascii="PMingLiU" w:cs="PMingLiU" w:eastAsia="PMingLiU" w:hAnsi="PMingLiU"/>
          <w:sz w:val="17"/>
          <w:szCs w:val="17"/>
          <w:color w:val="634140"/>
        </w:rPr>
        <w:t/>
      </w:r>
      <w:r>
        <w:rPr>
          <w:rFonts w:ascii="Arial" w:cs="Arial" w:eastAsia="Arial" w:hAnsi="Arial"/>
          <w:sz w:val="17"/>
          <w:szCs w:val="17"/>
          <w:color w:val="634140"/>
        </w:rPr>
        <w:t xml:space="preserve"> _lb</w:t>
      </w:r>
      <w:r>
        <w:rPr>
          <w:rFonts w:ascii="PMingLiU" w:cs="PMingLiU" w:eastAsia="PMingLiU" w:hAnsi="PMingLiU"/>
          <w:sz w:val="17"/>
          <w:szCs w:val="17"/>
          <w:color w:val="634140"/>
        </w:rPr>
        <w:t/>
      </w:r>
      <w:r>
        <w:rPr>
          <w:rFonts w:ascii="Arial" w:cs="Arial" w:eastAsia="Arial" w:hAnsi="Arial"/>
          <w:sz w:val="17"/>
          <w:szCs w:val="17"/>
          <w:color w:val="634140"/>
        </w:rPr>
        <w:t>ucr</w:t>
      </w:r>
      <w:r>
        <w:rPr>
          <w:rFonts w:ascii="PMingLiU" w:cs="PMingLiU" w:eastAsia="PMingLiU" w:hAnsi="PMingLiU"/>
          <w:sz w:val="17"/>
          <w:szCs w:val="17"/>
          <w:color w:val="634140"/>
        </w:rPr>
        <w:t/>
      </w:r>
      <w:r>
        <w:rPr>
          <w:rFonts w:ascii="Arial" w:cs="Arial" w:eastAsia="Arial" w:hAnsi="Arial"/>
          <w:sz w:val="17"/>
          <w:szCs w:val="17"/>
          <w:color w:val="634140"/>
        </w:rPr>
        <w:t>ugncq</w:t>
      </w:r>
      <w:r>
        <w:rPr>
          <w:rFonts w:ascii="PMingLiU" w:cs="PMingLiU" w:eastAsia="PMingLiU" w:hAnsi="PMingLiU"/>
          <w:sz w:val="17"/>
          <w:szCs w:val="17"/>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-1553845</wp:posOffset>
            </wp:positionV>
            <wp:extent cx="1734185" cy="3202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6">
                      <a:extLst>
                        <a:ext uri="{28A0092B-C50C-407E-A947-70E740481C1C}"/>
                      </a:extLst>
                    </a:blip>
                    <a:srcRect/>
                    <a:stretch>
                      <a:fillRect/>
                    </a:stretch>
                  </pic:blipFill>
                  <pic:spPr bwMode="auto">
                    <a:xfrm>
                      <a:off x="0" y="0"/>
                      <a:ext cx="1734185" cy="3202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80" w:right="80"/>
        <w:spacing w:after="0" w:line="249" w:lineRule="exact"/>
        <w:rPr>
          <w:sz w:val="20"/>
          <w:szCs w:val="20"/>
          <w:color w:val="auto"/>
        </w:rPr>
      </w:pPr>
      <w:r>
        <w:rPr>
          <w:rFonts w:ascii="Arial" w:cs="Arial" w:eastAsia="Arial" w:hAnsi="Arial"/>
          <w:sz w:val="18"/>
          <w:szCs w:val="18"/>
          <w:b w:val="1"/>
          <w:bCs w:val="1"/>
          <w:color w:val="59BDB6"/>
        </w:rPr>
        <w:t>js`pgf_lacB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qwqrck</w:t>
      </w:r>
      <w:r>
        <w:rPr>
          <w:rFonts w:ascii="PMingLiU" w:cs="PMingLiU" w:eastAsia="PMingLiU" w:hAnsi="PMingLiU"/>
          <w:sz w:val="18"/>
          <w:szCs w:val="18"/>
          <w:color w:val="634140"/>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l_rsp_j</w:t>
      </w:r>
      <w:r>
        <w:rPr>
          <w:rFonts w:ascii="PMingLiU" w:cs="PMingLiU" w:eastAsia="PMingLiU" w:hAnsi="PMingLiU"/>
          <w:sz w:val="18"/>
          <w:szCs w:val="18"/>
          <w:color w:val="634140"/>
        </w:rPr>
        <w:t/>
      </w:r>
      <w:r>
        <w:rPr>
          <w:rFonts w:ascii="Arial" w:cs="Arial" w:eastAsia="Arial" w:hAnsi="Arial"/>
          <w:sz w:val="18"/>
          <w:szCs w:val="18"/>
          <w:b w:val="1"/>
          <w:bCs w:val="1"/>
          <w:color w:val="59BDB6"/>
        </w:rPr>
        <w:t xml:space="preserve"> </w:t>
      </w:r>
      <w:r>
        <w:rPr>
          <w:rFonts w:ascii="Arial" w:cs="Arial" w:eastAsia="Arial" w:hAnsi="Arial"/>
          <w:sz w:val="18"/>
          <w:szCs w:val="18"/>
          <w:color w:val="634140"/>
        </w:rPr>
        <w:t>bcpgtcb</w:t>
      </w:r>
      <w:r>
        <w:rPr>
          <w:rFonts w:ascii="PMingLiU" w:cs="PMingLiU" w:eastAsia="PMingLiU" w:hAnsi="PMingLiU"/>
          <w:sz w:val="18"/>
          <w:szCs w:val="18"/>
          <w:color w:val="634140"/>
        </w:rPr>
        <w:t/>
      </w:r>
      <w:r>
        <w:rPr>
          <w:rFonts w:ascii="Arial" w:cs="Arial" w:eastAsia="Arial" w:hAnsi="Arial"/>
          <w:sz w:val="18"/>
          <w:szCs w:val="18"/>
          <w:color w:val="634140"/>
        </w:rPr>
        <w:t>kgapmcksjqgml</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f_gp</w:t>
      </w:r>
      <w:r>
        <w:rPr>
          <w:rFonts w:ascii="PMingLiU" w:cs="PMingLiU" w:eastAsia="PMingLiU" w:hAnsi="PMingLiU"/>
          <w:sz w:val="18"/>
          <w:szCs w:val="18"/>
          <w:color w:val="634140"/>
        </w:rPr>
        <w:t/>
      </w:r>
      <w:r>
        <w:rPr>
          <w:rFonts w:ascii="Arial" w:cs="Arial" w:eastAsia="Arial" w:hAnsi="Arial"/>
          <w:sz w:val="18"/>
          <w:szCs w:val="18"/>
          <w:color w:val="634140"/>
        </w:rPr>
        <w:t>rf_r</w:t>
      </w:r>
      <w:r>
        <w:rPr>
          <w:rFonts w:ascii="PMingLiU" w:cs="PMingLiU" w:eastAsia="PMingLiU" w:hAnsi="PMingLiU"/>
          <w:sz w:val="18"/>
          <w:szCs w:val="18"/>
          <w:color w:val="634140"/>
        </w:rPr>
        <w:t/>
      </w:r>
      <w:r>
        <w:rPr>
          <w:rFonts w:ascii="Arial" w:cs="Arial" w:eastAsia="Arial" w:hAnsi="Arial"/>
          <w:sz w:val="18"/>
          <w:szCs w:val="18"/>
          <w:color w:val="634140"/>
        </w:rPr>
        <w:t xml:space="preserve"> cla_nqsj_rcq</w:t>
      </w:r>
      <w:r>
        <w:rPr>
          <w:rFonts w:ascii="PMingLiU" w:cs="PMingLiU" w:eastAsia="PMingLiU" w:hAnsi="PMingLiU"/>
          <w:sz w:val="18"/>
          <w:szCs w:val="18"/>
          <w:color w:val="634140"/>
        </w:rPr>
        <w:t/>
      </w:r>
      <w:r>
        <w:rPr>
          <w:rFonts w:ascii="Arial" w:cs="Arial" w:eastAsia="Arial" w:hAnsi="Arial"/>
          <w:sz w:val="18"/>
          <w:szCs w:val="18"/>
          <w:color w:val="634140"/>
        </w:rPr>
        <w:t>tcecr_`jc</w:t>
      </w:r>
      <w:r>
        <w:rPr>
          <w:rFonts w:ascii="PMingLiU" w:cs="PMingLiU" w:eastAsia="PMingLiU" w:hAnsi="PMingLiU"/>
          <w:sz w:val="18"/>
          <w:szCs w:val="18"/>
          <w:color w:val="634140"/>
        </w:rPr>
        <w:t/>
      </w:r>
      <w:r>
        <w:rPr>
          <w:rFonts w:ascii="Arial" w:cs="Arial" w:eastAsia="Arial" w:hAnsi="Arial"/>
          <w:sz w:val="18"/>
          <w:szCs w:val="18"/>
          <w:color w:val="634140"/>
        </w:rPr>
        <w:t>mgjq</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 xml:space="preserve"> kgkgaq</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js`pgagrw</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ckmjjgclac</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 xml:space="preserve"> f_gp</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k_glr_gl</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l_rsp_j</w:t>
      </w:r>
      <w:r>
        <w:rPr>
          <w:rFonts w:ascii="PMingLiU" w:cs="PMingLiU" w:eastAsia="PMingLiU" w:hAnsi="PMingLiU"/>
          <w:sz w:val="18"/>
          <w:szCs w:val="18"/>
          <w:color w:val="634140"/>
        </w:rPr>
        <w:t/>
      </w:r>
      <w:r>
        <w:rPr>
          <w:rFonts w:ascii="Arial" w:cs="Arial" w:eastAsia="Arial" w:hAnsi="Arial"/>
          <w:sz w:val="18"/>
          <w:szCs w:val="18"/>
          <w:color w:val="634140"/>
        </w:rPr>
        <w:t>`c_srw</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 xml:space="preserve"> rfc</w:t>
      </w:r>
      <w:r>
        <w:rPr>
          <w:rFonts w:ascii="PMingLiU" w:cs="PMingLiU" w:eastAsia="PMingLiU" w:hAnsi="PMingLiU"/>
          <w:sz w:val="18"/>
          <w:szCs w:val="18"/>
          <w:color w:val="634140"/>
        </w:rPr>
        <w:t/>
      </w:r>
      <w:r>
        <w:rPr>
          <w:rFonts w:ascii="Arial" w:cs="Arial" w:eastAsia="Arial" w:hAnsi="Arial"/>
          <w:sz w:val="18"/>
          <w:szCs w:val="18"/>
          <w:color w:val="634140"/>
        </w:rPr>
        <w:t>qrp_lbq</w:t>
      </w:r>
      <w:r>
        <w:rPr>
          <w:rFonts w:ascii="PMingLiU" w:cs="PMingLiU" w:eastAsia="PMingLiU" w:hAnsi="PMingLiU"/>
          <w:sz w:val="18"/>
          <w:szCs w:val="18"/>
          <w:color w:val="634140"/>
        </w:rPr>
        <w:t/>
      </w:r>
      <w:r>
        <w:rPr>
          <w:rFonts w:ascii="Arial" w:cs="Arial" w:eastAsia="Arial" w:hAnsi="Arial"/>
          <w:sz w:val="18"/>
          <w:szCs w:val="18"/>
          <w:color w:val="634140"/>
        </w:rPr>
        <w:t>clqspgle</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cqqclrg_j</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 xml:space="preserve"> npmrcargtc</w:t>
      </w:r>
      <w:r>
        <w:rPr>
          <w:rFonts w:ascii="PMingLiU" w:cs="PMingLiU" w:eastAsia="PMingLiU" w:hAnsi="PMingLiU"/>
          <w:sz w:val="18"/>
          <w:szCs w:val="18"/>
          <w:color w:val="634140"/>
        </w:rPr>
        <w:t/>
      </w:r>
      <w:r>
        <w:rPr>
          <w:rFonts w:ascii="Arial" w:cs="Arial" w:eastAsia="Arial" w:hAnsi="Arial"/>
          <w:sz w:val="18"/>
          <w:szCs w:val="18"/>
          <w:color w:val="634140"/>
        </w:rPr>
        <w:t>fwbpmnfm`gagrw</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f_gp</w:t>
      </w:r>
      <w:r>
        <w:rPr>
          <w:rFonts w:ascii="PMingLiU" w:cs="PMingLiU" w:eastAsia="PMingLiU" w:hAnsi="PMingLiU"/>
          <w:sz w:val="18"/>
          <w:szCs w:val="18"/>
          <w:color w:val="634140"/>
        </w:rPr>
        <w:t/>
      </w:r>
    </w:p>
    <w:p>
      <w:pPr>
        <w:spacing w:after="0" w:line="2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b w:val="1"/>
          <w:bCs w:val="1"/>
          <w:color w:val="59BDB6"/>
        </w:rPr>
        <w:t>apwqr_j</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f_lacB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qwqrck</w:t>
      </w:r>
      <w:r>
        <w:rPr>
          <w:rFonts w:ascii="PMingLiU" w:cs="PMingLiU" w:eastAsia="PMingLiU" w:hAnsi="PMingLiU"/>
          <w:sz w:val="18"/>
          <w:szCs w:val="18"/>
          <w:color w:val="634140"/>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slgosc</w:t>
      </w:r>
      <w:r>
        <w:rPr>
          <w:rFonts w:ascii="PMingLiU" w:cs="PMingLiU" w:eastAsia="PMingLiU" w:hAnsi="PMingLiU"/>
          <w:sz w:val="18"/>
          <w:szCs w:val="18"/>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-121285</wp:posOffset>
            </wp:positionV>
            <wp:extent cx="1825625" cy="13462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7">
                      <a:extLst>
                        <a:ext uri="{28A0092B-C50C-407E-A947-70E740481C1C}"/>
                      </a:extLst>
                    </a:blip>
                    <a:srcRect/>
                    <a:stretch>
                      <a:fillRect/>
                    </a:stretch>
                  </pic:blipFill>
                  <pic:spPr bwMode="auto">
                    <a:xfrm>
                      <a:off x="0" y="0"/>
                      <a:ext cx="1825625" cy="1346200"/>
                    </a:xfrm>
                    <a:prstGeom prst="rect">
                      <a:avLst/>
                    </a:prstGeom>
                    <a:noFill/>
                  </pic:spPr>
                </pic:pic>
              </a:graphicData>
            </a:graphic>
          </wp:anchor>
        </w:drawing>
      </w:r>
    </w:p>
    <w:p>
      <w:pPr>
        <w:spacing w:after="0" w:line="19" w:lineRule="exact"/>
        <w:rPr>
          <w:sz w:val="20"/>
          <w:szCs w:val="20"/>
          <w:color w:val="auto"/>
        </w:rPr>
      </w:pPr>
    </w:p>
    <w:p>
      <w:pPr>
        <w:ind w:left="3080" w:right="160"/>
        <w:spacing w:after="0" w:line="246" w:lineRule="exact"/>
        <w:rPr>
          <w:sz w:val="20"/>
          <w:szCs w:val="20"/>
          <w:color w:val="auto"/>
        </w:rPr>
      </w:pPr>
      <w:r>
        <w:rPr>
          <w:rFonts w:ascii="Arial" w:cs="Arial" w:eastAsia="Arial" w:hAnsi="Arial"/>
          <w:sz w:val="17"/>
          <w:szCs w:val="17"/>
          <w:color w:val="634140"/>
        </w:rPr>
        <w:t>l_rspc&amp;bcpgtcb</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fcjnq</w:t>
      </w:r>
      <w:r>
        <w:rPr>
          <w:rFonts w:ascii="PMingLiU" w:cs="PMingLiU" w:eastAsia="PMingLiU" w:hAnsi="PMingLiU"/>
          <w:sz w:val="17"/>
          <w:szCs w:val="17"/>
          <w:color w:val="634140"/>
        </w:rPr>
        <w:t/>
      </w:r>
      <w:r>
        <w:rPr>
          <w:rFonts w:ascii="Arial" w:cs="Arial" w:eastAsia="Arial" w:hAnsi="Arial"/>
          <w:sz w:val="17"/>
          <w:szCs w:val="17"/>
          <w:color w:val="634140"/>
        </w:rPr>
        <w:t>pcrcvrspc</w:t>
      </w:r>
      <w:r>
        <w:rPr>
          <w:rFonts w:ascii="PMingLiU" w:cs="PMingLiU" w:eastAsia="PMingLiU" w:hAnsi="PMingLiU"/>
          <w:sz w:val="17"/>
          <w:szCs w:val="17"/>
          <w:color w:val="634140"/>
        </w:rPr>
        <w:t/>
      </w:r>
      <w:r>
        <w:rPr>
          <w:rFonts w:ascii="Arial" w:cs="Arial" w:eastAsia="Arial" w:hAnsi="Arial"/>
          <w:sz w:val="17"/>
          <w:szCs w:val="17"/>
          <w:color w:val="634140"/>
        </w:rPr>
        <w:t xml:space="preserve"> f_g</w:t>
      </w:r>
      <w:r>
        <w:rPr>
          <w:rFonts w:ascii="Arial" w:cs="Arial" w:eastAsia="Arial" w:hAnsi="Arial"/>
          <w:sz w:val="17"/>
          <w:szCs w:val="17"/>
          <w:color w:val="634140"/>
        </w:rPr>
        <w:t>r fi</w:t>
      </w:r>
      <w:r>
        <w:rPr>
          <w:rFonts w:ascii="Arial" w:cs="Arial" w:eastAsia="Arial" w:hAnsi="Arial"/>
          <w:sz w:val="17"/>
          <w:szCs w:val="17"/>
          <w:color w:val="634140"/>
        </w:rPr>
        <w:t>`cpq</w:t>
      </w:r>
      <w:r>
        <w:rPr>
          <w:rFonts w:ascii="PMingLiU" w:cs="PMingLiU" w:eastAsia="PMingLiU" w:hAnsi="PMingLiU"/>
          <w:sz w:val="17"/>
          <w:szCs w:val="17"/>
          <w:color w:val="634140"/>
        </w:rPr>
        <w:t/>
      </w:r>
      <w:r>
        <w:rPr>
          <w:rFonts w:ascii="Arial" w:cs="Arial" w:eastAsia="Arial" w:hAnsi="Arial"/>
          <w:sz w:val="17"/>
          <w:szCs w:val="17"/>
          <w:color w:val="634140"/>
        </w:rPr>
        <w:t>Mr</w:t>
      </w:r>
      <w:r>
        <w:rPr>
          <w:rFonts w:ascii="PMingLiU" w:cs="PMingLiU" w:eastAsia="PMingLiU" w:hAnsi="PMingLiU"/>
          <w:sz w:val="17"/>
          <w:szCs w:val="17"/>
          <w:color w:val="634140"/>
        </w:rPr>
        <w:t/>
      </w:r>
      <w:r>
        <w:rPr>
          <w:rFonts w:ascii="Arial" w:cs="Arial" w:eastAsia="Arial" w:hAnsi="Arial"/>
          <w:sz w:val="17"/>
          <w:szCs w:val="17"/>
          <w:color w:val="634140"/>
        </w:rPr>
        <w:t>pcamtcpq</w:t>
      </w:r>
      <w:r>
        <w:rPr>
          <w:rFonts w:ascii="PMingLiU" w:cs="PMingLiU" w:eastAsia="PMingLiU" w:hAnsi="PMingLiU"/>
          <w:sz w:val="17"/>
          <w:szCs w:val="17"/>
          <w:color w:val="634140"/>
        </w:rPr>
        <w:t/>
      </w:r>
      <w:r>
        <w:rPr>
          <w:rFonts w:ascii="Arial" w:cs="Arial" w:eastAsia="Arial" w:hAnsi="Arial"/>
          <w:sz w:val="17"/>
          <w:szCs w:val="17"/>
          <w:color w:val="634140"/>
        </w:rPr>
        <w:t>f_gp</w:t>
      </w:r>
      <w:r>
        <w:rPr>
          <w:rFonts w:ascii="PMingLiU" w:cs="PMingLiU" w:eastAsia="PMingLiU" w:hAnsi="PMingLiU"/>
          <w:sz w:val="17"/>
          <w:szCs w:val="17"/>
          <w:color w:val="634140"/>
        </w:rPr>
        <w:t/>
      </w:r>
      <w:r>
        <w:rPr>
          <w:rFonts w:ascii="Arial" w:cs="Arial" w:eastAsia="Arial" w:hAnsi="Arial"/>
          <w:sz w:val="17"/>
          <w:szCs w:val="17"/>
          <w:color w:val="634140"/>
        </w:rPr>
        <w:t>apwqr_jjglgrw</w:t>
      </w:r>
      <w:r>
        <w:rPr>
          <w:rFonts w:ascii="PMingLiU" w:cs="PMingLiU" w:eastAsia="PMingLiU" w:hAnsi="PMingLiU"/>
          <w:sz w:val="17"/>
          <w:szCs w:val="17"/>
          <w:color w:val="634140"/>
        </w:rPr>
        <w:t/>
      </w:r>
      <w:r>
        <w:rPr>
          <w:rFonts w:ascii="Arial" w:cs="Arial" w:eastAsia="Arial" w:hAnsi="Arial"/>
          <w:sz w:val="17"/>
          <w:szCs w:val="17"/>
          <w:color w:val="634140"/>
        </w:rPr>
        <w:t xml:space="preserve"> npmtgbgle</w:t>
      </w:r>
      <w:r>
        <w:rPr>
          <w:rFonts w:ascii="PMingLiU" w:cs="PMingLiU" w:eastAsia="PMingLiU" w:hAnsi="PMingLiU"/>
          <w:sz w:val="17"/>
          <w:szCs w:val="17"/>
          <w:color w:val="634140"/>
        </w:rPr>
        <w:t/>
      </w:r>
      <w:r>
        <w:rPr>
          <w:rFonts w:ascii="Arial" w:cs="Arial" w:eastAsia="Arial" w:hAnsi="Arial"/>
          <w:sz w:val="17"/>
          <w:szCs w:val="17"/>
          <w:color w:val="634140"/>
        </w:rPr>
        <w:t>amlbgrgmlgle</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rfpcc&amp; bgkclqgml_j</w:t>
      </w:r>
      <w:r>
        <w:rPr>
          <w:rFonts w:ascii="PMingLiU" w:cs="PMingLiU" w:eastAsia="PMingLiU" w:hAnsi="PMingLiU"/>
          <w:sz w:val="17"/>
          <w:szCs w:val="17"/>
          <w:color w:val="634140"/>
        </w:rPr>
        <w:t/>
      </w:r>
      <w:r>
        <w:rPr>
          <w:rFonts w:ascii="Arial" w:cs="Arial" w:eastAsia="Arial" w:hAnsi="Arial"/>
          <w:sz w:val="17"/>
          <w:szCs w:val="17"/>
          <w:color w:val="634140"/>
        </w:rPr>
        <w:t>qfglc</w:t>
      </w:r>
      <w:r>
        <w:rPr>
          <w:rFonts w:ascii="PMingLiU" w:cs="PMingLiU" w:eastAsia="PMingLiU" w:hAnsi="PMingLiU"/>
          <w:sz w:val="17"/>
          <w:szCs w:val="17"/>
          <w:color w:val="634140"/>
        </w:rPr>
        <w:t/>
      </w:r>
      <w:r>
        <w:rPr>
          <w:rFonts w:ascii="Arial" w:cs="Arial" w:eastAsia="Arial" w:hAnsi="Arial"/>
          <w:sz w:val="17"/>
          <w:szCs w:val="17"/>
          <w:color w:val="634140"/>
        </w:rPr>
        <w:t>ugrf</w:t>
      </w:r>
      <w:r>
        <w:rPr>
          <w:rFonts w:ascii="PMingLiU" w:cs="PMingLiU" w:eastAsia="PMingLiU" w:hAnsi="PMingLiU"/>
          <w:sz w:val="17"/>
          <w:szCs w:val="17"/>
          <w:color w:val="634140"/>
        </w:rPr>
        <w:t/>
      </w:r>
      <w:r>
        <w:rPr>
          <w:rFonts w:ascii="Arial" w:cs="Arial" w:eastAsia="Arial" w:hAnsi="Arial"/>
          <w:sz w:val="17"/>
          <w:szCs w:val="17"/>
          <w:color w:val="634140"/>
        </w:rPr>
        <w:t>qkmmrfgle</w:t>
      </w:r>
      <w:r>
        <w:rPr>
          <w:rFonts w:ascii="PMingLiU" w:cs="PMingLiU" w:eastAsia="PMingLiU" w:hAnsi="PMingLiU"/>
          <w:sz w:val="17"/>
          <w:szCs w:val="17"/>
          <w:color w:val="634140"/>
        </w:rPr>
        <w:t/>
      </w:r>
      <w:r>
        <w:rPr>
          <w:rFonts w:ascii="Arial" w:cs="Arial" w:eastAsia="Arial" w:hAnsi="Arial"/>
          <w:sz w:val="17"/>
          <w:szCs w:val="17"/>
          <w:color w:val="634140"/>
        </w:rPr>
        <w:t xml:space="preserve"> _lrg&amp;dpgxx</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jmle&amp;j_qrgle</w:t>
      </w:r>
      <w:r>
        <w:rPr>
          <w:rFonts w:ascii="PMingLiU" w:cs="PMingLiU" w:eastAsia="PMingLiU" w:hAnsi="PMingLiU"/>
          <w:sz w:val="17"/>
          <w:szCs w:val="17"/>
          <w:color w:val="634140"/>
        </w:rPr>
        <w:t/>
      </w:r>
      <w:r>
        <w:rPr>
          <w:rFonts w:ascii="Arial" w:cs="Arial" w:eastAsia="Arial" w:hAnsi="Arial"/>
          <w:sz w:val="17"/>
          <w:szCs w:val="17"/>
          <w:color w:val="634140"/>
        </w:rPr>
        <w:t>fwbp_rgml</w:t>
      </w:r>
      <w:r>
        <w:rPr>
          <w:rFonts w:ascii="PMingLiU" w:cs="PMingLiU" w:eastAsia="PMingLiU" w:hAnsi="PMingLiU"/>
          <w:sz w:val="17"/>
          <w:szCs w:val="17"/>
          <w:color w:val="634140"/>
        </w:rPr>
        <w:t/>
      </w:r>
    </w:p>
    <w:p>
      <w:pPr>
        <w:spacing w:after="0" w:line="66"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color w:val="634140"/>
        </w:rPr>
        <w:t>Mr</w:t>
      </w:r>
      <w:r>
        <w:rPr>
          <w:rFonts w:ascii="PMingLiU" w:cs="PMingLiU" w:eastAsia="PMingLiU" w:hAnsi="PMingLiU"/>
          <w:sz w:val="18"/>
          <w:szCs w:val="18"/>
          <w:color w:val="634140"/>
        </w:rPr>
        <w:t/>
      </w:r>
      <w:r>
        <w:rPr>
          <w:rFonts w:ascii="Arial" w:cs="Arial" w:eastAsia="Arial" w:hAnsi="Arial"/>
          <w:sz w:val="18"/>
          <w:szCs w:val="18"/>
          <w:color w:val="634140"/>
        </w:rPr>
        <w:t>cqncag_jjw</w:t>
      </w:r>
      <w:r>
        <w:rPr>
          <w:rFonts w:ascii="PMingLiU" w:cs="PMingLiU" w:eastAsia="PMingLiU" w:hAnsi="PMingLiU"/>
          <w:sz w:val="18"/>
          <w:szCs w:val="18"/>
          <w:color w:val="634140"/>
        </w:rPr>
        <w:t/>
      </w:r>
      <w:r>
        <w:rPr>
          <w:rFonts w:ascii="Arial" w:cs="Arial" w:eastAsia="Arial" w:hAnsi="Arial"/>
          <w:sz w:val="18"/>
          <w:szCs w:val="18"/>
          <w:color w:val="634140"/>
        </w:rPr>
        <w:t>npmrcarq</w:t>
      </w:r>
      <w:r>
        <w:rPr>
          <w:rFonts w:ascii="PMingLiU" w:cs="PMingLiU" w:eastAsia="PMingLiU" w:hAnsi="PMingLiU"/>
          <w:sz w:val="18"/>
          <w:szCs w:val="18"/>
          <w:color w:val="634140"/>
        </w:rPr>
        <w:t/>
      </w:r>
      <w:r>
        <w:rPr>
          <w:rFonts w:ascii="Arial" w:cs="Arial" w:eastAsia="Arial" w:hAnsi="Arial"/>
          <w:sz w:val="18"/>
          <w:szCs w:val="18"/>
          <w:color w:val="634140"/>
        </w:rPr>
        <w:t>bwcb</w:t>
      </w:r>
      <w:r>
        <w:rPr>
          <w:rFonts w:ascii="PMingLiU" w:cs="PMingLiU" w:eastAsia="PMingLiU" w:hAnsi="PMingLiU"/>
          <w:sz w:val="18"/>
          <w:szCs w:val="18"/>
          <w:color w:val="634140"/>
        </w:rPr>
        <w:t/>
      </w:r>
      <w:r>
        <w:rPr>
          <w:rFonts w:ascii="Arial" w:cs="Arial" w:eastAsia="Arial" w:hAnsi="Arial"/>
          <w:sz w:val="18"/>
          <w:szCs w:val="18"/>
          <w:color w:val="634140"/>
        </w:rPr>
        <w:t>f_gp</w:t>
      </w:r>
      <w:r>
        <w:rPr>
          <w:rFonts w:ascii="PMingLiU" w:cs="PMingLiU" w:eastAsia="PMingLiU" w:hAnsi="PMingLiU"/>
          <w:sz w:val="18"/>
          <w:szCs w:val="18"/>
          <w:color w:val="634140"/>
        </w:rPr>
        <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42" w:lineRule="exact"/>
        <w:rPr>
          <w:sz w:val="20"/>
          <w:szCs w:val="20"/>
          <w:color w:val="auto"/>
        </w:rPr>
      </w:pPr>
      <w:r>
        <w:rPr>
          <w:rFonts w:ascii="Arial" w:cs="Arial" w:eastAsia="Arial" w:hAnsi="Arial"/>
          <w:sz w:val="17"/>
          <w:szCs w:val="17"/>
          <w:b w:val="1"/>
          <w:bCs w:val="1"/>
          <w:color w:val="59BDB6"/>
        </w:rPr>
        <w:t>lcu</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kgapm`g_j</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npmrcargml</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a_n_`gjgrw</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 xml:space="preserve"> gl</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G_`pcst_</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Fp_xgj</w:t>
      </w:r>
      <w:r>
        <w:rPr>
          <w:rFonts w:ascii="PMingLiU" w:cs="PMingLiU" w:eastAsia="PMingLiU" w:hAnsi="PMingLiU"/>
          <w:sz w:val="17"/>
          <w:szCs w:val="17"/>
          <w:b w:val="1"/>
          <w:bCs w:val="1"/>
          <w:color w:val="59BDB6"/>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-3543935</wp:posOffset>
            </wp:positionV>
            <wp:extent cx="2890520" cy="7120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8">
                      <a:extLst>
                        <a:ext uri="{28A0092B-C50C-407E-A947-70E740481C1C}"/>
                      </a:extLst>
                    </a:blip>
                    <a:srcRect/>
                    <a:stretch>
                      <a:fillRect/>
                    </a:stretch>
                  </pic:blipFill>
                  <pic:spPr bwMode="auto">
                    <a:xfrm>
                      <a:off x="0" y="0"/>
                      <a:ext cx="2890520" cy="7120255"/>
                    </a:xfrm>
                    <a:prstGeom prst="rect">
                      <a:avLst/>
                    </a:prstGeom>
                    <a:noFill/>
                  </pic:spPr>
                </pic:pic>
              </a:graphicData>
            </a:graphic>
          </wp:anchor>
        </w:drawing>
      </w:r>
    </w:p>
    <w:p>
      <w:pPr>
        <w:spacing w:after="0" w:line="300" w:lineRule="exact"/>
        <w:rPr>
          <w:sz w:val="20"/>
          <w:szCs w:val="20"/>
          <w:color w:val="auto"/>
        </w:rPr>
      </w:pPr>
    </w:p>
    <w:p>
      <w:pPr>
        <w:ind w:right="220"/>
        <w:spacing w:after="0" w:line="255" w:lineRule="exact"/>
        <w:rPr>
          <w:sz w:val="20"/>
          <w:szCs w:val="20"/>
          <w:color w:val="auto"/>
        </w:rPr>
      </w:pPr>
      <w:r>
        <w:rPr>
          <w:rFonts w:ascii="Arial" w:cs="Arial" w:eastAsia="Arial" w:hAnsi="Arial"/>
          <w:sz w:val="17"/>
          <w:szCs w:val="17"/>
          <w:color w:val="634140"/>
        </w:rPr>
        <w:t>Eqfj_lb</w:t>
      </w:r>
      <w:r>
        <w:rPr>
          <w:rFonts w:ascii="PMingLiU" w:cs="PMingLiU" w:eastAsia="PMingLiU" w:hAnsi="PMingLiU"/>
          <w:sz w:val="17"/>
          <w:szCs w:val="17"/>
          <w:color w:val="634140"/>
        </w:rPr>
        <w:t/>
      </w:r>
      <w:r>
        <w:rPr>
          <w:rFonts w:ascii="Arial" w:cs="Arial" w:eastAsia="Arial" w:hAnsi="Arial"/>
          <w:sz w:val="17"/>
          <w:szCs w:val="17"/>
          <w:color w:val="634140"/>
        </w:rPr>
        <w:t>f_q</w:t>
      </w:r>
      <w:r>
        <w:rPr>
          <w:rFonts w:ascii="PMingLiU" w:cs="PMingLiU" w:eastAsia="PMingLiU" w:hAnsi="PMingLiU"/>
          <w:sz w:val="17"/>
          <w:szCs w:val="17"/>
          <w:color w:val="634140"/>
        </w:rPr>
        <w:t/>
      </w:r>
      <w:r>
        <w:rPr>
          <w:rFonts w:ascii="Arial" w:cs="Arial" w:eastAsia="Arial" w:hAnsi="Arial"/>
          <w:sz w:val="17"/>
          <w:szCs w:val="17"/>
          <w:color w:val="634140"/>
        </w:rPr>
        <w:t>kmbcplgxcb</w:t>
      </w:r>
      <w:r>
        <w:rPr>
          <w:rFonts w:ascii="PMingLiU" w:cs="PMingLiU" w:eastAsia="PMingLiU" w:hAnsi="PMingLiU"/>
          <w:sz w:val="17"/>
          <w:szCs w:val="17"/>
          <w:color w:val="634140"/>
        </w:rPr>
        <w:t/>
      </w:r>
      <w:r>
        <w:rPr>
          <w:rFonts w:ascii="Arial" w:cs="Arial" w:eastAsia="Arial" w:hAnsi="Arial"/>
          <w:sz w:val="17"/>
          <w:szCs w:val="17"/>
          <w:color w:val="634140"/>
        </w:rPr>
        <w:t>cosgnkclr</w:t>
      </w:r>
      <w:r>
        <w:rPr>
          <w:rFonts w:ascii="PMingLiU" w:cs="PMingLiU" w:eastAsia="PMingLiU" w:hAnsi="PMingLiU"/>
          <w:sz w:val="17"/>
          <w:szCs w:val="17"/>
          <w:color w:val="634140"/>
        </w:rPr>
        <w:t/>
      </w:r>
      <w:r>
        <w:rPr>
          <w:rFonts w:ascii="Arial" w:cs="Arial" w:eastAsia="Arial" w:hAnsi="Arial"/>
          <w:sz w:val="17"/>
          <w:szCs w:val="17"/>
          <w:color w:val="634140"/>
        </w:rPr>
        <w:t xml:space="preserve"> dmp</w:t>
      </w:r>
      <w:r>
        <w:rPr>
          <w:rFonts w:ascii="PMingLiU" w:cs="PMingLiU" w:eastAsia="PMingLiU" w:hAnsi="PMingLiU"/>
          <w:sz w:val="17"/>
          <w:szCs w:val="17"/>
          <w:color w:val="634140"/>
        </w:rPr>
        <w:t/>
      </w:r>
      <w:r>
        <w:rPr>
          <w:rFonts w:ascii="Arial" w:cs="Arial" w:eastAsia="Arial" w:hAnsi="Arial"/>
          <w:sz w:val="17"/>
          <w:szCs w:val="17"/>
          <w:color w:val="634140"/>
        </w:rPr>
        <w:t>kgapm`g_j</w:t>
      </w:r>
      <w:r>
        <w:rPr>
          <w:rFonts w:ascii="PMingLiU" w:cs="PMingLiU" w:eastAsia="PMingLiU" w:hAnsi="PMingLiU"/>
          <w:sz w:val="17"/>
          <w:szCs w:val="17"/>
          <w:color w:val="634140"/>
        </w:rPr>
        <w:t/>
      </w:r>
      <w:r>
        <w:rPr>
          <w:rFonts w:ascii="Arial" w:cs="Arial" w:eastAsia="Arial" w:hAnsi="Arial"/>
          <w:sz w:val="17"/>
          <w:szCs w:val="17"/>
          <w:color w:val="634140"/>
        </w:rPr>
        <w:t>npmrcargml</w:t>
      </w:r>
      <w:r>
        <w:rPr>
          <w:rFonts w:ascii="PMingLiU" w:cs="PMingLiU" w:eastAsia="PMingLiU" w:hAnsi="PMingLiU"/>
          <w:sz w:val="17"/>
          <w:szCs w:val="17"/>
          <w:color w:val="634140"/>
        </w:rPr>
        <w:t/>
      </w:r>
      <w:r>
        <w:rPr>
          <w:rFonts w:ascii="Arial" w:cs="Arial" w:eastAsia="Arial" w:hAnsi="Arial"/>
          <w:sz w:val="17"/>
          <w:szCs w:val="17"/>
          <w:color w:val="634140"/>
        </w:rPr>
        <w:t>gl</w:t>
      </w:r>
      <w:r>
        <w:rPr>
          <w:rFonts w:ascii="PMingLiU" w:cs="PMingLiU" w:eastAsia="PMingLiU" w:hAnsi="PMingLiU"/>
          <w:sz w:val="17"/>
          <w:szCs w:val="17"/>
          <w:color w:val="634140"/>
        </w:rPr>
        <w:t/>
      </w:r>
      <w:r>
        <w:rPr>
          <w:rFonts w:ascii="Arial" w:cs="Arial" w:eastAsia="Arial" w:hAnsi="Arial"/>
          <w:sz w:val="17"/>
          <w:szCs w:val="17"/>
          <w:color w:val="634140"/>
        </w:rPr>
        <w:t>ncpqml_j</w:t>
      </w:r>
      <w:r>
        <w:rPr>
          <w:rFonts w:ascii="PMingLiU" w:cs="PMingLiU" w:eastAsia="PMingLiU" w:hAnsi="PMingLiU"/>
          <w:sz w:val="17"/>
          <w:szCs w:val="17"/>
          <w:color w:val="634140"/>
        </w:rPr>
        <w:t/>
      </w:r>
      <w:r>
        <w:rPr>
          <w:rFonts w:ascii="Arial" w:cs="Arial" w:eastAsia="Arial" w:hAnsi="Arial"/>
          <w:sz w:val="17"/>
          <w:szCs w:val="17"/>
          <w:color w:val="634140"/>
        </w:rPr>
        <w:t xml:space="preserve"> a_pc</w:t>
      </w:r>
      <w:r>
        <w:rPr>
          <w:rFonts w:ascii="PMingLiU" w:cs="PMingLiU" w:eastAsia="PMingLiU" w:hAnsi="PMingLiU"/>
          <w:sz w:val="17"/>
          <w:szCs w:val="17"/>
          <w:color w:val="634140"/>
        </w:rPr>
        <w:t/>
      </w:r>
      <w:r>
        <w:rPr>
          <w:rFonts w:ascii="Arial" w:cs="Arial" w:eastAsia="Arial" w:hAnsi="Arial"/>
          <w:sz w:val="17"/>
          <w:szCs w:val="17"/>
          <w:color w:val="634140"/>
        </w:rPr>
        <w:t>_nnjga_rgmlq</w:t>
      </w:r>
      <w:r>
        <w:rPr>
          <w:rFonts w:ascii="PMingLiU" w:cs="PMingLiU" w:eastAsia="PMingLiU" w:hAnsi="PMingLiU"/>
          <w:sz w:val="17"/>
          <w:szCs w:val="17"/>
          <w:color w:val="634140"/>
        </w:rPr>
        <w:t/>
      </w:r>
      <w:r>
        <w:rPr>
          <w:rFonts w:ascii="Arial" w:cs="Arial" w:eastAsia="Arial" w:hAnsi="Arial"/>
          <w:sz w:val="17"/>
          <w:szCs w:val="17"/>
          <w:color w:val="634140"/>
        </w:rPr>
        <w:t>_r</w:t>
      </w:r>
      <w:r>
        <w:rPr>
          <w:rFonts w:ascii="PMingLiU" w:cs="PMingLiU" w:eastAsia="PMingLiU" w:hAnsi="PMingLiU"/>
          <w:sz w:val="17"/>
          <w:szCs w:val="17"/>
          <w:color w:val="634140"/>
        </w:rPr>
        <w:t/>
      </w:r>
      <w:r>
        <w:rPr>
          <w:rFonts w:ascii="Arial" w:cs="Arial" w:eastAsia="Arial" w:hAnsi="Arial"/>
          <w:sz w:val="17"/>
          <w:szCs w:val="17"/>
          <w:color w:val="634140"/>
        </w:rPr>
        <w:t>rfc</w:t>
      </w:r>
      <w:r>
        <w:rPr>
          <w:rFonts w:ascii="PMingLiU" w:cs="PMingLiU" w:eastAsia="PMingLiU" w:hAnsi="PMingLiU"/>
          <w:sz w:val="17"/>
          <w:szCs w:val="17"/>
          <w:color w:val="634140"/>
        </w:rPr>
        <w:t/>
      </w:r>
      <w:r>
        <w:rPr>
          <w:rFonts w:ascii="Arial" w:cs="Arial" w:eastAsia="Arial" w:hAnsi="Arial"/>
          <w:sz w:val="17"/>
          <w:szCs w:val="17"/>
          <w:color w:val="634140"/>
        </w:rPr>
        <w:t>Vcqc_paf</w:t>
      </w:r>
      <w:r>
        <w:rPr>
          <w:rFonts w:ascii="PMingLiU" w:cs="PMingLiU" w:eastAsia="PMingLiU" w:hAnsi="PMingLiU"/>
          <w:sz w:val="17"/>
          <w:szCs w:val="17"/>
          <w:color w:val="634140"/>
        </w:rPr>
        <w:t/>
      </w:r>
      <w:r>
        <w:rPr>
          <w:rFonts w:ascii="Arial" w:cs="Arial" w:eastAsia="Arial" w:hAnsi="Arial"/>
          <w:sz w:val="17"/>
          <w:szCs w:val="17"/>
          <w:color w:val="634140"/>
        </w:rPr>
        <w:t xml:space="preserve"> _lb</w:t>
      </w:r>
      <w:r>
        <w:rPr>
          <w:rFonts w:ascii="PMingLiU" w:cs="PMingLiU" w:eastAsia="PMingLiU" w:hAnsi="PMingLiU"/>
          <w:sz w:val="17"/>
          <w:szCs w:val="17"/>
          <w:color w:val="634140"/>
        </w:rPr>
        <w:t/>
      </w:r>
      <w:r>
        <w:rPr>
          <w:rFonts w:ascii="Arial" w:cs="Arial" w:eastAsia="Arial" w:hAnsi="Arial"/>
          <w:sz w:val="17"/>
          <w:szCs w:val="17"/>
          <w:color w:val="634140"/>
        </w:rPr>
        <w:t>Hctcjmnkclr</w:t>
      </w:r>
      <w:r>
        <w:rPr>
          <w:rFonts w:ascii="PMingLiU" w:cs="PMingLiU" w:eastAsia="PMingLiU" w:hAnsi="PMingLiU"/>
          <w:sz w:val="17"/>
          <w:szCs w:val="17"/>
          <w:color w:val="634140"/>
        </w:rPr>
        <w:t/>
      </w:r>
      <w:r>
        <w:rPr>
          <w:rFonts w:ascii="Arial" w:cs="Arial" w:eastAsia="Arial" w:hAnsi="Arial"/>
          <w:sz w:val="17"/>
          <w:szCs w:val="17"/>
          <w:color w:val="634140"/>
        </w:rPr>
        <w:t>+V;H,</w:t>
      </w:r>
      <w:r>
        <w:rPr>
          <w:rFonts w:ascii="PMingLiU" w:cs="PMingLiU" w:eastAsia="PMingLiU" w:hAnsi="PMingLiU"/>
          <w:sz w:val="17"/>
          <w:szCs w:val="17"/>
          <w:color w:val="634140"/>
        </w:rPr>
        <w:t/>
      </w:r>
      <w:r>
        <w:rPr>
          <w:rFonts w:ascii="Arial" w:cs="Arial" w:eastAsia="Arial" w:hAnsi="Arial"/>
          <w:sz w:val="17"/>
          <w:szCs w:val="17"/>
          <w:color w:val="634140"/>
        </w:rPr>
        <w:t>j_`mp_rmpw</w:t>
      </w:r>
      <w:r>
        <w:rPr>
          <w:rFonts w:ascii="PMingLiU" w:cs="PMingLiU" w:eastAsia="PMingLiU" w:hAnsi="PMingLiU"/>
          <w:sz w:val="17"/>
          <w:szCs w:val="17"/>
          <w:color w:val="634140"/>
        </w:rPr>
        <w:t/>
      </w:r>
      <w:r>
        <w:rPr>
          <w:rFonts w:ascii="Arial" w:cs="Arial" w:eastAsia="Arial" w:hAnsi="Arial"/>
          <w:sz w:val="17"/>
          <w:szCs w:val="17"/>
          <w:color w:val="634140"/>
        </w:rPr>
        <w:t xml:space="preserve"> md</w:t>
      </w:r>
      <w:r>
        <w:rPr>
          <w:rFonts w:ascii="PMingLiU" w:cs="PMingLiU" w:eastAsia="PMingLiU" w:hAnsi="PMingLiU"/>
          <w:sz w:val="17"/>
          <w:szCs w:val="17"/>
          <w:color w:val="634140"/>
        </w:rPr>
        <w:t/>
      </w:r>
      <w:r>
        <w:rPr>
          <w:rFonts w:ascii="Arial" w:cs="Arial" w:eastAsia="Arial" w:hAnsi="Arial"/>
          <w:sz w:val="17"/>
          <w:szCs w:val="17"/>
          <w:color w:val="634140"/>
        </w:rPr>
        <w:t>rfc</w:t>
      </w:r>
      <w:r>
        <w:rPr>
          <w:rFonts w:ascii="PMingLiU" w:cs="PMingLiU" w:eastAsia="PMingLiU" w:hAnsi="PMingLiU"/>
          <w:sz w:val="17"/>
          <w:szCs w:val="17"/>
          <w:color w:val="634140"/>
        </w:rPr>
        <w:t/>
      </w:r>
      <w:r>
        <w:rPr>
          <w:rFonts w:ascii="Arial" w:cs="Arial" w:eastAsia="Arial" w:hAnsi="Arial"/>
          <w:sz w:val="17"/>
          <w:szCs w:val="17"/>
          <w:color w:val="634140"/>
        </w:rPr>
        <w:t>amkn_lw</w:t>
      </w:r>
      <w:r>
        <w:rPr>
          <w:rFonts w:ascii="PMingLiU" w:cs="PMingLiU" w:eastAsia="PMingLiU" w:hAnsi="PMingLiU"/>
          <w:sz w:val="17"/>
          <w:szCs w:val="17"/>
          <w:color w:val="634140"/>
        </w:rPr>
        <w:t/>
      </w:r>
      <w:r>
        <w:rPr>
          <w:rFonts w:ascii="Arial" w:cs="Arial" w:eastAsia="Arial" w:hAnsi="Arial"/>
          <w:sz w:val="17"/>
          <w:szCs w:val="17"/>
          <w:color w:val="634140"/>
        </w:rPr>
        <w:t>q</w:t>
      </w:r>
      <w:r>
        <w:rPr>
          <w:rFonts w:ascii="PMingLiU" w:cs="PMingLiU" w:eastAsia="PMingLiU" w:hAnsi="PMingLiU"/>
          <w:sz w:val="17"/>
          <w:szCs w:val="17"/>
          <w:color w:val="634140"/>
        </w:rPr>
        <w:t/>
      </w:r>
      <w:r>
        <w:rPr>
          <w:rFonts w:ascii="Arial" w:cs="Arial" w:eastAsia="Arial" w:hAnsi="Arial"/>
          <w:sz w:val="17"/>
          <w:szCs w:val="17"/>
          <w:color w:val="634140"/>
        </w:rPr>
        <w:t>Xcaflga_j</w:t>
      </w:r>
      <w:r>
        <w:rPr>
          <w:rFonts w:ascii="PMingLiU" w:cs="PMingLiU" w:eastAsia="PMingLiU" w:hAnsi="PMingLiU"/>
          <w:sz w:val="17"/>
          <w:szCs w:val="17"/>
          <w:color w:val="634140"/>
        </w:rPr>
        <w:t/>
      </w:r>
      <w:r>
        <w:rPr>
          <w:rFonts w:ascii="Arial" w:cs="Arial" w:eastAsia="Arial" w:hAnsi="Arial"/>
          <w:sz w:val="17"/>
          <w:szCs w:val="17"/>
          <w:color w:val="634140"/>
        </w:rPr>
        <w:t>Gclrcp</w:t>
      </w:r>
      <w:r>
        <w:rPr>
          <w:rFonts w:ascii="PMingLiU" w:cs="PMingLiU" w:eastAsia="PMingLiU" w:hAnsi="PMingLiU"/>
          <w:sz w:val="17"/>
          <w:szCs w:val="17"/>
          <w:color w:val="634140"/>
        </w:rPr>
        <w:t/>
      </w:r>
      <w:r>
        <w:rPr>
          <w:rFonts w:ascii="Arial" w:cs="Arial" w:eastAsia="Arial" w:hAnsi="Arial"/>
          <w:sz w:val="17"/>
          <w:szCs w:val="17"/>
          <w:color w:val="634140"/>
        </w:rPr>
        <w:t xml:space="preserve"> gl</w:t>
      </w:r>
      <w:r>
        <w:rPr>
          <w:rFonts w:ascii="PMingLiU" w:cs="PMingLiU" w:eastAsia="PMingLiU" w:hAnsi="PMingLiU"/>
          <w:sz w:val="17"/>
          <w:szCs w:val="17"/>
          <w:color w:val="634140"/>
        </w:rPr>
        <w:t/>
      </w:r>
      <w:r>
        <w:rPr>
          <w:rFonts w:ascii="Arial" w:cs="Arial" w:eastAsia="Arial" w:hAnsi="Arial"/>
          <w:sz w:val="17"/>
          <w:szCs w:val="17"/>
          <w:color w:val="634140"/>
        </w:rPr>
        <w:t>G_`pcst_</w:t>
      </w:r>
      <w:r>
        <w:rPr>
          <w:rFonts w:ascii="PMingLiU" w:cs="PMingLiU" w:eastAsia="PMingLiU" w:hAnsi="PMingLiU"/>
          <w:sz w:val="17"/>
          <w:szCs w:val="17"/>
          <w:color w:val="634140"/>
        </w:rPr>
        <w:t/>
      </w:r>
      <w:r>
        <w:rPr>
          <w:rFonts w:ascii="Arial" w:cs="Arial" w:eastAsia="Arial" w:hAnsi="Arial"/>
          <w:sz w:val="17"/>
          <w:szCs w:val="17"/>
          <w:color w:val="634140"/>
        </w:rPr>
        <w:t>Fp_xgj</w:t>
      </w:r>
      <w:r>
        <w:rPr>
          <w:rFonts w:ascii="PMingLiU" w:cs="PMingLiU" w:eastAsia="PMingLiU" w:hAnsi="PMingLiU"/>
          <w:sz w:val="17"/>
          <w:szCs w:val="17"/>
          <w:color w:val="634140"/>
        </w:rPr>
        <w:t/>
      </w:r>
    </w:p>
    <w:p>
      <w:pPr>
        <w:spacing w:after="0" w:line="320"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Xfgq</w:t>
      </w:r>
      <w:r>
        <w:rPr>
          <w:rFonts w:ascii="PMingLiU" w:cs="PMingLiU" w:eastAsia="PMingLiU" w:hAnsi="PMingLiU"/>
          <w:sz w:val="18"/>
          <w:szCs w:val="18"/>
          <w:color w:val="634140"/>
        </w:rPr>
        <w:t/>
      </w:r>
      <w:r>
        <w:rPr>
          <w:rFonts w:ascii="Arial" w:cs="Arial" w:eastAsia="Arial" w:hAnsi="Arial"/>
          <w:sz w:val="18"/>
          <w:szCs w:val="18"/>
          <w:color w:val="634140"/>
        </w:rPr>
        <w:t>dmjjmuq</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amkn_lw</w:t>
      </w:r>
      <w:r>
        <w:rPr>
          <w:rFonts w:ascii="PMingLiU" w:cs="PMingLiU" w:eastAsia="PMingLiU" w:hAnsi="PMingLiU"/>
          <w:sz w:val="18"/>
          <w:szCs w:val="18"/>
          <w:color w:val="634140"/>
        </w:rPr>
        <w:t/>
      </w:r>
      <w:r>
        <w:rPr>
          <w:rFonts w:ascii="Arial" w:cs="Arial" w:eastAsia="Arial" w:hAnsi="Arial"/>
          <w:sz w:val="18"/>
          <w:szCs w:val="18"/>
          <w:color w:val="634140"/>
        </w:rPr>
        <w:t>q</w:t>
      </w:r>
      <w:r>
        <w:rPr>
          <w:rFonts w:ascii="PMingLiU" w:cs="PMingLiU" w:eastAsia="PMingLiU" w:hAnsi="PMingLiU"/>
          <w:sz w:val="18"/>
          <w:szCs w:val="18"/>
          <w:color w:val="634140"/>
        </w:rPr>
        <w:t/>
      </w:r>
      <w:r>
        <w:rPr>
          <w:rFonts w:ascii="Arial" w:cs="Arial" w:eastAsia="Arial" w:hAnsi="Arial"/>
          <w:sz w:val="18"/>
          <w:szCs w:val="18"/>
          <w:color w:val="634140"/>
        </w:rPr>
        <w:t>npctgmsq</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gltcqrkclrq</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cvn_lb</w:t>
      </w:r>
      <w:r>
        <w:rPr>
          <w:rFonts w:ascii="PMingLiU" w:cs="PMingLiU" w:eastAsia="PMingLiU" w:hAnsi="PMingLiU"/>
          <w:sz w:val="18"/>
          <w:szCs w:val="18"/>
          <w:color w:val="634140"/>
        </w:rPr>
        <w:t/>
      </w:r>
      <w:r>
        <w:rPr>
          <w:rFonts w:ascii="Arial" w:cs="Arial" w:eastAsia="Arial" w:hAnsi="Arial"/>
          <w:sz w:val="18"/>
          <w:szCs w:val="18"/>
          <w:color w:val="634140"/>
        </w:rPr>
        <w:t>`gmdslargml_jq</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_r</w:t>
      </w:r>
      <w:r>
        <w:rPr>
          <w:rFonts w:ascii="PMingLiU" w:cs="PMingLiU" w:eastAsia="PMingLiU" w:hAnsi="PMingLiU"/>
          <w:sz w:val="18"/>
          <w:szCs w:val="18"/>
          <w:color w:val="634140"/>
        </w:rPr>
        <w:t/>
      </w:r>
      <w:r>
        <w:rPr>
          <w:rFonts w:ascii="Arial" w:cs="Arial" w:eastAsia="Arial" w:hAnsi="Arial"/>
          <w:sz w:val="18"/>
          <w:szCs w:val="18"/>
          <w:color w:val="634140"/>
        </w:rPr>
        <w:t>Eqfj_lb</w:t>
      </w:r>
      <w:r>
        <w:rPr>
          <w:rFonts w:ascii="PMingLiU" w:cs="PMingLiU" w:eastAsia="PMingLiU" w:hAnsi="PMingLiU"/>
          <w:sz w:val="18"/>
          <w:szCs w:val="18"/>
          <w:color w:val="634140"/>
        </w:rPr>
        <w:t/>
      </w:r>
      <w:r>
        <w:rPr>
          <w:rFonts w:ascii="Arial" w:cs="Arial" w:eastAsia="Arial" w:hAnsi="Arial"/>
          <w:sz w:val="18"/>
          <w:szCs w:val="18"/>
          <w:color w:val="634140"/>
        </w:rPr>
        <w:t>q</w:t>
      </w:r>
      <w:r>
        <w:rPr>
          <w:rFonts w:ascii="PMingLiU" w:cs="PMingLiU" w:eastAsia="PMingLiU" w:hAnsi="PMingLiU"/>
          <w:sz w:val="18"/>
          <w:szCs w:val="18"/>
          <w:color w:val="634140"/>
        </w:rPr>
        <w:t/>
      </w:r>
      <w:r>
        <w:rPr>
          <w:rFonts w:ascii="Arial" w:cs="Arial" w:eastAsia="Arial" w:hAnsi="Arial"/>
          <w:sz w:val="18"/>
          <w:szCs w:val="18"/>
          <w:color w:val="634140"/>
        </w:rPr>
        <w:t>V;H</w:t>
      </w:r>
      <w:r>
        <w:rPr>
          <w:rFonts w:ascii="PMingLiU" w:cs="PMingLiU" w:eastAsia="PMingLiU" w:hAnsi="PMingLiU"/>
          <w:sz w:val="18"/>
          <w:szCs w:val="18"/>
          <w:color w:val="634140"/>
        </w:rPr>
        <w:t/>
      </w:r>
      <w:r>
        <w:rPr>
          <w:rFonts w:ascii="Arial" w:cs="Arial" w:eastAsia="Arial" w:hAnsi="Arial"/>
          <w:sz w:val="18"/>
          <w:szCs w:val="18"/>
          <w:color w:val="634140"/>
        </w:rPr>
        <w:t>j_`</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Wf_lef_g</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Gfgl_</w:t>
      </w:r>
      <w:r>
        <w:rPr>
          <w:rFonts w:ascii="PMingLiU" w:cs="PMingLiU" w:eastAsia="PMingLiU" w:hAnsi="PMingLiU"/>
          <w:sz w:val="18"/>
          <w:szCs w:val="18"/>
          <w:color w:val="634140"/>
        </w:rPr>
        <w:t/>
      </w:r>
      <w:r>
        <w:rPr>
          <w:rFonts w:ascii="Arial" w:cs="Arial" w:eastAsia="Arial" w:hAnsi="Arial"/>
          <w:sz w:val="18"/>
          <w:szCs w:val="18"/>
          <w:color w:val="634140"/>
        </w:rPr>
        <w:t>Xfc</w:t>
      </w:r>
      <w:r>
        <w:rPr>
          <w:rFonts w:ascii="PMingLiU" w:cs="PMingLiU" w:eastAsia="PMingLiU" w:hAnsi="PMingLiU"/>
          <w:sz w:val="18"/>
          <w:szCs w:val="18"/>
          <w:color w:val="634140"/>
        </w:rPr>
        <w:t/>
      </w:r>
      <w:r>
        <w:rPr>
          <w:rFonts w:ascii="Arial" w:cs="Arial" w:eastAsia="Arial" w:hAnsi="Arial"/>
          <w:sz w:val="18"/>
          <w:szCs w:val="18"/>
          <w:color w:val="634140"/>
        </w:rPr>
        <w:t>gltcqrkclr</w:t>
      </w:r>
      <w:r>
        <w:rPr>
          <w:rFonts w:ascii="PMingLiU" w:cs="PMingLiU" w:eastAsia="PMingLiU" w:hAnsi="PMingLiU"/>
          <w:sz w:val="18"/>
          <w:szCs w:val="18"/>
          <w:color w:val="634140"/>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icw</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n_pr</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ncpqml_j</w:t>
      </w:r>
      <w:r>
        <w:rPr>
          <w:rFonts w:ascii="PMingLiU" w:cs="PMingLiU" w:eastAsia="PMingLiU" w:hAnsi="PMingLiU"/>
          <w:sz w:val="18"/>
          <w:szCs w:val="18"/>
          <w:color w:val="634140"/>
        </w:rPr>
        <w:t/>
      </w:r>
      <w:r>
        <w:rPr>
          <w:rFonts w:ascii="Arial" w:cs="Arial" w:eastAsia="Arial" w:hAnsi="Arial"/>
          <w:sz w:val="18"/>
          <w:szCs w:val="18"/>
          <w:color w:val="634140"/>
        </w:rPr>
        <w:t>a_pc</w:t>
      </w:r>
      <w:r>
        <w:rPr>
          <w:rFonts w:ascii="PMingLiU" w:cs="PMingLiU" w:eastAsia="PMingLiU" w:hAnsi="PMingLiU"/>
          <w:sz w:val="18"/>
          <w:szCs w:val="18"/>
          <w:color w:val="634140"/>
        </w:rPr>
        <w:t/>
      </w:r>
      <w:r>
        <w:rPr>
          <w:rFonts w:ascii="Arial" w:cs="Arial" w:eastAsia="Arial" w:hAnsi="Arial"/>
          <w:sz w:val="18"/>
          <w:szCs w:val="18"/>
          <w:color w:val="634140"/>
        </w:rPr>
        <w:t>ejm`_jgxc</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qrp_rcew</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qcptcq</w:t>
      </w:r>
      <w:r>
        <w:rPr>
          <w:rFonts w:ascii="PMingLiU" w:cs="PMingLiU" w:eastAsia="PMingLiU" w:hAnsi="PMingLiU"/>
          <w:sz w:val="18"/>
          <w:szCs w:val="18"/>
          <w:color w:val="634140"/>
        </w:rPr>
        <w:t/>
      </w:r>
      <w:r>
        <w:rPr>
          <w:rFonts w:ascii="Arial" w:cs="Arial" w:eastAsia="Arial" w:hAnsi="Arial"/>
          <w:sz w:val="18"/>
          <w:szCs w:val="18"/>
          <w:color w:val="634140"/>
        </w:rPr>
        <w:t>_q</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qmspac</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bg</w:t>
      </w:r>
      <w:r>
        <w:rPr>
          <w:rFonts w:ascii="Arial" w:cs="Arial" w:eastAsia="Arial" w:hAnsi="Arial"/>
          <w:sz w:val="18"/>
          <w:szCs w:val="18"/>
          <w:color w:val="634140"/>
        </w:rPr>
        <w:t>ff</w:t>
      </w:r>
      <w:r>
        <w:rPr>
          <w:rFonts w:ascii="Arial" w:cs="Arial" w:eastAsia="Arial" w:hAnsi="Arial"/>
          <w:sz w:val="18"/>
          <w:szCs w:val="18"/>
          <w:color w:val="634140"/>
        </w:rPr>
        <w:t>cpclrg_rgml</w:t>
      </w:r>
      <w:r>
        <w:rPr>
          <w:rFonts w:ascii="PMingLiU" w:cs="PMingLiU" w:eastAsia="PMingLiU" w:hAnsi="PMingLiU"/>
          <w:sz w:val="18"/>
          <w:szCs w:val="18"/>
          <w:color w:val="634140"/>
        </w:rPr>
        <w:t/>
      </w:r>
      <w:r>
        <w:rPr>
          <w:rFonts w:ascii="Arial" w:cs="Arial" w:eastAsia="Arial" w:hAnsi="Arial"/>
          <w:sz w:val="18"/>
          <w:szCs w:val="18"/>
          <w:color w:val="634140"/>
        </w:rPr>
        <w:t>_q</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`sqglcqq</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amlrglscq</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gllmt_rc</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nmqgrgml</w:t>
      </w:r>
      <w:r>
        <w:rPr>
          <w:rFonts w:ascii="PMingLiU" w:cs="PMingLiU" w:eastAsia="PMingLiU" w:hAnsi="PMingLiU"/>
          <w:sz w:val="18"/>
          <w:szCs w:val="18"/>
          <w:color w:val="634140"/>
        </w:rPr>
        <w:t/>
      </w:r>
    </w:p>
    <w:p>
      <w:pPr>
        <w:spacing w:after="0" w:line="4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qsnnjw</w:t>
      </w:r>
      <w:r>
        <w:rPr>
          <w:rFonts w:ascii="PMingLiU" w:cs="PMingLiU" w:eastAsia="PMingLiU" w:hAnsi="PMingLiU"/>
          <w:sz w:val="18"/>
          <w:szCs w:val="18"/>
          <w:color w:val="634140"/>
        </w:rPr>
        <w:t/>
      </w:r>
      <w:r>
        <w:rPr>
          <w:rFonts w:ascii="Arial" w:cs="Arial" w:eastAsia="Arial" w:hAnsi="Arial"/>
          <w:sz w:val="18"/>
          <w:szCs w:val="18"/>
          <w:color w:val="634140"/>
        </w:rPr>
        <w:t>ajmqcp</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asqrmkcpq</w:t>
      </w:r>
      <w:r>
        <w:rPr>
          <w:rFonts w:ascii="PMingLiU" w:cs="PMingLiU" w:eastAsia="PMingLiU" w:hAnsi="PMingLiU"/>
          <w:sz w:val="18"/>
          <w:szCs w:val="18"/>
          <w:color w:val="634140"/>
        </w:rPr>
        <w:t/>
      </w:r>
    </w:p>
    <w:p>
      <w:pPr>
        <w:spacing w:after="0" w:line="1153" w:lineRule="exact"/>
        <w:rPr>
          <w:sz w:val="20"/>
          <w:szCs w:val="20"/>
          <w:color w:val="auto"/>
        </w:rPr>
      </w:pPr>
    </w:p>
    <w:p>
      <w:pPr>
        <w:sectPr>
          <w:pgSz w:w="12240" w:h="15840" w:orient="portrait"/>
          <w:cols w:equalWidth="0" w:num="2">
            <w:col w:w="6220" w:space="700"/>
            <w:col w:w="3140"/>
          </w:cols>
          <w:pgMar w:left="1120" w:top="780" w:right="1060" w:bottom="1068" w:gutter="0" w:footer="0" w:header="0"/>
        </w:sectPr>
      </w:pPr>
    </w:p>
    <w:p>
      <w:pPr>
        <w:spacing w:after="0" w:line="378" w:lineRule="exact"/>
        <w:rPr>
          <w:sz w:val="20"/>
          <w:szCs w:val="20"/>
          <w:color w:val="auto"/>
        </w:rPr>
      </w:pPr>
    </w:p>
    <w:p>
      <w:pPr>
        <w:ind w:left="3080"/>
        <w:spacing w:after="0" w:line="207" w:lineRule="exact"/>
        <w:rPr>
          <w:sz w:val="20"/>
          <w:szCs w:val="20"/>
          <w:color w:val="auto"/>
        </w:rPr>
      </w:pPr>
      <w:r>
        <w:rPr>
          <w:rFonts w:ascii="Arial" w:cs="Arial" w:eastAsia="Arial" w:hAnsi="Arial"/>
          <w:sz w:val="17"/>
          <w:szCs w:val="17"/>
          <w:b w:val="1"/>
          <w:bCs w:val="1"/>
          <w:color w:val="59BDB6"/>
        </w:rPr>
        <w:t>cvm`jmqqmkB</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`gmdslargml_jq</w:t>
      </w:r>
      <w:r>
        <w:rPr>
          <w:rFonts w:ascii="PMingLiU" w:cs="PMingLiU" w:eastAsia="PMingLiU" w:hAnsi="PMingLiU"/>
          <w:sz w:val="17"/>
          <w:szCs w:val="17"/>
          <w:color w:val="634140"/>
        </w:rPr>
        <w:t/>
      </w:r>
      <w:r>
        <w:rPr>
          <w:rFonts w:ascii="Arial" w:cs="Arial" w:eastAsia="Arial" w:hAnsi="Arial"/>
          <w:sz w:val="17"/>
          <w:szCs w:val="17"/>
          <w:color w:val="634140"/>
        </w:rPr>
        <w:t>sqc</w:t>
      </w:r>
      <w:r>
        <w:rPr>
          <w:rFonts w:ascii="PMingLiU" w:cs="PMingLiU" w:eastAsia="PMingLiU" w:hAnsi="PMingLiU"/>
          <w:sz w:val="17"/>
          <w:szCs w:val="17"/>
          <w:color w:val="634140"/>
        </w:rPr>
        <w:t/>
      </w:r>
      <w:r>
        <w:rPr>
          <w:rFonts w:ascii="Arial" w:cs="Arial" w:eastAsia="Arial" w:hAnsi="Arial"/>
          <w:sz w:val="17"/>
          <w:szCs w:val="17"/>
          <w:color w:val="634140"/>
        </w:rPr>
        <w:t>msp</w:t>
      </w:r>
      <w:r>
        <w:rPr>
          <w:rFonts w:ascii="PMingLiU" w:cs="PMingLiU" w:eastAsia="PMingLiU" w:hAnsi="PMingLiU"/>
          <w:sz w:val="17"/>
          <w:szCs w:val="17"/>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-121285</wp:posOffset>
            </wp:positionV>
            <wp:extent cx="1883410" cy="15240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a:extLst>
                        <a:ext uri="{28A0092B-C50C-407E-A947-70E740481C1C}"/>
                      </a:extLst>
                    </a:blip>
                    <a:srcRect/>
                    <a:stretch>
                      <a:fillRect/>
                    </a:stretch>
                  </pic:blipFill>
                  <pic:spPr bwMode="auto">
                    <a:xfrm>
                      <a:off x="0" y="0"/>
                      <a:ext cx="1883410" cy="1524000"/>
                    </a:xfrm>
                    <a:prstGeom prst="rect">
                      <a:avLst/>
                    </a:prstGeom>
                    <a:noFill/>
                  </pic:spPr>
                </pic:pic>
              </a:graphicData>
            </a:graphic>
          </wp:anchor>
        </w:drawing>
      </w:r>
    </w:p>
    <w:p>
      <w:pPr>
        <w:spacing w:after="0" w:line="30"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color w:val="634140"/>
        </w:rPr>
        <w:t>n_rclrcb</w:t>
      </w:r>
      <w:r>
        <w:rPr>
          <w:rFonts w:ascii="PMingLiU" w:cs="PMingLiU" w:eastAsia="PMingLiU" w:hAnsi="PMingLiU"/>
          <w:sz w:val="18"/>
          <w:szCs w:val="18"/>
          <w:color w:val="634140"/>
        </w:rPr>
        <w:t/>
      </w:r>
      <w:r>
        <w:rPr>
          <w:rFonts w:ascii="Arial" w:cs="Arial" w:eastAsia="Arial" w:hAnsi="Arial"/>
          <w:sz w:val="18"/>
          <w:szCs w:val="18"/>
          <w:color w:val="634140"/>
        </w:rPr>
        <w:t>TWVB</w:t>
      </w:r>
      <w:r>
        <w:rPr>
          <w:rFonts w:ascii="PMingLiU" w:cs="PMingLiU" w:eastAsia="PMingLiU" w:hAnsi="PMingLiU"/>
          <w:sz w:val="18"/>
          <w:szCs w:val="18"/>
          <w:color w:val="634140"/>
        </w:rPr>
        <w:t/>
      </w:r>
      <w:r>
        <w:rPr>
          <w:rFonts w:ascii="Arial" w:cs="Arial" w:eastAsia="Arial" w:hAnsi="Arial"/>
          <w:sz w:val="18"/>
          <w:szCs w:val="18"/>
          <w:color w:val="634140"/>
        </w:rPr>
        <w:t>cvrp_argml</w:t>
      </w:r>
      <w:r>
        <w:rPr>
          <w:rFonts w:ascii="PMingLiU" w:cs="PMingLiU" w:eastAsia="PMingLiU" w:hAnsi="PMingLiU"/>
          <w:sz w:val="18"/>
          <w:szCs w:val="18"/>
          <w:color w:val="634140"/>
        </w:rPr>
        <w:t/>
      </w:r>
      <w:r>
        <w:rPr>
          <w:rFonts w:ascii="Arial" w:cs="Arial" w:eastAsia="Arial" w:hAnsi="Arial"/>
          <w:sz w:val="18"/>
          <w:szCs w:val="18"/>
          <w:color w:val="634140"/>
        </w:rPr>
        <w:t>kcrfmb</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p>
    <w:p>
      <w:pPr>
        <w:spacing w:after="0" w:line="36" w:lineRule="exact"/>
        <w:rPr>
          <w:sz w:val="20"/>
          <w:szCs w:val="20"/>
          <w:color w:val="auto"/>
        </w:rPr>
      </w:pPr>
    </w:p>
    <w:p>
      <w:pPr>
        <w:ind w:left="3080"/>
        <w:spacing w:after="0" w:line="207" w:lineRule="exact"/>
        <w:rPr>
          <w:sz w:val="20"/>
          <w:szCs w:val="20"/>
          <w:color w:val="auto"/>
        </w:rPr>
      </w:pPr>
      <w:r>
        <w:rPr>
          <w:rFonts w:ascii="Arial" w:cs="Arial" w:eastAsia="Arial" w:hAnsi="Arial"/>
          <w:sz w:val="17"/>
          <w:szCs w:val="17"/>
          <w:color w:val="634140"/>
        </w:rPr>
        <w:t>gqmj_rc</w:t>
      </w:r>
      <w:r>
        <w:rPr>
          <w:rFonts w:ascii="PMingLiU" w:cs="PMingLiU" w:eastAsia="PMingLiU" w:hAnsi="PMingLiU"/>
          <w:sz w:val="17"/>
          <w:szCs w:val="17"/>
          <w:color w:val="634140"/>
        </w:rPr>
        <w:t/>
      </w:r>
      <w:r>
        <w:rPr>
          <w:rFonts w:ascii="Arial" w:cs="Arial" w:eastAsia="Arial" w:hAnsi="Arial"/>
          <w:sz w:val="17"/>
          <w:szCs w:val="17"/>
          <w:color w:val="634140"/>
        </w:rPr>
        <w:t>`gmjmega_jjw</w:t>
      </w:r>
      <w:r>
        <w:rPr>
          <w:rFonts w:ascii="PMingLiU" w:cs="PMingLiU" w:eastAsia="PMingLiU" w:hAnsi="PMingLiU"/>
          <w:sz w:val="17"/>
          <w:szCs w:val="17"/>
          <w:color w:val="634140"/>
        </w:rPr>
        <w:t/>
      </w:r>
      <w:r>
        <w:rPr>
          <w:rFonts w:ascii="Arial" w:cs="Arial" w:eastAsia="Arial" w:hAnsi="Arial"/>
          <w:sz w:val="17"/>
          <w:szCs w:val="17"/>
          <w:color w:val="634140"/>
        </w:rPr>
        <w:t>_argtc</w:t>
      </w:r>
      <w:r>
        <w:rPr>
          <w:rFonts w:ascii="PMingLiU" w:cs="PMingLiU" w:eastAsia="PMingLiU" w:hAnsi="PMingLiU"/>
          <w:sz w:val="17"/>
          <w:szCs w:val="17"/>
          <w:color w:val="634140"/>
        </w:rPr>
        <w:t/>
      </w:r>
      <w:r>
        <w:rPr>
          <w:rFonts w:ascii="Arial" w:cs="Arial" w:eastAsia="Arial" w:hAnsi="Arial"/>
          <w:sz w:val="17"/>
          <w:szCs w:val="17"/>
          <w:color w:val="634140"/>
        </w:rPr>
        <w:t>l_lmtcqgajcq</w:t>
      </w:r>
      <w:r>
        <w:rPr>
          <w:rFonts w:ascii="PMingLiU" w:cs="PMingLiU" w:eastAsia="PMingLiU" w:hAnsi="PMingLiU"/>
          <w:sz w:val="17"/>
          <w:szCs w:val="17"/>
          <w:color w:val="634140"/>
        </w:rPr>
        <w:t/>
      </w:r>
    </w:p>
    <w:p>
      <w:pPr>
        <w:spacing w:after="0" w:line="46"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color w:val="634140"/>
        </w:rPr>
        <w:t>dpmk</w:t>
      </w:r>
      <w:r>
        <w:rPr>
          <w:rFonts w:ascii="PMingLiU" w:cs="PMingLiU" w:eastAsia="PMingLiU" w:hAnsi="PMingLiU"/>
          <w:sz w:val="18"/>
          <w:szCs w:val="18"/>
          <w:color w:val="634140"/>
        </w:rPr>
        <w:t/>
      </w:r>
      <w:r>
        <w:rPr>
          <w:rFonts w:ascii="Arial" w:cs="Arial" w:eastAsia="Arial" w:hAnsi="Arial"/>
          <w:sz w:val="18"/>
          <w:szCs w:val="18"/>
          <w:color w:val="634140"/>
        </w:rPr>
        <w:t>fl</w:t>
      </w:r>
      <w:r>
        <w:rPr>
          <w:rFonts w:ascii="Arial" w:cs="Arial" w:eastAsia="Arial" w:hAnsi="Arial"/>
          <w:sz w:val="18"/>
          <w:szCs w:val="18"/>
          <w:color w:val="634140"/>
        </w:rPr>
        <w:t>mucpq</w:t>
      </w:r>
      <w:r>
        <w:rPr>
          <w:rFonts w:ascii="PMingLiU" w:cs="PMingLiU" w:eastAsia="PMingLiU" w:hAnsi="PMingLiU"/>
          <w:sz w:val="18"/>
          <w:szCs w:val="18"/>
          <w:color w:val="634140"/>
        </w:rPr>
        <w:t/>
      </w:r>
      <w:r>
        <w:rPr>
          <w:rFonts w:ascii="Arial" w:cs="Arial" w:eastAsia="Arial" w:hAnsi="Arial"/>
          <w:sz w:val="18"/>
          <w:szCs w:val="18"/>
          <w:color w:val="634140"/>
        </w:rPr>
        <w:t>npcqcptgle</w:t>
      </w:r>
      <w:r>
        <w:rPr>
          <w:rFonts w:ascii="PMingLiU" w:cs="PMingLiU" w:eastAsia="PMingLiU" w:hAnsi="PMingLiU"/>
          <w:sz w:val="18"/>
          <w:szCs w:val="18"/>
          <w:color w:val="634140"/>
        </w:rPr>
        <w:t/>
      </w:r>
      <w:r>
        <w:rPr>
          <w:rFonts w:ascii="Arial" w:cs="Arial" w:eastAsia="Arial" w:hAnsi="Arial"/>
          <w:sz w:val="18"/>
          <w:szCs w:val="18"/>
          <w:color w:val="634140"/>
        </w:rPr>
        <w:t>rfcgp</w:t>
      </w:r>
      <w:r>
        <w:rPr>
          <w:rFonts w:ascii="PMingLiU" w:cs="PMingLiU" w:eastAsia="PMingLiU" w:hAnsi="PMingLiU"/>
          <w:sz w:val="18"/>
          <w:szCs w:val="18"/>
          <w:color w:val="634140"/>
        </w:rPr>
        <w:t/>
      </w:r>
      <w:r>
        <w:rPr>
          <w:rFonts w:ascii="Arial" w:cs="Arial" w:eastAsia="Arial" w:hAnsi="Arial"/>
          <w:sz w:val="18"/>
          <w:szCs w:val="18"/>
          <w:color w:val="634140"/>
        </w:rPr>
        <w:t>l_rsp_j</w:t>
      </w:r>
      <w:r>
        <w:rPr>
          <w:rFonts w:ascii="PMingLiU" w:cs="PMingLiU" w:eastAsia="PMingLiU" w:hAnsi="PMingLiU"/>
          <w:sz w:val="18"/>
          <w:szCs w:val="18"/>
          <w:color w:val="634140"/>
        </w:rPr>
        <w:t/>
      </w:r>
    </w:p>
    <w:p>
      <w:pPr>
        <w:spacing w:after="0" w:line="35"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color w:val="634140"/>
        </w:rPr>
        <w:t>dslargml</w:t>
      </w:r>
      <w:r>
        <w:rPr>
          <w:rFonts w:ascii="PMingLiU" w:cs="PMingLiU" w:eastAsia="PMingLiU" w:hAnsi="PMingLiU"/>
          <w:sz w:val="18"/>
          <w:szCs w:val="18"/>
          <w:color w:val="634140"/>
        </w:rPr>
        <w:t/>
      </w:r>
      <w:r>
        <w:rPr>
          <w:rFonts w:ascii="Arial" w:cs="Arial" w:eastAsia="Arial" w:hAnsi="Arial"/>
          <w:sz w:val="18"/>
          <w:szCs w:val="18"/>
          <w:color w:val="634140"/>
        </w:rPr>
        <w:t>_q</w:t>
      </w:r>
      <w:r>
        <w:rPr>
          <w:rFonts w:ascii="PMingLiU" w:cs="PMingLiU" w:eastAsia="PMingLiU" w:hAnsi="PMingLiU"/>
          <w:sz w:val="18"/>
          <w:szCs w:val="18"/>
          <w:color w:val="634140"/>
        </w:rPr>
        <w:t/>
      </w:r>
      <w:r>
        <w:rPr>
          <w:rFonts w:ascii="Arial" w:cs="Arial" w:eastAsia="Arial" w:hAnsi="Arial"/>
          <w:sz w:val="18"/>
          <w:szCs w:val="18"/>
          <w:color w:val="634140"/>
        </w:rPr>
        <w:t>cngeclcrga</w:t>
      </w:r>
      <w:r>
        <w:rPr>
          <w:rFonts w:ascii="PMingLiU" w:cs="PMingLiU" w:eastAsia="PMingLiU" w:hAnsi="PMingLiU"/>
          <w:sz w:val="18"/>
          <w:szCs w:val="18"/>
          <w:color w:val="634140"/>
        </w:rPr>
        <w:t/>
      </w:r>
      <w:r>
        <w:rPr>
          <w:rFonts w:ascii="Arial" w:cs="Arial" w:eastAsia="Arial" w:hAnsi="Arial"/>
          <w:sz w:val="18"/>
          <w:szCs w:val="18"/>
          <w:color w:val="634140"/>
        </w:rPr>
        <w:t>pcesj_rmpq</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p>
    <w:p>
      <w:pPr>
        <w:spacing w:after="0" w:line="35"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color w:val="634140"/>
        </w:rPr>
        <w:t>pceclcp_rgtc</w:t>
      </w:r>
      <w:r>
        <w:rPr>
          <w:rFonts w:ascii="PMingLiU" w:cs="PMingLiU" w:eastAsia="PMingLiU" w:hAnsi="PMingLiU"/>
          <w:sz w:val="18"/>
          <w:szCs w:val="18"/>
          <w:color w:val="634140"/>
        </w:rPr>
        <w:t/>
      </w:r>
      <w:r>
        <w:rPr>
          <w:rFonts w:ascii="Arial" w:cs="Arial" w:eastAsia="Arial" w:hAnsi="Arial"/>
          <w:sz w:val="18"/>
          <w:szCs w:val="18"/>
          <w:color w:val="634140"/>
        </w:rPr>
        <w:t>kcbgaglc</w:t>
      </w:r>
      <w:r>
        <w:rPr>
          <w:rFonts w:ascii="PMingLiU" w:cs="PMingLiU" w:eastAsia="PMingLiU" w:hAnsi="PMingLiU"/>
          <w:sz w:val="18"/>
          <w:szCs w:val="18"/>
          <w:color w:val="634140"/>
        </w:rPr>
        <w:t/>
      </w:r>
      <w:r>
        <w:rPr>
          <w:rFonts w:ascii="Arial" w:cs="Arial" w:eastAsia="Arial" w:hAnsi="Arial"/>
          <w:sz w:val="18"/>
          <w:szCs w:val="18"/>
          <w:color w:val="634140"/>
        </w:rPr>
        <w:t>amqkcrgaq</w:t>
      </w:r>
      <w:r>
        <w:rPr>
          <w:rFonts w:ascii="PMingLiU" w:cs="PMingLiU" w:eastAsia="PMingLiU" w:hAnsi="PMingLiU"/>
          <w:sz w:val="18"/>
          <w:szCs w:val="18"/>
          <w:color w:val="634140"/>
        </w:rPr>
        <w:t/>
      </w:r>
    </w:p>
    <w:p>
      <w:pPr>
        <w:spacing w:after="0" w:line="35"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kmpc</w:t>
      </w:r>
      <w:r>
        <w:rPr>
          <w:rFonts w:ascii="PMingLiU" w:cs="PMingLiU" w:eastAsia="PMingLiU" w:hAnsi="PMingLiU"/>
          <w:sz w:val="18"/>
          <w:szCs w:val="18"/>
          <w:color w:val="634140"/>
        </w:rPr>
        <w:t/>
      </w:r>
      <w:r>
        <w:rPr>
          <w:rFonts w:ascii="Arial" w:cs="Arial" w:eastAsia="Arial" w:hAnsi="Arial"/>
          <w:sz w:val="18"/>
          <w:szCs w:val="18"/>
          <w:color w:val="634140"/>
        </w:rPr>
        <w:t>Pma_jjw</w:t>
      </w:r>
      <w:r>
        <w:rPr>
          <w:rFonts w:ascii="PMingLiU" w:cs="PMingLiU" w:eastAsia="PMingLiU" w:hAnsi="PMingLiU"/>
          <w:sz w:val="18"/>
          <w:szCs w:val="18"/>
          <w:color w:val="634140"/>
        </w:rPr>
        <w:t/>
      </w:r>
      <w:r>
        <w:rPr>
          <w:rFonts w:ascii="Arial" w:cs="Arial" w:eastAsia="Arial" w:hAnsi="Arial"/>
          <w:sz w:val="18"/>
          <w:szCs w:val="18"/>
          <w:color w:val="634140"/>
        </w:rPr>
        <w:t>qmspacb</w:t>
      </w:r>
      <w:r>
        <w:rPr>
          <w:rFonts w:ascii="PMingLiU" w:cs="PMingLiU" w:eastAsia="PMingLiU" w:hAnsi="PMingLiU"/>
          <w:sz w:val="18"/>
          <w:szCs w:val="18"/>
          <w:color w:val="634140"/>
        </w:rPr>
        <w:t/>
      </w:r>
      <w:r>
        <w:rPr>
          <w:rFonts w:ascii="Arial" w:cs="Arial" w:eastAsia="Arial" w:hAnsi="Arial"/>
          <w:sz w:val="18"/>
          <w:szCs w:val="18"/>
          <w:color w:val="634140"/>
        </w:rPr>
        <w:t>GSWQSW&amp;</w:t>
      </w:r>
    </w:p>
    <w:p>
      <w:pPr>
        <w:spacing w:after="0" w:line="35"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color w:val="634140"/>
        </w:rPr>
        <w:t>_nnpmtcb</w:t>
      </w:r>
      <w:r>
        <w:rPr>
          <w:rFonts w:ascii="PMingLiU" w:cs="PMingLiU" w:eastAsia="PMingLiU" w:hAnsi="PMingLiU"/>
          <w:sz w:val="18"/>
          <w:szCs w:val="18"/>
          <w:color w:val="634140"/>
        </w:rPr>
        <w:t/>
      </w:r>
      <w:r>
        <w:rPr>
          <w:rFonts w:ascii="Arial" w:cs="Arial" w:eastAsia="Arial" w:hAnsi="Arial"/>
          <w:sz w:val="18"/>
          <w:szCs w:val="18"/>
          <w:color w:val="634140"/>
        </w:rPr>
        <w:t>pmqc</w:t>
      </w:r>
      <w:r>
        <w:rPr>
          <w:rFonts w:ascii="PMingLiU" w:cs="PMingLiU" w:eastAsia="PMingLiU" w:hAnsi="PMingLiU"/>
          <w:sz w:val="18"/>
          <w:szCs w:val="18"/>
          <w:color w:val="634140"/>
        </w:rPr>
        <w:t/>
      </w:r>
      <w:r>
        <w:rPr>
          <w:rFonts w:ascii="Arial" w:cs="Arial" w:eastAsia="Arial" w:hAnsi="Arial"/>
          <w:sz w:val="18"/>
          <w:szCs w:val="18"/>
          <w:color w:val="634140"/>
        </w:rPr>
        <w:t>j_tclbcp</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h_qkglc</w:t>
      </w:r>
      <w:r>
        <w:rPr>
          <w:rFonts w:ascii="PMingLiU" w:cs="PMingLiU" w:eastAsia="PMingLiU" w:hAnsi="PMingLiU"/>
          <w:sz w:val="18"/>
          <w:szCs w:val="18"/>
          <w:color w:val="634140"/>
        </w:rPr>
        <w:t/>
      </w:r>
    </w:p>
    <w:p>
      <w:pPr>
        <w:spacing w:after="0" w:line="35"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color w:val="634140"/>
        </w:rPr>
        <w:t>cvrp_arq</w:t>
      </w:r>
      <w:r>
        <w:rPr>
          <w:rFonts w:ascii="PMingLiU" w:cs="PMingLiU" w:eastAsia="PMingLiU" w:hAnsi="PMingLiU"/>
          <w:sz w:val="18"/>
          <w:szCs w:val="18"/>
          <w:color w:val="634140"/>
        </w:rPr>
        <w:t/>
      </w:r>
      <w:r>
        <w:rPr>
          <w:rFonts w:ascii="Arial" w:cs="Arial" w:eastAsia="Arial" w:hAnsi="Arial"/>
          <w:sz w:val="18"/>
          <w:szCs w:val="18"/>
          <w:color w:val="634140"/>
        </w:rPr>
        <w:t>qrgksj_rc</w:t>
      </w:r>
      <w:r>
        <w:rPr>
          <w:rFonts w:ascii="PMingLiU" w:cs="PMingLiU" w:eastAsia="PMingLiU" w:hAnsi="PMingLiU"/>
          <w:sz w:val="18"/>
          <w:szCs w:val="18"/>
          <w:color w:val="634140"/>
        </w:rPr>
        <w:t/>
      </w:r>
      <w:r>
        <w:rPr>
          <w:rFonts w:ascii="Arial" w:cs="Arial" w:eastAsia="Arial" w:hAnsi="Arial"/>
          <w:sz w:val="18"/>
          <w:szCs w:val="18"/>
          <w:color w:val="634140"/>
        </w:rPr>
        <w:t>qigl</w:t>
      </w:r>
      <w:r>
        <w:rPr>
          <w:rFonts w:ascii="PMingLiU" w:cs="PMingLiU" w:eastAsia="PMingLiU" w:hAnsi="PMingLiU"/>
          <w:sz w:val="18"/>
          <w:szCs w:val="18"/>
          <w:color w:val="634140"/>
        </w:rPr>
        <w:t/>
      </w:r>
      <w:r>
        <w:rPr>
          <w:rFonts w:ascii="Arial" w:cs="Arial" w:eastAsia="Arial" w:hAnsi="Arial"/>
          <w:sz w:val="18"/>
          <w:szCs w:val="18"/>
          <w:color w:val="634140"/>
        </w:rPr>
        <w:t>q</w:t>
      </w:r>
      <w:r>
        <w:rPr>
          <w:rFonts w:ascii="PMingLiU" w:cs="PMingLiU" w:eastAsia="PMingLiU" w:hAnsi="PMingLiU"/>
          <w:sz w:val="18"/>
          <w:szCs w:val="18"/>
          <w:color w:val="634140"/>
        </w:rPr>
        <w:t/>
      </w:r>
      <w:r>
        <w:rPr>
          <w:rFonts w:ascii="Arial" w:cs="Arial" w:eastAsia="Arial" w:hAnsi="Arial"/>
          <w:sz w:val="18"/>
          <w:szCs w:val="18"/>
          <w:color w:val="634140"/>
        </w:rPr>
        <w:t>l_rsp_j</w:t>
      </w:r>
      <w:r>
        <w:rPr>
          <w:rFonts w:ascii="PMingLiU" w:cs="PMingLiU" w:eastAsia="PMingLiU" w:hAnsi="PMingLiU"/>
          <w:sz w:val="18"/>
          <w:szCs w:val="18"/>
          <w:color w:val="634140"/>
        </w:rPr>
        <w:t/>
      </w:r>
    </w:p>
    <w:p>
      <w:pPr>
        <w:spacing w:after="0" w:line="16" w:lineRule="exact"/>
        <w:rPr>
          <w:sz w:val="20"/>
          <w:szCs w:val="20"/>
          <w:color w:val="auto"/>
        </w:rPr>
      </w:pPr>
    </w:p>
    <w:p>
      <w:pPr>
        <w:ind w:left="3080"/>
        <w:spacing w:after="0" w:line="219" w:lineRule="exact"/>
        <w:rPr>
          <w:sz w:val="20"/>
          <w:szCs w:val="20"/>
          <w:color w:val="auto"/>
        </w:rPr>
      </w:pPr>
      <w:r>
        <w:rPr>
          <w:rFonts w:ascii="Arial" w:cs="Arial" w:eastAsia="Arial" w:hAnsi="Arial"/>
          <w:sz w:val="18"/>
          <w:szCs w:val="18"/>
          <w:color w:val="634140"/>
        </w:rPr>
        <w:t>cvmqmkc</w:t>
      </w:r>
      <w:r>
        <w:rPr>
          <w:rFonts w:ascii="PMingLiU" w:cs="PMingLiU" w:eastAsia="PMingLiU" w:hAnsi="PMingLiU"/>
          <w:sz w:val="18"/>
          <w:szCs w:val="18"/>
          <w:color w:val="634140"/>
        </w:rPr>
        <w:t/>
      </w:r>
      <w:r>
        <w:rPr>
          <w:rFonts w:ascii="Arial" w:cs="Arial" w:eastAsia="Arial" w:hAnsi="Arial"/>
          <w:sz w:val="18"/>
          <w:szCs w:val="18"/>
          <w:color w:val="634140"/>
        </w:rPr>
        <w:t>pcjc_qc</w:t>
      </w:r>
      <w:r>
        <w:rPr>
          <w:rFonts w:ascii="PMingLiU" w:cs="PMingLiU" w:eastAsia="PMingLiU" w:hAnsi="PMingLiU"/>
          <w:sz w:val="18"/>
          <w:szCs w:val="18"/>
          <w:color w:val="634140"/>
        </w:rPr>
        <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219" w:lineRule="exact"/>
        <w:rPr>
          <w:sz w:val="20"/>
          <w:szCs w:val="20"/>
          <w:color w:val="auto"/>
        </w:rPr>
      </w:pPr>
      <w:r>
        <w:rPr>
          <w:rFonts w:ascii="Arial" w:cs="Arial" w:eastAsia="Arial" w:hAnsi="Arial"/>
          <w:sz w:val="18"/>
          <w:szCs w:val="18"/>
          <w:b w:val="1"/>
          <w:bCs w:val="1"/>
          <w:color w:val="59BDB6"/>
        </w:rPr>
        <w:t>amjj_vwjB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le</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ncnrgbc</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o˦˥B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le</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_lb</w:t>
      </w:r>
      <w:r>
        <w:rPr>
          <w:rFonts w:ascii="PMingLiU" w:cs="PMingLiU" w:eastAsia="PMingLiU" w:hAnsi="PMingLiU"/>
          <w:sz w:val="18"/>
          <w:szCs w:val="18"/>
          <w:b w:val="1"/>
          <w:bCs w:val="1"/>
          <w:color w:val="59BDB6"/>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-97790</wp:posOffset>
            </wp:positionV>
            <wp:extent cx="153670" cy="1536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0">
                      <a:extLst>
                        <a:ext uri="{28A0092B-C50C-407E-A947-70E740481C1C}"/>
                      </a:extLst>
                    </a:blip>
                    <a:srcRect/>
                    <a:stretch>
                      <a:fillRect/>
                    </a:stretch>
                  </pic:blipFill>
                  <pic:spPr bwMode="auto">
                    <a:xfrm>
                      <a:off x="0" y="0"/>
                      <a:ext cx="153670" cy="153670"/>
                    </a:xfrm>
                    <a:prstGeom prst="rect">
                      <a:avLst/>
                    </a:prstGeom>
                    <a:noFill/>
                  </pic:spPr>
                </pic:pic>
              </a:graphicData>
            </a:graphic>
          </wp:anchor>
        </w:drawing>
      </w:r>
    </w:p>
    <w:p>
      <w:pPr>
        <w:spacing w:after="0" w:line="15" w:lineRule="exact"/>
        <w:rPr>
          <w:sz w:val="20"/>
          <w:szCs w:val="20"/>
          <w:color w:val="auto"/>
        </w:rPr>
      </w:pPr>
    </w:p>
    <w:p>
      <w:pPr>
        <w:ind w:right="220"/>
        <w:spacing w:after="0" w:line="247" w:lineRule="exact"/>
        <w:rPr>
          <w:sz w:val="20"/>
          <w:szCs w:val="20"/>
          <w:color w:val="auto"/>
        </w:rPr>
      </w:pPr>
      <w:r>
        <w:rPr>
          <w:rFonts w:ascii="Arial" w:cs="Arial" w:eastAsia="Arial" w:hAnsi="Arial"/>
          <w:sz w:val="18"/>
          <w:szCs w:val="18"/>
          <w:b w:val="1"/>
          <w:bCs w:val="1"/>
          <w:color w:val="59BDB6"/>
        </w:rPr>
        <w:t>bcpkmqr_rwjB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le</w:t>
      </w:r>
      <w:r>
        <w:rPr>
          <w:rFonts w:ascii="PMingLiU" w:cs="PMingLiU" w:eastAsia="PMingLiU" w:hAnsi="PMingLiU"/>
          <w:sz w:val="18"/>
          <w:szCs w:val="18"/>
          <w:color w:val="634140"/>
        </w:rPr>
        <w:t/>
      </w:r>
      <w:r>
        <w:rPr>
          <w:rFonts w:ascii="Arial" w:cs="Arial" w:eastAsia="Arial" w:hAnsi="Arial"/>
          <w:sz w:val="18"/>
          <w:szCs w:val="18"/>
          <w:color w:val="634140"/>
        </w:rPr>
        <w:t>qsqr_gl_`jc</w:t>
      </w:r>
      <w:r>
        <w:rPr>
          <w:rFonts w:ascii="PMingLiU" w:cs="PMingLiU" w:eastAsia="PMingLiU" w:hAnsi="PMingLiU"/>
          <w:sz w:val="18"/>
          <w:szCs w:val="18"/>
          <w:color w:val="634140"/>
        </w:rPr>
        <w:t/>
      </w:r>
      <w:r>
        <w:rPr>
          <w:rFonts w:ascii="Arial" w:cs="Arial" w:eastAsia="Arial" w:hAnsi="Arial"/>
          <w:sz w:val="18"/>
          <w:szCs w:val="18"/>
          <w:color w:val="634140"/>
        </w:rPr>
        <w:t>lcvr&amp;</w:t>
      </w:r>
      <w:r>
        <w:rPr>
          <w:rFonts w:ascii="Arial" w:cs="Arial" w:eastAsia="Arial" w:hAnsi="Arial"/>
          <w:sz w:val="18"/>
          <w:szCs w:val="18"/>
          <w:b w:val="1"/>
          <w:bCs w:val="1"/>
          <w:color w:val="59BDB6"/>
        </w:rPr>
        <w:t xml:space="preserve"> </w:t>
      </w:r>
      <w:r>
        <w:rPr>
          <w:rFonts w:ascii="Arial" w:cs="Arial" w:eastAsia="Arial" w:hAnsi="Arial"/>
          <w:sz w:val="18"/>
          <w:szCs w:val="18"/>
          <w:color w:val="634140"/>
        </w:rPr>
        <w:t>eclcp_rgml</w:t>
      </w:r>
      <w:r>
        <w:rPr>
          <w:rFonts w:ascii="PMingLiU" w:cs="PMingLiU" w:eastAsia="PMingLiU" w:hAnsi="PMingLiU"/>
          <w:sz w:val="18"/>
          <w:szCs w:val="18"/>
          <w:color w:val="634140"/>
        </w:rPr>
        <w:t/>
      </w:r>
      <w:r>
        <w:rPr>
          <w:rFonts w:ascii="Arial" w:cs="Arial" w:eastAsia="Arial" w:hAnsi="Arial"/>
          <w:sz w:val="18"/>
          <w:szCs w:val="18"/>
          <w:color w:val="634140"/>
        </w:rPr>
        <w:t>XJE&amp;dpcc</w:t>
      </w:r>
      <w:r>
        <w:rPr>
          <w:rFonts w:ascii="PMingLiU" w:cs="PMingLiU" w:eastAsia="PMingLiU" w:hAnsi="PMingLiU"/>
          <w:sz w:val="18"/>
          <w:szCs w:val="18"/>
          <w:color w:val="634140"/>
        </w:rPr>
        <w:t/>
      </w:r>
      <w:r>
        <w:rPr>
          <w:rFonts w:ascii="Arial" w:cs="Arial" w:eastAsia="Arial" w:hAnsi="Arial"/>
          <w:sz w:val="18"/>
          <w:szCs w:val="18"/>
          <w:color w:val="634140"/>
        </w:rPr>
        <w:t>ιˮˮ</w:t>
      </w:r>
      <w:r>
        <w:rPr>
          <w:rFonts w:ascii="PMingLiU" w:cs="PMingLiU" w:eastAsia="PMingLiU" w:hAnsi="PMingLiU"/>
          <w:sz w:val="18"/>
          <w:szCs w:val="18"/>
          <w:color w:val="634140"/>
        </w:rPr>
        <w:t/>
      </w:r>
      <w:r>
        <w:rPr>
          <w:rFonts w:ascii="Arial" w:cs="Arial" w:eastAsia="Arial" w:hAnsi="Arial"/>
          <w:sz w:val="18"/>
          <w:szCs w:val="18"/>
          <w:color w:val="634140"/>
        </w:rPr>
        <w:t>ˮφ</w:t>
      </w:r>
      <w:r>
        <w:rPr>
          <w:rFonts w:ascii="PMingLiU" w:cs="PMingLiU" w:eastAsia="PMingLiU" w:hAnsi="PMingLiU"/>
          <w:sz w:val="18"/>
          <w:szCs w:val="18"/>
          <w:color w:val="634140"/>
        </w:rPr>
        <w:t/>
      </w:r>
      <w:r>
        <w:rPr>
          <w:rFonts w:ascii="Arial" w:cs="Arial" w:eastAsia="Arial" w:hAnsi="Arial"/>
          <w:sz w:val="18"/>
          <w:szCs w:val="18"/>
          <w:color w:val="634140"/>
        </w:rPr>
        <w:t>l_rsp_j</w:t>
      </w:r>
      <w:r>
        <w:rPr>
          <w:rFonts w:ascii="PMingLiU" w:cs="PMingLiU" w:eastAsia="PMingLiU" w:hAnsi="PMingLiU"/>
          <w:sz w:val="18"/>
          <w:szCs w:val="18"/>
          <w:color w:val="634140"/>
        </w:rPr>
        <w:t/>
      </w:r>
      <w:r>
        <w:rPr>
          <w:rFonts w:ascii="Arial" w:cs="Arial" w:eastAsia="Arial" w:hAnsi="Arial"/>
          <w:sz w:val="18"/>
          <w:szCs w:val="18"/>
          <w:color w:val="634140"/>
        </w:rPr>
        <w:t xml:space="preserve"> _lb</w:t>
      </w:r>
      <w:r>
        <w:rPr>
          <w:rFonts w:ascii="PMingLiU" w:cs="PMingLiU" w:eastAsia="PMingLiU" w:hAnsi="PMingLiU"/>
          <w:sz w:val="18"/>
          <w:szCs w:val="18"/>
          <w:color w:val="634140"/>
        </w:rPr>
        <w:t/>
      </w:r>
      <w:r>
        <w:rPr>
          <w:rFonts w:ascii="Arial" w:cs="Arial" w:eastAsia="Arial" w:hAnsi="Arial"/>
          <w:sz w:val="18"/>
          <w:szCs w:val="18"/>
          <w:color w:val="634140"/>
        </w:rPr>
        <w:t>qigl&amp;kgkcrga</w:t>
      </w:r>
      <w:r>
        <w:rPr>
          <w:rFonts w:ascii="PMingLiU" w:cs="PMingLiU" w:eastAsia="PMingLiU" w:hAnsi="PMingLiU"/>
          <w:sz w:val="18"/>
          <w:szCs w:val="18"/>
          <w:color w:val="634140"/>
        </w:rPr>
        <w:t/>
      </w:r>
      <w:r>
        <w:rPr>
          <w:rFonts w:ascii="Arial" w:cs="Arial" w:eastAsia="Arial" w:hAnsi="Arial"/>
          <w:sz w:val="18"/>
          <w:szCs w:val="18"/>
          <w:color w:val="634140"/>
        </w:rPr>
        <w:t>ncnrgbcq</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bcpkgq</w:t>
      </w:r>
      <w:r>
        <w:rPr>
          <w:rFonts w:ascii="PMingLiU" w:cs="PMingLiU" w:eastAsia="PMingLiU" w:hAnsi="PMingLiU"/>
          <w:sz w:val="18"/>
          <w:szCs w:val="18"/>
          <w:color w:val="634140"/>
        </w:rPr>
        <w:t/>
      </w:r>
      <w:r>
        <w:rPr>
          <w:rFonts w:ascii="Arial" w:cs="Arial" w:eastAsia="Arial" w:hAnsi="Arial"/>
          <w:sz w:val="18"/>
          <w:szCs w:val="18"/>
          <w:color w:val="634140"/>
        </w:rPr>
        <w:t xml:space="preserve"> pckmbcjgle</w:t>
      </w:r>
      <w:r>
        <w:rPr>
          <w:rFonts w:ascii="PMingLiU" w:cs="PMingLiU" w:eastAsia="PMingLiU" w:hAnsi="PMingLiU"/>
          <w:sz w:val="18"/>
          <w:szCs w:val="18"/>
          <w:color w:val="634140"/>
        </w:rPr>
        <w:t/>
      </w:r>
      <w:r>
        <w:rPr>
          <w:rFonts w:ascii="Arial" w:cs="Arial" w:eastAsia="Arial" w:hAnsi="Arial"/>
          <w:sz w:val="18"/>
          <w:szCs w:val="18"/>
          <w:color w:val="634140"/>
        </w:rPr>
        <w:t>nmjjsrgml</w:t>
      </w:r>
      <w:r>
        <w:rPr>
          <w:rFonts w:ascii="PMingLiU" w:cs="PMingLiU" w:eastAsia="PMingLiU" w:hAnsi="PMingLiU"/>
          <w:sz w:val="18"/>
          <w:szCs w:val="18"/>
          <w:color w:val="634140"/>
        </w:rPr>
        <w:t/>
      </w:r>
      <w:r>
        <w:rPr>
          <w:rFonts w:ascii="Arial" w:cs="Arial" w:eastAsia="Arial" w:hAnsi="Arial"/>
          <w:sz w:val="18"/>
          <w:szCs w:val="18"/>
          <w:color w:val="634140"/>
        </w:rPr>
        <w:t>bcdclqc</w:t>
      </w:r>
      <w:r>
        <w:rPr>
          <w:rFonts w:ascii="PMingLiU" w:cs="PMingLiU" w:eastAsia="PMingLiU" w:hAnsi="PMingLiU"/>
          <w:sz w:val="18"/>
          <w:szCs w:val="18"/>
          <w:color w:val="634140"/>
        </w:rPr>
        <w:t/>
      </w:r>
      <w:r>
        <w:rPr>
          <w:rFonts w:ascii="Arial" w:cs="Arial" w:eastAsia="Arial" w:hAnsi="Arial"/>
          <w:sz w:val="18"/>
          <w:szCs w:val="18"/>
          <w:color w:val="634140"/>
        </w:rPr>
        <w:t>`pgefrclgle</w:t>
      </w:r>
      <w:r>
        <w:rPr>
          <w:rFonts w:ascii="PMingLiU" w:cs="PMingLiU" w:eastAsia="PMingLiU" w:hAnsi="PMingLiU"/>
          <w:sz w:val="18"/>
          <w:szCs w:val="18"/>
          <w:color w:val="634140"/>
        </w:rPr>
        <w:t/>
      </w:r>
      <w:r>
        <w:rPr>
          <w:rFonts w:ascii="Arial" w:cs="Arial" w:eastAsia="Arial" w:hAnsi="Arial"/>
          <w:sz w:val="18"/>
          <w:szCs w:val="18"/>
          <w:color w:val="634140"/>
        </w:rPr>
        <w:t xml:space="preserve"> _lb</w:t>
      </w:r>
      <w:r>
        <w:rPr>
          <w:rFonts w:ascii="PMingLiU" w:cs="PMingLiU" w:eastAsia="PMingLiU" w:hAnsi="PMingLiU"/>
          <w:sz w:val="18"/>
          <w:szCs w:val="18"/>
          <w:color w:val="634140"/>
        </w:rPr>
        <w:t/>
      </w:r>
      <w:r>
        <w:rPr>
          <w:rFonts w:ascii="Arial" w:cs="Arial" w:eastAsia="Arial" w:hAnsi="Arial"/>
          <w:sz w:val="18"/>
          <w:szCs w:val="18"/>
          <w:color w:val="634140"/>
        </w:rPr>
        <w:t>pclcu_j</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qigl</w:t>
      </w:r>
      <w:r>
        <w:rPr>
          <w:rFonts w:ascii="PMingLiU" w:cs="PMingLiU" w:eastAsia="PMingLiU" w:hAnsi="PMingLiU"/>
          <w:sz w:val="18"/>
          <w:szCs w:val="18"/>
          <w:color w:val="634140"/>
        </w:rPr>
        <w:t/>
      </w:r>
      <w:r>
        <w:rPr>
          <w:rFonts w:ascii="Arial" w:cs="Arial" w:eastAsia="Arial" w:hAnsi="Arial"/>
          <w:sz w:val="18"/>
          <w:szCs w:val="18"/>
          <w:color w:val="634140"/>
        </w:rPr>
        <w:t>amjj_ecl</w:t>
      </w:r>
      <w:r>
        <w:rPr>
          <w:rFonts w:ascii="PMingLiU" w:cs="PMingLiU" w:eastAsia="PMingLiU" w:hAnsi="PMingLiU"/>
          <w:sz w:val="18"/>
          <w:szCs w:val="18"/>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-49530</wp:posOffset>
            </wp:positionV>
            <wp:extent cx="160020" cy="159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1">
                      <a:extLst>
                        <a:ext uri="{28A0092B-C50C-407E-A947-70E740481C1C}"/>
                      </a:extLst>
                    </a:blip>
                    <a:srcRect/>
                    <a:stretch>
                      <a:fillRect/>
                    </a:stretch>
                  </pic:blipFill>
                  <pic:spPr bwMode="auto">
                    <a:xfrm>
                      <a:off x="0" y="0"/>
                      <a:ext cx="160020" cy="159385"/>
                    </a:xfrm>
                    <a:prstGeom prst="rect">
                      <a:avLst/>
                    </a:prstGeom>
                    <a:noFill/>
                  </pic:spPr>
                </pic:pic>
              </a:graphicData>
            </a:graphic>
          </wp:anchor>
        </w:drawing>
      </w:r>
    </w:p>
    <w:p>
      <w:pPr>
        <w:spacing w:after="0" w:line="286" w:lineRule="exact"/>
        <w:rPr>
          <w:sz w:val="20"/>
          <w:szCs w:val="20"/>
          <w:color w:val="auto"/>
        </w:rPr>
      </w:pPr>
    </w:p>
    <w:p>
      <w:pPr>
        <w:spacing w:after="0" w:line="219" w:lineRule="exact"/>
        <w:rPr>
          <w:sz w:val="20"/>
          <w:szCs w:val="20"/>
          <w:color w:val="auto"/>
        </w:rPr>
      </w:pPr>
      <w:r>
        <w:rPr>
          <w:rFonts w:ascii="Arial" w:cs="Arial" w:eastAsia="Arial" w:hAnsi="Arial"/>
          <w:sz w:val="18"/>
          <w:szCs w:val="18"/>
          <w:b w:val="1"/>
          <w:bCs w:val="1"/>
          <w:color w:val="59BDB6"/>
        </w:rPr>
        <w:t>l_rpg_lacB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_spmp_</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cvrp_ar</w:t>
      </w:r>
      <w:r>
        <w:rPr>
          <w:rFonts w:ascii="PMingLiU" w:cs="PMingLiU" w:eastAsia="PMingLiU" w:hAnsi="PMingLiU"/>
          <w:sz w:val="18"/>
          <w:szCs w:val="18"/>
          <w:b w:val="1"/>
          <w:bCs w:val="1"/>
          <w:color w:val="59BDB6"/>
        </w:rPr>
        <w:t/>
      </w:r>
      <w:r>
        <w:rPr>
          <w:rFonts w:ascii="PMingLiU" w:cs="PMingLiU" w:eastAsia="PMingLiU" w:hAnsi="PMingLiU"/>
          <w:sz w:val="18"/>
          <w:szCs w:val="18"/>
          <w:color w:val="634140"/>
        </w:rPr>
        <w:t/>
      </w:r>
      <w:r>
        <w:rPr>
          <w:rFonts w:ascii="Arial" w:cs="Arial" w:eastAsia="Arial" w:hAnsi="Arial"/>
          <w:sz w:val="18"/>
          <w:szCs w:val="18"/>
          <w:color w:val="634140"/>
        </w:rPr>
        <w:t>sqcq</w:t>
      </w:r>
      <w:r>
        <w:rPr>
          <w:rFonts w:ascii="PMingLiU" w:cs="PMingLiU" w:eastAsia="PMingLiU" w:hAnsi="PMingLiU"/>
          <w:sz w:val="18"/>
          <w:szCs w:val="18"/>
          <w:color w:val="634140"/>
        </w:rPr>
        <w:t/>
      </w:r>
      <w:r>
        <w:rPr>
          <w:rFonts w:ascii="Arial" w:cs="Arial" w:eastAsia="Arial" w:hAnsi="Arial"/>
          <w:sz w:val="18"/>
          <w:szCs w:val="18"/>
          <w:color w:val="634140"/>
        </w:rPr>
        <w:t>eclmkga</w:t>
      </w:r>
      <w:r>
        <w:rPr>
          <w:rFonts w:ascii="PMingLiU" w:cs="PMingLiU" w:eastAsia="PMingLiU" w:hAnsi="PMingLiU"/>
          <w:sz w:val="18"/>
          <w:szCs w:val="18"/>
          <w:color w:val="634140"/>
        </w:rPr>
        <w:t/>
      </w:r>
    </w:p>
    <w:p>
      <w:pPr>
        <w:spacing w:after="0" w:line="39"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634140"/>
        </w:rPr>
        <w:t>rcaflmjmew</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gbclrgdw</w:t>
      </w:r>
      <w:r>
        <w:rPr>
          <w:rFonts w:ascii="PMingLiU" w:cs="PMingLiU" w:eastAsia="PMingLiU" w:hAnsi="PMingLiU"/>
          <w:sz w:val="18"/>
          <w:szCs w:val="18"/>
          <w:color w:val="634140"/>
        </w:rPr>
        <w:t/>
      </w:r>
      <w:r>
        <w:rPr>
          <w:rFonts w:ascii="Arial" w:cs="Arial" w:eastAsia="Arial" w:hAnsi="Arial"/>
          <w:sz w:val="18"/>
          <w:szCs w:val="18"/>
          <w:color w:val="634140"/>
        </w:rPr>
        <w:t>nj_lr</w:t>
      </w:r>
      <w:r>
        <w:rPr>
          <w:rFonts w:ascii="PMingLiU" w:cs="PMingLiU" w:eastAsia="PMingLiU" w:hAnsi="PMingLiU"/>
          <w:sz w:val="18"/>
          <w:szCs w:val="18"/>
          <w:color w:val="634140"/>
        </w:rPr>
        <w:t/>
      </w:r>
      <w:r>
        <w:rPr>
          <w:rFonts w:ascii="Arial" w:cs="Arial" w:eastAsia="Arial" w:hAnsi="Arial"/>
          <w:sz w:val="18"/>
          <w:szCs w:val="18"/>
          <w:color w:val="634140"/>
        </w:rPr>
        <w:t>ncnrgbcq</w:t>
      </w:r>
      <w:r>
        <w:rPr>
          <w:rFonts w:ascii="PMingLiU" w:cs="PMingLiU" w:eastAsia="PMingLiU" w:hAnsi="PMingLiU"/>
          <w:sz w:val="18"/>
          <w:szCs w:val="18"/>
          <w:color w:val="634140"/>
        </w:rPr>
        <w:t/>
      </w:r>
      <w:r>
        <w:rPr>
          <w:rFonts w:ascii="Arial" w:cs="Arial" w:eastAsia="Arial" w:hAnsi="Arial"/>
          <w:sz w:val="18"/>
          <w:szCs w:val="18"/>
          <w:color w:val="634140"/>
        </w:rPr>
        <w:t>rf_r</w:t>
      </w:r>
      <w:r>
        <w:rPr>
          <w:rFonts w:ascii="PMingLiU" w:cs="PMingLiU" w:eastAsia="PMingLiU" w:hAnsi="PMingLiU"/>
          <w:sz w:val="18"/>
          <w:szCs w:val="18"/>
          <w:color w:val="634140"/>
        </w:rPr>
        <w:t/>
      </w:r>
      <w:r>
        <w:rPr>
          <w:rFonts w:ascii="Arial" w:cs="Arial" w:eastAsia="Arial" w:hAnsi="Arial"/>
          <w:sz w:val="18"/>
          <w:szCs w:val="18"/>
          <w:color w:val="634140"/>
        </w:rPr>
        <w:t xml:space="preserve"> `mmqr</w:t>
      </w:r>
      <w:r>
        <w:rPr>
          <w:rFonts w:ascii="PMingLiU" w:cs="PMingLiU" w:eastAsia="PMingLiU" w:hAnsi="PMingLiU"/>
          <w:sz w:val="18"/>
          <w:szCs w:val="18"/>
          <w:color w:val="634140"/>
        </w:rPr>
        <w:t/>
      </w:r>
      <w:r>
        <w:rPr>
          <w:rFonts w:ascii="Arial" w:cs="Arial" w:eastAsia="Arial" w:hAnsi="Arial"/>
          <w:sz w:val="18"/>
          <w:szCs w:val="18"/>
          <w:color w:val="634140"/>
        </w:rPr>
        <w:t>EQFVE˦</w:t>
      </w:r>
      <w:r>
        <w:rPr>
          <w:rFonts w:ascii="PMingLiU" w:cs="PMingLiU" w:eastAsia="PMingLiU" w:hAnsi="PMingLiU"/>
          <w:sz w:val="18"/>
          <w:szCs w:val="18"/>
          <w:color w:val="634140"/>
        </w:rPr>
        <w:t/>
      </w:r>
      <w:r>
        <w:rPr>
          <w:rFonts w:ascii="Arial" w:cs="Arial" w:eastAsia="Arial" w:hAnsi="Arial"/>
          <w:sz w:val="18"/>
          <w:szCs w:val="18"/>
          <w:color w:val="634140"/>
        </w:rPr>
        <w:t>qsnnmprgle</w:t>
      </w:r>
      <w:r>
        <w:rPr>
          <w:rFonts w:ascii="PMingLiU" w:cs="PMingLiU" w:eastAsia="PMingLiU" w:hAnsi="PMingLiU"/>
          <w:sz w:val="18"/>
          <w:szCs w:val="18"/>
          <w:color w:val="634140"/>
        </w:rPr>
        <w:t/>
      </w:r>
      <w:r>
        <w:rPr>
          <w:rFonts w:ascii="Arial" w:cs="Arial" w:eastAsia="Arial" w:hAnsi="Arial"/>
          <w:sz w:val="18"/>
          <w:szCs w:val="18"/>
          <w:color w:val="634140"/>
        </w:rPr>
        <w:t>qigl</w:t>
      </w:r>
      <w:r>
        <w:rPr>
          <w:rFonts w:ascii="PMingLiU" w:cs="PMingLiU" w:eastAsia="PMingLiU" w:hAnsi="PMingLiU"/>
          <w:sz w:val="18"/>
          <w:szCs w:val="18"/>
          <w:color w:val="634140"/>
        </w:rPr>
        <w:t/>
      </w:r>
      <w:r>
        <w:rPr>
          <w:rFonts w:ascii="Arial" w:cs="Arial" w:eastAsia="Arial" w:hAnsi="Arial"/>
          <w:sz w:val="18"/>
          <w:szCs w:val="18"/>
          <w:color w:val="634140"/>
        </w:rPr>
        <w:t>fc_jrf</w:t>
      </w:r>
      <w:r>
        <w:rPr>
          <w:rFonts w:ascii="PMingLiU" w:cs="PMingLiU" w:eastAsia="PMingLiU" w:hAnsi="PMingLiU"/>
          <w:sz w:val="18"/>
          <w:szCs w:val="18"/>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-222250</wp:posOffset>
            </wp:positionV>
            <wp:extent cx="319405" cy="3111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2">
                      <a:extLst>
                        <a:ext uri="{28A0092B-C50C-407E-A947-70E740481C1C}"/>
                      </a:extLst>
                    </a:blip>
                    <a:srcRect/>
                    <a:stretch>
                      <a:fillRect/>
                    </a:stretch>
                  </pic:blipFill>
                  <pic:spPr bwMode="auto">
                    <a:xfrm>
                      <a:off x="0" y="0"/>
                      <a:ext cx="319405" cy="311150"/>
                    </a:xfrm>
                    <a:prstGeom prst="rect">
                      <a:avLst/>
                    </a:prstGeom>
                    <a:noFill/>
                  </pic:spPr>
                </pic:pic>
              </a:graphicData>
            </a:graphic>
          </wp:anchor>
        </w:drawing>
      </w:r>
    </w:p>
    <w:p>
      <w:pPr>
        <w:spacing w:after="0" w:line="1" w:lineRule="exact"/>
        <w:rPr>
          <w:sz w:val="20"/>
          <w:szCs w:val="20"/>
          <w:color w:val="auto"/>
        </w:rPr>
      </w:pPr>
    </w:p>
    <w:p>
      <w:pPr>
        <w:sectPr>
          <w:pgSz w:w="12240" w:h="15840" w:orient="portrait"/>
          <w:cols w:equalWidth="0" w:num="2">
            <w:col w:w="6160" w:space="380"/>
            <w:col w:w="3520"/>
          </w:cols>
          <w:pgMar w:left="1120" w:top="780" w:right="1060" w:bottom="1068" w:gutter="0" w:footer="0" w:header="0"/>
          <w:type w:val="continuous"/>
        </w:sectPr>
      </w:pPr>
    </w:p>
    <w:p>
      <w:pPr>
        <w:spacing w:after="0" w:line="124" w:lineRule="exact"/>
        <w:rPr>
          <w:sz w:val="20"/>
          <w:szCs w:val="20"/>
          <w:color w:val="auto"/>
        </w:rPr>
      </w:pPr>
      <w:r>
        <w:rPr>
          <w:rFonts w:ascii="Arial" w:cs="Arial" w:eastAsia="Arial" w:hAnsi="Arial"/>
          <w:sz w:val="12"/>
          <w:szCs w:val="12"/>
          <w:color w:val="634140"/>
        </w:rPr>
        <w:t>gk_ec</w:t>
      </w:r>
      <w:r>
        <w:rPr>
          <w:rFonts w:ascii="PMingLiU" w:cs="PMingLiU" w:eastAsia="PMingLiU" w:hAnsi="PMingLiU"/>
          <w:sz w:val="12"/>
          <w:szCs w:val="12"/>
          <w:color w:val="634140"/>
        </w:rPr>
        <w:t/>
      </w:r>
      <w:r>
        <w:rPr>
          <w:rFonts w:ascii="Arial" w:cs="Arial" w:eastAsia="Arial" w:hAnsi="Arial"/>
          <w:sz w:val="12"/>
          <w:szCs w:val="12"/>
          <w:color w:val="634140"/>
        </w:rPr>
        <w:t>eclcp_rcb</w:t>
      </w:r>
      <w:r>
        <w:rPr>
          <w:rFonts w:ascii="PMingLiU" w:cs="PMingLiU" w:eastAsia="PMingLiU" w:hAnsi="PMingLiU"/>
          <w:sz w:val="12"/>
          <w:szCs w:val="12"/>
          <w:color w:val="634140"/>
        </w:rPr>
        <w:t/>
      </w:r>
      <w:r>
        <w:rPr>
          <w:rFonts w:ascii="Arial" w:cs="Arial" w:eastAsia="Arial" w:hAnsi="Arial"/>
          <w:sz w:val="12"/>
          <w:szCs w:val="12"/>
          <w:color w:val="634140"/>
        </w:rPr>
        <w:t>sqgle</w:t>
      </w:r>
      <w:r>
        <w:rPr>
          <w:rFonts w:ascii="PMingLiU" w:cs="PMingLiU" w:eastAsia="PMingLiU" w:hAnsi="PMingLiU"/>
          <w:sz w:val="12"/>
          <w:szCs w:val="12"/>
          <w:color w:val="634140"/>
        </w:rPr>
        <w:t/>
      </w:r>
      <w:r>
        <w:rPr>
          <w:rFonts w:ascii="Arial" w:cs="Arial" w:eastAsia="Arial" w:hAnsi="Arial"/>
          <w:sz w:val="12"/>
          <w:szCs w:val="12"/>
          <w:color w:val="634140"/>
        </w:rPr>
        <w: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229235</wp:posOffset>
            </wp:positionV>
            <wp:extent cx="630872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3">
                      <a:extLst>
                        <a:ext uri="{28A0092B-C50C-407E-A947-70E740481C1C}"/>
                      </a:extLst>
                    </a:blip>
                    <a:srcRect/>
                    <a:stretch>
                      <a:fillRect/>
                    </a:stretch>
                  </pic:blipFill>
                  <pic:spPr bwMode="auto">
                    <a:xfrm>
                      <a:off x="0" y="0"/>
                      <a:ext cx="6308725" cy="1270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330835</wp:posOffset>
            </wp:positionV>
            <wp:extent cx="1198245" cy="4076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4">
                      <a:extLst>
                        <a:ext uri="{28A0092B-C50C-407E-A947-70E740481C1C}"/>
                      </a:extLst>
                    </a:blip>
                    <a:srcRect/>
                    <a:stretch>
                      <a:fillRect/>
                    </a:stretch>
                  </pic:blipFill>
                  <pic:spPr bwMode="auto">
                    <a:xfrm>
                      <a:off x="0" y="0"/>
                      <a:ext cx="1198245" cy="40767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347980</wp:posOffset>
            </wp:positionV>
            <wp:extent cx="365760" cy="281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5">
                      <a:extLst>
                        <a:ext uri="{28A0092B-C50C-407E-A947-70E740481C1C}"/>
                      </a:extLst>
                    </a:blip>
                    <a:srcRect/>
                    <a:stretch>
                      <a:fillRect/>
                    </a:stretch>
                  </pic:blipFill>
                  <pic:spPr bwMode="auto">
                    <a:xfrm>
                      <a:off x="0" y="0"/>
                      <a:ext cx="365760" cy="28130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341630</wp:posOffset>
            </wp:positionV>
            <wp:extent cx="160020" cy="159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6">
                      <a:extLst>
                        <a:ext uri="{28A0092B-C50C-407E-A947-70E740481C1C}"/>
                      </a:extLst>
                    </a:blip>
                    <a:srcRect/>
                    <a:stretch>
                      <a:fillRect/>
                    </a:stretch>
                  </pic:blipFill>
                  <pic:spPr bwMode="auto">
                    <a:xfrm>
                      <a:off x="0" y="0"/>
                      <a:ext cx="160020" cy="159385"/>
                    </a:xfrm>
                    <a:prstGeom prst="rect">
                      <a:avLst/>
                    </a:prstGeom>
                    <a:noFill/>
                  </pic:spPr>
                </pic:pic>
              </a:graphicData>
            </a:graphic>
          </wp:anchor>
        </w:drawing>
      </w:r>
    </w:p>
    <w:p>
      <w:pPr>
        <w:sectPr>
          <w:pgSz w:w="12240" w:h="15840" w:orient="portrait"/>
          <w:cols w:equalWidth="0" w:num="1">
            <w:col w:w="10060"/>
          </w:cols>
          <w:pgMar w:left="1120" w:top="780" w:right="1060" w:bottom="1068"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1765" cy="10057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7">
                      <a:extLst>
                        <a:ext uri="{28A0092B-C50C-407E-A947-70E740481C1C}"/>
                      </a:extLst>
                    </a:blip>
                    <a:srcRect/>
                    <a:stretch>
                      <a:fillRect/>
                    </a:stretch>
                  </pic:blipFill>
                  <pic:spPr bwMode="auto">
                    <a:xfrm>
                      <a:off x="0" y="0"/>
                      <a:ext cx="7771765"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103" w:lineRule="exact"/>
        <w:rPr>
          <w:sz w:val="20"/>
          <w:szCs w:val="20"/>
          <w:color w:val="auto"/>
        </w:rPr>
      </w:pPr>
      <w:r>
        <w:rPr>
          <w:rFonts w:ascii="Arial" w:cs="Arial" w:eastAsia="Arial" w:hAnsi="Arial"/>
          <w:sz w:val="91"/>
          <w:szCs w:val="91"/>
          <w:color w:val="634140"/>
        </w:rPr>
        <w:t>qncag_jrw</w:t>
      </w:r>
      <w:r>
        <w:rPr>
          <w:rFonts w:ascii="PMingLiU" w:cs="PMingLiU" w:eastAsia="PMingLiU" w:hAnsi="PMingLiU"/>
          <w:sz w:val="91"/>
          <w:szCs w:val="91"/>
          <w:color w:val="634140"/>
        </w:rPr>
        <w:t/>
      </w:r>
      <w:r>
        <w:rPr>
          <w:rFonts w:ascii="Arial" w:cs="Arial" w:eastAsia="Arial" w:hAnsi="Arial"/>
          <w:sz w:val="91"/>
          <w:szCs w:val="91"/>
          <w:color w:val="634140"/>
        </w:rPr>
        <w:t>_bbgrgtcq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line="291" w:lineRule="exact"/>
        <w:rPr>
          <w:sz w:val="20"/>
          <w:szCs w:val="20"/>
          <w:color w:val="auto"/>
        </w:rPr>
      </w:pPr>
      <w:r>
        <w:rPr>
          <w:rFonts w:ascii="Arial" w:cs="Arial" w:eastAsia="Arial" w:hAnsi="Arial"/>
          <w:sz w:val="24"/>
          <w:szCs w:val="24"/>
          <w:color w:val="FFFFFF"/>
        </w:rPr>
        <w:t>Eqfj_lb</w:t>
      </w:r>
      <w:r>
        <w:rPr>
          <w:rFonts w:ascii="PMingLiU" w:cs="PMingLiU" w:eastAsia="PMingLiU" w:hAnsi="PMingLiU"/>
          <w:sz w:val="24"/>
          <w:szCs w:val="24"/>
          <w:color w:val="FFFFFF"/>
        </w:rPr>
        <w:t/>
      </w:r>
      <w:r>
        <w:rPr>
          <w:rFonts w:ascii="Arial" w:cs="Arial" w:eastAsia="Arial" w:hAnsi="Arial"/>
          <w:sz w:val="24"/>
          <w:szCs w:val="24"/>
          <w:color w:val="FFFFFF"/>
        </w:rPr>
        <w:t>Wncag_jrw</w:t>
      </w:r>
      <w:r>
        <w:rPr>
          <w:rFonts w:ascii="PMingLiU" w:cs="PMingLiU" w:eastAsia="PMingLiU" w:hAnsi="PMingLiU"/>
          <w:sz w:val="24"/>
          <w:szCs w:val="24"/>
          <w:color w:val="FFFFFF"/>
        </w:rPr>
        <w:t/>
      </w:r>
      <w:r>
        <w:rPr>
          <w:rFonts w:ascii="Arial" w:cs="Arial" w:eastAsia="Arial" w:hAnsi="Arial"/>
          <w:sz w:val="24"/>
          <w:szCs w:val="24"/>
          <w:color w:val="FFFFFF"/>
        </w:rPr>
        <w:t>Ebbgrgtcq</w:t>
      </w:r>
      <w:r>
        <w:rPr>
          <w:rFonts w:ascii="PMingLiU" w:cs="PMingLiU" w:eastAsia="PMingLiU" w:hAnsi="PMingLiU"/>
          <w:sz w:val="24"/>
          <w:szCs w:val="24"/>
          <w:color w:val="FFFFFF"/>
        </w:rPr>
        <w:t/>
      </w:r>
      <w:r>
        <w:rPr>
          <w:rFonts w:ascii="Arial" w:cs="Arial" w:eastAsia="Arial" w:hAnsi="Arial"/>
          <w:sz w:val="24"/>
          <w:szCs w:val="24"/>
          <w:color w:val="FFFFFF"/>
        </w:rPr>
        <w:t>_pc</w:t>
      </w:r>
      <w:r>
        <w:rPr>
          <w:rFonts w:ascii="PMingLiU" w:cs="PMingLiU" w:eastAsia="PMingLiU" w:hAnsi="PMingLiU"/>
          <w:sz w:val="24"/>
          <w:szCs w:val="24"/>
          <w:color w:val="FFFFFF"/>
        </w:rPr>
        <w:t/>
      </w:r>
      <w:r>
        <w:rPr>
          <w:rFonts w:ascii="Arial" w:cs="Arial" w:eastAsia="Arial" w:hAnsi="Arial"/>
          <w:sz w:val="24"/>
          <w:szCs w:val="24"/>
          <w:color w:val="FFFFFF"/>
        </w:rPr>
        <w:t>lmr</w:t>
      </w:r>
      <w:r>
        <w:rPr>
          <w:rFonts w:ascii="PMingLiU" w:cs="PMingLiU" w:eastAsia="PMingLiU" w:hAnsi="PMingLiU"/>
          <w:sz w:val="24"/>
          <w:szCs w:val="24"/>
          <w:color w:val="FFFFFF"/>
        </w:rPr>
        <w:t/>
      </w:r>
      <w:r>
        <w:rPr>
          <w:rFonts w:ascii="Arial" w:cs="Arial" w:eastAsia="Arial" w:hAnsi="Arial"/>
          <w:sz w:val="24"/>
          <w:szCs w:val="24"/>
          <w:color w:val="FFFFFF"/>
        </w:rPr>
        <w:t>hsqr</w:t>
      </w:r>
      <w:r>
        <w:rPr>
          <w:rFonts w:ascii="PMingLiU" w:cs="PMingLiU" w:eastAsia="PMingLiU" w:hAnsi="PMingLiU"/>
          <w:sz w:val="24"/>
          <w:szCs w:val="24"/>
          <w:color w:val="FFFFFF"/>
        </w:rPr>
        <w:t/>
      </w:r>
      <w:r>
        <w:rPr>
          <w:rFonts w:ascii="Arial" w:cs="Arial" w:eastAsia="Arial" w:hAnsi="Arial"/>
          <w:sz w:val="24"/>
          <w:szCs w:val="24"/>
          <w:color w:val="FFFFFF"/>
        </w:rPr>
        <w:t>glepcbgclrq</w:t>
      </w:r>
      <w:r>
        <w:rPr>
          <w:rFonts w:ascii="PMingLiU" w:cs="PMingLiU" w:eastAsia="PMingLiU" w:hAnsi="PMingLiU"/>
          <w:sz w:val="24"/>
          <w:szCs w:val="24"/>
          <w:color w:val="FFFFFF"/>
        </w:rPr>
        <w:t/>
      </w:r>
      <w:r>
        <w:rPr>
          <w:rFonts w:ascii="Arial" w:cs="Arial" w:eastAsia="Arial" w:hAnsi="Arial"/>
          <w:sz w:val="24"/>
          <w:szCs w:val="24"/>
          <w:color w:val="FFFFFF"/>
        </w:rPr>
        <w:t>dmp</w:t>
      </w:r>
      <w:r>
        <w:rPr>
          <w:rFonts w:ascii="PMingLiU" w:cs="PMingLiU" w:eastAsia="PMingLiU" w:hAnsi="PMingLiU"/>
          <w:sz w:val="24"/>
          <w:szCs w:val="24"/>
          <w:color w:val="FFFFFF"/>
        </w:rPr>
        <w:t/>
      </w:r>
      <w:r>
        <w:rPr>
          <w:rFonts w:ascii="Arial" w:cs="Arial" w:eastAsia="Arial" w:hAnsi="Arial"/>
          <w:sz w:val="24"/>
          <w:szCs w:val="24"/>
          <w:color w:val="FFFFFF"/>
        </w:rPr>
        <w:t>dmpksj_rgmlq</w:t>
      </w:r>
      <w:r>
        <w:rPr>
          <w:rFonts w:ascii="PMingLiU" w:cs="PMingLiU" w:eastAsia="PMingLiU" w:hAnsi="PMingLiU"/>
          <w:sz w:val="24"/>
          <w:szCs w:val="24"/>
          <w:color w:val="FFFFFF"/>
        </w:rPr>
        <w:t/>
      </w:r>
      <w:r>
        <w:rPr>
          <w:rFonts w:ascii="Arial" w:cs="Arial" w:eastAsia="Arial" w:hAnsi="Arial"/>
          <w:sz w:val="24"/>
          <w:szCs w:val="24"/>
          <w:color w:val="FFFFFF"/>
        </w:rPr>
        <w:t>Ssp</w:t>
      </w:r>
      <w:r>
        <w:rPr>
          <w:rFonts w:ascii="PMingLiU" w:cs="PMingLiU" w:eastAsia="PMingLiU" w:hAnsi="PMingLiU"/>
          <w:sz w:val="24"/>
          <w:szCs w:val="24"/>
          <w:color w:val="FFFFFF"/>
        </w:rPr>
        <w:t/>
      </w:r>
      <w:r>
        <w:rPr>
          <w:rFonts w:ascii="Arial" w:cs="Arial" w:eastAsia="Arial" w:hAnsi="Arial"/>
          <w:sz w:val="24"/>
          <w:szCs w:val="24"/>
          <w:color w:val="FFFFFF"/>
        </w:rPr>
        <w:t>qmjsrgmlq</w:t>
      </w:r>
      <w:r>
        <w:rPr>
          <w:rFonts w:ascii="PMingLiU" w:cs="PMingLiU" w:eastAsia="PMingLiU" w:hAnsi="PMingLiU"/>
          <w:sz w:val="24"/>
          <w:szCs w:val="24"/>
          <w:color w:val="FFFFFF"/>
        </w:rPr>
        <w:t/>
      </w:r>
      <w:r>
        <w:rPr>
          <w:rFonts w:ascii="Arial" w:cs="Arial" w:eastAsia="Arial" w:hAnsi="Arial"/>
          <w:sz w:val="24"/>
          <w:szCs w:val="24"/>
          <w:color w:val="FFFFFF"/>
        </w:rPr>
        <w:t>cl_`jc</w:t>
      </w:r>
      <w:r>
        <w:rPr>
          <w:rFonts w:ascii="PMingLiU" w:cs="PMingLiU" w:eastAsia="PMingLiU" w:hAnsi="PMingLiU"/>
          <w:sz w:val="24"/>
          <w:szCs w:val="24"/>
          <w:color w:val="FFFFFF"/>
        </w:rPr>
        <w:t/>
      </w:r>
    </w:p>
    <w:p>
      <w:pPr>
        <w:spacing w:after="0" w:line="53" w:lineRule="exact"/>
        <w:rPr>
          <w:sz w:val="20"/>
          <w:szCs w:val="20"/>
          <w:color w:val="auto"/>
        </w:rPr>
      </w:pPr>
    </w:p>
    <w:p>
      <w:pPr>
        <w:ind w:left="20"/>
        <w:spacing w:after="0" w:line="291" w:lineRule="exact"/>
        <w:rPr>
          <w:sz w:val="20"/>
          <w:szCs w:val="20"/>
          <w:color w:val="auto"/>
        </w:rPr>
      </w:pPr>
      <w:r>
        <w:rPr>
          <w:rFonts w:ascii="Arial" w:cs="Arial" w:eastAsia="Arial" w:hAnsi="Arial"/>
          <w:sz w:val="24"/>
          <w:szCs w:val="24"/>
          <w:color w:val="FFFFFF"/>
        </w:rPr>
        <w:t>bgffcpclrg_rcb</w:t>
      </w:r>
      <w:r>
        <w:rPr>
          <w:rFonts w:ascii="PMingLiU" w:cs="PMingLiU" w:eastAsia="PMingLiU" w:hAnsi="PMingLiU"/>
          <w:sz w:val="24"/>
          <w:szCs w:val="24"/>
          <w:color w:val="FFFFFF"/>
        </w:rPr>
        <w:t/>
      </w:r>
      <w:r>
        <w:rPr>
          <w:rFonts w:ascii="Arial" w:cs="Arial" w:eastAsia="Arial" w:hAnsi="Arial"/>
          <w:sz w:val="24"/>
          <w:szCs w:val="24"/>
          <w:color w:val="FFFFFF"/>
        </w:rPr>
        <w:t>ncpdmpk_lac</w:t>
      </w:r>
      <w:r>
        <w:rPr>
          <w:rFonts w:ascii="PMingLiU" w:cs="PMingLiU" w:eastAsia="PMingLiU" w:hAnsi="PMingLiU"/>
          <w:sz w:val="24"/>
          <w:szCs w:val="24"/>
          <w:color w:val="FFFFFF"/>
        </w:rPr>
        <w:t/>
      </w:r>
      <w:r>
        <w:rPr>
          <w:rFonts w:ascii="Arial" w:cs="Arial" w:eastAsia="Arial" w:hAnsi="Arial"/>
          <w:sz w:val="24"/>
          <w:szCs w:val="24"/>
          <w:color w:val="FFFFFF"/>
        </w:rPr>
        <w:t>_apmqq</w:t>
      </w:r>
      <w:r>
        <w:rPr>
          <w:rFonts w:ascii="PMingLiU" w:cs="PMingLiU" w:eastAsia="PMingLiU" w:hAnsi="PMingLiU"/>
          <w:sz w:val="24"/>
          <w:szCs w:val="24"/>
          <w:color w:val="FFFFFF"/>
        </w:rPr>
        <w:t/>
      </w:r>
      <w:r>
        <w:rPr>
          <w:rFonts w:ascii="Arial" w:cs="Arial" w:eastAsia="Arial" w:hAnsi="Arial"/>
          <w:sz w:val="24"/>
          <w:szCs w:val="24"/>
          <w:color w:val="FFFFFF"/>
        </w:rPr>
        <w:t>am_rgleq</w:t>
      </w:r>
      <w:r>
        <w:rPr>
          <w:rFonts w:ascii="PMingLiU" w:cs="PMingLiU" w:eastAsia="PMingLiU" w:hAnsi="PMingLiU"/>
          <w:sz w:val="24"/>
          <w:szCs w:val="24"/>
          <w:color w:val="FFFFFF"/>
        </w:rPr>
        <w:t/>
      </w:r>
      <w:r>
        <w:rPr>
          <w:rFonts w:ascii="Arial" w:cs="Arial" w:eastAsia="Arial" w:hAnsi="Arial"/>
          <w:sz w:val="24"/>
          <w:szCs w:val="24"/>
          <w:color w:val="FFFFFF"/>
        </w:rPr>
        <w:t>kcr_j</w:t>
      </w:r>
      <w:r>
        <w:rPr>
          <w:rFonts w:ascii="PMingLiU" w:cs="PMingLiU" w:eastAsia="PMingLiU" w:hAnsi="PMingLiU"/>
          <w:sz w:val="24"/>
          <w:szCs w:val="24"/>
          <w:color w:val="FFFFFF"/>
        </w:rPr>
        <w:t/>
      </w:r>
      <w:r>
        <w:rPr>
          <w:rFonts w:ascii="Arial" w:cs="Arial" w:eastAsia="Arial" w:hAnsi="Arial"/>
          <w:sz w:val="24"/>
          <w:szCs w:val="24"/>
          <w:color w:val="FFFFFF"/>
        </w:rPr>
        <w:t>npmacqqgle</w:t>
      </w:r>
      <w:r>
        <w:rPr>
          <w:rFonts w:ascii="PMingLiU" w:cs="PMingLiU" w:eastAsia="PMingLiU" w:hAnsi="PMingLiU"/>
          <w:sz w:val="24"/>
          <w:szCs w:val="24"/>
          <w:color w:val="FFFFFF"/>
        </w:rPr>
        <w:t/>
      </w:r>
      <w:r>
        <w:rPr>
          <w:rFonts w:ascii="Arial" w:cs="Arial" w:eastAsia="Arial" w:hAnsi="Arial"/>
          <w:sz w:val="24"/>
          <w:szCs w:val="24"/>
          <w:color w:val="FFFFFF"/>
        </w:rPr>
        <w:t>_bfcqgtcq</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kmpc</w:t>
      </w:r>
      <w:r>
        <w:rPr>
          <w:rFonts w:ascii="PMingLiU" w:cs="PMingLiU" w:eastAsia="PMingLiU" w:hAnsi="PMingLiU"/>
          <w:sz w:val="24"/>
          <w:szCs w:val="24"/>
          <w:color w:val="FFFFFF"/>
        </w:rPr>
        <w:t/>
      </w:r>
    </w:p>
    <w:p>
      <w:pPr>
        <w:spacing w:after="0" w:line="53" w:lineRule="exact"/>
        <w:rPr>
          <w:sz w:val="20"/>
          <w:szCs w:val="20"/>
          <w:color w:val="auto"/>
        </w:rPr>
      </w:pPr>
    </w:p>
    <w:p>
      <w:pPr>
        <w:ind w:left="20"/>
        <w:spacing w:after="0" w:line="291" w:lineRule="exact"/>
        <w:rPr>
          <w:sz w:val="20"/>
          <w:szCs w:val="20"/>
          <w:color w:val="auto"/>
        </w:rPr>
      </w:pPr>
      <w:r>
        <w:rPr>
          <w:rFonts w:ascii="Arial" w:cs="Arial" w:eastAsia="Arial" w:hAnsi="Arial"/>
          <w:sz w:val="24"/>
          <w:szCs w:val="24"/>
          <w:color w:val="FFFFFF"/>
        </w:rPr>
        <w:t>Ssp</w:t>
      </w:r>
      <w:r>
        <w:rPr>
          <w:rFonts w:ascii="PMingLiU" w:cs="PMingLiU" w:eastAsia="PMingLiU" w:hAnsi="PMingLiU"/>
          <w:sz w:val="24"/>
          <w:szCs w:val="24"/>
          <w:color w:val="FFFFFF"/>
        </w:rPr>
        <w:t/>
      </w:r>
      <w:r>
        <w:rPr>
          <w:rFonts w:ascii="Arial" w:cs="Arial" w:eastAsia="Arial" w:hAnsi="Arial"/>
          <w:sz w:val="24"/>
          <w:szCs w:val="24"/>
          <w:color w:val="FFFFFF"/>
        </w:rPr>
        <w:t>j_rcqr</w:t>
      </w:r>
      <w:r>
        <w:rPr>
          <w:rFonts w:ascii="PMingLiU" w:cs="PMingLiU" w:eastAsia="PMingLiU" w:hAnsi="PMingLiU"/>
          <w:sz w:val="24"/>
          <w:szCs w:val="24"/>
          <w:color w:val="FFFFFF"/>
        </w:rPr>
        <w:t/>
      </w:r>
      <w:r>
        <w:rPr>
          <w:rFonts w:ascii="Arial" w:cs="Arial" w:eastAsia="Arial" w:hAnsi="Arial"/>
          <w:sz w:val="24"/>
          <w:szCs w:val="24"/>
          <w:color w:val="FFFFFF"/>
        </w:rPr>
        <w:t>qsqr_gl_`jc</w:t>
      </w:r>
      <w:r>
        <w:rPr>
          <w:rFonts w:ascii="PMingLiU" w:cs="PMingLiU" w:eastAsia="PMingLiU" w:hAnsi="PMingLiU"/>
          <w:sz w:val="24"/>
          <w:szCs w:val="24"/>
          <w:color w:val="FFFFFF"/>
        </w:rPr>
        <w:t/>
      </w:r>
      <w:r>
        <w:rPr>
          <w:rFonts w:ascii="Arial" w:cs="Arial" w:eastAsia="Arial" w:hAnsi="Arial"/>
          <w:sz w:val="24"/>
          <w:szCs w:val="24"/>
          <w:color w:val="FFFFFF"/>
        </w:rPr>
        <w:t>gllmt_rgmlq</w:t>
      </w:r>
      <w:r>
        <w:rPr>
          <w:rFonts w:ascii="PMingLiU" w:cs="PMingLiU" w:eastAsia="PMingLiU" w:hAnsi="PMingLiU"/>
          <w:sz w:val="24"/>
          <w:szCs w:val="24"/>
          <w:color w:val="FFFFFF"/>
        </w:rPr>
        <w:t/>
      </w:r>
      <w:r>
        <w:rPr>
          <w:rFonts w:ascii="Arial" w:cs="Arial" w:eastAsia="Arial" w:hAnsi="Arial"/>
          <w:sz w:val="24"/>
          <w:szCs w:val="24"/>
          <w:color w:val="FFFFFF"/>
        </w:rPr>
        <w:t>glajsbgle</w:t>
      </w:r>
      <w:r>
        <w:rPr>
          <w:rFonts w:ascii="PMingLiU" w:cs="PMingLiU" w:eastAsia="PMingLiU" w:hAnsi="PMingLiU"/>
          <w:sz w:val="24"/>
          <w:szCs w:val="24"/>
          <w:color w:val="FFFFFF"/>
        </w:rPr>
        <w:t/>
      </w:r>
      <w:r>
        <w:rPr>
          <w:rFonts w:ascii="Arial" w:cs="Arial" w:eastAsia="Arial" w:hAnsi="Arial"/>
          <w:sz w:val="24"/>
          <w:szCs w:val="24"/>
          <w:color w:val="FFFFFF"/>
        </w:rPr>
        <w:t>`gm`_qcb</w:t>
      </w:r>
      <w:r>
        <w:rPr>
          <w:rFonts w:ascii="PMingLiU" w:cs="PMingLiU" w:eastAsia="PMingLiU" w:hAnsi="PMingLiU"/>
          <w:sz w:val="24"/>
          <w:szCs w:val="24"/>
          <w:color w:val="FFFFFF"/>
        </w:rPr>
        <w:t/>
      </w:r>
      <w:r>
        <w:rPr>
          <w:rFonts w:ascii="Arial" w:cs="Arial" w:eastAsia="Arial" w:hAnsi="Arial"/>
          <w:sz w:val="24"/>
          <w:szCs w:val="24"/>
          <w:color w:val="FFFFFF"/>
        </w:rPr>
        <w:t>mnrgmlq</w:t>
      </w:r>
      <w:r>
        <w:rPr>
          <w:rFonts w:ascii="PMingLiU" w:cs="PMingLiU" w:eastAsia="PMingLiU" w:hAnsi="PMingLiU"/>
          <w:sz w:val="24"/>
          <w:szCs w:val="24"/>
          <w:color w:val="FFFFFF"/>
        </w:rPr>
        <w:t/>
      </w:r>
      <w:r>
        <w:rPr>
          <w:rFonts w:ascii="Arial" w:cs="Arial" w:eastAsia="Arial" w:hAnsi="Arial"/>
          <w:sz w:val="24"/>
          <w:szCs w:val="24"/>
          <w:color w:val="FFFFFF"/>
        </w:rPr>
        <w:t>_pc</w:t>
      </w:r>
      <w:r>
        <w:rPr>
          <w:rFonts w:ascii="PMingLiU" w:cs="PMingLiU" w:eastAsia="PMingLiU" w:hAnsi="PMingLiU"/>
          <w:sz w:val="24"/>
          <w:szCs w:val="24"/>
          <w:color w:val="FFFFFF"/>
        </w:rPr>
        <w:t/>
      </w:r>
      <w:r>
        <w:rPr>
          <w:rFonts w:ascii="Arial" w:cs="Arial" w:eastAsia="Arial" w:hAnsi="Arial"/>
          <w:sz w:val="24"/>
          <w:szCs w:val="24"/>
          <w:color w:val="FFFFFF"/>
        </w:rPr>
        <w:t>bpgtgle</w:t>
      </w:r>
      <w:r>
        <w:rPr>
          <w:rFonts w:ascii="PMingLiU" w:cs="PMingLiU" w:eastAsia="PMingLiU" w:hAnsi="PMingLiU"/>
          <w:sz w:val="24"/>
          <w:szCs w:val="24"/>
          <w:color w:val="FFFFFF"/>
        </w:rPr>
        <w:t/>
      </w:r>
      <w:r>
        <w:rPr>
          <w:rFonts w:ascii="Arial" w:cs="Arial" w:eastAsia="Arial" w:hAnsi="Arial"/>
          <w:sz w:val="24"/>
          <w:szCs w:val="24"/>
          <w:color w:val="FFFFFF"/>
        </w:rPr>
        <w:t>kc_qsp_`jc</w:t>
      </w:r>
      <w:r>
        <w:rPr>
          <w:rFonts w:ascii="PMingLiU" w:cs="PMingLiU" w:eastAsia="PMingLiU" w:hAnsi="PMingLiU"/>
          <w:sz w:val="24"/>
          <w:szCs w:val="24"/>
          <w:color w:val="FFFFFF"/>
        </w:rPr>
        <w:t/>
      </w:r>
    </w:p>
    <w:p>
      <w:pPr>
        <w:spacing w:after="0" w:line="53" w:lineRule="exact"/>
        <w:rPr>
          <w:sz w:val="20"/>
          <w:szCs w:val="20"/>
          <w:color w:val="auto"/>
        </w:rPr>
      </w:pPr>
    </w:p>
    <w:p>
      <w:pPr>
        <w:ind w:left="20"/>
        <w:spacing w:after="0" w:line="291" w:lineRule="exact"/>
        <w:rPr>
          <w:sz w:val="20"/>
          <w:szCs w:val="20"/>
          <w:color w:val="auto"/>
        </w:rPr>
      </w:pPr>
      <w:r>
        <w:rPr>
          <w:rFonts w:ascii="Arial" w:cs="Arial" w:eastAsia="Arial" w:hAnsi="Arial"/>
          <w:sz w:val="24"/>
          <w:szCs w:val="24"/>
          <w:color w:val="FFFFFF"/>
        </w:rPr>
        <w:t>gkn_ar</w:t>
      </w:r>
      <w:r>
        <w:rPr>
          <w:rFonts w:ascii="PMingLiU" w:cs="PMingLiU" w:eastAsia="PMingLiU" w:hAnsi="PMingLiU"/>
          <w:sz w:val="24"/>
          <w:szCs w:val="24"/>
          <w:color w:val="FFFFFF"/>
        </w:rPr>
        <w:t/>
      </w:r>
      <w:r>
        <w:rPr>
          <w:rFonts w:ascii="Arial" w:cs="Arial" w:eastAsia="Arial" w:hAnsi="Arial"/>
          <w:sz w:val="24"/>
          <w:szCs w:val="24"/>
          <w:color w:val="FFFFFF"/>
        </w:rPr>
        <w:t>ufgjc</w:t>
      </w:r>
      <w:r>
        <w:rPr>
          <w:rFonts w:ascii="PMingLiU" w:cs="PMingLiU" w:eastAsia="PMingLiU" w:hAnsi="PMingLiU"/>
          <w:sz w:val="24"/>
          <w:szCs w:val="24"/>
          <w:color w:val="FFFFFF"/>
        </w:rPr>
        <w:t/>
      </w:r>
      <w:r>
        <w:rPr>
          <w:rFonts w:ascii="Arial" w:cs="Arial" w:eastAsia="Arial" w:hAnsi="Arial"/>
          <w:sz w:val="24"/>
          <w:szCs w:val="24"/>
          <w:color w:val="FFFFFF"/>
        </w:rPr>
        <w:t>pcgldmpagle</w:t>
      </w:r>
      <w:r>
        <w:rPr>
          <w:rFonts w:ascii="PMingLiU" w:cs="PMingLiU" w:eastAsia="PMingLiU" w:hAnsi="PMingLiU"/>
          <w:sz w:val="24"/>
          <w:szCs w:val="24"/>
          <w:color w:val="FFFFFF"/>
        </w:rPr>
        <w:t/>
      </w:r>
      <w:r>
        <w:rPr>
          <w:rFonts w:ascii="Arial" w:cs="Arial" w:eastAsia="Arial" w:hAnsi="Arial"/>
          <w:sz w:val="24"/>
          <w:szCs w:val="24"/>
          <w:color w:val="FFFFFF"/>
        </w:rPr>
        <w:t>qsnnjw</w:t>
      </w:r>
      <w:r>
        <w:rPr>
          <w:rFonts w:ascii="PMingLiU" w:cs="PMingLiU" w:eastAsia="PMingLiU" w:hAnsi="PMingLiU"/>
          <w:sz w:val="24"/>
          <w:szCs w:val="24"/>
          <w:color w:val="FFFFFF"/>
        </w:rPr>
        <w:t/>
      </w:r>
      <w:r>
        <w:rPr>
          <w:rFonts w:ascii="Arial" w:cs="Arial" w:eastAsia="Arial" w:hAnsi="Arial"/>
          <w:sz w:val="24"/>
          <w:szCs w:val="24"/>
          <w:color w:val="FFFFFF"/>
        </w:rPr>
        <w:t>pcjg_`gjgrw</w:t>
      </w:r>
      <w:r>
        <w:rPr>
          <w:rFonts w:ascii="PMingLiU" w:cs="PMingLiU" w:eastAsia="PMingLiU" w:hAnsi="PMingLiU"/>
          <w:sz w:val="24"/>
          <w:szCs w:val="24"/>
          <w:color w:val="FFFFFF"/>
        </w:rPr>
        <w:t/>
      </w:r>
      <w:r>
        <w:rPr>
          <w:rFonts w:ascii="Arial" w:cs="Arial" w:eastAsia="Arial" w:hAnsi="Arial"/>
          <w:sz w:val="24"/>
          <w:szCs w:val="24"/>
          <w:color w:val="FFFFFF"/>
        </w:rPr>
        <w:t>rfpmsef</w:t>
      </w:r>
      <w:r>
        <w:rPr>
          <w:rFonts w:ascii="PMingLiU" w:cs="PMingLiU" w:eastAsia="PMingLiU" w:hAnsi="PMingLiU"/>
          <w:sz w:val="24"/>
          <w:szCs w:val="24"/>
          <w:color w:val="FFFFFF"/>
        </w:rPr>
        <w:t/>
      </w:r>
      <w:r>
        <w:rPr>
          <w:rFonts w:ascii="Arial" w:cs="Arial" w:eastAsia="Arial" w:hAnsi="Arial"/>
          <w:sz w:val="24"/>
          <w:szCs w:val="24"/>
          <w:color w:val="FFFFFF"/>
        </w:rPr>
        <w:t>msp</w:t>
      </w:r>
      <w:r>
        <w:rPr>
          <w:rFonts w:ascii="PMingLiU" w:cs="PMingLiU" w:eastAsia="PMingLiU" w:hAnsi="PMingLiU"/>
          <w:sz w:val="24"/>
          <w:szCs w:val="24"/>
          <w:color w:val="FFFFFF"/>
        </w:rPr>
        <w:t/>
      </w:r>
      <w:r>
        <w:rPr>
          <w:rFonts w:ascii="Arial" w:cs="Arial" w:eastAsia="Arial" w:hAnsi="Arial"/>
          <w:sz w:val="24"/>
          <w:szCs w:val="24"/>
          <w:color w:val="FFFFFF"/>
        </w:rPr>
        <w:t>ejm`_j</w:t>
      </w:r>
      <w:r>
        <w:rPr>
          <w:rFonts w:ascii="PMingLiU" w:cs="PMingLiU" w:eastAsia="PMingLiU" w:hAnsi="PMingLiU"/>
          <w:sz w:val="24"/>
          <w:szCs w:val="24"/>
          <w:color w:val="FFFFFF"/>
        </w:rPr>
        <w:t/>
      </w:r>
      <w:r>
        <w:rPr>
          <w:rFonts w:ascii="Arial" w:cs="Arial" w:eastAsia="Arial" w:hAnsi="Arial"/>
          <w:sz w:val="24"/>
          <w:szCs w:val="24"/>
          <w:color w:val="FFFFFF"/>
        </w:rPr>
        <w:t>lcrumpi</w:t>
      </w:r>
      <w:r>
        <w:rPr>
          <w:rFonts w:ascii="PMingLiU" w:cs="PMingLiU" w:eastAsia="PMingLiU" w:hAnsi="PMingLiU"/>
          <w:sz w:val="24"/>
          <w:szCs w:val="24"/>
          <w:color w:val="FFFFFF"/>
        </w:rPr>
        <w:t/>
      </w:r>
      <w:r>
        <w:rPr>
          <w:rFonts w:ascii="Arial" w:cs="Arial" w:eastAsia="Arial" w:hAnsi="Arial"/>
          <w:sz w:val="24"/>
          <w:szCs w:val="24"/>
          <w:color w:val="FFFFFF"/>
        </w:rPr>
        <w:t>md</w:t>
      </w:r>
      <w:r>
        <w:rPr>
          <w:rFonts w:ascii="PMingLiU" w:cs="PMingLiU" w:eastAsia="PMingLiU" w:hAnsi="PMingLiU"/>
          <w:sz w:val="24"/>
          <w:szCs w:val="24"/>
          <w:color w:val="FFFFFF"/>
        </w:rPr>
        <w:t/>
      </w:r>
      <w:r>
        <w:rPr>
          <w:rFonts w:ascii="Arial" w:cs="Arial" w:eastAsia="Arial" w:hAnsi="Arial"/>
          <w:sz w:val="24"/>
          <w:szCs w:val="24"/>
          <w:color w:val="FFFFFF"/>
        </w:rPr>
        <w:t>k_lsd_arspgle</w:t>
      </w:r>
      <w:r>
        <w:rPr>
          <w:rFonts w:ascii="PMingLiU" w:cs="PMingLiU" w:eastAsia="PMingLiU" w:hAnsi="PMingLiU"/>
          <w:sz w:val="24"/>
          <w:szCs w:val="24"/>
          <w:color w:val="FFFFFF"/>
        </w:rPr>
        <w:t/>
      </w:r>
      <w:r>
        <w:rPr>
          <w:rFonts w:ascii="Arial" w:cs="Arial" w:eastAsia="Arial" w:hAnsi="Arial"/>
          <w:sz w:val="24"/>
          <w:szCs w:val="24"/>
          <w:color w:val="FFFFFF"/>
        </w:rPr>
        <w:t>qgrcq</w:t>
      </w:r>
      <w:r>
        <w:rPr>
          <w:rFonts w:ascii="PMingLiU" w:cs="PMingLiU" w:eastAsia="PMingLiU" w:hAnsi="PMingLiU"/>
          <w:sz w:val="24"/>
          <w:szCs w:val="24"/>
          <w:color w:val="FFFFFF"/>
        </w:rPr>
        <w:t/>
      </w:r>
    </w:p>
    <w:p>
      <w:pPr>
        <w:spacing w:after="0" w:line="53" w:lineRule="exact"/>
        <w:rPr>
          <w:sz w:val="20"/>
          <w:szCs w:val="20"/>
          <w:color w:val="auto"/>
        </w:rPr>
      </w:pPr>
    </w:p>
    <w:p>
      <w:pPr>
        <w:ind w:left="20"/>
        <w:spacing w:after="0" w:line="291" w:lineRule="exact"/>
        <w:rPr>
          <w:sz w:val="20"/>
          <w:szCs w:val="20"/>
          <w:color w:val="auto"/>
        </w:rPr>
      </w:pPr>
      <w:r>
        <w:rPr>
          <w:rFonts w:ascii="Arial" w:cs="Arial" w:eastAsia="Arial" w:hAnsi="Arial"/>
          <w:sz w:val="24"/>
          <w:szCs w:val="24"/>
          <w:color w:val="FFFFFF"/>
        </w:rPr>
        <w:t>Ivn_lbgle</w:t>
      </w:r>
      <w:r>
        <w:rPr>
          <w:rFonts w:ascii="PMingLiU" w:cs="PMingLiU" w:eastAsia="PMingLiU" w:hAnsi="PMingLiU"/>
          <w:sz w:val="24"/>
          <w:szCs w:val="24"/>
          <w:color w:val="FFFFFF"/>
        </w:rPr>
        <w:t/>
      </w:r>
      <w:r>
        <w:rPr>
          <w:rFonts w:ascii="Arial" w:cs="Arial" w:eastAsia="Arial" w:hAnsi="Arial"/>
          <w:sz w:val="24"/>
          <w:szCs w:val="24"/>
          <w:color w:val="FFFFFF"/>
        </w:rPr>
        <w:t>`cwmlb</w:t>
      </w:r>
      <w:r>
        <w:rPr>
          <w:rFonts w:ascii="PMingLiU" w:cs="PMingLiU" w:eastAsia="PMingLiU" w:hAnsi="PMingLiU"/>
          <w:sz w:val="24"/>
          <w:szCs w:val="24"/>
          <w:color w:val="FFFFFF"/>
        </w:rPr>
        <w:t/>
      </w:r>
      <w:r>
        <w:rPr>
          <w:rFonts w:ascii="Arial" w:cs="Arial" w:eastAsia="Arial" w:hAnsi="Arial"/>
          <w:sz w:val="24"/>
          <w:szCs w:val="24"/>
          <w:color w:val="FFFFFF"/>
        </w:rPr>
        <w:t>rp_bgrgml_j</w:t>
      </w:r>
      <w:r>
        <w:rPr>
          <w:rFonts w:ascii="PMingLiU" w:cs="PMingLiU" w:eastAsia="PMingLiU" w:hAnsi="PMingLiU"/>
          <w:sz w:val="24"/>
          <w:szCs w:val="24"/>
          <w:color w:val="FFFFFF"/>
        </w:rPr>
        <w:t/>
      </w:r>
      <w:r>
        <w:rPr>
          <w:rFonts w:ascii="Arial" w:cs="Arial" w:eastAsia="Arial" w:hAnsi="Arial"/>
          <w:sz w:val="24"/>
          <w:szCs w:val="24"/>
          <w:color w:val="FFFFFF"/>
        </w:rPr>
        <w:t>n_glr</w:t>
      </w:r>
      <w:r>
        <w:rPr>
          <w:rFonts w:ascii="PMingLiU" w:cs="PMingLiU" w:eastAsia="PMingLiU" w:hAnsi="PMingLiU"/>
          <w:sz w:val="24"/>
          <w:szCs w:val="24"/>
          <w:color w:val="FFFFFF"/>
        </w:rPr>
        <w:t/>
      </w:r>
      <w:r>
        <w:rPr>
          <w:rFonts w:ascii="Arial" w:cs="Arial" w:eastAsia="Arial" w:hAnsi="Arial"/>
          <w:sz w:val="24"/>
          <w:szCs w:val="24"/>
          <w:color w:val="FFFFFF"/>
        </w:rPr>
        <w:t>_nnjga_rgmlq</w:t>
      </w:r>
      <w:r>
        <w:rPr>
          <w:rFonts w:ascii="PMingLiU" w:cs="PMingLiU" w:eastAsia="PMingLiU" w:hAnsi="PMingLiU"/>
          <w:sz w:val="24"/>
          <w:szCs w:val="24"/>
          <w:color w:val="FFFFFF"/>
        </w:rPr>
        <w:t/>
      </w:r>
      <w:r>
        <w:rPr>
          <w:rFonts w:ascii="Arial" w:cs="Arial" w:eastAsia="Arial" w:hAnsi="Arial"/>
          <w:sz w:val="24"/>
          <w:szCs w:val="24"/>
          <w:color w:val="FFFFFF"/>
        </w:rPr>
        <w:t>uc</w:t>
      </w:r>
      <w:r>
        <w:rPr>
          <w:rFonts w:ascii="PMingLiU" w:cs="PMingLiU" w:eastAsia="PMingLiU" w:hAnsi="PMingLiU"/>
          <w:sz w:val="24"/>
          <w:szCs w:val="24"/>
          <w:color w:val="FFFFFF"/>
        </w:rPr>
        <w:t/>
      </w:r>
      <w:r>
        <w:rPr>
          <w:rFonts w:ascii="Arial" w:cs="Arial" w:eastAsia="Arial" w:hAnsi="Arial"/>
          <w:sz w:val="24"/>
          <w:szCs w:val="24"/>
          <w:color w:val="FFFFFF"/>
        </w:rPr>
        <w:t>_pc</w:t>
      </w:r>
      <w:r>
        <w:rPr>
          <w:rFonts w:ascii="PMingLiU" w:cs="PMingLiU" w:eastAsia="PMingLiU" w:hAnsi="PMingLiU"/>
          <w:sz w:val="24"/>
          <w:szCs w:val="24"/>
          <w:color w:val="FFFFFF"/>
        </w:rPr>
        <w:t/>
      </w:r>
      <w:r>
        <w:rPr>
          <w:rFonts w:ascii="Arial" w:cs="Arial" w:eastAsia="Arial" w:hAnsi="Arial"/>
          <w:sz w:val="24"/>
          <w:szCs w:val="24"/>
          <w:color w:val="FFFFFF"/>
        </w:rPr>
        <w:t>amjj_`mp_rgle</w:t>
      </w:r>
      <w:r>
        <w:rPr>
          <w:rFonts w:ascii="PMingLiU" w:cs="PMingLiU" w:eastAsia="PMingLiU" w:hAnsi="PMingLiU"/>
          <w:sz w:val="24"/>
          <w:szCs w:val="24"/>
          <w:color w:val="FFFFFF"/>
        </w:rPr>
        <w:t/>
      </w:r>
      <w:r>
        <w:rPr>
          <w:rFonts w:ascii="Arial" w:cs="Arial" w:eastAsia="Arial" w:hAnsi="Arial"/>
          <w:sz w:val="24"/>
          <w:szCs w:val="24"/>
          <w:color w:val="FFFFFF"/>
        </w:rPr>
        <w:t>ugrf</w:t>
      </w:r>
      <w:r>
        <w:rPr>
          <w:rFonts w:ascii="PMingLiU" w:cs="PMingLiU" w:eastAsia="PMingLiU" w:hAnsi="PMingLiU"/>
          <w:sz w:val="24"/>
          <w:szCs w:val="24"/>
          <w:color w:val="FFFFFF"/>
        </w:rPr>
        <w:t/>
      </w:r>
      <w:r>
        <w:rPr>
          <w:rFonts w:ascii="Arial" w:cs="Arial" w:eastAsia="Arial" w:hAnsi="Arial"/>
          <w:sz w:val="24"/>
          <w:szCs w:val="24"/>
          <w:color w:val="FFFFFF"/>
        </w:rPr>
        <w:t>asqrmkcpq</w:t>
      </w:r>
      <w:r>
        <w:rPr>
          <w:rFonts w:ascii="PMingLiU" w:cs="PMingLiU" w:eastAsia="PMingLiU" w:hAnsi="PMingLiU"/>
          <w:sz w:val="24"/>
          <w:szCs w:val="24"/>
          <w:color w:val="FFFFFF"/>
        </w:rPr>
        <w:t/>
      </w:r>
    </w:p>
    <w:p>
      <w:pPr>
        <w:spacing w:after="0" w:line="53" w:lineRule="exact"/>
        <w:rPr>
          <w:sz w:val="20"/>
          <w:szCs w:val="20"/>
          <w:color w:val="auto"/>
        </w:rPr>
      </w:pPr>
    </w:p>
    <w:p>
      <w:pPr>
        <w:ind w:left="20"/>
        <w:spacing w:after="0" w:line="291" w:lineRule="exact"/>
        <w:rPr>
          <w:sz w:val="20"/>
          <w:szCs w:val="20"/>
          <w:color w:val="auto"/>
        </w:rPr>
      </w:pP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lcu</w:t>
      </w:r>
      <w:r>
        <w:rPr>
          <w:rFonts w:ascii="PMingLiU" w:cs="PMingLiU" w:eastAsia="PMingLiU" w:hAnsi="PMingLiU"/>
          <w:sz w:val="24"/>
          <w:szCs w:val="24"/>
          <w:color w:val="FFFFFF"/>
        </w:rPr>
        <w:t/>
      </w:r>
      <w:r>
        <w:rPr>
          <w:rFonts w:ascii="Arial" w:cs="Arial" w:eastAsia="Arial" w:hAnsi="Arial"/>
          <w:sz w:val="24"/>
          <w:szCs w:val="24"/>
          <w:color w:val="FFFFFF"/>
        </w:rPr>
        <w:t>npmqncarq</w:t>
      </w:r>
      <w:r>
        <w:rPr>
          <w:rFonts w:ascii="PMingLiU" w:cs="PMingLiU" w:eastAsia="PMingLiU" w:hAnsi="PMingLiU"/>
          <w:sz w:val="24"/>
          <w:szCs w:val="24"/>
          <w:color w:val="FFFFFF"/>
        </w:rPr>
        <w:t/>
      </w:r>
      <w:r>
        <w:rPr>
          <w:rFonts w:ascii="Arial" w:cs="Arial" w:eastAsia="Arial" w:hAnsi="Arial"/>
          <w:sz w:val="24"/>
          <w:szCs w:val="24"/>
          <w:color w:val="FFFFFF"/>
        </w:rPr>
        <w:t>rm</w:t>
      </w:r>
      <w:r>
        <w:rPr>
          <w:rFonts w:ascii="PMingLiU" w:cs="PMingLiU" w:eastAsia="PMingLiU" w:hAnsi="PMingLiU"/>
          <w:sz w:val="24"/>
          <w:szCs w:val="24"/>
          <w:color w:val="FFFFFF"/>
        </w:rPr>
        <w:t/>
      </w:r>
      <w:r>
        <w:rPr>
          <w:rFonts w:ascii="Arial" w:cs="Arial" w:eastAsia="Arial" w:hAnsi="Arial"/>
          <w:sz w:val="24"/>
          <w:szCs w:val="24"/>
          <w:color w:val="FFFFFF"/>
        </w:rPr>
        <w:t>bcjgtcp</w:t>
      </w:r>
      <w:r>
        <w:rPr>
          <w:rFonts w:ascii="PMingLiU" w:cs="PMingLiU" w:eastAsia="PMingLiU" w:hAnsi="PMingLiU"/>
          <w:sz w:val="24"/>
          <w:szCs w:val="24"/>
          <w:color w:val="FFFFFF"/>
        </w:rPr>
        <w:t/>
      </w:r>
      <w:r>
        <w:rPr>
          <w:rFonts w:ascii="Arial" w:cs="Arial" w:eastAsia="Arial" w:hAnsi="Arial"/>
          <w:sz w:val="24"/>
          <w:szCs w:val="24"/>
          <w:color w:val="FFFFFF"/>
        </w:rPr>
        <w:t>_bt_lacb</w:t>
      </w:r>
      <w:r>
        <w:rPr>
          <w:rFonts w:ascii="PMingLiU" w:cs="PMingLiU" w:eastAsia="PMingLiU" w:hAnsi="PMingLiU"/>
          <w:sz w:val="24"/>
          <w:szCs w:val="24"/>
          <w:color w:val="FFFFFF"/>
        </w:rPr>
        <w:t/>
      </w:r>
      <w:r>
        <w:rPr>
          <w:rFonts w:ascii="Arial" w:cs="Arial" w:eastAsia="Arial" w:hAnsi="Arial"/>
          <w:sz w:val="24"/>
          <w:szCs w:val="24"/>
          <w:color w:val="FFFFFF"/>
        </w:rPr>
        <w:t>am_rgle</w:t>
      </w:r>
      <w:r>
        <w:rPr>
          <w:rFonts w:ascii="PMingLiU" w:cs="PMingLiU" w:eastAsia="PMingLiU" w:hAnsi="PMingLiU"/>
          <w:sz w:val="24"/>
          <w:szCs w:val="24"/>
          <w:color w:val="FFFFFF"/>
        </w:rPr>
        <w:t/>
      </w:r>
      <w:r>
        <w:rPr>
          <w:rFonts w:ascii="Arial" w:cs="Arial" w:eastAsia="Arial" w:hAnsi="Arial"/>
          <w:sz w:val="24"/>
          <w:szCs w:val="24"/>
          <w:color w:val="FFFFFF"/>
        </w:rPr>
        <w:t>qmjsrgmlq</w:t>
      </w:r>
      <w:r>
        <w:rPr>
          <w:rFonts w:ascii="PMingLiU" w:cs="PMingLiU" w:eastAsia="PMingLiU" w:hAnsi="PMingLiU"/>
          <w:sz w:val="24"/>
          <w:szCs w:val="24"/>
          <w:color w:val="FFFFFF"/>
        </w:rPr>
        <w:t/>
      </w:r>
      <w:r>
        <w:rPr>
          <w:rFonts w:ascii="Arial" w:cs="Arial" w:eastAsia="Arial" w:hAnsi="Arial"/>
          <w:sz w:val="24"/>
          <w:szCs w:val="24"/>
          <w:color w:val="FFFFFF"/>
        </w:rPr>
        <w:t>dmp</w:t>
      </w:r>
      <w:r>
        <w:rPr>
          <w:rFonts w:ascii="PMingLiU" w:cs="PMingLiU" w:eastAsia="PMingLiU" w:hAnsi="PMingLiU"/>
          <w:sz w:val="24"/>
          <w:szCs w:val="24"/>
          <w:color w:val="FFFFFF"/>
        </w:rPr>
        <w:t/>
      </w:r>
      <w:r>
        <w:rPr>
          <w:rFonts w:ascii="Arial" w:cs="Arial" w:eastAsia="Arial" w:hAnsi="Arial"/>
          <w:sz w:val="24"/>
          <w:szCs w:val="24"/>
          <w:color w:val="FFFFFF"/>
        </w:rPr>
        <w:t>bgtcpqc</w:t>
      </w:r>
      <w:r>
        <w:rPr>
          <w:rFonts w:ascii="PMingLiU" w:cs="PMingLiU" w:eastAsia="PMingLiU" w:hAnsi="PMingLiU"/>
          <w:sz w:val="24"/>
          <w:szCs w:val="24"/>
          <w:color w:val="FFFFFF"/>
        </w:rPr>
        <w:t/>
      </w:r>
      <w:r>
        <w:rPr>
          <w:rFonts w:ascii="Arial" w:cs="Arial" w:eastAsia="Arial" w:hAnsi="Arial"/>
          <w:sz w:val="24"/>
          <w:szCs w:val="24"/>
          <w:color w:val="FFFFFF"/>
        </w:rPr>
        <w:t>glbsqrpg_j</w:t>
      </w:r>
      <w:r>
        <w:rPr>
          <w:rFonts w:ascii="PMingLiU" w:cs="PMingLiU" w:eastAsia="PMingLiU" w:hAnsi="PMingLiU"/>
          <w:sz w:val="24"/>
          <w:szCs w:val="24"/>
          <w:color w:val="FFFFFF"/>
        </w:rPr>
        <w:t/>
      </w:r>
      <w:r>
        <w:rPr>
          <w:rFonts w:ascii="Arial" w:cs="Arial" w:eastAsia="Arial" w:hAnsi="Arial"/>
          <w:sz w:val="24"/>
          <w:szCs w:val="24"/>
          <w:color w:val="FFFFFF"/>
        </w:rPr>
        <w:t>k_picrq</w:t>
      </w:r>
    </w:p>
    <w:p>
      <w:pPr>
        <w:spacing w:after="0" w:line="73" w:lineRule="exact"/>
        <w:rPr>
          <w:sz w:val="20"/>
          <w:szCs w:val="20"/>
          <w:color w:val="auto"/>
        </w:rPr>
      </w:pPr>
    </w:p>
    <w:p>
      <w:pPr>
        <w:ind w:left="20"/>
        <w:spacing w:after="0" w:line="291" w:lineRule="exact"/>
        <w:rPr>
          <w:sz w:val="20"/>
          <w:szCs w:val="20"/>
          <w:color w:val="auto"/>
        </w:rPr>
      </w:pPr>
      <w:r>
        <w:rPr>
          <w:rFonts w:ascii="Arial" w:cs="Arial" w:eastAsia="Arial" w:hAnsi="Arial"/>
          <w:sz w:val="24"/>
          <w:szCs w:val="24"/>
          <w:color w:val="FFFFFF"/>
        </w:rPr>
        <w:t>nmqgrgmlgle</w:t>
      </w:r>
      <w:r>
        <w:rPr>
          <w:rFonts w:ascii="PMingLiU" w:cs="PMingLiU" w:eastAsia="PMingLiU" w:hAnsi="PMingLiU"/>
          <w:sz w:val="24"/>
          <w:szCs w:val="24"/>
          <w:color w:val="FFFFFF"/>
        </w:rPr>
        <w:t/>
      </w:r>
      <w:r>
        <w:rPr>
          <w:rFonts w:ascii="Arial" w:cs="Arial" w:eastAsia="Arial" w:hAnsi="Arial"/>
          <w:sz w:val="24"/>
          <w:szCs w:val="24"/>
          <w:color w:val="FFFFFF"/>
        </w:rPr>
        <w:t>sq</w:t>
      </w:r>
      <w:r>
        <w:rPr>
          <w:rFonts w:ascii="PMingLiU" w:cs="PMingLiU" w:eastAsia="PMingLiU" w:hAnsi="PMingLiU"/>
          <w:sz w:val="24"/>
          <w:szCs w:val="24"/>
          <w:color w:val="FFFFFF"/>
        </w:rPr>
        <w:t/>
      </w:r>
      <w:r>
        <w:rPr>
          <w:rFonts w:ascii="Arial" w:cs="Arial" w:eastAsia="Arial" w:hAnsi="Arial"/>
          <w:sz w:val="24"/>
          <w:szCs w:val="24"/>
          <w:color w:val="FFFFFF"/>
        </w:rPr>
        <w:t>dmp</w:t>
      </w:r>
      <w:r>
        <w:rPr>
          <w:rFonts w:ascii="PMingLiU" w:cs="PMingLiU" w:eastAsia="PMingLiU" w:hAnsi="PMingLiU"/>
          <w:sz w:val="24"/>
          <w:szCs w:val="24"/>
          <w:color w:val="FFFFFF"/>
        </w:rPr>
        <w:t/>
      </w:r>
      <w:r>
        <w:rPr>
          <w:rFonts w:ascii="Arial" w:cs="Arial" w:eastAsia="Arial" w:hAnsi="Arial"/>
          <w:sz w:val="24"/>
          <w:szCs w:val="24"/>
          <w:color w:val="FFFFFF"/>
        </w:rPr>
        <w:t>jmle&amp;rcpk</w:t>
      </w:r>
      <w:r>
        <w:rPr>
          <w:rFonts w:ascii="PMingLiU" w:cs="PMingLiU" w:eastAsia="PMingLiU" w:hAnsi="PMingLiU"/>
          <w:sz w:val="24"/>
          <w:szCs w:val="24"/>
          <w:color w:val="FFFFFF"/>
        </w:rPr>
        <w:t/>
      </w:r>
      <w:r>
        <w:rPr>
          <w:rFonts w:ascii="Arial" w:cs="Arial" w:eastAsia="Arial" w:hAnsi="Arial"/>
          <w:sz w:val="24"/>
          <w:szCs w:val="24"/>
          <w:color w:val="FFFFFF"/>
        </w:rPr>
        <w:t>epmurf</w:t>
      </w:r>
      <w:r>
        <w:rPr>
          <w:rFonts w:ascii="PMingLiU" w:cs="PMingLiU" w:eastAsia="PMingLiU" w:hAnsi="PMingLiU"/>
          <w:sz w:val="24"/>
          <w:szCs w:val="24"/>
          <w:color w:val="FFFFFF"/>
        </w:rPr>
        <w:t/>
      </w:r>
      <w:r>
        <w:rPr>
          <w:rFonts w:ascii="Arial" w:cs="Arial" w:eastAsia="Arial" w:hAnsi="Arial"/>
          <w:sz w:val="24"/>
          <w:szCs w:val="24"/>
          <w:color w:val="FFFFFF"/>
        </w:rPr>
        <w:t>_lb</w:t>
      </w:r>
      <w:r>
        <w:rPr>
          <w:rFonts w:ascii="PMingLiU" w:cs="PMingLiU" w:eastAsia="PMingLiU" w:hAnsi="PMingLiU"/>
          <w:sz w:val="24"/>
          <w:szCs w:val="24"/>
          <w:color w:val="FFFFFF"/>
        </w:rPr>
        <w:t/>
      </w:r>
      <w:r>
        <w:rPr>
          <w:rFonts w:ascii="Arial" w:cs="Arial" w:eastAsia="Arial" w:hAnsi="Arial"/>
          <w:sz w:val="24"/>
          <w:szCs w:val="24"/>
          <w:color w:val="FFFFFF"/>
        </w:rPr>
        <w:t>jc_bcpqfgn</w:t>
      </w:r>
      <w:r>
        <w:rPr>
          <w:rFonts w:ascii="PMingLiU" w:cs="PMingLiU" w:eastAsia="PMingLiU" w:hAnsi="PMingLiU"/>
          <w:sz w:val="24"/>
          <w:szCs w:val="24"/>
          <w:color w:val="FFFFFF"/>
        </w:rPr>
        <w:t/>
      </w:r>
      <w:r>
        <w:rPr>
          <w:rFonts w:ascii="Arial" w:cs="Arial" w:eastAsia="Arial" w:hAnsi="Arial"/>
          <w:sz w:val="24"/>
          <w:szCs w:val="24"/>
          <w:color w:val="FFFFFF"/>
        </w:rPr>
        <w:t>gl</w:t>
      </w:r>
      <w:r>
        <w:rPr>
          <w:rFonts w:ascii="PMingLiU" w:cs="PMingLiU" w:eastAsia="PMingLiU" w:hAnsi="PMingLiU"/>
          <w:sz w:val="24"/>
          <w:szCs w:val="24"/>
          <w:color w:val="FFFFFF"/>
        </w:rPr>
        <w:t/>
      </w:r>
      <w:r>
        <w:rPr>
          <w:rFonts w:ascii="Arial" w:cs="Arial" w:eastAsia="Arial" w:hAnsi="Arial"/>
          <w:sz w:val="24"/>
          <w:szCs w:val="24"/>
          <w:color w:val="FFFFFF"/>
        </w:rPr>
        <w:t>qsqr_gl_`gjgrw</w:t>
      </w:r>
      <w:r>
        <w:rPr>
          <w:rFonts w:ascii="PMingLiU" w:cs="PMingLiU" w:eastAsia="PMingLiU" w:hAnsi="PMingLiU"/>
          <w:sz w:val="24"/>
          <w:szCs w:val="24"/>
          <w:color w:val="FFFFFF"/>
        </w:rPr>
        <w:t/>
      </w:r>
    </w:p>
    <w:p>
      <w:pPr>
        <w:spacing w:after="0" w:line="241" w:lineRule="exact"/>
        <w:rPr>
          <w:sz w:val="20"/>
          <w:szCs w:val="20"/>
          <w:color w:val="auto"/>
        </w:rPr>
      </w:pPr>
    </w:p>
    <w:p>
      <w:pPr>
        <w:ind w:left="20"/>
        <w:spacing w:after="0" w:line="291" w:lineRule="exact"/>
        <w:rPr>
          <w:sz w:val="20"/>
          <w:szCs w:val="20"/>
          <w:color w:val="auto"/>
        </w:rPr>
      </w:pPr>
      <w:r>
        <w:rPr>
          <w:rFonts w:ascii="Arial" w:cs="Arial" w:eastAsia="Arial" w:hAnsi="Arial"/>
          <w:sz w:val="24"/>
          <w:szCs w:val="24"/>
          <w:b w:val="1"/>
          <w:bCs w:val="1"/>
          <w:color w:val="FFFFFF"/>
        </w:rPr>
        <w:t>_qfj_lb</w:t>
      </w:r>
      <w:r>
        <w:rPr>
          <w:rFonts w:ascii="PMingLiU" w:cs="PMingLiU" w:eastAsia="PMingLiU" w:hAnsi="PMingLiU"/>
          <w:sz w:val="24"/>
          <w:szCs w:val="24"/>
          <w:b w:val="1"/>
          <w:bCs w:val="1"/>
          <w:color w:val="FFFFFF"/>
        </w:rPr>
        <w:t/>
      </w:r>
      <w:r>
        <w:rPr>
          <w:rFonts w:ascii="Arial" w:cs="Arial" w:eastAsia="Arial" w:hAnsi="Arial"/>
          <w:sz w:val="24"/>
          <w:szCs w:val="24"/>
          <w:b w:val="1"/>
          <w:bCs w:val="1"/>
          <w:color w:val="FFFFFF"/>
        </w:rPr>
        <w:t>amk5WE&amp;EV</w:t>
      </w:r>
    </w:p>
    <w:p>
      <w:pPr>
        <w:spacing w:after="0" w:line="258" w:lineRule="exact"/>
        <w:rPr>
          <w:sz w:val="20"/>
          <w:szCs w:val="20"/>
          <w:color w:val="auto"/>
        </w:rPr>
      </w:pPr>
    </w:p>
    <w:p>
      <w:pPr>
        <w:ind w:left="940"/>
        <w:spacing w:after="0"/>
        <w:rPr>
          <w:sz w:val="20"/>
          <w:szCs w:val="20"/>
          <w:color w:val="auto"/>
        </w:rPr>
      </w:pPr>
      <w:r>
        <w:rPr>
          <w:sz w:val="1"/>
          <w:szCs w:val="1"/>
          <w:color w:val="auto"/>
        </w:rPr>
        <w:drawing>
          <wp:inline distT="0" distB="0" distL="0" distR="0">
            <wp:extent cx="93345" cy="19113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8">
                      <a:extLst>
                        <a:ext uri="{28A0092B-C50C-407E-A947-70E740481C1C}"/>
                      </a:extLst>
                    </a:blip>
                    <a:srcRect/>
                    <a:stretch>
                      <a:fillRect/>
                    </a:stretch>
                  </pic:blipFill>
                  <pic:spPr bwMode="auto">
                    <a:xfrm>
                      <a:off x="0" y="0"/>
                      <a:ext cx="93345" cy="191135"/>
                    </a:xfrm>
                    <a:prstGeom prst="rect">
                      <a:avLst/>
                    </a:prstGeom>
                    <a:noFill/>
                    <a:ln>
                      <a:noFill/>
                    </a:ln>
                  </pic:spPr>
                </pic:pic>
              </a:graphicData>
            </a:graphic>
          </wp:inline>
        </w:drawing>
      </w:r>
      <w:r>
        <w:rPr>
          <w:rFonts w:ascii="Arial" w:cs="Arial" w:eastAsia="Arial" w:hAnsi="Arial"/>
          <w:sz w:val="19"/>
          <w:szCs w:val="19"/>
          <w:b w:val="1"/>
          <w:bCs w:val="1"/>
          <w:color w:val="FFFFFF"/>
        </w:rPr>
        <w:t xml:space="preserve"> ˦˧</w:t>
      </w:r>
    </w:p>
    <w:p>
      <w:pPr>
        <w:sectPr>
          <w:pgSz w:w="12240" w:h="15840" w:orient="portrait"/>
          <w:cols w:equalWidth="0" w:num="1">
            <w:col w:w="9960"/>
          </w:cols>
          <w:pgMar w:left="1120" w:top="1440" w:right="1160" w:bottom="0" w:gutter="0" w:footer="0" w:header="0"/>
        </w:sectPr>
      </w:pPr>
    </w:p>
    <w:bookmarkStart w:id="12" w:name="page13"/>
    <w:bookmarkEnd w:id="12"/>
    <w:p>
      <w:pPr>
        <w:spacing w:after="0" w:line="825" w:lineRule="exact"/>
        <w:rPr>
          <w:sz w:val="20"/>
          <w:szCs w:val="20"/>
          <w:color w:val="auto"/>
        </w:rPr>
      </w:pPr>
      <w:r>
        <w:rPr>
          <w:sz w:val="1"/>
          <w:szCs w:val="1"/>
          <w:color w:val="auto"/>
        </w:rPr>
        <w:drawing>
          <wp:anchor simplePos="0" relativeHeight="251657728" behindDoc="1" locked="0" layoutInCell="0" allowOverlap="1">
            <wp:simplePos x="0" y="0"/>
            <wp:positionH relativeFrom="page">
              <wp:posOffset>112395</wp:posOffset>
            </wp:positionH>
            <wp:positionV relativeFrom="page">
              <wp:posOffset>0</wp:posOffset>
            </wp:positionV>
            <wp:extent cx="7647305" cy="10057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9">
                      <a:extLst>
                        <a:ext uri="{28A0092B-C50C-407E-A947-70E740481C1C}"/>
                      </a:extLst>
                    </a:blip>
                    <a:srcRect/>
                    <a:stretch>
                      <a:fillRect/>
                    </a:stretch>
                  </pic:blipFill>
                  <pic:spPr bwMode="auto">
                    <a:xfrm>
                      <a:off x="0" y="0"/>
                      <a:ext cx="7647305" cy="10057765"/>
                    </a:xfrm>
                    <a:prstGeom prst="rect">
                      <a:avLst/>
                    </a:prstGeom>
                    <a:noFill/>
                  </pic:spPr>
                </pic:pic>
              </a:graphicData>
            </a:graphic>
          </wp:anchor>
        </w:drawing>
        <w:drawing>
          <wp:inline distT="0" distB="0" distL="0" distR="0">
            <wp:extent cx="582295" cy="48069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0">
                      <a:extLst>
                        <a:ext uri="{28A0092B-C50C-407E-A947-70E740481C1C}"/>
                      </a:extLst>
                    </a:blip>
                    <a:srcRect/>
                    <a:stretch>
                      <a:fillRect/>
                    </a:stretch>
                  </pic:blipFill>
                  <pic:spPr bwMode="auto">
                    <a:xfrm>
                      <a:off x="0" y="0"/>
                      <a:ext cx="582295" cy="480695"/>
                    </a:xfrm>
                    <a:prstGeom prst="rect">
                      <a:avLst/>
                    </a:prstGeom>
                    <a:noFill/>
                    <a:ln>
                      <a:noFill/>
                    </a:ln>
                  </pic:spPr>
                </pic:pic>
              </a:graphicData>
            </a:graphic>
          </wp:inline>
        </w:drawing>
      </w:r>
      <w:r>
        <w:rPr>
          <w:rFonts w:ascii="Arial" w:cs="Arial" w:eastAsia="Arial" w:hAnsi="Arial"/>
          <w:sz w:val="32"/>
          <w:szCs w:val="32"/>
          <w:b w:val="1"/>
          <w:bCs w:val="1"/>
          <w:color w:val="66C3C4"/>
        </w:rPr>
        <w:t>J]</w:t>
      </w:r>
      <w:r>
        <w:rPr>
          <w:rFonts w:ascii="PMingLiU" w:cs="PMingLiU" w:eastAsia="PMingLiU" w:hAnsi="PMingLiU"/>
          <w:sz w:val="32"/>
          <w:szCs w:val="32"/>
          <w:b w:val="1"/>
          <w:bCs w:val="1"/>
          <w:color w:val="66C3C4"/>
        </w:rPr>
        <w:t/>
      </w:r>
      <w:r>
        <w:rPr>
          <w:rFonts w:ascii="Arial" w:cs="Arial" w:eastAsia="Arial" w:hAnsi="Arial"/>
          <w:sz w:val="32"/>
          <w:szCs w:val="32"/>
          <w:b w:val="1"/>
          <w:bCs w:val="1"/>
          <w:color w:val="66C3C4"/>
        </w:rPr>
        <w:t>˧˥˧˪</w:t>
      </w:r>
      <w:r>
        <w:rPr>
          <w:rFonts w:ascii="PMingLiU" w:cs="PMingLiU" w:eastAsia="PMingLiU" w:hAnsi="PMingLiU"/>
          <w:sz w:val="32"/>
          <w:szCs w:val="32"/>
          <w:b w:val="1"/>
          <w:bCs w:val="1"/>
          <w:color w:val="66C3C4"/>
        </w:rPr>
        <w:t/>
      </w:r>
      <w:r>
        <w:rPr>
          <w:rFonts w:ascii="Arial" w:cs="Arial" w:eastAsia="Arial" w:hAnsi="Arial"/>
          <w:sz w:val="32"/>
          <w:szCs w:val="32"/>
          <w:b w:val="1"/>
          <w:bCs w:val="1"/>
          <w:color w:val="66C3C4"/>
        </w:rPr>
        <w:t>fgefjgefrq</w:t>
      </w:r>
    </w:p>
    <w:p>
      <w:pPr>
        <w:ind w:left="3940"/>
        <w:spacing w:after="0" w:line="209" w:lineRule="exact"/>
        <w:rPr>
          <w:sz w:val="20"/>
          <w:szCs w:val="20"/>
          <w:color w:val="auto"/>
        </w:rPr>
      </w:pPr>
      <w:r>
        <w:rPr>
          <w:rFonts w:ascii="Arial" w:cs="Arial" w:eastAsia="Arial" w:hAnsi="Arial"/>
          <w:sz w:val="18"/>
          <w:szCs w:val="18"/>
          <w:b w:val="1"/>
          <w:bCs w:val="1"/>
          <w:color w:val="59BDB6"/>
        </w:rPr>
        <w:t>c_qw</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pcjc_qcB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`p</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qncag_jrw</w:t>
      </w:r>
      <w:r>
        <w:rPr>
          <w:rFonts w:ascii="PMingLiU" w:cs="PMingLiU" w:eastAsia="PMingLiU" w:hAnsi="PMingLiU"/>
          <w:sz w:val="18"/>
          <w:szCs w:val="18"/>
          <w:b w:val="1"/>
          <w:bCs w:val="1"/>
          <w:color w:val="59BDB6"/>
        </w:rPr>
        <w:t/>
      </w:r>
    </w:p>
    <w:p>
      <w:pPr>
        <w:spacing w:after="0" w:line="43" w:lineRule="exact"/>
        <w:rPr>
          <w:sz w:val="20"/>
          <w:szCs w:val="20"/>
          <w:color w:val="auto"/>
        </w:rPr>
      </w:pPr>
    </w:p>
    <w:p>
      <w:pPr>
        <w:ind w:left="3940"/>
        <w:spacing w:after="0" w:line="259" w:lineRule="exact"/>
        <w:rPr>
          <w:sz w:val="20"/>
          <w:szCs w:val="20"/>
          <w:color w:val="auto"/>
        </w:rPr>
      </w:pPr>
      <w:r>
        <w:rPr>
          <w:rFonts w:ascii="Arial" w:cs="Arial" w:eastAsia="Arial" w:hAnsi="Arial"/>
          <w:sz w:val="18"/>
          <w:szCs w:val="18"/>
          <w:b w:val="1"/>
          <w:bCs w:val="1"/>
          <w:color w:val="59BDB6"/>
        </w:rPr>
        <w:t>qspd_ar_lr</w:t>
      </w:r>
      <w:r>
        <w:rPr>
          <w:rFonts w:ascii="PMingLiU" w:cs="PMingLiU" w:eastAsia="PMingLiU" w:hAnsi="PMingLiU"/>
          <w:sz w:val="18"/>
          <w:szCs w:val="18"/>
          <w:b w:val="1"/>
          <w:bCs w:val="1"/>
          <w:color w:val="59BDB6"/>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TJEW&amp;dpcc</w:t>
      </w:r>
      <w:r>
        <w:rPr>
          <w:rFonts w:ascii="PMingLiU" w:cs="PMingLiU" w:eastAsia="PMingLiU" w:hAnsi="PMingLiU"/>
          <w:sz w:val="18"/>
          <w:szCs w:val="18"/>
          <w:color w:val="634140"/>
        </w:rPr>
        <w:t/>
      </w:r>
      <w:r>
        <w:rPr>
          <w:rFonts w:ascii="Arial" w:cs="Arial" w:eastAsia="Arial" w:hAnsi="Arial"/>
          <w:sz w:val="18"/>
          <w:szCs w:val="18"/>
          <w:color w:val="634140"/>
        </w:rPr>
        <w:t>ETIS&amp;</w:t>
      </w:r>
      <w:r>
        <w:rPr>
          <w:rFonts w:ascii="Arial" w:cs="Arial" w:eastAsia="Arial" w:hAnsi="Arial"/>
          <w:sz w:val="18"/>
          <w:szCs w:val="18"/>
          <w:b w:val="1"/>
          <w:bCs w:val="1"/>
          <w:color w:val="59BDB6"/>
        </w:rPr>
        <w:t xml:space="preserve"> </w:t>
      </w:r>
      <w:r>
        <w:rPr>
          <w:rFonts w:ascii="Arial" w:cs="Arial" w:eastAsia="Arial" w:hAnsi="Arial"/>
          <w:sz w:val="18"/>
          <w:szCs w:val="18"/>
          <w:color w:val="634140"/>
        </w:rPr>
        <w:t>dpcc</w:t>
      </w:r>
      <w:r>
        <w:rPr>
          <w:rFonts w:ascii="PMingLiU" w:cs="PMingLiU" w:eastAsia="PMingLiU" w:hAnsi="PMingLiU"/>
          <w:sz w:val="18"/>
          <w:szCs w:val="18"/>
          <w:color w:val="634140"/>
        </w:rPr>
        <w:t/>
      </w:r>
      <w:r>
        <w:rPr>
          <w:rFonts w:ascii="Arial" w:cs="Arial" w:eastAsia="Arial" w:hAnsi="Arial"/>
          <w:sz w:val="18"/>
          <w:szCs w:val="18"/>
          <w:color w:val="634140"/>
        </w:rPr>
        <w:t>_bbgrgtc</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gknpmtgle</w:t>
      </w:r>
      <w:r>
        <w:rPr>
          <w:rFonts w:ascii="PMingLiU" w:cs="PMingLiU" w:eastAsia="PMingLiU" w:hAnsi="PMingLiU"/>
          <w:sz w:val="18"/>
          <w:szCs w:val="18"/>
          <w:color w:val="634140"/>
        </w:rPr>
        <w:t/>
      </w:r>
      <w:r>
        <w:rPr>
          <w:rFonts w:ascii="Arial" w:cs="Arial" w:eastAsia="Arial" w:hAnsi="Arial"/>
          <w:sz w:val="18"/>
          <w:szCs w:val="18"/>
          <w:color w:val="634140"/>
        </w:rPr>
        <w:t>`jmai</w:t>
      </w:r>
      <w:r>
        <w:rPr>
          <w:rFonts w:ascii="PMingLiU" w:cs="PMingLiU" w:eastAsia="PMingLiU" w:hAnsi="PMingLiU"/>
          <w:sz w:val="18"/>
          <w:szCs w:val="18"/>
          <w:color w:val="634140"/>
        </w:rPr>
        <w:t/>
      </w:r>
      <w:r>
        <w:rPr>
          <w:rFonts w:ascii="Arial" w:cs="Arial" w:eastAsia="Arial" w:hAnsi="Arial"/>
          <w:sz w:val="18"/>
          <w:szCs w:val="18"/>
          <w:color w:val="634140"/>
        </w:rPr>
        <w:t xml:space="preserve"> pcqgqr_lac</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u_rcp`mplc</w:t>
      </w:r>
      <w:r>
        <w:rPr>
          <w:rFonts w:ascii="PMingLiU" w:cs="PMingLiU" w:eastAsia="PMingLiU" w:hAnsi="PMingLiU"/>
          <w:sz w:val="18"/>
          <w:szCs w:val="18"/>
          <w:color w:val="634140"/>
        </w:rPr>
        <w:t/>
      </w:r>
      <w:r>
        <w:rPr>
          <w:rFonts w:ascii="Arial" w:cs="Arial" w:eastAsia="Arial" w:hAnsi="Arial"/>
          <w:sz w:val="18"/>
          <w:szCs w:val="18"/>
          <w:color w:val="634140"/>
        </w:rPr>
        <w:t>am_rgleq</w:t>
      </w:r>
      <w:r>
        <w:rPr>
          <w:rFonts w:ascii="PMingLiU" w:cs="PMingLiU" w:eastAsia="PMingLiU" w:hAnsi="PMingLiU"/>
          <w:sz w:val="18"/>
          <w:szCs w:val="18"/>
          <w:color w:val="634140"/>
        </w:rPr>
        <w:t/>
      </w:r>
      <w:r>
        <w:rPr>
          <w:rFonts w:ascii="Arial" w:cs="Arial" w:eastAsia="Arial" w:hAnsi="Arial"/>
          <w:sz w:val="18"/>
          <w:szCs w:val="18"/>
          <w:color w:val="634140"/>
        </w:rPr>
        <w:t>Mr</w:t>
      </w:r>
      <w:r>
        <w:rPr>
          <w:rFonts w:ascii="PMingLiU" w:cs="PMingLiU" w:eastAsia="PMingLiU" w:hAnsi="PMingLiU"/>
          <w:sz w:val="18"/>
          <w:szCs w:val="18"/>
          <w:color w:val="634140"/>
        </w:rPr>
        <w:t/>
      </w:r>
      <w:r>
        <w:rPr>
          <w:rFonts w:ascii="Arial" w:cs="Arial" w:eastAsia="Arial" w:hAnsi="Arial"/>
          <w:sz w:val="18"/>
          <w:szCs w:val="18"/>
          <w:color w:val="634140"/>
        </w:rPr>
        <w:t xml:space="preserve"> a_l</w:t>
      </w:r>
      <w:r>
        <w:rPr>
          <w:rFonts w:ascii="PMingLiU" w:cs="PMingLiU" w:eastAsia="PMingLiU" w:hAnsi="PMingLiU"/>
          <w:sz w:val="18"/>
          <w:szCs w:val="18"/>
          <w:color w:val="634140"/>
        </w:rPr>
        <w:t/>
      </w:r>
      <w:r>
        <w:rPr>
          <w:rFonts w:ascii="Arial" w:cs="Arial" w:eastAsia="Arial" w:hAnsi="Arial"/>
          <w:sz w:val="18"/>
          <w:szCs w:val="18"/>
          <w:color w:val="634140"/>
        </w:rPr>
        <w:t>`c</w:t>
      </w:r>
      <w:r>
        <w:rPr>
          <w:rFonts w:ascii="PMingLiU" w:cs="PMingLiU" w:eastAsia="PMingLiU" w:hAnsi="PMingLiU"/>
          <w:sz w:val="18"/>
          <w:szCs w:val="18"/>
          <w:color w:val="634140"/>
        </w:rPr>
        <w:t/>
      </w:r>
      <w:r>
        <w:rPr>
          <w:rFonts w:ascii="Arial" w:cs="Arial" w:eastAsia="Arial" w:hAnsi="Arial"/>
          <w:sz w:val="18"/>
          <w:szCs w:val="18"/>
          <w:color w:val="634140"/>
        </w:rPr>
        <w:t>c_qgjw</w:t>
      </w:r>
      <w:r>
        <w:rPr>
          <w:rFonts w:ascii="PMingLiU" w:cs="PMingLiU" w:eastAsia="PMingLiU" w:hAnsi="PMingLiU"/>
          <w:sz w:val="18"/>
          <w:szCs w:val="18"/>
          <w:color w:val="634140"/>
        </w:rPr>
        <w:t/>
      </w:r>
      <w:r>
        <w:rPr>
          <w:rFonts w:ascii="Arial" w:cs="Arial" w:eastAsia="Arial" w:hAnsi="Arial"/>
          <w:sz w:val="18"/>
          <w:szCs w:val="18"/>
          <w:color w:val="634140"/>
        </w:rPr>
        <w:t>glampnmp_rcb</w:t>
      </w:r>
      <w:r>
        <w:rPr>
          <w:rFonts w:ascii="PMingLiU" w:cs="PMingLiU" w:eastAsia="PMingLiU" w:hAnsi="PMingLiU"/>
          <w:sz w:val="18"/>
          <w:szCs w:val="18"/>
          <w:color w:val="634140"/>
        </w:rPr>
        <w:t/>
      </w:r>
      <w:r>
        <w:rPr>
          <w:rFonts w:ascii="Arial" w:cs="Arial" w:eastAsia="Arial" w:hAnsi="Arial"/>
          <w:sz w:val="18"/>
          <w:szCs w:val="18"/>
          <w:color w:val="634140"/>
        </w:rPr>
        <w:t>bspgle</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 xml:space="preserve"> jcrbmul</w:t>
      </w:r>
      <w:r>
        <w:rPr>
          <w:rFonts w:ascii="PMingLiU" w:cs="PMingLiU" w:eastAsia="PMingLiU" w:hAnsi="PMingLiU"/>
          <w:sz w:val="18"/>
          <w:szCs w:val="18"/>
          <w:color w:val="634140"/>
        </w:rPr>
        <w:t/>
      </w:r>
      <w:r>
        <w:rPr>
          <w:rFonts w:ascii="Arial" w:cs="Arial" w:eastAsia="Arial" w:hAnsi="Arial"/>
          <w:sz w:val="18"/>
          <w:szCs w:val="18"/>
          <w:color w:val="634140"/>
        </w:rPr>
        <w:t>nf_qc</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n_glr</w:t>
      </w:r>
      <w:r>
        <w:rPr>
          <w:rFonts w:ascii="PMingLiU" w:cs="PMingLiU" w:eastAsia="PMingLiU" w:hAnsi="PMingLiU"/>
          <w:sz w:val="18"/>
          <w:szCs w:val="18"/>
          <w:color w:val="634140"/>
        </w:rPr>
        <w:t/>
      </w:r>
      <w:r>
        <w:rPr>
          <w:rFonts w:ascii="Arial" w:cs="Arial" w:eastAsia="Arial" w:hAnsi="Arial"/>
          <w:sz w:val="18"/>
          <w:szCs w:val="18"/>
          <w:color w:val="634140"/>
        </w:rPr>
        <w:t>npmbsargml</w:t>
      </w:r>
      <w:r>
        <w:rPr>
          <w:rFonts w:ascii="PMingLiU" w:cs="PMingLiU" w:eastAsia="PMingLiU" w:hAnsi="PMingLiU"/>
          <w:sz w:val="18"/>
          <w:szCs w:val="18"/>
          <w:color w:val="634140"/>
        </w:rPr>
        <w:t/>
      </w:r>
      <w:r>
        <w:rPr>
          <w:rFonts w:ascii="Arial" w:cs="Arial" w:eastAsia="Arial" w:hAnsi="Arial"/>
          <w:sz w:val="18"/>
          <w:szCs w:val="18"/>
          <w:color w:val="634140"/>
        </w:rPr>
        <w:t>mp</w:t>
      </w:r>
      <w:r>
        <w:rPr>
          <w:rFonts w:ascii="PMingLiU" w:cs="PMingLiU" w:eastAsia="PMingLiU" w:hAnsi="PMingLiU"/>
          <w:sz w:val="18"/>
          <w:szCs w:val="18"/>
          <w:color w:val="634140"/>
        </w:rPr>
        <w:t/>
      </w:r>
      <w:r>
        <w:rPr>
          <w:rFonts w:ascii="Arial" w:cs="Arial" w:eastAsia="Arial" w:hAnsi="Arial"/>
          <w:sz w:val="18"/>
          <w:szCs w:val="18"/>
          <w:color w:val="634140"/>
        </w:rPr>
        <w:t xml:space="preserve"> _bbcb</w:t>
      </w:r>
      <w:r>
        <w:rPr>
          <w:rFonts w:ascii="PMingLiU" w:cs="PMingLiU" w:eastAsia="PMingLiU" w:hAnsi="PMingLiU"/>
          <w:sz w:val="18"/>
          <w:szCs w:val="18"/>
          <w:color w:val="634140"/>
        </w:rPr>
        <w:t/>
      </w:r>
      <w:r>
        <w:rPr>
          <w:rFonts w:ascii="Arial" w:cs="Arial" w:eastAsia="Arial" w:hAnsi="Arial"/>
          <w:sz w:val="18"/>
          <w:szCs w:val="18"/>
          <w:color w:val="634140"/>
        </w:rPr>
        <w:t>bspgle</w:t>
      </w:r>
      <w:r>
        <w:rPr>
          <w:rFonts w:ascii="PMingLiU" w:cs="PMingLiU" w:eastAsia="PMingLiU" w:hAnsi="PMingLiU"/>
          <w:sz w:val="18"/>
          <w:szCs w:val="18"/>
          <w:color w:val="634140"/>
        </w:rPr>
        <w:t/>
      </w:r>
      <w:r>
        <w:rPr>
          <w:rFonts w:ascii="Arial" w:cs="Arial" w:eastAsia="Arial" w:hAnsi="Arial"/>
          <w:sz w:val="18"/>
          <w:szCs w:val="18"/>
          <w:color w:val="634140"/>
        </w:rPr>
        <w:t>cksjqgml</w:t>
      </w:r>
      <w:r>
        <w:rPr>
          <w:rFonts w:ascii="PMingLiU" w:cs="PMingLiU" w:eastAsia="PMingLiU" w:hAnsi="PMingLiU"/>
          <w:sz w:val="18"/>
          <w:szCs w:val="18"/>
          <w:color w:val="634140"/>
        </w:rPr>
        <w:t/>
      </w:r>
      <w:r>
        <w:rPr>
          <w:rFonts w:ascii="Arial" w:cs="Arial" w:eastAsia="Arial" w:hAnsi="Arial"/>
          <w:sz w:val="18"/>
          <w:szCs w:val="18"/>
          <w:color w:val="634140"/>
        </w:rPr>
        <w:t>nmjwkcpgx_rgml</w:t>
      </w:r>
      <w:r>
        <w:rPr>
          <w:rFonts w:ascii="PMingLiU" w:cs="PMingLiU" w:eastAsia="PMingLiU" w:hAnsi="PMingLiU"/>
          <w:sz w:val="18"/>
          <w:szCs w:val="18"/>
          <w:color w:val="634140"/>
        </w:rPr>
        <w:t/>
      </w:r>
      <w:r>
        <w:rPr>
          <w:rFonts w:ascii="Arial" w:cs="Arial" w:eastAsia="Arial" w:hAnsi="Arial"/>
          <w:sz w:val="18"/>
          <w:szCs w:val="18"/>
          <w:color w:val="634140"/>
        </w:rPr>
        <w:t xml:space="preserve"> I</w:t>
      </w:r>
      <w:r>
        <w:rPr>
          <w:rFonts w:ascii="Arial" w:cs="Arial" w:eastAsia="Arial" w:hAnsi="Arial"/>
          <w:sz w:val="18"/>
          <w:szCs w:val="18"/>
          <w:color w:val="634140"/>
        </w:rPr>
        <w:t>ff</w:t>
      </w:r>
      <w:r>
        <w:rPr>
          <w:rFonts w:ascii="Arial" w:cs="Arial" w:eastAsia="Arial" w:hAnsi="Arial"/>
          <w:sz w:val="18"/>
          <w:szCs w:val="18"/>
          <w:color w:val="634140"/>
        </w:rPr>
        <w:t>cargtc</w:t>
      </w:r>
      <w:r>
        <w:rPr>
          <w:rFonts w:ascii="PMingLiU" w:cs="PMingLiU" w:eastAsia="PMingLiU" w:hAnsi="PMingLiU"/>
          <w:sz w:val="18"/>
          <w:szCs w:val="18"/>
          <w:color w:val="634140"/>
        </w:rPr>
        <w:t/>
      </w:r>
      <w:r>
        <w:rPr>
          <w:rFonts w:ascii="Arial" w:cs="Arial" w:eastAsia="Arial" w:hAnsi="Arial"/>
          <w:sz w:val="18"/>
          <w:szCs w:val="18"/>
          <w:color w:val="634140"/>
        </w:rPr>
        <w:t>_r</w:t>
      </w:r>
      <w:r>
        <w:rPr>
          <w:rFonts w:ascii="PMingLiU" w:cs="PMingLiU" w:eastAsia="PMingLiU" w:hAnsi="PMingLiU"/>
          <w:sz w:val="18"/>
          <w:szCs w:val="18"/>
          <w:color w:val="634140"/>
        </w:rPr>
        <w:t/>
      </w:r>
      <w:r>
        <w:rPr>
          <w:rFonts w:ascii="Arial" w:cs="Arial" w:eastAsia="Arial" w:hAnsi="Arial"/>
          <w:sz w:val="18"/>
          <w:szCs w:val="18"/>
          <w:color w:val="634140"/>
        </w:rPr>
        <w:t>jmu</w:t>
      </w:r>
      <w:r>
        <w:rPr>
          <w:rFonts w:ascii="PMingLiU" w:cs="PMingLiU" w:eastAsia="PMingLiU" w:hAnsi="PMingLiU"/>
          <w:sz w:val="18"/>
          <w:szCs w:val="18"/>
          <w:color w:val="634140"/>
        </w:rPr>
        <w:t/>
      </w:r>
      <w:r>
        <w:rPr>
          <w:rFonts w:ascii="Arial" w:cs="Arial" w:eastAsia="Arial" w:hAnsi="Arial"/>
          <w:sz w:val="18"/>
          <w:szCs w:val="18"/>
          <w:color w:val="634140"/>
        </w:rPr>
        <w:t>bmqcq</w:t>
      </w:r>
      <w:r>
        <w:rPr>
          <w:rFonts w:ascii="PMingLiU" w:cs="PMingLiU" w:eastAsia="PMingLiU" w:hAnsi="PMingLiU"/>
          <w:sz w:val="18"/>
          <w:szCs w:val="18"/>
          <w:color w:val="634140"/>
        </w:rPr>
        <w:t/>
      </w:r>
      <w:r>
        <w:rPr>
          <w:rFonts w:ascii="Arial" w:cs="Arial" w:eastAsia="Arial" w:hAnsi="Arial"/>
          <w:sz w:val="18"/>
          <w:szCs w:val="18"/>
          <w:color w:val="634140"/>
        </w:rPr>
        <w:t>ugrfmsr</w:t>
      </w:r>
      <w:r>
        <w:rPr>
          <w:rFonts w:ascii="PMingLiU" w:cs="PMingLiU" w:eastAsia="PMingLiU" w:hAnsi="PMingLiU"/>
          <w:sz w:val="18"/>
          <w:szCs w:val="18"/>
          <w:color w:val="634140"/>
        </w:rPr>
        <w:t/>
      </w:r>
      <w:r>
        <w:rPr>
          <w:rFonts w:ascii="Arial" w:cs="Arial" w:eastAsia="Arial" w:hAnsi="Arial"/>
          <w:sz w:val="18"/>
          <w:szCs w:val="18"/>
          <w:color w:val="634140"/>
        </w:rPr>
        <w:t xml:space="preserve"> lce_rgtcjw</w:t>
      </w:r>
      <w:r>
        <w:rPr>
          <w:rFonts w:ascii="PMingLiU" w:cs="PMingLiU" w:eastAsia="PMingLiU" w:hAnsi="PMingLiU"/>
          <w:sz w:val="18"/>
          <w:szCs w:val="18"/>
          <w:color w:val="634140"/>
        </w:rPr>
        <w:t/>
      </w:r>
      <w:r>
        <w:rPr>
          <w:rFonts w:ascii="Arial" w:cs="Arial" w:eastAsia="Arial" w:hAnsi="Arial"/>
          <w:sz w:val="18"/>
          <w:szCs w:val="18"/>
          <w:color w:val="634140"/>
        </w:rPr>
        <w:t>gkn_argle</w:t>
      </w:r>
      <w:r>
        <w:rPr>
          <w:rFonts w:ascii="PMingLiU" w:cs="PMingLiU" w:eastAsia="PMingLiU" w:hAnsi="PMingLiU"/>
          <w:sz w:val="18"/>
          <w:szCs w:val="18"/>
          <w:color w:val="634140"/>
        </w:rPr>
        <w:t/>
      </w:r>
      <w:r>
        <w:rPr>
          <w:rFonts w:ascii="Arial" w:cs="Arial" w:eastAsia="Arial" w:hAnsi="Arial"/>
          <w:sz w:val="18"/>
          <w:szCs w:val="18"/>
          <w:color w:val="634140"/>
        </w:rPr>
        <w:t>mrfcp</w:t>
      </w:r>
      <w:r>
        <w:rPr>
          <w:rFonts w:ascii="PMingLiU" w:cs="PMingLiU" w:eastAsia="PMingLiU" w:hAnsi="PMingLiU"/>
          <w:sz w:val="18"/>
          <w:szCs w:val="18"/>
          <w:color w:val="634140"/>
        </w:rPr>
        <w:t/>
      </w:r>
      <w:r>
        <w:rPr>
          <w:rFonts w:ascii="Arial" w:cs="Arial" w:eastAsia="Arial" w:hAnsi="Arial"/>
          <w:sz w:val="18"/>
          <w:szCs w:val="18"/>
          <w:color w:val="634140"/>
        </w:rPr>
        <w:t>n_glr</w:t>
      </w:r>
      <w:r>
        <w:rPr>
          <w:rFonts w:ascii="PMingLiU" w:cs="PMingLiU" w:eastAsia="PMingLiU" w:hAnsi="PMingLiU"/>
          <w:sz w:val="18"/>
          <w:szCs w:val="18"/>
          <w:color w:val="634140"/>
        </w:rPr>
        <w:t/>
      </w:r>
      <w:r>
        <w:rPr>
          <w:rFonts w:ascii="Arial" w:cs="Arial" w:eastAsia="Arial" w:hAnsi="Arial"/>
          <w:sz w:val="18"/>
          <w:szCs w:val="18"/>
          <w:color w:val="634140"/>
        </w:rPr>
        <w:t xml:space="preserve"> npmncprgcq</w:t>
      </w:r>
      <w:r>
        <w:rPr>
          <w:rFonts w:ascii="PMingLiU" w:cs="PMingLiU" w:eastAsia="PMingLiU" w:hAnsi="PMingLiU"/>
          <w:sz w:val="18"/>
          <w:szCs w:val="18"/>
          <w:color w:val="634140"/>
        </w:rPr>
        <w:t/>
      </w:r>
    </w:p>
    <w:p>
      <w:pPr>
        <w:spacing w:after="0" w:line="20" w:lineRule="exact"/>
        <w:rPr>
          <w:sz w:val="20"/>
          <w:szCs w:val="20"/>
          <w:color w:val="auto"/>
        </w:rPr>
      </w:pPr>
    </w:p>
    <w:p>
      <w:pPr>
        <w:spacing w:after="0" w:line="387"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b w:val="1"/>
          <w:bCs w:val="1"/>
          <w:color w:val="59BDB6"/>
        </w:rPr>
        <w:t>c_qw&amp;ucrB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ucrrgle</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_eclr</w:t>
      </w:r>
      <w:r>
        <w:rPr>
          <w:rFonts w:ascii="PMingLiU" w:cs="PMingLiU" w:eastAsia="PMingLiU" w:hAnsi="PMingLiU"/>
          <w:sz w:val="18"/>
          <w:szCs w:val="18"/>
          <w:b w:val="1"/>
          <w:bCs w:val="1"/>
          <w:color w:val="59BDB6"/>
        </w:rPr>
        <w:t/>
      </w:r>
      <w:r>
        <w:rPr>
          <w:rFonts w:ascii="Arial" w:cs="Arial" w:eastAsia="Arial" w:hAnsi="Arial"/>
          <w:sz w:val="18"/>
          <w:szCs w:val="18"/>
          <w:color w:val="634140"/>
        </w:rPr>
        <w:t>gq</w:t>
      </w:r>
      <w:r>
        <w:rPr>
          <w:rFonts w:ascii="PMingLiU" w:cs="PMingLiU" w:eastAsia="PMingLiU" w:hAnsi="PMingLiU"/>
          <w:sz w:val="18"/>
          <w:szCs w:val="18"/>
          <w:color w:val="634140"/>
        </w:rPr>
        <w:t/>
      </w:r>
    </w:p>
    <w:p>
      <w:pPr>
        <w:spacing w:after="0" w:line="48"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tcpq_rgjc</w:t>
      </w:r>
      <w:r>
        <w:rPr>
          <w:rFonts w:ascii="PMingLiU" w:cs="PMingLiU" w:eastAsia="PMingLiU" w:hAnsi="PMingLiU"/>
          <w:sz w:val="18"/>
          <w:szCs w:val="18"/>
          <w:color w:val="634140"/>
        </w:rPr>
        <w:t/>
      </w:r>
      <w:r>
        <w:rPr>
          <w:rFonts w:ascii="Arial" w:cs="Arial" w:eastAsia="Arial" w:hAnsi="Arial"/>
          <w:sz w:val="18"/>
          <w:szCs w:val="18"/>
          <w:color w:val="634140"/>
        </w:rPr>
        <w:t>TJEW&amp;dpcc</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qgjgamlc&amp;</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dpcc</w:t>
      </w:r>
      <w:r>
        <w:rPr>
          <w:rFonts w:ascii="PMingLiU" w:cs="PMingLiU" w:eastAsia="PMingLiU" w:hAnsi="PMingLiU"/>
          <w:sz w:val="18"/>
          <w:szCs w:val="18"/>
          <w:color w:val="634140"/>
        </w:rPr>
        <w:t/>
      </w:r>
      <w:r>
        <w:rPr>
          <w:rFonts w:ascii="Arial" w:cs="Arial" w:eastAsia="Arial" w:hAnsi="Arial"/>
          <w:sz w:val="18"/>
          <w:szCs w:val="18"/>
          <w:color w:val="634140"/>
        </w:rPr>
        <w:t>qs`qrp_rc</w:t>
      </w:r>
      <w:r>
        <w:rPr>
          <w:rFonts w:ascii="PMingLiU" w:cs="PMingLiU" w:eastAsia="PMingLiU" w:hAnsi="PMingLiU"/>
          <w:sz w:val="18"/>
          <w:szCs w:val="18"/>
          <w:color w:val="634140"/>
        </w:rPr>
        <w:t/>
      </w:r>
      <w:r>
        <w:rPr>
          <w:rFonts w:ascii="Arial" w:cs="Arial" w:eastAsia="Arial" w:hAnsi="Arial"/>
          <w:sz w:val="18"/>
          <w:szCs w:val="18"/>
          <w:color w:val="634140"/>
        </w:rPr>
        <w:t>ucrrgle</w:t>
      </w:r>
      <w:r>
        <w:rPr>
          <w:rFonts w:ascii="PMingLiU" w:cs="PMingLiU" w:eastAsia="PMingLiU" w:hAnsi="PMingLiU"/>
          <w:sz w:val="18"/>
          <w:szCs w:val="18"/>
          <w:color w:val="634140"/>
        </w:rPr>
        <w:t/>
      </w:r>
      <w:r>
        <w:rPr>
          <w:rFonts w:ascii="Arial" w:cs="Arial" w:eastAsia="Arial" w:hAnsi="Arial"/>
          <w:sz w:val="18"/>
          <w:szCs w:val="18"/>
          <w:color w:val="634140"/>
        </w:rPr>
        <w:t>_eclr</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`pm_b</w:t>
      </w:r>
      <w:r>
        <w:rPr>
          <w:rFonts w:ascii="PMingLiU" w:cs="PMingLiU" w:eastAsia="PMingLiU" w:hAnsi="PMingLiU"/>
          <w:sz w:val="18"/>
          <w:szCs w:val="18"/>
          <w:color w:val="634140"/>
        </w:rPr>
        <w:t/>
      </w:r>
      <w:r>
        <w:rPr>
          <w:rFonts w:ascii="Arial" w:cs="Arial" w:eastAsia="Arial" w:hAnsi="Arial"/>
          <w:sz w:val="18"/>
          <w:szCs w:val="18"/>
          <w:color w:val="634140"/>
        </w:rPr>
        <w:t>p_lec</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_nnjga_rgmlq</w:t>
      </w:r>
      <w:r>
        <w:rPr>
          <w:rFonts w:ascii="PMingLiU" w:cs="PMingLiU" w:eastAsia="PMingLiU" w:hAnsi="PMingLiU"/>
          <w:sz w:val="18"/>
          <w:szCs w:val="18"/>
          <w:color w:val="634140"/>
        </w:rPr>
        <w:t/>
      </w:r>
      <w:r>
        <w:rPr>
          <w:rFonts w:ascii="Arial" w:cs="Arial" w:eastAsia="Arial" w:hAnsi="Arial"/>
          <w:sz w:val="18"/>
          <w:szCs w:val="18"/>
          <w:color w:val="634140"/>
        </w:rPr>
        <w:t>glajsbgle</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glbsqrpg_j</w:t>
      </w:r>
      <w:r>
        <w:rPr>
          <w:rFonts w:ascii="PMingLiU" w:cs="PMingLiU" w:eastAsia="PMingLiU" w:hAnsi="PMingLiU"/>
          <w:sz w:val="18"/>
          <w:szCs w:val="18"/>
          <w:color w:val="634140"/>
        </w:rPr>
        <w:t/>
      </w:r>
      <w:r>
        <w:rPr>
          <w:rFonts w:ascii="Arial" w:cs="Arial" w:eastAsia="Arial" w:hAnsi="Arial"/>
          <w:sz w:val="18"/>
          <w:szCs w:val="18"/>
          <w:color w:val="634140"/>
        </w:rPr>
        <w:t>qncag_jrw</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_pafgrcarsp_j</w:t>
      </w:r>
      <w:r>
        <w:rPr>
          <w:rFonts w:ascii="PMingLiU" w:cs="PMingLiU" w:eastAsia="PMingLiU" w:hAnsi="PMingLiU"/>
          <w:sz w:val="18"/>
          <w:szCs w:val="18"/>
          <w:color w:val="634140"/>
        </w:rPr>
        <w:t/>
      </w:r>
    </w:p>
    <w:p>
      <w:pPr>
        <w:spacing w:after="0" w:line="20" w:lineRule="exact"/>
        <w:rPr>
          <w:sz w:val="20"/>
          <w:szCs w:val="20"/>
          <w:color w:val="auto"/>
        </w:rPr>
      </w:pPr>
    </w:p>
    <w:p>
      <w:pPr>
        <w:spacing w:after="0" w:line="2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am_rgleq</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ummb</w:t>
      </w:r>
      <w:r>
        <w:rPr>
          <w:rFonts w:ascii="PMingLiU" w:cs="PMingLiU" w:eastAsia="PMingLiU" w:hAnsi="PMingLiU"/>
          <w:sz w:val="18"/>
          <w:szCs w:val="18"/>
          <w:color w:val="634140"/>
        </w:rPr>
        <w:t/>
      </w:r>
      <w:r>
        <w:rPr>
          <w:rFonts w:ascii="Arial" w:cs="Arial" w:eastAsia="Arial" w:hAnsi="Arial"/>
          <w:sz w:val="18"/>
          <w:szCs w:val="18"/>
          <w:color w:val="634140"/>
        </w:rPr>
        <w:t>kcr_j</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u_rcp&amp;`_qcb</w:t>
      </w:r>
      <w:r>
        <w:rPr>
          <w:rFonts w:ascii="PMingLiU" w:cs="PMingLiU" w:eastAsia="PMingLiU" w:hAnsi="PMingLiU"/>
          <w:sz w:val="18"/>
          <w:szCs w:val="18"/>
          <w:color w:val="634140"/>
        </w:rPr>
        <w:t/>
      </w:r>
      <w:r>
        <w:rPr>
          <w:rFonts w:ascii="Arial" w:cs="Arial" w:eastAsia="Arial" w:hAnsi="Arial"/>
          <w:sz w:val="18"/>
          <w:szCs w:val="18"/>
          <w:color w:val="634140"/>
        </w:rPr>
        <w:t>gliq</w:t>
      </w:r>
      <w:r>
        <w:rPr>
          <w:rFonts w:ascii="PMingLiU" w:cs="PMingLiU" w:eastAsia="PMingLiU" w:hAnsi="PMingLiU"/>
          <w:sz w:val="18"/>
          <w:szCs w:val="18"/>
          <w:color w:val="634140"/>
        </w:rPr>
        <w:t/>
      </w:r>
      <w:r>
        <w:rPr>
          <w:rFonts w:ascii="Arial" w:cs="Arial" w:eastAsia="Arial" w:hAnsi="Arial"/>
          <w:sz w:val="18"/>
          <w:szCs w:val="18"/>
          <w:color w:val="634140"/>
        </w:rPr>
        <w:t>_bfcqgtcq</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kcr_j</w:t>
      </w:r>
      <w:r>
        <w:rPr>
          <w:rFonts w:ascii="PMingLiU" w:cs="PMingLiU" w:eastAsia="PMingLiU" w:hAnsi="PMingLiU"/>
          <w:sz w:val="18"/>
          <w:szCs w:val="18"/>
          <w:color w:val="634140"/>
        </w:rPr>
        <w:t/>
      </w:r>
      <w:r>
        <w:rPr>
          <w:rFonts w:ascii="Arial" w:cs="Arial" w:eastAsia="Arial" w:hAnsi="Arial"/>
          <w:sz w:val="18"/>
          <w:szCs w:val="18"/>
          <w:color w:val="634140"/>
        </w:rPr>
        <w:t>npmacqqgl</w:t>
      </w:r>
      <w:r>
        <w:rPr>
          <w:rFonts w:ascii="Arial" w:cs="Arial" w:eastAsia="Arial" w:hAnsi="Arial"/>
          <w:sz w:val="18"/>
          <w:szCs w:val="18"/>
          <w:color w:val="634140"/>
        </w:rPr>
        <w:t>g fl</w:t>
      </w:r>
      <w:r>
        <w:rPr>
          <w:rFonts w:ascii="Arial" w:cs="Arial" w:eastAsia="Arial" w:hAnsi="Arial"/>
          <w:sz w:val="18"/>
          <w:szCs w:val="18"/>
          <w:color w:val="634140"/>
        </w:rPr>
        <w:t>sgbq</w:t>
      </w:r>
      <w:r>
        <w:rPr>
          <w:rFonts w:ascii="PMingLiU" w:cs="PMingLiU" w:eastAsia="PMingLiU" w:hAnsi="PMingLiU"/>
          <w:sz w:val="18"/>
          <w:szCs w:val="18"/>
          <w:color w:val="634140"/>
        </w:rPr>
        <w:t/>
      </w:r>
      <w:r>
        <w:rPr>
          <w:rFonts w:ascii="Arial" w:cs="Arial" w:eastAsia="Arial" w:hAnsi="Arial"/>
          <w:sz w:val="18"/>
          <w:szCs w:val="18"/>
          <w:color w:val="634140"/>
        </w:rPr>
        <w:t>[grf</w:t>
      </w:r>
      <w:r>
        <w:rPr>
          <w:rFonts w:ascii="PMingLiU" w:cs="PMingLiU" w:eastAsia="PMingLiU" w:hAnsi="PMingLiU"/>
          <w:sz w:val="18"/>
          <w:szCs w:val="18"/>
          <w:color w:val="634140"/>
        </w:rPr>
        <w:t/>
      </w:r>
      <w:r>
        <w:rPr>
          <w:rFonts w:ascii="Arial" w:cs="Arial" w:eastAsia="Arial" w:hAnsi="Arial"/>
          <w:sz w:val="18"/>
          <w:szCs w:val="18"/>
          <w:color w:val="634140"/>
        </w:rPr>
        <w:t>jmu</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ZSG</w:t>
      </w:r>
      <w:r>
        <w:rPr>
          <w:rFonts w:ascii="PMingLiU" w:cs="PMingLiU" w:eastAsia="PMingLiU" w:hAnsi="PMingLiU"/>
          <w:sz w:val="18"/>
          <w:szCs w:val="18"/>
          <w:color w:val="634140"/>
        </w:rPr>
        <w:t/>
      </w:r>
      <w:r>
        <w:rPr>
          <w:rFonts w:ascii="Arial" w:cs="Arial" w:eastAsia="Arial" w:hAnsi="Arial"/>
          <w:sz w:val="18"/>
          <w:szCs w:val="18"/>
          <w:color w:val="634140"/>
        </w:rPr>
        <w:t>amlrclr</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`pm_b</w:t>
      </w:r>
      <w:r>
        <w:rPr>
          <w:rFonts w:ascii="PMingLiU" w:cs="PMingLiU" w:eastAsia="PMingLiU" w:hAnsi="PMingLiU"/>
          <w:sz w:val="18"/>
          <w:szCs w:val="18"/>
          <w:color w:val="634140"/>
        </w:rPr>
        <w:t/>
      </w:r>
      <w:r>
        <w:rPr>
          <w:rFonts w:ascii="Arial" w:cs="Arial" w:eastAsia="Arial" w:hAnsi="Arial"/>
          <w:sz w:val="18"/>
          <w:szCs w:val="18"/>
          <w:color w:val="634140"/>
        </w:rPr>
        <w:t>dmpksj_rgml</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amkn_rg`gjgrw</w:t>
      </w:r>
      <w:r>
        <w:rPr>
          <w:rFonts w:ascii="PMingLiU" w:cs="PMingLiU" w:eastAsia="PMingLiU" w:hAnsi="PMingLiU"/>
          <w:sz w:val="18"/>
          <w:szCs w:val="18"/>
          <w:color w:val="634140"/>
        </w:rPr>
        <w:t/>
      </w:r>
      <w:r>
        <w:rPr>
          <w:rFonts w:ascii="Arial" w:cs="Arial" w:eastAsia="Arial" w:hAnsi="Arial"/>
          <w:sz w:val="18"/>
          <w:szCs w:val="18"/>
          <w:color w:val="634140"/>
        </w:rPr>
        <w:t>gr</w:t>
      </w:r>
      <w:r>
        <w:rPr>
          <w:rFonts w:ascii="PMingLiU" w:cs="PMingLiU" w:eastAsia="PMingLiU" w:hAnsi="PMingLiU"/>
          <w:sz w:val="18"/>
          <w:szCs w:val="18"/>
          <w:color w:val="634140"/>
        </w:rPr>
        <w:t/>
      </w:r>
      <w:r>
        <w:rPr>
          <w:rFonts w:ascii="Arial" w:cs="Arial" w:eastAsia="Arial" w:hAnsi="Arial"/>
          <w:sz w:val="18"/>
          <w:szCs w:val="18"/>
          <w:color w:val="634140"/>
        </w:rPr>
        <w:t>qsnnmprq</w:t>
      </w:r>
      <w:r>
        <w:rPr>
          <w:rFonts w:ascii="PMingLiU" w:cs="PMingLiU" w:eastAsia="PMingLiU" w:hAnsi="PMingLiU"/>
          <w:sz w:val="18"/>
          <w:szCs w:val="18"/>
          <w:color w:val="634140"/>
        </w:rPr>
        <w:t/>
      </w:r>
      <w:r>
        <w:rPr>
          <w:rFonts w:ascii="Arial" w:cs="Arial" w:eastAsia="Arial" w:hAnsi="Arial"/>
          <w:sz w:val="18"/>
          <w:szCs w:val="18"/>
          <w:color w:val="634140"/>
        </w:rPr>
        <w:t>qsqr_gl_`jc</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npmbsar</w:t>
      </w:r>
      <w:r>
        <w:rPr>
          <w:rFonts w:ascii="PMingLiU" w:cs="PMingLiU" w:eastAsia="PMingLiU" w:hAnsi="PMingLiU"/>
          <w:sz w:val="18"/>
          <w:szCs w:val="18"/>
          <w:color w:val="634140"/>
        </w:rPr>
        <w:t/>
      </w:r>
      <w:r>
        <w:rPr>
          <w:rFonts w:ascii="Arial" w:cs="Arial" w:eastAsia="Arial" w:hAnsi="Arial"/>
          <w:sz w:val="18"/>
          <w:szCs w:val="18"/>
          <w:color w:val="634140"/>
        </w:rPr>
        <w:t>bctcjmnkclr</w:t>
      </w:r>
      <w:r>
        <w:rPr>
          <w:rFonts w:ascii="PMingLiU" w:cs="PMingLiU" w:eastAsia="PMingLiU" w:hAnsi="PMingLiU"/>
          <w:sz w:val="18"/>
          <w:szCs w:val="18"/>
          <w:color w:val="634140"/>
        </w:rPr>
        <w:t/>
      </w:r>
      <w:r>
        <w:rPr>
          <w:rFonts w:ascii="Arial" w:cs="Arial" w:eastAsia="Arial" w:hAnsi="Arial"/>
          <w:sz w:val="18"/>
          <w:szCs w:val="18"/>
          <w:color w:val="634140"/>
        </w:rPr>
        <w:t>ufgjc</w:t>
      </w:r>
      <w:r>
        <w:rPr>
          <w:rFonts w:ascii="PMingLiU" w:cs="PMingLiU" w:eastAsia="PMingLiU" w:hAnsi="PMingLiU"/>
          <w:sz w:val="18"/>
          <w:szCs w:val="18"/>
          <w:color w:val="634140"/>
        </w:rPr>
        <w:t/>
      </w:r>
      <w:r>
        <w:rPr>
          <w:rFonts w:ascii="Arial" w:cs="Arial" w:eastAsia="Arial" w:hAnsi="Arial"/>
          <w:sz w:val="18"/>
          <w:szCs w:val="18"/>
          <w:color w:val="634140"/>
        </w:rPr>
        <w:t>kglgkgxgle</w:t>
      </w:r>
      <w:r>
        <w:rPr>
          <w:rFonts w:ascii="PMingLiU" w:cs="PMingLiU" w:eastAsia="PMingLiU" w:hAnsi="PMingLiU"/>
          <w:sz w:val="18"/>
          <w:szCs w:val="18"/>
          <w:color w:val="634140"/>
        </w:rPr>
        <w:t/>
      </w:r>
    </w:p>
    <w:p>
      <w:pPr>
        <w:spacing w:after="0" w:line="6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qspd_ac</w:t>
      </w:r>
      <w:r>
        <w:rPr>
          <w:rFonts w:ascii="PMingLiU" w:cs="PMingLiU" w:eastAsia="PMingLiU" w:hAnsi="PMingLiU"/>
          <w:sz w:val="18"/>
          <w:szCs w:val="18"/>
          <w:color w:val="634140"/>
        </w:rPr>
        <w:t/>
      </w:r>
      <w:r>
        <w:rPr>
          <w:rFonts w:ascii="Arial" w:cs="Arial" w:eastAsia="Arial" w:hAnsi="Arial"/>
          <w:sz w:val="18"/>
          <w:szCs w:val="18"/>
          <w:color w:val="634140"/>
        </w:rPr>
        <w:t>bcdcarq</w:t>
      </w:r>
      <w:r>
        <w:rPr>
          <w:rFonts w:ascii="PMingLiU" w:cs="PMingLiU" w:eastAsia="PMingLiU" w:hAnsi="PMingLiU"/>
          <w:sz w:val="18"/>
          <w:szCs w:val="18"/>
          <w:color w:val="634140"/>
        </w:rPr>
        <w:t/>
      </w:r>
    </w:p>
    <w:p>
      <w:pPr>
        <w:spacing w:after="0" w:line="314"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b w:val="1"/>
          <w:bCs w:val="1"/>
          <w:color w:val="59BDB6"/>
        </w:rPr>
        <w:t>_os_flmuB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qcpgcq</w:t>
      </w:r>
      <w:r>
        <w:rPr>
          <w:rFonts w:ascii="PMingLiU" w:cs="PMingLiU" w:eastAsia="PMingLiU" w:hAnsi="PMingLiU"/>
          <w:sz w:val="18"/>
          <w:szCs w:val="18"/>
          <w:color w:val="634140"/>
        </w:rPr>
        <w:t/>
      </w:r>
      <w:r>
        <w:rPr>
          <w:rFonts w:ascii="Arial" w:cs="Arial" w:eastAsia="Arial" w:hAnsi="Arial"/>
          <w:sz w:val="18"/>
          <w:szCs w:val="18"/>
          <w:color w:val="634140"/>
        </w:rPr>
        <w:t>qwlrfcrga</w:t>
      </w:r>
      <w:r>
        <w:rPr>
          <w:rFonts w:ascii="PMingLiU" w:cs="PMingLiU" w:eastAsia="PMingLiU" w:hAnsi="PMingLiU"/>
          <w:sz w:val="18"/>
          <w:szCs w:val="18"/>
          <w:color w:val="634140"/>
        </w:rPr>
        <w:t/>
      </w:r>
      <w:r>
        <w:rPr>
          <w:rFonts w:ascii="Arial" w:cs="Arial" w:eastAsia="Arial" w:hAnsi="Arial"/>
          <w:sz w:val="18"/>
          <w:szCs w:val="18"/>
          <w:color w:val="634140"/>
        </w:rPr>
        <w:t>jgosgb</w:t>
      </w:r>
      <w:r>
        <w:rPr>
          <w:rFonts w:ascii="PMingLiU" w:cs="PMingLiU" w:eastAsia="PMingLiU" w:hAnsi="PMingLiU"/>
          <w:sz w:val="18"/>
          <w:szCs w:val="18"/>
          <w:color w:val="634140"/>
        </w:rPr>
        <w:t/>
      </w:r>
    </w:p>
    <w:p>
      <w:pPr>
        <w:spacing w:after="0" w:line="48"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rfgaiclcpq</w:t>
      </w:r>
      <w:r>
        <w:rPr>
          <w:rFonts w:ascii="PMingLiU" w:cs="PMingLiU" w:eastAsia="PMingLiU" w:hAnsi="PMingLiU"/>
          <w:sz w:val="18"/>
          <w:szCs w:val="18"/>
          <w:color w:val="634140"/>
        </w:rPr>
        <w:t/>
      </w:r>
      <w:r>
        <w:rPr>
          <w:rFonts w:ascii="Arial" w:cs="Arial" w:eastAsia="Arial" w:hAnsi="Arial"/>
          <w:sz w:val="18"/>
          <w:szCs w:val="18"/>
          <w:color w:val="634140"/>
        </w:rPr>
        <w:t>cl_`jc</w:t>
      </w:r>
      <w:r>
        <w:rPr>
          <w:rFonts w:ascii="PMingLiU" w:cs="PMingLiU" w:eastAsia="PMingLiU" w:hAnsi="PMingLiU"/>
          <w:sz w:val="18"/>
          <w:szCs w:val="18"/>
          <w:color w:val="634140"/>
        </w:rPr>
        <w:t/>
      </w:r>
      <w:r>
        <w:rPr>
          <w:rFonts w:ascii="Arial" w:cs="Arial" w:eastAsia="Arial" w:hAnsi="Arial"/>
          <w:sz w:val="18"/>
          <w:szCs w:val="18"/>
          <w:color w:val="634140"/>
        </w:rPr>
        <w:t>_bt_lackclrq</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u_rcp&amp;`_qcb</w:t>
      </w:r>
      <w:r>
        <w:rPr>
          <w:rFonts w:ascii="PMingLiU" w:cs="PMingLiU" w:eastAsia="PMingLiU" w:hAnsi="PMingLiU"/>
          <w:sz w:val="18"/>
          <w:szCs w:val="18"/>
          <w:color w:val="634140"/>
        </w:rPr>
        <w:t/>
      </w:r>
      <w:r>
        <w:rPr>
          <w:rFonts w:ascii="Arial" w:cs="Arial" w:eastAsia="Arial" w:hAnsi="Arial"/>
          <w:sz w:val="18"/>
          <w:szCs w:val="18"/>
          <w:color w:val="634140"/>
        </w:rPr>
        <w:t>am_rgle</w:t>
      </w:r>
      <w:r>
        <w:rPr>
          <w:rFonts w:ascii="PMingLiU" w:cs="PMingLiU" w:eastAsia="PMingLiU" w:hAnsi="PMingLiU"/>
          <w:sz w:val="18"/>
          <w:szCs w:val="18"/>
          <w:color w:val="634140"/>
        </w:rPr>
        <w:t/>
      </w:r>
      <w:r>
        <w:rPr>
          <w:rFonts w:ascii="Arial" w:cs="Arial" w:eastAsia="Arial" w:hAnsi="Arial"/>
          <w:sz w:val="18"/>
          <w:szCs w:val="18"/>
          <w:color w:val="634140"/>
        </w:rPr>
        <w:t>rcaflmjmew</w:t>
      </w:r>
      <w:r>
        <w:rPr>
          <w:rFonts w:ascii="PMingLiU" w:cs="PMingLiU" w:eastAsia="PMingLiU" w:hAnsi="PMingLiU"/>
          <w:sz w:val="18"/>
          <w:szCs w:val="18"/>
          <w:color w:val="634140"/>
        </w:rPr>
        <w:t/>
      </w:r>
      <w:r>
        <w:rPr>
          <w:rFonts w:ascii="Arial" w:cs="Arial" w:eastAsia="Arial" w:hAnsi="Arial"/>
          <w:sz w:val="18"/>
          <w:szCs w:val="18"/>
          <w:color w:val="634140"/>
        </w:rPr>
        <w:t>ugrf</w:t>
      </w:r>
      <w:r>
        <w:rPr>
          <w:rFonts w:ascii="PMingLiU" w:cs="PMingLiU" w:eastAsia="PMingLiU" w:hAnsi="PMingLiU"/>
          <w:sz w:val="18"/>
          <w:szCs w:val="18"/>
          <w:color w:val="634140"/>
        </w:rPr>
        <w:t/>
      </w:r>
    </w:p>
    <w:p>
      <w:pPr>
        <w:spacing w:after="0" w:line="20" w:lineRule="exact"/>
        <w:rPr>
          <w:sz w:val="20"/>
          <w:szCs w:val="20"/>
          <w:color w:val="auto"/>
        </w:rPr>
      </w:pPr>
    </w:p>
    <w:p>
      <w:pPr>
        <w:spacing w:after="0" w:line="2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rgl&amp;</w:t>
      </w:r>
      <w:r>
        <w:rPr>
          <w:rFonts w:ascii="PMingLiU" w:cs="PMingLiU" w:eastAsia="PMingLiU" w:hAnsi="PMingLiU"/>
          <w:sz w:val="18"/>
          <w:szCs w:val="18"/>
          <w:color w:val="634140"/>
        </w:rPr>
        <w:t/>
      </w:r>
      <w:r>
        <w:rPr>
          <w:rFonts w:ascii="Arial" w:cs="Arial" w:eastAsia="Arial" w:hAnsi="Arial"/>
          <w:sz w:val="18"/>
          <w:szCs w:val="18"/>
          <w:color w:val="634140"/>
        </w:rPr>
        <w:t>TJEW&amp;</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ETIS&amp;dpcc</w:t>
      </w:r>
      <w:r>
        <w:rPr>
          <w:rFonts w:ascii="PMingLiU" w:cs="PMingLiU" w:eastAsia="PMingLiU" w:hAnsi="PMingLiU"/>
          <w:sz w:val="18"/>
          <w:szCs w:val="18"/>
          <w:color w:val="634140"/>
        </w:rPr>
        <w:t/>
      </w:r>
      <w:r>
        <w:rPr>
          <w:rFonts w:ascii="Arial" w:cs="Arial" w:eastAsia="Arial" w:hAnsi="Arial"/>
          <w:sz w:val="18"/>
          <w:szCs w:val="18"/>
          <w:color w:val="634140"/>
        </w:rPr>
        <w:t>afckgqrpw</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Xfc</w:t>
      </w:r>
      <w:r>
        <w:rPr>
          <w:rFonts w:ascii="PMingLiU" w:cs="PMingLiU" w:eastAsia="PMingLiU" w:hAnsi="PMingLiU"/>
          <w:sz w:val="18"/>
          <w:szCs w:val="18"/>
          <w:color w:val="634140"/>
        </w:rPr>
        <w:t/>
      </w:r>
      <w:r>
        <w:rPr>
          <w:rFonts w:ascii="Arial" w:cs="Arial" w:eastAsia="Arial" w:hAnsi="Arial"/>
          <w:sz w:val="18"/>
          <w:szCs w:val="18"/>
          <w:color w:val="634140"/>
        </w:rPr>
        <w:t>npmbsar</w:t>
      </w:r>
      <w:r>
        <w:rPr>
          <w:rFonts w:ascii="PMingLiU" w:cs="PMingLiU" w:eastAsia="PMingLiU" w:hAnsi="PMingLiU"/>
          <w:sz w:val="18"/>
          <w:szCs w:val="18"/>
          <w:color w:val="634140"/>
        </w:rPr>
        <w:t/>
      </w:r>
      <w:r>
        <w:rPr>
          <w:rFonts w:ascii="Arial" w:cs="Arial" w:eastAsia="Arial" w:hAnsi="Arial"/>
          <w:sz w:val="18"/>
          <w:szCs w:val="18"/>
          <w:color w:val="634140"/>
        </w:rPr>
        <w:t>jglc</w:t>
      </w:r>
      <w:r>
        <w:rPr>
          <w:rFonts w:ascii="PMingLiU" w:cs="PMingLiU" w:eastAsia="PMingLiU" w:hAnsi="PMingLiU"/>
          <w:sz w:val="18"/>
          <w:szCs w:val="18"/>
          <w:color w:val="634140"/>
        </w:rPr>
        <w:t/>
      </w:r>
      <w:r>
        <w:rPr>
          <w:rFonts w:ascii="Arial" w:cs="Arial" w:eastAsia="Arial" w:hAnsi="Arial"/>
          <w:sz w:val="18"/>
          <w:szCs w:val="18"/>
          <w:color w:val="634140"/>
        </w:rPr>
        <w:t>lmu</w:t>
      </w:r>
      <w:r>
        <w:rPr>
          <w:rFonts w:ascii="PMingLiU" w:cs="PMingLiU" w:eastAsia="PMingLiU" w:hAnsi="PMingLiU"/>
          <w:sz w:val="18"/>
          <w:szCs w:val="18"/>
          <w:color w:val="634140"/>
        </w:rPr>
        <w:t/>
      </w:r>
      <w:r>
        <w:rPr>
          <w:rFonts w:ascii="Arial" w:cs="Arial" w:eastAsia="Arial" w:hAnsi="Arial"/>
          <w:sz w:val="18"/>
          <w:szCs w:val="18"/>
          <w:color w:val="634140"/>
        </w:rPr>
        <w:t>glajsbcq</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_os_</w:t>
      </w:r>
      <w:r>
        <w:rPr>
          <w:rFonts w:ascii="Arial" w:cs="Arial" w:eastAsia="Arial" w:hAnsi="Arial"/>
          <w:sz w:val="18"/>
          <w:szCs w:val="18"/>
          <w:color w:val="634140"/>
        </w:rPr>
        <w:t>fl</w:t>
      </w:r>
      <w:r>
        <w:rPr>
          <w:rFonts w:ascii="Arial" w:cs="Arial" w:eastAsia="Arial" w:hAnsi="Arial"/>
          <w:sz w:val="18"/>
          <w:szCs w:val="18"/>
          <w:color w:val="634140"/>
        </w:rPr>
        <w:t>muB</w:t>
      </w:r>
      <w:r>
        <w:rPr>
          <w:rFonts w:ascii="PMingLiU" w:cs="PMingLiU" w:eastAsia="PMingLiU" w:hAnsi="PMingLiU"/>
          <w:sz w:val="18"/>
          <w:szCs w:val="18"/>
          <w:color w:val="634140"/>
        </w:rPr>
        <w:t/>
      </w:r>
      <w:r>
        <w:rPr>
          <w:rFonts w:ascii="Arial" w:cs="Arial" w:eastAsia="Arial" w:hAnsi="Arial"/>
          <w:sz w:val="18"/>
          <w:szCs w:val="18"/>
          <w:color w:val="634140"/>
        </w:rPr>
        <w:t>IGS</w:t>
      </w:r>
      <w:r>
        <w:rPr>
          <w:rFonts w:ascii="PMingLiU" w:cs="PMingLiU" w:eastAsia="PMingLiU" w:hAnsi="PMingLiU"/>
          <w:sz w:val="18"/>
          <w:szCs w:val="18"/>
          <w:color w:val="634140"/>
        </w:rPr>
        <w:t/>
      </w:r>
      <w:r>
        <w:rPr>
          <w:rFonts w:ascii="Arial" w:cs="Arial" w:eastAsia="Arial" w:hAnsi="Arial"/>
          <w:sz w:val="18"/>
          <w:szCs w:val="18"/>
          <w:color w:val="634140"/>
        </w:rPr>
        <w:t>qcpgcq</w:t>
      </w:r>
      <w:r>
        <w:rPr>
          <w:rFonts w:ascii="PMingLiU" w:cs="PMingLiU" w:eastAsia="PMingLiU" w:hAnsi="PMingLiU"/>
          <w:sz w:val="18"/>
          <w:szCs w:val="18"/>
          <w:color w:val="634140"/>
        </w:rPr>
        <w:t/>
      </w:r>
      <w:r>
        <w:rPr>
          <w:rFonts w:ascii="Arial" w:cs="Arial" w:eastAsia="Arial" w:hAnsi="Arial"/>
          <w:sz w:val="18"/>
          <w:szCs w:val="18"/>
          <w:color w:val="634140"/>
        </w:rPr>
        <w:t>m</w:t>
      </w:r>
      <w:r>
        <w:rPr>
          <w:rFonts w:ascii="Arial" w:cs="Arial" w:eastAsia="Arial" w:hAnsi="Arial"/>
          <w:sz w:val="18"/>
          <w:szCs w:val="18"/>
          <w:color w:val="634140"/>
        </w:rPr>
        <w:t>ff</w:t>
      </w:r>
      <w:r>
        <w:rPr>
          <w:rFonts w:ascii="Arial" w:cs="Arial" w:eastAsia="Arial" w:hAnsi="Arial"/>
          <w:sz w:val="18"/>
          <w:szCs w:val="18"/>
          <w:color w:val="634140"/>
        </w:rPr>
        <w:t>cpgle</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q_kc</w:t>
      </w:r>
      <w:r>
        <w:rPr>
          <w:rFonts w:ascii="PMingLiU" w:cs="PMingLiU" w:eastAsia="PMingLiU" w:hAnsi="PMingLiU"/>
          <w:sz w:val="18"/>
          <w:szCs w:val="18"/>
          <w:color w:val="634140"/>
        </w:rPr>
        <w:t/>
      </w:r>
      <w:r>
        <w:rPr>
          <w:rFonts w:ascii="Arial" w:cs="Arial" w:eastAsia="Arial" w:hAnsi="Arial"/>
          <w:sz w:val="18"/>
          <w:szCs w:val="18"/>
          <w:color w:val="634140"/>
        </w:rPr>
        <w:t>npmtcl</w:t>
      </w:r>
      <w:r>
        <w:rPr>
          <w:rFonts w:ascii="PMingLiU" w:cs="PMingLiU" w:eastAsia="PMingLiU" w:hAnsi="PMingLiU"/>
          <w:sz w:val="18"/>
          <w:szCs w:val="18"/>
          <w:color w:val="634140"/>
        </w:rPr>
        <w:t/>
      </w:r>
      <w:r>
        <w:rPr>
          <w:rFonts w:ascii="Arial" w:cs="Arial" w:eastAsia="Arial" w:hAnsi="Arial"/>
          <w:sz w:val="18"/>
          <w:szCs w:val="18"/>
          <w:color w:val="634140"/>
        </w:rPr>
        <w:t>ncpdmpk_lac</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˦˥˥φ</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qmjgb</w:t>
      </w:r>
      <w:r>
        <w:rPr>
          <w:rFonts w:ascii="PMingLiU" w:cs="PMingLiU" w:eastAsia="PMingLiU" w:hAnsi="PMingLiU"/>
          <w:sz w:val="18"/>
          <w:szCs w:val="18"/>
          <w:color w:val="634140"/>
        </w:rPr>
        <w:t/>
      </w:r>
      <w:r>
        <w:rPr>
          <w:rFonts w:ascii="Arial" w:cs="Arial" w:eastAsia="Arial" w:hAnsi="Arial"/>
          <w:sz w:val="18"/>
          <w:szCs w:val="18"/>
          <w:color w:val="634140"/>
        </w:rPr>
        <w:t>dmpk</w:t>
      </w:r>
      <w:r>
        <w:rPr>
          <w:rFonts w:ascii="PMingLiU" w:cs="PMingLiU" w:eastAsia="PMingLiU" w:hAnsi="PMingLiU"/>
          <w:sz w:val="18"/>
          <w:szCs w:val="18"/>
          <w:color w:val="634140"/>
        </w:rPr>
        <w:t/>
      </w:r>
      <w:r>
        <w:rPr>
          <w:rFonts w:ascii="Arial" w:cs="Arial" w:eastAsia="Arial" w:hAnsi="Arial"/>
          <w:sz w:val="18"/>
          <w:szCs w:val="18"/>
          <w:color w:val="634140"/>
        </w:rPr>
        <w:t>Xfgq</w:t>
      </w:r>
      <w:r>
        <w:rPr>
          <w:rFonts w:ascii="PMingLiU" w:cs="PMingLiU" w:eastAsia="PMingLiU" w:hAnsi="PMingLiU"/>
          <w:sz w:val="18"/>
          <w:szCs w:val="18"/>
          <w:color w:val="634140"/>
        </w:rPr>
        <w:t/>
      </w:r>
      <w:r>
        <w:rPr>
          <w:rFonts w:ascii="Arial" w:cs="Arial" w:eastAsia="Arial" w:hAnsi="Arial"/>
          <w:sz w:val="18"/>
          <w:szCs w:val="18"/>
          <w:color w:val="634140"/>
        </w:rPr>
        <w:t>dmpk_r</w:t>
      </w:r>
      <w:r>
        <w:rPr>
          <w:rFonts w:ascii="PMingLiU" w:cs="PMingLiU" w:eastAsia="PMingLiU" w:hAnsi="PMingLiU"/>
          <w:sz w:val="18"/>
          <w:szCs w:val="18"/>
          <w:color w:val="634140"/>
        </w:rPr>
        <w:t/>
      </w:r>
      <w:r>
        <w:rPr>
          <w:rFonts w:ascii="Arial" w:cs="Arial" w:eastAsia="Arial" w:hAnsi="Arial"/>
          <w:sz w:val="18"/>
          <w:szCs w:val="18"/>
          <w:color w:val="634140"/>
        </w:rPr>
        <w:t>npmtgbcq</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_bbgrgml_j</w:t>
      </w:r>
      <w:r>
        <w:rPr>
          <w:rFonts w:ascii="PMingLiU" w:cs="PMingLiU" w:eastAsia="PMingLiU" w:hAnsi="PMingLiU"/>
          <w:sz w:val="18"/>
          <w:szCs w:val="18"/>
          <w:color w:val="634140"/>
        </w:rPr>
        <w:t/>
      </w:r>
      <w:r>
        <w:rPr>
          <w:rFonts w:ascii="Arial" w:cs="Arial" w:eastAsia="Arial" w:hAnsi="Arial"/>
          <w:sz w:val="18"/>
          <w:szCs w:val="18"/>
          <w:color w:val="634140"/>
        </w:rPr>
        <w:t>cltgpmlkclr_j</w:t>
      </w:r>
      <w:r>
        <w:rPr>
          <w:rFonts w:ascii="PMingLiU" w:cs="PMingLiU" w:eastAsia="PMingLiU" w:hAnsi="PMingLiU"/>
          <w:sz w:val="18"/>
          <w:szCs w:val="18"/>
          <w:color w:val="634140"/>
        </w:rPr>
        <w:t/>
      </w:r>
      <w:r>
        <w:rPr>
          <w:rFonts w:ascii="Arial" w:cs="Arial" w:eastAsia="Arial" w:hAnsi="Arial"/>
          <w:sz w:val="18"/>
          <w:szCs w:val="18"/>
          <w:color w:val="634140"/>
        </w:rPr>
        <w:t>`clcdg q</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glajsbgle</w:t>
      </w:r>
      <w:r>
        <w:rPr>
          <w:rFonts w:ascii="PMingLiU" w:cs="PMingLiU" w:eastAsia="PMingLiU" w:hAnsi="PMingLiU"/>
          <w:sz w:val="18"/>
          <w:szCs w:val="18"/>
          <w:color w:val="634140"/>
        </w:rPr>
        <w:t/>
      </w:r>
      <w:r>
        <w:rPr>
          <w:rFonts w:ascii="Arial" w:cs="Arial" w:eastAsia="Arial" w:hAnsi="Arial"/>
          <w:sz w:val="18"/>
          <w:szCs w:val="18"/>
          <w:color w:val="634140"/>
        </w:rPr>
        <w:t>GS̵</w:t>
      </w:r>
      <w:r>
        <w:rPr>
          <w:rFonts w:ascii="PMingLiU" w:cs="PMingLiU" w:eastAsia="PMingLiU" w:hAnsi="PMingLiU"/>
          <w:sz w:val="18"/>
          <w:szCs w:val="18"/>
          <w:color w:val="634140"/>
        </w:rPr>
        <w:t/>
      </w:r>
      <w:r>
        <w:rPr>
          <w:rFonts w:ascii="Arial" w:cs="Arial" w:eastAsia="Arial" w:hAnsi="Arial"/>
          <w:sz w:val="18"/>
          <w:szCs w:val="18"/>
          <w:color w:val="634140"/>
        </w:rPr>
        <w:t>pcbsargml</w:t>
      </w:r>
      <w:r>
        <w:rPr>
          <w:rFonts w:ascii="PMingLiU" w:cs="PMingLiU" w:eastAsia="PMingLiU" w:hAnsi="PMingLiU"/>
          <w:sz w:val="18"/>
          <w:szCs w:val="18"/>
          <w:color w:val="634140"/>
        </w:rPr>
        <w:t/>
      </w:r>
      <w:r>
        <w:rPr>
          <w:rFonts w:ascii="Arial" w:cs="Arial" w:eastAsia="Arial" w:hAnsi="Arial"/>
          <w:sz w:val="18"/>
          <w:szCs w:val="18"/>
          <w:color w:val="634140"/>
        </w:rPr>
        <w:t>rfpmsef</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qfgnngle</w:t>
      </w:r>
      <w:r>
        <w:rPr>
          <w:rFonts w:ascii="PMingLiU" w:cs="PMingLiU" w:eastAsia="PMingLiU" w:hAnsi="PMingLiU"/>
          <w:sz w:val="18"/>
          <w:szCs w:val="18"/>
          <w:color w:val="634140"/>
        </w:rPr>
        <w:t/>
      </w:r>
      <w:r>
        <w:rPr>
          <w:rFonts w:ascii="Arial" w:cs="Arial" w:eastAsia="Arial" w:hAnsi="Arial"/>
          <w:sz w:val="18"/>
          <w:szCs w:val="18"/>
          <w:color w:val="634140"/>
        </w:rPr>
        <w:t>c</w:t>
      </w:r>
      <w:r>
        <w:rPr>
          <w:rFonts w:ascii="Arial" w:cs="Arial" w:eastAsia="Arial" w:hAnsi="Arial"/>
          <w:sz w:val="18"/>
          <w:szCs w:val="18"/>
          <w:color w:val="634140"/>
        </w:rPr>
        <w:t>ffi</w:t>
      </w:r>
      <w:r>
        <w:rPr>
          <w:rFonts w:ascii="Arial" w:cs="Arial" w:eastAsia="Arial" w:hAnsi="Arial"/>
          <w:sz w:val="18"/>
          <w:szCs w:val="18"/>
          <w:color w:val="634140"/>
        </w:rPr>
        <w:t>agclagcq</w:t>
      </w:r>
      <w:r>
        <w:rPr>
          <w:rFonts w:ascii="PMingLiU" w:cs="PMingLiU" w:eastAsia="PMingLiU" w:hAnsi="PMingLiU"/>
          <w:sz w:val="18"/>
          <w:szCs w:val="18"/>
          <w:color w:val="634140"/>
        </w:rPr>
        <w:t/>
      </w:r>
      <w:r>
        <w:rPr>
          <w:rFonts w:ascii="Arial" w:cs="Arial" w:eastAsia="Arial" w:hAnsi="Arial"/>
          <w:sz w:val="18"/>
          <w:szCs w:val="18"/>
          <w:color w:val="634140"/>
        </w:rPr>
        <w:t>pcawaj_`jc</w:t>
      </w:r>
      <w:r>
        <w:rPr>
          <w:rFonts w:ascii="PMingLiU" w:cs="PMingLiU" w:eastAsia="PMingLiU" w:hAnsi="PMingLiU"/>
          <w:sz w:val="18"/>
          <w:szCs w:val="18"/>
          <w:color w:val="634140"/>
        </w:rPr>
        <w:t/>
      </w:r>
      <w:r>
        <w:rPr>
          <w:rFonts w:ascii="Arial" w:cs="Arial" w:eastAsia="Arial" w:hAnsi="Arial"/>
          <w:sz w:val="18"/>
          <w:szCs w:val="18"/>
          <w:color w:val="634140"/>
        </w:rPr>
        <w:t>n_ncp</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n_ai_egle</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cjgkgl_rgml</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`gmagbcq</w:t>
      </w:r>
      <w:r>
        <w:rPr>
          <w:rFonts w:ascii="PMingLiU" w:cs="PMingLiU" w:eastAsia="PMingLiU" w:hAnsi="PMingLiU"/>
          <w:sz w:val="18"/>
          <w:szCs w:val="18"/>
          <w:color w:val="634140"/>
        </w:rPr>
        <w:t/>
      </w:r>
    </w:p>
    <w:p>
      <w:pPr>
        <w:spacing w:after="0" w:line="20" w:lineRule="exact"/>
        <w:rPr>
          <w:sz w:val="20"/>
          <w:szCs w:val="20"/>
          <w:color w:val="auto"/>
        </w:rPr>
      </w:pPr>
    </w:p>
    <w:p>
      <w:pPr>
        <w:spacing w:after="0" w:line="29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b w:val="1"/>
          <w:bCs w:val="1"/>
          <w:color w:val="59BDB6"/>
        </w:rPr>
        <w:t>nLPI\B</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xcpm</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nL</w:t>
      </w:r>
      <w:r>
        <w:rPr>
          <w:rFonts w:ascii="PMingLiU" w:cs="PMingLiU" w:eastAsia="PMingLiU" w:hAnsi="PMingLiU"/>
          <w:sz w:val="18"/>
          <w:szCs w:val="18"/>
          <w:b w:val="1"/>
          <w:bCs w:val="1"/>
          <w:color w:val="59BDB6"/>
        </w:rPr>
        <w:t/>
      </w:r>
      <w:r>
        <w:rPr>
          <w:rFonts w:ascii="Arial" w:cs="Arial" w:eastAsia="Arial" w:hAnsi="Arial"/>
          <w:sz w:val="18"/>
          <w:szCs w:val="18"/>
          <w:b w:val="1"/>
          <w:bCs w:val="1"/>
          <w:color w:val="59BDB6"/>
        </w:rPr>
        <w:t>lcsrp_jgxcp</w:t>
      </w:r>
      <w:r>
        <w:rPr>
          <w:rFonts w:ascii="PMingLiU" w:cs="PMingLiU" w:eastAsia="PMingLiU" w:hAnsi="PMingLiU"/>
          <w:sz w:val="18"/>
          <w:szCs w:val="18"/>
          <w:color w:val="634140"/>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fgef</w:t>
      </w:r>
      <w:r>
        <w:rPr>
          <w:rFonts w:ascii="PMingLiU" w:cs="PMingLiU" w:eastAsia="PMingLiU" w:hAnsi="PMingLiU"/>
          <w:sz w:val="18"/>
          <w:szCs w:val="18"/>
          <w:color w:val="634140"/>
        </w:rPr>
        <w:t/>
      </w:r>
    </w:p>
    <w:p>
      <w:pPr>
        <w:spacing w:after="0" w:line="48"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ncpdmpkgle</w:t>
      </w:r>
      <w:r>
        <w:rPr>
          <w:rFonts w:ascii="PMingLiU" w:cs="PMingLiU" w:eastAsia="PMingLiU" w:hAnsi="PMingLiU"/>
          <w:sz w:val="18"/>
          <w:szCs w:val="18"/>
          <w:color w:val="634140"/>
        </w:rPr>
        <w:t/>
      </w:r>
      <w:r>
        <w:rPr>
          <w:rFonts w:ascii="Arial" w:cs="Arial" w:eastAsia="Arial" w:hAnsi="Arial"/>
          <w:sz w:val="18"/>
          <w:szCs w:val="18"/>
          <w:color w:val="634140"/>
        </w:rPr>
        <w:t>jmu&amp;ZSG</w:t>
      </w:r>
      <w:r>
        <w:rPr>
          <w:rFonts w:ascii="PMingLiU" w:cs="PMingLiU" w:eastAsia="PMingLiU" w:hAnsi="PMingLiU"/>
          <w:sz w:val="18"/>
          <w:szCs w:val="18"/>
          <w:color w:val="634140"/>
        </w:rPr>
        <w:t/>
      </w:r>
      <w:r>
        <w:rPr>
          <w:rFonts w:ascii="Arial" w:cs="Arial" w:eastAsia="Arial" w:hAnsi="Arial"/>
          <w:sz w:val="18"/>
          <w:szCs w:val="18"/>
          <w:color w:val="634140"/>
        </w:rPr>
        <w:t>nL</w:t>
      </w:r>
      <w:r>
        <w:rPr>
          <w:rFonts w:ascii="PMingLiU" w:cs="PMingLiU" w:eastAsia="PMingLiU" w:hAnsi="PMingLiU"/>
          <w:sz w:val="18"/>
          <w:szCs w:val="18"/>
          <w:color w:val="634140"/>
        </w:rPr>
        <w:t/>
      </w:r>
      <w:r>
        <w:rPr>
          <w:rFonts w:ascii="Arial" w:cs="Arial" w:eastAsia="Arial" w:hAnsi="Arial"/>
          <w:sz w:val="18"/>
          <w:szCs w:val="18"/>
          <w:color w:val="634140"/>
        </w:rPr>
        <w:t>lcsrp_jgxcp</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u_rcp`mplc</w:t>
      </w:r>
      <w:r>
        <w:rPr>
          <w:rFonts w:ascii="PMingLiU" w:cs="PMingLiU" w:eastAsia="PMingLiU" w:hAnsi="PMingLiU"/>
          <w:sz w:val="18"/>
          <w:szCs w:val="18"/>
          <w:color w:val="634140"/>
        </w:rPr>
        <w:t/>
      </w:r>
      <w:r>
        <w:rPr>
          <w:rFonts w:ascii="Arial" w:cs="Arial" w:eastAsia="Arial" w:hAnsi="Arial"/>
          <w:sz w:val="18"/>
          <w:szCs w:val="18"/>
          <w:color w:val="634140"/>
        </w:rPr>
        <w:t>n_glrq</w:t>
      </w:r>
      <w:r>
        <w:rPr>
          <w:rFonts w:ascii="PMingLiU" w:cs="PMingLiU" w:eastAsia="PMingLiU" w:hAnsi="PMingLiU"/>
          <w:sz w:val="18"/>
          <w:szCs w:val="18"/>
          <w:color w:val="634140"/>
        </w:rPr>
        <w:t/>
      </w:r>
      <w:r>
        <w:rPr>
          <w:rFonts w:ascii="Arial" w:cs="Arial" w:eastAsia="Arial" w:hAnsi="Arial"/>
          <w:sz w:val="18"/>
          <w:szCs w:val="18"/>
          <w:color w:val="634140"/>
        </w:rPr>
        <w:t>m</w:t>
      </w:r>
      <w:r>
        <w:rPr>
          <w:rFonts w:ascii="Arial" w:cs="Arial" w:eastAsia="Arial" w:hAnsi="Arial"/>
          <w:sz w:val="18"/>
          <w:szCs w:val="18"/>
          <w:color w:val="634140"/>
        </w:rPr>
        <w:t>ff</w:t>
      </w:r>
      <w:r>
        <w:rPr>
          <w:rFonts w:ascii="Arial" w:cs="Arial" w:eastAsia="Arial" w:hAnsi="Arial"/>
          <w:sz w:val="18"/>
          <w:szCs w:val="18"/>
          <w:color w:val="634140"/>
        </w:rPr>
        <w:t>cpgle</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qsqr_gl_`jc</w:t>
      </w:r>
      <w:r>
        <w:rPr>
          <w:rFonts w:ascii="PMingLiU" w:cs="PMingLiU" w:eastAsia="PMingLiU" w:hAnsi="PMingLiU"/>
          <w:sz w:val="18"/>
          <w:szCs w:val="18"/>
          <w:color w:val="634140"/>
        </w:rPr>
        <w:t/>
      </w:r>
      <w:r>
        <w:rPr>
          <w:rFonts w:ascii="Arial" w:cs="Arial" w:eastAsia="Arial" w:hAnsi="Arial"/>
          <w:sz w:val="18"/>
          <w:szCs w:val="18"/>
          <w:color w:val="634140"/>
        </w:rPr>
        <w:t>qmjsrgml</w:t>
      </w:r>
      <w:r>
        <w:rPr>
          <w:rFonts w:ascii="PMingLiU" w:cs="PMingLiU" w:eastAsia="PMingLiU" w:hAnsi="PMingLiU"/>
          <w:sz w:val="18"/>
          <w:szCs w:val="18"/>
          <w:color w:val="634140"/>
        </w:rPr>
        <w:t/>
      </w:r>
      <w:r>
        <w:rPr>
          <w:rFonts w:ascii="Arial" w:cs="Arial" w:eastAsia="Arial" w:hAnsi="Arial"/>
          <w:sz w:val="18"/>
          <w:szCs w:val="18"/>
          <w:color w:val="634140"/>
        </w:rPr>
        <w:t>Fca_sqc</w:t>
      </w:r>
      <w:r>
        <w:rPr>
          <w:rFonts w:ascii="PMingLiU" w:cs="PMingLiU" w:eastAsia="PMingLiU" w:hAnsi="PMingLiU"/>
          <w:sz w:val="18"/>
          <w:szCs w:val="18"/>
          <w:color w:val="634140"/>
        </w:rPr>
        <w:t/>
      </w:r>
      <w:r>
        <w:rPr>
          <w:rFonts w:ascii="Arial" w:cs="Arial" w:eastAsia="Arial" w:hAnsi="Arial"/>
          <w:sz w:val="18"/>
          <w:szCs w:val="18"/>
          <w:color w:val="634140"/>
        </w:rPr>
        <w:t>gr</w:t>
      </w:r>
      <w:r>
        <w:rPr>
          <w:rFonts w:ascii="PMingLiU" w:cs="PMingLiU" w:eastAsia="PMingLiU" w:hAnsi="PMingLiU"/>
          <w:sz w:val="18"/>
          <w:szCs w:val="18"/>
          <w:color w:val="634140"/>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lmr</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`_qcb</w:t>
      </w:r>
      <w:r>
        <w:rPr>
          <w:rFonts w:ascii="PMingLiU" w:cs="PMingLiU" w:eastAsia="PMingLiU" w:hAnsi="PMingLiU"/>
          <w:sz w:val="18"/>
          <w:szCs w:val="18"/>
          <w:color w:val="634140"/>
        </w:rPr>
        <w:t/>
      </w:r>
      <w:r>
        <w:rPr>
          <w:rFonts w:ascii="Arial" w:cs="Arial" w:eastAsia="Arial" w:hAnsi="Arial"/>
          <w:sz w:val="18"/>
          <w:szCs w:val="18"/>
          <w:color w:val="634140"/>
        </w:rPr>
        <w:t>ml</w:t>
      </w:r>
      <w:r>
        <w:rPr>
          <w:rFonts w:ascii="PMingLiU" w:cs="PMingLiU" w:eastAsia="PMingLiU" w:hAnsi="PMingLiU"/>
          <w:sz w:val="18"/>
          <w:szCs w:val="18"/>
          <w:color w:val="634140"/>
        </w:rPr>
        <w:t/>
      </w:r>
      <w:r>
        <w:rPr>
          <w:rFonts w:ascii="Arial" w:cs="Arial" w:eastAsia="Arial" w:hAnsi="Arial"/>
          <w:sz w:val="18"/>
          <w:szCs w:val="18"/>
          <w:color w:val="634140"/>
        </w:rPr>
        <w:t>amltclrgml_j</w:t>
      </w:r>
      <w:r>
        <w:rPr>
          <w:rFonts w:ascii="PMingLiU" w:cs="PMingLiU" w:eastAsia="PMingLiU" w:hAnsi="PMingLiU"/>
          <w:sz w:val="18"/>
          <w:szCs w:val="18"/>
          <w:color w:val="634140"/>
        </w:rPr>
        <w:t/>
      </w:r>
      <w:r>
        <w:rPr>
          <w:rFonts w:ascii="Arial" w:cs="Arial" w:eastAsia="Arial" w:hAnsi="Arial"/>
          <w:sz w:val="18"/>
          <w:szCs w:val="18"/>
          <w:color w:val="634140"/>
        </w:rPr>
        <w:t>mpe_lm_kglc</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afckgqrpw</w:t>
      </w:r>
      <w:r>
        <w:rPr>
          <w:rFonts w:ascii="PMingLiU" w:cs="PMingLiU" w:eastAsia="PMingLiU" w:hAnsi="PMingLiU"/>
          <w:sz w:val="18"/>
          <w:szCs w:val="18"/>
          <w:color w:val="634140"/>
        </w:rPr>
        <w:t/>
      </w:r>
      <w:r>
        <w:rPr>
          <w:rFonts w:ascii="Arial" w:cs="Arial" w:eastAsia="Arial" w:hAnsi="Arial"/>
          <w:sz w:val="18"/>
          <w:szCs w:val="18"/>
          <w:color w:val="634140"/>
        </w:rPr>
        <w:t>gr</w:t>
      </w:r>
      <w:r>
        <w:rPr>
          <w:rFonts w:ascii="PMingLiU" w:cs="PMingLiU" w:eastAsia="PMingLiU" w:hAnsi="PMingLiU"/>
          <w:sz w:val="18"/>
          <w:szCs w:val="18"/>
          <w:color w:val="634140"/>
        </w:rPr>
        <w:t/>
      </w:r>
      <w:r>
        <w:rPr>
          <w:rFonts w:ascii="Arial" w:cs="Arial" w:eastAsia="Arial" w:hAnsi="Arial"/>
          <w:sz w:val="18"/>
          <w:szCs w:val="18"/>
          <w:color w:val="634140"/>
        </w:rPr>
        <w:t>npmtgbcq</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jmu&amp;mbmp</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_jrcpl_rgtc</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_kkmlg_</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clqspcq</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jmle&amp;rcpk</w:t>
      </w:r>
      <w:r>
        <w:rPr>
          <w:rFonts w:ascii="PMingLiU" w:cs="PMingLiU" w:eastAsia="PMingLiU" w:hAnsi="PMingLiU"/>
          <w:sz w:val="18"/>
          <w:szCs w:val="18"/>
          <w:color w:val="634140"/>
        </w:rPr>
        <w:t/>
      </w:r>
      <w:r>
        <w:rPr>
          <w:rFonts w:ascii="Arial" w:cs="Arial" w:eastAsia="Arial" w:hAnsi="Arial"/>
          <w:sz w:val="18"/>
          <w:szCs w:val="18"/>
          <w:color w:val="634140"/>
        </w:rPr>
        <w:t>qr_`gjgrw</w:t>
      </w:r>
      <w:r>
        <w:rPr>
          <w:rFonts w:ascii="PMingLiU" w:cs="PMingLiU" w:eastAsia="PMingLiU" w:hAnsi="PMingLiU"/>
          <w:sz w:val="18"/>
          <w:szCs w:val="18"/>
          <w:color w:val="634140"/>
        </w:rPr>
        <w:t/>
      </w:r>
      <w:r>
        <w:rPr>
          <w:rFonts w:ascii="Arial" w:cs="Arial" w:eastAsia="Arial" w:hAnsi="Arial"/>
          <w:sz w:val="18"/>
          <w:szCs w:val="18"/>
          <w:color w:val="634140"/>
        </w:rPr>
        <w:t>Mr</w:t>
      </w:r>
      <w:r>
        <w:rPr>
          <w:rFonts w:ascii="PMingLiU" w:cs="PMingLiU" w:eastAsia="PMingLiU" w:hAnsi="PMingLiU"/>
          <w:sz w:val="18"/>
          <w:szCs w:val="18"/>
          <w:color w:val="634140"/>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c_qgjw</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glrcep_rcb</w:t>
      </w:r>
      <w:r>
        <w:rPr>
          <w:rFonts w:ascii="PMingLiU" w:cs="PMingLiU" w:eastAsia="PMingLiU" w:hAnsi="PMingLiU"/>
          <w:sz w:val="18"/>
          <w:szCs w:val="18"/>
          <w:color w:val="634140"/>
        </w:rPr>
        <w:t/>
      </w:r>
      <w:r>
        <w:rPr>
          <w:rFonts w:ascii="Arial" w:cs="Arial" w:eastAsia="Arial" w:hAnsi="Arial"/>
          <w:sz w:val="18"/>
          <w:szCs w:val="18"/>
          <w:color w:val="634140"/>
        </w:rPr>
        <w:t>_apmqq</w:t>
      </w:r>
      <w:r>
        <w:rPr>
          <w:rFonts w:ascii="PMingLiU" w:cs="PMingLiU" w:eastAsia="PMingLiU" w:hAnsi="PMingLiU"/>
          <w:sz w:val="18"/>
          <w:szCs w:val="18"/>
          <w:color w:val="634140"/>
        </w:rPr>
        <w:t/>
      </w:r>
      <w:r>
        <w:rPr>
          <w:rFonts w:ascii="Arial" w:cs="Arial" w:eastAsia="Arial" w:hAnsi="Arial"/>
          <w:sz w:val="18"/>
          <w:szCs w:val="18"/>
          <w:color w:val="634140"/>
        </w:rPr>
        <w:t>j_rcv</w:t>
      </w:r>
      <w:r>
        <w:rPr>
          <w:rFonts w:ascii="PMingLiU" w:cs="PMingLiU" w:eastAsia="PMingLiU" w:hAnsi="PMingLiU"/>
          <w:sz w:val="18"/>
          <w:szCs w:val="18"/>
          <w:color w:val="634140"/>
        </w:rPr>
        <w:t/>
      </w:r>
      <w:r>
        <w:rPr>
          <w:rFonts w:ascii="Arial" w:cs="Arial" w:eastAsia="Arial" w:hAnsi="Arial"/>
          <w:sz w:val="18"/>
          <w:szCs w:val="18"/>
          <w:color w:val="634140"/>
        </w:rPr>
        <w:t>cksjqgml</w:t>
      </w:r>
      <w:r>
        <w:rPr>
          <w:rFonts w:ascii="PMingLiU" w:cs="PMingLiU" w:eastAsia="PMingLiU" w:hAnsi="PMingLiU"/>
          <w:sz w:val="18"/>
          <w:szCs w:val="18"/>
          <w:color w:val="634140"/>
        </w:rPr>
        <w:t/>
      </w:r>
    </w:p>
    <w:p>
      <w:pPr>
        <w:spacing w:after="0" w:line="45" w:lineRule="exact"/>
        <w:rPr>
          <w:sz w:val="20"/>
          <w:szCs w:val="20"/>
          <w:color w:val="auto"/>
        </w:rPr>
      </w:pPr>
    </w:p>
    <w:p>
      <w:pPr>
        <w:ind w:left="3940"/>
        <w:spacing w:after="0" w:line="219" w:lineRule="exact"/>
        <w:rPr>
          <w:sz w:val="20"/>
          <w:szCs w:val="20"/>
          <w:color w:val="auto"/>
        </w:rPr>
      </w:pP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u_rcp&amp;pcbsag`jc</w:t>
      </w:r>
      <w:r>
        <w:rPr>
          <w:rFonts w:ascii="PMingLiU" w:cs="PMingLiU" w:eastAsia="PMingLiU" w:hAnsi="PMingLiU"/>
          <w:sz w:val="18"/>
          <w:szCs w:val="18"/>
          <w:color w:val="634140"/>
        </w:rPr>
        <w:t/>
      </w:r>
      <w:r>
        <w:rPr>
          <w:rFonts w:ascii="Arial" w:cs="Arial" w:eastAsia="Arial" w:hAnsi="Arial"/>
          <w:sz w:val="18"/>
          <w:szCs w:val="18"/>
          <w:color w:val="634140"/>
        </w:rPr>
        <w:t>am_rgleq</w:t>
      </w:r>
      <w:r>
        <w:rPr>
          <w:rFonts w:ascii="PMingLiU" w:cs="PMingLiU" w:eastAsia="PMingLiU" w:hAnsi="PMingLiU"/>
          <w:sz w:val="18"/>
          <w:szCs w:val="18"/>
          <w:color w:val="634140"/>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 w:right="660"/>
        <w:spacing w:after="0" w:line="242" w:lineRule="exact"/>
        <w:rPr>
          <w:sz w:val="20"/>
          <w:szCs w:val="20"/>
          <w:color w:val="auto"/>
        </w:rPr>
      </w:pPr>
      <w:r>
        <w:rPr>
          <w:rFonts w:ascii="Arial" w:cs="Arial" w:eastAsia="Arial" w:hAnsi="Arial"/>
          <w:sz w:val="17"/>
          <w:szCs w:val="17"/>
          <w:b w:val="1"/>
          <w:bCs w:val="1"/>
          <w:color w:val="59BDB6"/>
        </w:rPr>
        <w:t>LIG</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npmbsargml</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rp_lqdcpq</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rm</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 xml:space="preserve"> Lmncucjj</w:t>
      </w:r>
      <w:r>
        <w:rPr>
          <w:rFonts w:ascii="PMingLiU" w:cs="PMingLiU" w:eastAsia="PMingLiU" w:hAnsi="PMingLiU"/>
          <w:sz w:val="17"/>
          <w:szCs w:val="17"/>
          <w:b w:val="1"/>
          <w:bCs w:val="1"/>
          <w:color w:val="59BDB6"/>
        </w:rPr>
        <w:t/>
      </w:r>
      <w:r>
        <w:rPr>
          <w:rFonts w:ascii="Arial" w:cs="Arial" w:eastAsia="Arial" w:hAnsi="Arial"/>
          <w:sz w:val="17"/>
          <w:szCs w:val="17"/>
          <w:b w:val="1"/>
          <w:bCs w:val="1"/>
          <w:color w:val="59BDB6"/>
        </w:rPr>
        <w:t>Zgpeglg_</w:t>
      </w:r>
      <w:r>
        <w:rPr>
          <w:rFonts w:ascii="PMingLiU" w:cs="PMingLiU" w:eastAsia="PMingLiU" w:hAnsi="PMingLiU"/>
          <w:sz w:val="17"/>
          <w:szCs w:val="17"/>
          <w:b w:val="1"/>
          <w:bCs w:val="1"/>
          <w:color w:val="59BDB6"/>
        </w:rPr>
        <w:t/>
      </w:r>
    </w:p>
    <w:p>
      <w:pPr>
        <w:spacing w:after="0" w:line="321" w:lineRule="exact"/>
        <w:rPr>
          <w:sz w:val="20"/>
          <w:szCs w:val="20"/>
          <w:color w:val="auto"/>
        </w:rPr>
      </w:pPr>
    </w:p>
    <w:p>
      <w:pPr>
        <w:ind w:left="8"/>
        <w:spacing w:after="0" w:line="207" w:lineRule="exact"/>
        <w:rPr>
          <w:sz w:val="20"/>
          <w:szCs w:val="20"/>
          <w:color w:val="auto"/>
        </w:rPr>
      </w:pPr>
      <w:r>
        <w:rPr>
          <w:rFonts w:ascii="Arial" w:cs="Arial" w:eastAsia="Arial" w:hAnsi="Arial"/>
          <w:sz w:val="17"/>
          <w:szCs w:val="17"/>
          <w:color w:val="634140"/>
        </w:rPr>
        <w:t>Ssp</w:t>
      </w:r>
      <w:r>
        <w:rPr>
          <w:rFonts w:ascii="PMingLiU" w:cs="PMingLiU" w:eastAsia="PMingLiU" w:hAnsi="PMingLiU"/>
          <w:sz w:val="17"/>
          <w:szCs w:val="17"/>
          <w:color w:val="634140"/>
        </w:rPr>
        <w:t/>
      </w:r>
      <w:r>
        <w:rPr>
          <w:rFonts w:ascii="Arial" w:cs="Arial" w:eastAsia="Arial" w:hAnsi="Arial"/>
          <w:sz w:val="17"/>
          <w:szCs w:val="17"/>
          <w:color w:val="634140"/>
        </w:rPr>
        <w:t>nmprdmjgm</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lcrumpi</w:t>
      </w:r>
      <w:r>
        <w:rPr>
          <w:rFonts w:ascii="PMingLiU" w:cs="PMingLiU" w:eastAsia="PMingLiU" w:hAnsi="PMingLiU"/>
          <w:sz w:val="17"/>
          <w:szCs w:val="17"/>
          <w:color w:val="634140"/>
        </w:rPr>
        <w:t/>
      </w:r>
      <w:r>
        <w:rPr>
          <w:rFonts w:ascii="Arial" w:cs="Arial" w:eastAsia="Arial" w:hAnsi="Arial"/>
          <w:sz w:val="17"/>
          <w:szCs w:val="17"/>
          <w:color w:val="634140"/>
        </w:rPr>
        <w:t>mnrgkgx_rgml</w:t>
      </w:r>
      <w:r>
        <w:rPr>
          <w:rFonts w:ascii="PMingLiU" w:cs="PMingLiU" w:eastAsia="PMingLiU" w:hAnsi="PMingLiU"/>
          <w:sz w:val="17"/>
          <w:szCs w:val="17"/>
          <w:color w:val="634140"/>
        </w:rPr>
        <w:t/>
      </w:r>
    </w:p>
    <w:p>
      <w:pPr>
        <w:spacing w:after="0" w:line="56"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c</w:t>
      </w:r>
      <w:r>
        <w:rPr>
          <w:rFonts w:ascii="Arial" w:cs="Arial" w:eastAsia="Arial" w:hAnsi="Arial"/>
          <w:sz w:val="18"/>
          <w:szCs w:val="18"/>
          <w:color w:val="634140"/>
        </w:rPr>
        <w:t>ff</w:t>
      </w:r>
      <w:r>
        <w:rPr>
          <w:rFonts w:ascii="Arial" w:cs="Arial" w:eastAsia="Arial" w:hAnsi="Arial"/>
          <w:sz w:val="18"/>
          <w:szCs w:val="18"/>
          <w:color w:val="634140"/>
        </w:rPr>
        <w:t>mprq</w:t>
      </w:r>
      <w:r>
        <w:rPr>
          <w:rFonts w:ascii="PMingLiU" w:cs="PMingLiU" w:eastAsia="PMingLiU" w:hAnsi="PMingLiU"/>
          <w:sz w:val="18"/>
          <w:szCs w:val="18"/>
          <w:color w:val="634140"/>
        </w:rPr>
        <w:t/>
      </w:r>
      <w:r>
        <w:rPr>
          <w:rFonts w:ascii="Arial" w:cs="Arial" w:eastAsia="Arial" w:hAnsi="Arial"/>
          <w:sz w:val="18"/>
          <w:szCs w:val="18"/>
          <w:color w:val="634140"/>
        </w:rPr>
        <w:t>bc&amp;pgqi</w:t>
      </w:r>
      <w:r>
        <w:rPr>
          <w:rFonts w:ascii="PMingLiU" w:cs="PMingLiU" w:eastAsia="PMingLiU" w:hAnsi="PMingLiU"/>
          <w:sz w:val="18"/>
          <w:szCs w:val="18"/>
          <w:color w:val="634140"/>
        </w:rPr>
        <w:t/>
      </w:r>
      <w:r>
        <w:rPr>
          <w:rFonts w:ascii="Arial" w:cs="Arial" w:eastAsia="Arial" w:hAnsi="Arial"/>
          <w:sz w:val="18"/>
          <w:szCs w:val="18"/>
          <w:color w:val="634140"/>
        </w:rPr>
        <w:t>npmbsargml</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lcu</w:t>
      </w:r>
      <w:r>
        <w:rPr>
          <w:rFonts w:ascii="PMingLiU" w:cs="PMingLiU" w:eastAsia="PMingLiU" w:hAnsi="PMingLiU"/>
          <w:sz w:val="18"/>
          <w:szCs w:val="18"/>
          <w:color w:val="634140"/>
        </w:rPr>
        <w:t/>
      </w:r>
      <w:r>
        <w:rPr>
          <w:rFonts w:ascii="Arial" w:cs="Arial" w:eastAsia="Arial" w:hAnsi="Arial"/>
          <w:sz w:val="18"/>
          <w:szCs w:val="18"/>
          <w:color w:val="634140"/>
        </w:rPr>
        <w:t>rcaflmjmew</w:t>
      </w:r>
      <w:r>
        <w:rPr>
          <w:rFonts w:ascii="PMingLiU" w:cs="PMingLiU" w:eastAsia="PMingLiU" w:hAnsi="PMingLiU"/>
          <w:sz w:val="18"/>
          <w:szCs w:val="18"/>
          <w:color w:val="634140"/>
        </w:rPr>
        <w:t/>
      </w:r>
      <w:r>
        <w:rPr>
          <w:rFonts w:ascii="Arial" w:cs="Arial" w:eastAsia="Arial" w:hAnsi="Arial"/>
          <w:sz w:val="18"/>
          <w:szCs w:val="18"/>
          <w:color w:val="634140"/>
        </w:rPr>
        <w:t>nj_rdmpkq</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amk`glc</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c</w:t>
      </w:r>
      <w:r>
        <w:rPr>
          <w:rFonts w:ascii="Arial" w:cs="Arial" w:eastAsia="Arial" w:hAnsi="Arial"/>
          <w:sz w:val="18"/>
          <w:szCs w:val="18"/>
          <w:color w:val="634140"/>
        </w:rPr>
        <w:t>ffi</w:t>
      </w:r>
      <w:r>
        <w:rPr>
          <w:rFonts w:ascii="Arial" w:cs="Arial" w:eastAsia="Arial" w:hAnsi="Arial"/>
          <w:sz w:val="18"/>
          <w:szCs w:val="18"/>
          <w:color w:val="634140"/>
        </w:rPr>
        <w:t>agclaw</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j_pec&amp;qa_jc</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mncp_rgmlq</w:t>
      </w:r>
      <w:r>
        <w:rPr>
          <w:rFonts w:ascii="PMingLiU" w:cs="PMingLiU" w:eastAsia="PMingLiU" w:hAnsi="PMingLiU"/>
          <w:sz w:val="18"/>
          <w:szCs w:val="18"/>
          <w:color w:val="634140"/>
        </w:rPr>
        <w:t/>
      </w:r>
      <w:r>
        <w:rPr>
          <w:rFonts w:ascii="Arial" w:cs="Arial" w:eastAsia="Arial" w:hAnsi="Arial"/>
          <w:sz w:val="18"/>
          <w:szCs w:val="18"/>
          <w:color w:val="634140"/>
        </w:rPr>
        <w:t>ugrf</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npcagqgml</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jma_jgxcb</w:t>
      </w:r>
      <w:r>
        <w:rPr>
          <w:rFonts w:ascii="PMingLiU" w:cs="PMingLiU" w:eastAsia="PMingLiU" w:hAnsi="PMingLiU"/>
          <w:sz w:val="18"/>
          <w:szCs w:val="18"/>
          <w:color w:val="634140"/>
        </w:rPr>
        <w:t/>
      </w:r>
      <w:r>
        <w:rPr>
          <w:rFonts w:ascii="Arial" w:cs="Arial" w:eastAsia="Arial" w:hAnsi="Arial"/>
          <w:sz w:val="18"/>
          <w:szCs w:val="18"/>
          <w:color w:val="634140"/>
        </w:rPr>
        <w:t>asqrmkgx_rgml</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qcptc</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asqrmkcpq</w:t>
      </w:r>
      <w:r>
        <w:rPr>
          <w:rFonts w:ascii="PMingLiU" w:cs="PMingLiU" w:eastAsia="PMingLiU" w:hAnsi="PMingLiU"/>
          <w:sz w:val="18"/>
          <w:szCs w:val="18"/>
          <w:color w:val="634140"/>
        </w:rPr>
        <w:t/>
      </w:r>
      <w:r>
        <w:rPr>
          <w:rFonts w:ascii="Arial" w:cs="Arial" w:eastAsia="Arial" w:hAnsi="Arial"/>
          <w:sz w:val="18"/>
          <w:szCs w:val="18"/>
          <w:color w:val="634140"/>
        </w:rPr>
        <w:t>[c</w:t>
      </w:r>
      <w:r>
        <w:rPr>
          <w:rFonts w:ascii="PMingLiU" w:cs="PMingLiU" w:eastAsia="PMingLiU" w:hAnsi="PMingLiU"/>
          <w:sz w:val="18"/>
          <w:szCs w:val="18"/>
          <w:color w:val="634140"/>
        </w:rPr>
        <w:t/>
      </w:r>
      <w:r>
        <w:rPr>
          <w:rFonts w:ascii="Arial" w:cs="Arial" w:eastAsia="Arial" w:hAnsi="Arial"/>
          <w:sz w:val="18"/>
          <w:szCs w:val="18"/>
          <w:color w:val="634140"/>
        </w:rPr>
        <w:t>pc</w:t>
      </w:r>
      <w:r>
        <w:rPr>
          <w:rFonts w:ascii="PMingLiU" w:cs="PMingLiU" w:eastAsia="PMingLiU" w:hAnsi="PMingLiU"/>
          <w:sz w:val="18"/>
          <w:szCs w:val="18"/>
          <w:color w:val="634140"/>
        </w:rPr>
        <w:t/>
      </w:r>
      <w:r>
        <w:rPr>
          <w:rFonts w:ascii="Arial" w:cs="Arial" w:eastAsia="Arial" w:hAnsi="Arial"/>
          <w:sz w:val="18"/>
          <w:szCs w:val="18"/>
          <w:color w:val="634140"/>
        </w:rPr>
        <w:t>cl_`jgle</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r>
        <w:rPr>
          <w:rFonts w:ascii="Arial" w:cs="Arial" w:eastAsia="Arial" w:hAnsi="Arial"/>
          <w:sz w:val="18"/>
          <w:szCs w:val="18"/>
          <w:color w:val="634140"/>
        </w:rPr>
        <w:t>dsrspc</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pc_jgelgle</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r>
        <w:rPr>
          <w:rFonts w:ascii="Arial" w:cs="Arial" w:eastAsia="Arial" w:hAnsi="Arial"/>
          <w:sz w:val="18"/>
          <w:szCs w:val="18"/>
          <w:color w:val="634140"/>
        </w:rPr>
        <w:t>mncp_rgmlq</w:t>
      </w:r>
      <w:r>
        <w:rPr>
          <w:rFonts w:ascii="PMingLiU" w:cs="PMingLiU" w:eastAsia="PMingLiU" w:hAnsi="PMingLiU"/>
          <w:sz w:val="18"/>
          <w:szCs w:val="18"/>
          <w:color w:val="634140"/>
        </w:rPr>
        <w:t/>
      </w:r>
      <w:r>
        <w:rPr>
          <w:rFonts w:ascii="Arial" w:cs="Arial" w:eastAsia="Arial" w:hAnsi="Arial"/>
          <w:sz w:val="18"/>
          <w:szCs w:val="18"/>
          <w:color w:val="634140"/>
        </w:rPr>
        <w:t>ugrf</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jmle&amp;rcpk</w:t>
      </w:r>
      <w:r>
        <w:rPr>
          <w:rFonts w:ascii="PMingLiU" w:cs="PMingLiU" w:eastAsia="PMingLiU" w:hAnsi="PMingLiU"/>
          <w:sz w:val="18"/>
          <w:szCs w:val="18"/>
          <w:color w:val="634140"/>
        </w:rPr>
        <w:t/>
      </w:r>
      <w:r>
        <w:rPr>
          <w:rFonts w:ascii="Arial" w:cs="Arial" w:eastAsia="Arial" w:hAnsi="Arial"/>
          <w:sz w:val="18"/>
          <w:szCs w:val="18"/>
          <w:color w:val="634140"/>
        </w:rPr>
        <w:t>qrp_rcew</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cvn_lb</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r>
        <w:rPr>
          <w:rFonts w:ascii="Arial" w:cs="Arial" w:eastAsia="Arial" w:hAnsi="Arial"/>
          <w:sz w:val="18"/>
          <w:szCs w:val="18"/>
          <w:color w:val="634140"/>
        </w:rPr>
        <w:t>LIG</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jc_bcpqfgn</w:t>
      </w:r>
      <w:r>
        <w:rPr>
          <w:rFonts w:ascii="PMingLiU" w:cs="PMingLiU" w:eastAsia="PMingLiU" w:hAnsi="PMingLiU"/>
          <w:sz w:val="18"/>
          <w:szCs w:val="18"/>
          <w:color w:val="634140"/>
        </w:rPr>
        <w:t/>
      </w:r>
      <w:r>
        <w:rPr>
          <w:rFonts w:ascii="Arial" w:cs="Arial" w:eastAsia="Arial" w:hAnsi="Arial"/>
          <w:sz w:val="18"/>
          <w:szCs w:val="18"/>
          <w:color w:val="634140"/>
        </w:rPr>
        <w:t>nmqgrgml</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amlaclrp_rc</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ml</w:t>
      </w:r>
      <w:r>
        <w:rPr>
          <w:rFonts w:ascii="PMingLiU" w:cs="PMingLiU" w:eastAsia="PMingLiU" w:hAnsi="PMingLiU"/>
          <w:sz w:val="18"/>
          <w:szCs w:val="18"/>
          <w:color w:val="634140"/>
        </w:rPr>
        <w:t/>
      </w:r>
      <w:r>
        <w:rPr>
          <w:rFonts w:ascii="Arial" w:cs="Arial" w:eastAsia="Arial" w:hAnsi="Arial"/>
          <w:sz w:val="18"/>
          <w:szCs w:val="18"/>
          <w:color w:val="634140"/>
        </w:rPr>
        <w:t>fgef&amp;gkn_ar</w:t>
      </w:r>
      <w:r>
        <w:rPr>
          <w:rFonts w:ascii="PMingLiU" w:cs="PMingLiU" w:eastAsia="PMingLiU" w:hAnsi="PMingLiU"/>
          <w:sz w:val="18"/>
          <w:szCs w:val="18"/>
          <w:color w:val="634140"/>
        </w:rPr>
        <w:t/>
      </w:r>
      <w:r>
        <w:rPr>
          <w:rFonts w:ascii="Arial" w:cs="Arial" w:eastAsia="Arial" w:hAnsi="Arial"/>
          <w:sz w:val="18"/>
          <w:szCs w:val="18"/>
          <w:color w:val="634140"/>
        </w:rPr>
        <w:t>mnnmprslgrgcq</w:t>
      </w:r>
      <w:r>
        <w:rPr>
          <w:rFonts w:ascii="PMingLiU" w:cs="PMingLiU" w:eastAsia="PMingLiU" w:hAnsi="PMingLiU"/>
          <w:sz w:val="18"/>
          <w:szCs w:val="18"/>
          <w:color w:val="634140"/>
        </w:rPr>
        <w:t/>
      </w:r>
      <w:r>
        <w:rPr>
          <w:rFonts w:ascii="Arial" w:cs="Arial" w:eastAsia="Arial" w:hAnsi="Arial"/>
          <w:sz w:val="18"/>
          <w:szCs w:val="18"/>
          <w:color w:val="634140"/>
        </w:rPr>
        <w:t>[c</w:t>
      </w:r>
      <w:r>
        <w:rPr>
          <w:rFonts w:ascii="PMingLiU" w:cs="PMingLiU" w:eastAsia="PMingLiU" w:hAnsi="PMingLiU"/>
          <w:sz w:val="18"/>
          <w:szCs w:val="18"/>
          <w:color w:val="634140"/>
        </w:rPr>
        <w:t/>
      </w:r>
      <w:r>
        <w:rPr>
          <w:rFonts w:ascii="Arial" w:cs="Arial" w:eastAsia="Arial" w:hAnsi="Arial"/>
          <w:sz w:val="18"/>
          <w:szCs w:val="18"/>
          <w:color w:val="634140"/>
        </w:rPr>
        <w:t>pc</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qrpclerfclgle</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r>
        <w:rPr>
          <w:rFonts w:ascii="Arial" w:cs="Arial" w:eastAsia="Arial" w:hAnsi="Arial"/>
          <w:sz w:val="18"/>
          <w:szCs w:val="18"/>
          <w:color w:val="634140"/>
        </w:rPr>
        <w:t>amkncrgrgtclcqq</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jc_bgle</w:t>
      </w:r>
      <w:r>
        <w:rPr>
          <w:rFonts w:ascii="PMingLiU" w:cs="PMingLiU" w:eastAsia="PMingLiU" w:hAnsi="PMingLiU"/>
          <w:sz w:val="18"/>
          <w:szCs w:val="18"/>
          <w:color w:val="634140"/>
        </w:rPr>
        <w:t/>
      </w:r>
      <w:r>
        <w:rPr>
          <w:rFonts w:ascii="Arial" w:cs="Arial" w:eastAsia="Arial" w:hAnsi="Arial"/>
          <w:sz w:val="18"/>
          <w:szCs w:val="18"/>
          <w:color w:val="634140"/>
        </w:rPr>
        <w:t>ugrf</w:t>
      </w:r>
      <w:r>
        <w:rPr>
          <w:rFonts w:ascii="PMingLiU" w:cs="PMingLiU" w:eastAsia="PMingLiU" w:hAnsi="PMingLiU"/>
          <w:sz w:val="18"/>
          <w:szCs w:val="18"/>
          <w:color w:val="634140"/>
        </w:rPr>
        <w:t/>
      </w:r>
      <w:r>
        <w:rPr>
          <w:rFonts w:ascii="Arial" w:cs="Arial" w:eastAsia="Arial" w:hAnsi="Arial"/>
          <w:sz w:val="18"/>
          <w:szCs w:val="18"/>
          <w:color w:val="634140"/>
        </w:rPr>
        <w:t>_egjgrw</w:t>
      </w:r>
      <w:r>
        <w:rPr>
          <w:rFonts w:ascii="PMingLiU" w:cs="PMingLiU" w:eastAsia="PMingLiU" w:hAnsi="PMingLiU"/>
          <w:sz w:val="18"/>
          <w:szCs w:val="18"/>
          <w:color w:val="634140"/>
        </w:rPr>
        <w:t/>
      </w:r>
      <w:r>
        <w:rPr>
          <w:rFonts w:ascii="Arial" w:cs="Arial" w:eastAsia="Arial" w:hAnsi="Arial"/>
          <w:sz w:val="18"/>
          <w:szCs w:val="18"/>
          <w:color w:val="634140"/>
        </w:rPr>
        <w:t>bg</w:t>
      </w:r>
      <w:r>
        <w:rPr>
          <w:rFonts w:ascii="Arial" w:cs="Arial" w:eastAsia="Arial" w:hAnsi="Arial"/>
          <w:sz w:val="18"/>
          <w:szCs w:val="18"/>
          <w:color w:val="634140"/>
        </w:rPr>
        <w:t>ff</w:t>
      </w:r>
      <w:r>
        <w:rPr>
          <w:rFonts w:ascii="Arial" w:cs="Arial" w:eastAsia="Arial" w:hAnsi="Arial"/>
          <w:sz w:val="18"/>
          <w:szCs w:val="18"/>
          <w:color w:val="634140"/>
        </w:rPr>
        <w:t>cpclrg_rgml</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bcjgtcpgle</w:t>
      </w:r>
      <w:r>
        <w:rPr>
          <w:rFonts w:ascii="PMingLiU" w:cs="PMingLiU" w:eastAsia="PMingLiU" w:hAnsi="PMingLiU"/>
          <w:sz w:val="18"/>
          <w:szCs w:val="18"/>
          <w:color w:val="634140"/>
        </w:rPr>
        <w:t/>
      </w:r>
      <w:r>
        <w:rPr>
          <w:rFonts w:ascii="Arial" w:cs="Arial" w:eastAsia="Arial" w:hAnsi="Arial"/>
          <w:sz w:val="18"/>
          <w:szCs w:val="18"/>
          <w:color w:val="634140"/>
        </w:rPr>
        <w:t>ml</w:t>
      </w:r>
      <w:r>
        <w:rPr>
          <w:rFonts w:ascii="PMingLiU" w:cs="PMingLiU" w:eastAsia="PMingLiU" w:hAnsi="PMingLiU"/>
          <w:sz w:val="18"/>
          <w:szCs w:val="18"/>
          <w:color w:val="634140"/>
        </w:rPr>
        <w:t/>
      </w:r>
      <w:r>
        <w:rPr>
          <w:rFonts w:ascii="Arial" w:cs="Arial" w:eastAsia="Arial" w:hAnsi="Arial"/>
          <w:sz w:val="18"/>
          <w:szCs w:val="18"/>
          <w:color w:val="634140"/>
        </w:rPr>
        <w:t>qsqr_gl_`jc</w:t>
      </w:r>
      <w:r>
        <w:rPr>
          <w:rFonts w:ascii="PMingLiU" w:cs="PMingLiU" w:eastAsia="PMingLiU" w:hAnsi="PMingLiU"/>
          <w:sz w:val="18"/>
          <w:szCs w:val="18"/>
          <w:color w:val="634140"/>
        </w:rPr>
        <w:t/>
      </w:r>
      <w:r>
        <w:rPr>
          <w:rFonts w:ascii="Arial" w:cs="Arial" w:eastAsia="Arial" w:hAnsi="Arial"/>
          <w:sz w:val="18"/>
          <w:szCs w:val="18"/>
          <w:color w:val="634140"/>
        </w:rPr>
        <w:t>gllmt_rgml</w:t>
      </w:r>
      <w:r>
        <w:rPr>
          <w:rFonts w:ascii="PMingLiU" w:cs="PMingLiU" w:eastAsia="PMingLiU" w:hAnsi="PMingLiU"/>
          <w:sz w:val="18"/>
          <w:szCs w:val="18"/>
          <w:color w:val="634140"/>
        </w:rPr>
        <w:t/>
      </w:r>
    </w:p>
    <w:p>
      <w:pPr>
        <w:spacing w:after="0" w:line="45" w:lineRule="exact"/>
        <w:rPr>
          <w:sz w:val="20"/>
          <w:szCs w:val="20"/>
          <w:color w:val="auto"/>
        </w:rPr>
      </w:pPr>
    </w:p>
    <w:p>
      <w:pPr>
        <w:ind w:left="8"/>
        <w:spacing w:after="0" w:line="219" w:lineRule="exact"/>
        <w:rPr>
          <w:sz w:val="20"/>
          <w:szCs w:val="20"/>
          <w:color w:val="auto"/>
        </w:rPr>
      </w:pPr>
      <w:r>
        <w:rPr>
          <w:rFonts w:ascii="Arial" w:cs="Arial" w:eastAsia="Arial" w:hAnsi="Arial"/>
          <w:sz w:val="18"/>
          <w:szCs w:val="18"/>
          <w:color w:val="634140"/>
        </w:rPr>
        <w:t>rf_r</w:t>
      </w:r>
      <w:r>
        <w:rPr>
          <w:rFonts w:ascii="PMingLiU" w:cs="PMingLiU" w:eastAsia="PMingLiU" w:hAnsi="PMingLiU"/>
          <w:sz w:val="18"/>
          <w:szCs w:val="18"/>
          <w:color w:val="634140"/>
        </w:rPr>
        <w:t/>
      </w:r>
      <w:r>
        <w:rPr>
          <w:rFonts w:ascii="Arial" w:cs="Arial" w:eastAsia="Arial" w:hAnsi="Arial"/>
          <w:sz w:val="18"/>
          <w:szCs w:val="18"/>
          <w:color w:val="634140"/>
        </w:rPr>
        <w:t>ugjj</w:t>
      </w:r>
      <w:r>
        <w:rPr>
          <w:rFonts w:ascii="PMingLiU" w:cs="PMingLiU" w:eastAsia="PMingLiU" w:hAnsi="PMingLiU"/>
          <w:sz w:val="18"/>
          <w:szCs w:val="18"/>
          <w:color w:val="634140"/>
        </w:rPr>
        <w:t/>
      </w:r>
      <w:r>
        <w:rPr>
          <w:rFonts w:ascii="Arial" w:cs="Arial" w:eastAsia="Arial" w:hAnsi="Arial"/>
          <w:sz w:val="18"/>
          <w:szCs w:val="18"/>
          <w:color w:val="634140"/>
        </w:rPr>
        <w:t>a_ppw</w:t>
      </w:r>
      <w:r>
        <w:rPr>
          <w:rFonts w:ascii="PMingLiU" w:cs="PMingLiU" w:eastAsia="PMingLiU" w:hAnsi="PMingLiU"/>
          <w:sz w:val="18"/>
          <w:szCs w:val="18"/>
          <w:color w:val="634140"/>
        </w:rPr>
        <w:t/>
      </w:r>
      <w:r>
        <w:rPr>
          <w:rFonts w:ascii="Arial" w:cs="Arial" w:eastAsia="Arial" w:hAnsi="Arial"/>
          <w:sz w:val="18"/>
          <w:szCs w:val="18"/>
          <w:color w:val="634140"/>
        </w:rPr>
        <w:t>Eqfj_lb</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p>
    <w:p>
      <w:pPr>
        <w:spacing w:after="0" w:line="46" w:lineRule="exact"/>
        <w:rPr>
          <w:sz w:val="20"/>
          <w:szCs w:val="20"/>
          <w:color w:val="auto"/>
        </w:rPr>
      </w:pPr>
    </w:p>
    <w:p>
      <w:pPr>
        <w:ind w:left="8"/>
        <w:spacing w:after="0" w:line="207" w:lineRule="exact"/>
        <w:rPr>
          <w:sz w:val="20"/>
          <w:szCs w:val="20"/>
          <w:color w:val="auto"/>
        </w:rPr>
      </w:pPr>
      <w:r>
        <w:rPr>
          <w:rFonts w:ascii="Arial" w:cs="Arial" w:eastAsia="Arial" w:hAnsi="Arial"/>
          <w:sz w:val="17"/>
          <w:szCs w:val="17"/>
          <w:color w:val="634140"/>
        </w:rPr>
        <w:t>asqrmkcpq</w:t>
      </w:r>
      <w:r>
        <w:rPr>
          <w:rFonts w:ascii="PMingLiU" w:cs="PMingLiU" w:eastAsia="PMingLiU" w:hAnsi="PMingLiU"/>
          <w:sz w:val="17"/>
          <w:szCs w:val="17"/>
          <w:color w:val="634140"/>
        </w:rPr>
        <w:t/>
      </w:r>
      <w:r>
        <w:rPr>
          <w:rFonts w:ascii="Arial" w:cs="Arial" w:eastAsia="Arial" w:hAnsi="Arial"/>
          <w:sz w:val="17"/>
          <w:szCs w:val="17"/>
          <w:color w:val="634140"/>
        </w:rPr>
        <w:t>dmpu_pb</w:t>
      </w:r>
      <w:r>
        <w:rPr>
          <w:rFonts w:ascii="PMingLiU" w:cs="PMingLiU" w:eastAsia="PMingLiU" w:hAnsi="PMingLiU"/>
          <w:sz w:val="17"/>
          <w:szCs w:val="17"/>
          <w:color w:val="634140"/>
        </w:rPr>
        <w:t/>
      </w:r>
      <w:r>
        <w:rPr>
          <w:rFonts w:ascii="Arial" w:cs="Arial" w:eastAsia="Arial" w:hAnsi="Arial"/>
          <w:sz w:val="17"/>
          <w:szCs w:val="17"/>
          <w:color w:val="634140"/>
        </w:rPr>
        <w:t>dmp</w:t>
      </w:r>
      <w:r>
        <w:rPr>
          <w:rFonts w:ascii="PMingLiU" w:cs="PMingLiU" w:eastAsia="PMingLiU" w:hAnsi="PMingLiU"/>
          <w:sz w:val="17"/>
          <w:szCs w:val="17"/>
          <w:color w:val="634140"/>
        </w:rPr>
        <w:t/>
      </w:r>
      <w:r>
        <w:rPr>
          <w:rFonts w:ascii="Arial" w:cs="Arial" w:eastAsia="Arial" w:hAnsi="Arial"/>
          <w:sz w:val="17"/>
          <w:szCs w:val="17"/>
          <w:color w:val="634140"/>
        </w:rPr>
        <w:t>wc_pq</w:t>
      </w:r>
      <w:r>
        <w:rPr>
          <w:rFonts w:ascii="PMingLiU" w:cs="PMingLiU" w:eastAsia="PMingLiU" w:hAnsi="PMingLiU"/>
          <w:sz w:val="17"/>
          <w:szCs w:val="17"/>
          <w:color w:val="634140"/>
        </w:rPr>
        <w:t/>
      </w:r>
      <w:r>
        <w:rPr>
          <w:rFonts w:ascii="Arial" w:cs="Arial" w:eastAsia="Arial" w:hAnsi="Arial"/>
          <w:sz w:val="17"/>
          <w:szCs w:val="17"/>
          <w:color w:val="634140"/>
        </w:rPr>
        <w:t>rm</w:t>
      </w:r>
      <w:r>
        <w:rPr>
          <w:rFonts w:ascii="PMingLiU" w:cs="PMingLiU" w:eastAsia="PMingLiU" w:hAnsi="PMingLiU"/>
          <w:sz w:val="17"/>
          <w:szCs w:val="17"/>
          <w:color w:val="634140"/>
        </w:rPr>
        <w:t/>
      </w:r>
      <w:r>
        <w:rPr>
          <w:rFonts w:ascii="Arial" w:cs="Arial" w:eastAsia="Arial" w:hAnsi="Arial"/>
          <w:sz w:val="17"/>
          <w:szCs w:val="17"/>
          <w:color w:val="634140"/>
        </w:rPr>
        <w:t>amkc</w:t>
      </w:r>
      <w:r>
        <w:rPr>
          <w:rFonts w:ascii="PMingLiU" w:cs="PMingLiU" w:eastAsia="PMingLiU" w:hAnsi="PMingLiU"/>
          <w:sz w:val="17"/>
          <w:szCs w:val="17"/>
          <w:color w:val="634140"/>
        </w:rPr>
        <w:t/>
      </w:r>
    </w:p>
    <w:p>
      <w:pPr>
        <w:spacing w:after="0" w:line="330" w:lineRule="exact"/>
        <w:rPr>
          <w:sz w:val="20"/>
          <w:szCs w:val="20"/>
          <w:color w:val="auto"/>
        </w:rPr>
      </w:pPr>
    </w:p>
    <w:p>
      <w:pPr>
        <w:ind w:left="8"/>
        <w:spacing w:after="0" w:line="254" w:lineRule="exact"/>
        <w:rPr>
          <w:sz w:val="20"/>
          <w:szCs w:val="20"/>
          <w:color w:val="auto"/>
        </w:rPr>
      </w:pPr>
      <w:r>
        <w:rPr>
          <w:rFonts w:ascii="Arial" w:cs="Arial" w:eastAsia="Arial" w:hAnsi="Arial"/>
          <w:sz w:val="16"/>
          <w:szCs w:val="16"/>
          <w:color w:val="634140"/>
        </w:rPr>
        <w:t>Vce_pbgle</w:t>
      </w:r>
      <w:r>
        <w:rPr>
          <w:rFonts w:ascii="PMingLiU" w:cs="PMingLiU" w:eastAsia="PMingLiU" w:hAnsi="PMingLiU"/>
          <w:sz w:val="16"/>
          <w:szCs w:val="16"/>
          <w:color w:val="634140"/>
        </w:rPr>
        <w:t/>
      </w:r>
      <w:r>
        <w:rPr>
          <w:rFonts w:ascii="Arial" w:cs="Arial" w:eastAsia="Arial" w:hAnsi="Arial"/>
          <w:sz w:val="16"/>
          <w:szCs w:val="16"/>
          <w:color w:val="634140"/>
        </w:rPr>
        <w:t>IWK</w:t>
      </w:r>
      <w:r>
        <w:rPr>
          <w:rFonts w:ascii="PMingLiU" w:cs="PMingLiU" w:eastAsia="PMingLiU" w:hAnsi="PMingLiU"/>
          <w:sz w:val="16"/>
          <w:szCs w:val="16"/>
          <w:color w:val="634140"/>
        </w:rPr>
        <w:t/>
      </w:r>
      <w:r>
        <w:rPr>
          <w:rFonts w:ascii="Arial" w:cs="Arial" w:eastAsia="Arial" w:hAnsi="Arial"/>
          <w:sz w:val="16"/>
          <w:szCs w:val="16"/>
          <w:color w:val="634140"/>
        </w:rPr>
        <w:t>rfgq</w:t>
      </w:r>
      <w:r>
        <w:rPr>
          <w:rFonts w:ascii="PMingLiU" w:cs="PMingLiU" w:eastAsia="PMingLiU" w:hAnsi="PMingLiU"/>
          <w:sz w:val="16"/>
          <w:szCs w:val="16"/>
          <w:color w:val="634140"/>
        </w:rPr>
        <w:t/>
      </w:r>
      <w:r>
        <w:rPr>
          <w:rFonts w:ascii="Arial" w:cs="Arial" w:eastAsia="Arial" w:hAnsi="Arial"/>
          <w:sz w:val="16"/>
          <w:szCs w:val="16"/>
          <w:color w:val="634140"/>
        </w:rPr>
        <w:t>qgrc</w:t>
      </w:r>
      <w:r>
        <w:rPr>
          <w:rFonts w:ascii="PMingLiU" w:cs="PMingLiU" w:eastAsia="PMingLiU" w:hAnsi="PMingLiU"/>
          <w:sz w:val="16"/>
          <w:szCs w:val="16"/>
          <w:color w:val="634140"/>
        </w:rPr>
        <w:t/>
      </w:r>
      <w:r>
        <w:rPr>
          <w:rFonts w:ascii="Arial" w:cs="Arial" w:eastAsia="Arial" w:hAnsi="Arial"/>
          <w:sz w:val="16"/>
          <w:szCs w:val="16"/>
          <w:color w:val="634140"/>
        </w:rPr>
        <w:t>u_q</w:t>
      </w:r>
      <w:r>
        <w:rPr>
          <w:rFonts w:ascii="PMingLiU" w:cs="PMingLiU" w:eastAsia="PMingLiU" w:hAnsi="PMingLiU"/>
          <w:sz w:val="16"/>
          <w:szCs w:val="16"/>
          <w:color w:val="634140"/>
        </w:rPr>
        <w:t/>
      </w:r>
      <w:r>
        <w:rPr>
          <w:rFonts w:ascii="Arial" w:cs="Arial" w:eastAsia="Arial" w:hAnsi="Arial"/>
          <w:sz w:val="16"/>
          <w:szCs w:val="16"/>
          <w:color w:val="634140"/>
        </w:rPr>
        <w:t xml:space="preserve"> pcamelgxcb</w:t>
      </w:r>
      <w:r>
        <w:rPr>
          <w:rFonts w:ascii="PMingLiU" w:cs="PMingLiU" w:eastAsia="PMingLiU" w:hAnsi="PMingLiU"/>
          <w:sz w:val="16"/>
          <w:szCs w:val="16"/>
          <w:color w:val="634140"/>
        </w:rPr>
        <w:t/>
      </w:r>
      <w:r>
        <w:rPr>
          <w:rFonts w:ascii="Arial" w:cs="Arial" w:eastAsia="Arial" w:hAnsi="Arial"/>
          <w:sz w:val="16"/>
          <w:szCs w:val="16"/>
          <w:color w:val="634140"/>
        </w:rPr>
        <w:t>dmp</w:t>
      </w:r>
      <w:r>
        <w:rPr>
          <w:rFonts w:ascii="PMingLiU" w:cs="PMingLiU" w:eastAsia="PMingLiU" w:hAnsi="PMingLiU"/>
          <w:sz w:val="16"/>
          <w:szCs w:val="16"/>
          <w:color w:val="634140"/>
        </w:rPr>
        <w:t/>
      </w:r>
      <w:r>
        <w:rPr>
          <w:rFonts w:ascii="Arial" w:cs="Arial" w:eastAsia="Arial" w:hAnsi="Arial"/>
          <w:sz w:val="16"/>
          <w:szCs w:val="16"/>
          <w:color w:val="634140"/>
        </w:rPr>
        <w:t>amlrpg`srgmlq</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r>
        <w:rPr>
          <w:rFonts w:ascii="Arial" w:cs="Arial" w:eastAsia="Arial" w:hAnsi="Arial"/>
          <w:sz w:val="16"/>
          <w:szCs w:val="16"/>
          <w:color w:val="634140"/>
        </w:rPr>
        <w:t>qncagcq</w:t>
      </w:r>
      <w:r>
        <w:rPr>
          <w:rFonts w:ascii="PMingLiU" w:cs="PMingLiU" w:eastAsia="PMingLiU" w:hAnsi="PMingLiU"/>
          <w:sz w:val="16"/>
          <w:szCs w:val="16"/>
          <w:color w:val="634140"/>
        </w:rPr>
        <w:t/>
      </w:r>
      <w:r>
        <w:rPr>
          <w:rFonts w:ascii="Arial" w:cs="Arial" w:eastAsia="Arial" w:hAnsi="Arial"/>
          <w:sz w:val="16"/>
          <w:szCs w:val="16"/>
          <w:color w:val="634140"/>
        </w:rPr>
        <w:t xml:space="preserve"> amlqcpt_rgml</w:t>
      </w:r>
      <w:r>
        <w:rPr>
          <w:rFonts w:ascii="PMingLiU" w:cs="PMingLiU" w:eastAsia="PMingLiU" w:hAnsi="PMingLiU"/>
          <w:sz w:val="16"/>
          <w:szCs w:val="16"/>
          <w:color w:val="634140"/>
        </w:rPr>
        <w:t/>
      </w:r>
      <w:r>
        <w:rPr>
          <w:rFonts w:ascii="Arial" w:cs="Arial" w:eastAsia="Arial" w:hAnsi="Arial"/>
          <w:sz w:val="16"/>
          <w:szCs w:val="16"/>
          <w:color w:val="634140"/>
        </w:rPr>
        <w:t>_r</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Nslc</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X_lbck</w:t>
      </w:r>
      <w:r>
        <w:rPr>
          <w:rFonts w:ascii="PMingLiU" w:cs="PMingLiU" w:eastAsia="PMingLiU" w:hAnsi="PMingLiU"/>
          <w:sz w:val="16"/>
          <w:szCs w:val="16"/>
          <w:color w:val="634140"/>
        </w:rPr>
        <w:t/>
      </w:r>
      <w:r>
        <w:rPr>
          <w:rFonts w:ascii="Arial" w:cs="Arial" w:eastAsia="Arial" w:hAnsi="Arial"/>
          <w:sz w:val="16"/>
          <w:szCs w:val="16"/>
          <w:color w:val="634140"/>
        </w:rPr>
        <w:t xml:space="preserve"> Kjm`_j</w:t>
      </w:r>
      <w:r>
        <w:rPr>
          <w:rFonts w:ascii="PMingLiU" w:cs="PMingLiU" w:eastAsia="PMingLiU" w:hAnsi="PMingLiU"/>
          <w:sz w:val="16"/>
          <w:szCs w:val="16"/>
          <w:color w:val="634140"/>
        </w:rPr>
        <w:t/>
      </w:r>
      <w:r>
        <w:rPr>
          <w:rFonts w:ascii="Arial" w:cs="Arial" w:eastAsia="Arial" w:hAnsi="Arial"/>
          <w:sz w:val="16"/>
          <w:szCs w:val="16"/>
          <w:color w:val="634140"/>
        </w:rPr>
        <w:t>Gmlqcpt_rgml</w:t>
      </w:r>
      <w:r>
        <w:rPr>
          <w:rFonts w:ascii="PMingLiU" w:cs="PMingLiU" w:eastAsia="PMingLiU" w:hAnsi="PMingLiU"/>
          <w:sz w:val="16"/>
          <w:szCs w:val="16"/>
          <w:color w:val="634140"/>
        </w:rPr>
        <w:t/>
      </w:r>
      <w:r>
        <w:rPr>
          <w:rFonts w:ascii="Arial" w:cs="Arial" w:eastAsia="Arial" w:hAnsi="Arial"/>
          <w:sz w:val="16"/>
          <w:szCs w:val="16"/>
          <w:color w:val="634140"/>
        </w:rPr>
        <w:t>Gmldcpclac</w:t>
      </w:r>
      <w:r>
        <w:rPr>
          <w:rFonts w:ascii="PMingLiU" w:cs="PMingLiU" w:eastAsia="PMingLiU" w:hAnsi="PMingLiU"/>
          <w:sz w:val="16"/>
          <w:szCs w:val="16"/>
          <w:color w:val="634140"/>
        </w:rPr>
        <w:t/>
      </w:r>
      <w:r>
        <w:rPr>
          <w:rFonts w:ascii="Arial" w:cs="Arial" w:eastAsia="Arial" w:hAnsi="Arial"/>
          <w:sz w:val="16"/>
          <w:szCs w:val="16"/>
          <w:color w:val="634140"/>
        </w:rPr>
        <w:t xml:space="preserve"> gl</w:t>
      </w:r>
      <w:r>
        <w:rPr>
          <w:rFonts w:ascii="PMingLiU" w:cs="PMingLiU" w:eastAsia="PMingLiU" w:hAnsi="PMingLiU"/>
          <w:sz w:val="16"/>
          <w:szCs w:val="16"/>
          <w:color w:val="634140"/>
        </w:rPr>
        <w:t/>
      </w:r>
      <w:r>
        <w:rPr>
          <w:rFonts w:ascii="Arial" w:cs="Arial" w:eastAsia="Arial" w:hAnsi="Arial"/>
          <w:sz w:val="16"/>
          <w:szCs w:val="16"/>
          <w:color w:val="634140"/>
        </w:rPr>
        <w:t>Hcrpmgr</w:t>
      </w:r>
      <w:r>
        <w:rPr>
          <w:rFonts w:ascii="PMingLiU" w:cs="PMingLiU" w:eastAsia="PMingLiU" w:hAnsi="PMingLiU"/>
          <w:sz w:val="16"/>
          <w:szCs w:val="16"/>
          <w:color w:val="634140"/>
        </w:rPr>
        <w:t/>
      </w:r>
      <w:r>
        <w:rPr>
          <w:rFonts w:ascii="Arial" w:cs="Arial" w:eastAsia="Arial" w:hAnsi="Arial"/>
          <w:sz w:val="16"/>
          <w:szCs w:val="16"/>
          <w:color w:val="634140"/>
        </w:rPr>
        <w:t>Qgafge_l</w:t>
      </w:r>
      <w:r>
        <w:rPr>
          <w:rFonts w:ascii="PMingLiU" w:cs="PMingLiU" w:eastAsia="PMingLiU" w:hAnsi="PMingLiU"/>
          <w:sz w:val="16"/>
          <w:szCs w:val="16"/>
          <w:color w:val="634140"/>
        </w:rPr>
        <w:t/>
      </w:r>
    </w:p>
    <w:p>
      <w:pPr>
        <w:spacing w:after="0" w:line="45" w:lineRule="exact"/>
        <w:rPr>
          <w:sz w:val="20"/>
          <w:szCs w:val="20"/>
          <w:color w:val="auto"/>
        </w:rPr>
      </w:pPr>
    </w:p>
    <w:p>
      <w:pPr>
        <w:ind w:left="148" w:hanging="148"/>
        <w:spacing w:after="0" w:line="219" w:lineRule="exact"/>
        <w:tabs>
          <w:tab w:leader="none" w:pos="148" w:val="left"/>
        </w:tabs>
        <w:numPr>
          <w:ilvl w:val="0"/>
          <w:numId w:val="10"/>
        </w:numPr>
        <w:rPr>
          <w:rFonts w:ascii="Arial" w:cs="Arial" w:eastAsia="Arial" w:hAnsi="Arial"/>
          <w:sz w:val="18"/>
          <w:szCs w:val="18"/>
          <w:color w:val="634140"/>
        </w:rPr>
      </w:pPr>
      <w:r>
        <w:rPr>
          <w:rFonts w:ascii="Arial" w:cs="Arial" w:eastAsia="Arial" w:hAnsi="Arial"/>
          <w:sz w:val="18"/>
          <w:szCs w:val="18"/>
          <w:color w:val="634140"/>
        </w:rPr>
        <w:t>fi</w:t>
      </w:r>
      <w:r>
        <w:rPr>
          <w:rFonts w:ascii="Arial" w:cs="Arial" w:eastAsia="Arial" w:hAnsi="Arial"/>
          <w:sz w:val="18"/>
          <w:szCs w:val="18"/>
          <w:color w:val="634140"/>
        </w:rPr>
        <w:t>l_jgqr</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F_rq</w:t>
      </w:r>
      <w:r>
        <w:rPr>
          <w:rFonts w:ascii="PMingLiU" w:cs="PMingLiU" w:eastAsia="PMingLiU" w:hAnsi="PMingLiU"/>
          <w:sz w:val="18"/>
          <w:szCs w:val="18"/>
          <w:color w:val="634140"/>
        </w:rPr>
        <w:t/>
      </w:r>
    </w:p>
    <w:p>
      <w:pPr>
        <w:spacing w:after="0" w:line="45" w:lineRule="exact"/>
        <w:rPr>
          <w:rFonts w:ascii="Arial" w:cs="Arial" w:eastAsia="Arial" w:hAnsi="Arial"/>
          <w:sz w:val="18"/>
          <w:szCs w:val="18"/>
          <w:color w:val="634140"/>
        </w:rPr>
      </w:pPr>
    </w:p>
    <w:p>
      <w:pPr>
        <w:ind w:left="8" w:right="140"/>
        <w:spacing w:after="0" w:line="259" w:lineRule="exact"/>
        <w:rPr>
          <w:rFonts w:ascii="Arial" w:cs="Arial" w:eastAsia="Arial" w:hAnsi="Arial"/>
          <w:sz w:val="18"/>
          <w:szCs w:val="18"/>
          <w:color w:val="634140"/>
        </w:rPr>
      </w:pPr>
      <w:r>
        <w:rPr>
          <w:rFonts w:ascii="Arial" w:cs="Arial" w:eastAsia="Arial" w:hAnsi="Arial"/>
          <w:sz w:val="17"/>
          <w:szCs w:val="17"/>
          <w:color w:val="634140"/>
        </w:rPr>
        <w:t>Etg_l</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Vcnrgjcq</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 xml:space="preserve"> Eknfg`g_lq</w:t>
      </w:r>
      <w:r>
        <w:rPr>
          <w:rFonts w:ascii="PMingLiU" w:cs="PMingLiU" w:eastAsia="PMingLiU" w:hAnsi="PMingLiU"/>
          <w:sz w:val="17"/>
          <w:szCs w:val="17"/>
          <w:color w:val="634140"/>
        </w:rPr>
        <w:t/>
      </w:r>
      <w:r>
        <w:rPr>
          <w:rFonts w:ascii="Arial" w:cs="Arial" w:eastAsia="Arial" w:hAnsi="Arial"/>
          <w:sz w:val="17"/>
          <w:szCs w:val="17"/>
          <w:color w:val="634140"/>
        </w:rPr>
        <w:t>Wncagcq</w:t>
      </w:r>
      <w:r>
        <w:rPr>
          <w:rFonts w:ascii="PMingLiU" w:cs="PMingLiU" w:eastAsia="PMingLiU" w:hAnsi="PMingLiU"/>
          <w:sz w:val="17"/>
          <w:szCs w:val="17"/>
          <w:color w:val="634140"/>
        </w:rPr>
        <w:t/>
      </w:r>
      <w:r>
        <w:rPr>
          <w:rFonts w:ascii="Arial" w:cs="Arial" w:eastAsia="Arial" w:hAnsi="Arial"/>
          <w:sz w:val="17"/>
          <w:szCs w:val="17"/>
          <w:color w:val="634140"/>
        </w:rPr>
        <w:t xml:space="preserve"> Eu_pbq</w:t>
      </w:r>
      <w:r>
        <w:rPr>
          <w:rFonts w:ascii="PMingLiU" w:cs="PMingLiU" w:eastAsia="PMingLiU" w:hAnsi="PMingLiU"/>
          <w:sz w:val="17"/>
          <w:szCs w:val="17"/>
          <w:color w:val="634140"/>
        </w:rPr>
        <w:t/>
      </w:r>
      <w:r>
        <w:rPr>
          <w:rFonts w:ascii="Arial" w:cs="Arial" w:eastAsia="Arial" w:hAnsi="Arial"/>
          <w:sz w:val="17"/>
          <w:szCs w:val="17"/>
          <w:color w:val="634140"/>
        </w:rPr>
        <w:t>gr</w:t>
      </w:r>
      <w:r>
        <w:rPr>
          <w:rFonts w:ascii="PMingLiU" w:cs="PMingLiU" w:eastAsia="PMingLiU" w:hAnsi="PMingLiU"/>
          <w:sz w:val="17"/>
          <w:szCs w:val="17"/>
          <w:color w:val="634140"/>
        </w:rPr>
        <w:t/>
      </w:r>
      <w:r>
        <w:rPr>
          <w:rFonts w:ascii="Arial" w:cs="Arial" w:eastAsia="Arial" w:hAnsi="Arial"/>
          <w:sz w:val="17"/>
          <w:szCs w:val="17"/>
          <w:color w:val="634140"/>
        </w:rPr>
        <w:t>pcacgtcb</w:t>
      </w:r>
      <w:r>
        <w:rPr>
          <w:rFonts w:ascii="PMingLiU" w:cs="PMingLiU" w:eastAsia="PMingLiU" w:hAnsi="PMingLiU"/>
          <w:sz w:val="17"/>
          <w:szCs w:val="17"/>
          <w:color w:val="634140"/>
        </w:rPr>
        <w:t/>
      </w:r>
      <w:r>
        <w:rPr>
          <w:rFonts w:ascii="Arial" w:cs="Arial" w:eastAsia="Arial" w:hAnsi="Arial"/>
          <w:sz w:val="17"/>
          <w:szCs w:val="17"/>
          <w:color w:val="634140"/>
        </w:rPr>
        <w:t>rfc</w:t>
      </w:r>
      <w:r>
        <w:rPr>
          <w:rFonts w:ascii="PMingLiU" w:cs="PMingLiU" w:eastAsia="PMingLiU" w:hAnsi="PMingLiU"/>
          <w:sz w:val="17"/>
          <w:szCs w:val="17"/>
          <w:color w:val="634140"/>
        </w:rPr>
        <w:t/>
      </w:r>
      <w:r>
        <w:rPr>
          <w:rFonts w:ascii="Arial" w:cs="Arial" w:eastAsia="Arial" w:hAnsi="Arial"/>
          <w:sz w:val="17"/>
          <w:szCs w:val="17"/>
          <w:color w:val="634140"/>
        </w:rPr>
        <w:t xml:space="preserve"> Etg_l</w:t>
      </w:r>
      <w:r>
        <w:rPr>
          <w:rFonts w:ascii="PMingLiU" w:cs="PMingLiU" w:eastAsia="PMingLiU" w:hAnsi="PMingLiU"/>
          <w:sz w:val="17"/>
          <w:szCs w:val="17"/>
          <w:color w:val="634140"/>
        </w:rPr>
        <w:t/>
      </w:r>
      <w:r>
        <w:rPr>
          <w:rFonts w:ascii="Arial" w:cs="Arial" w:eastAsia="Arial" w:hAnsi="Arial"/>
          <w:sz w:val="17"/>
          <w:szCs w:val="17"/>
          <w:color w:val="634140"/>
        </w:rPr>
        <w:t>Tpmhcar</w:t>
      </w:r>
      <w:r>
        <w:rPr>
          <w:rFonts w:ascii="PMingLiU" w:cs="PMingLiU" w:eastAsia="PMingLiU" w:hAnsi="PMingLiU"/>
          <w:sz w:val="17"/>
          <w:szCs w:val="17"/>
          <w:color w:val="634140"/>
        </w:rPr>
        <w:t/>
      </w:r>
      <w:r>
        <w:rPr>
          <w:rFonts w:ascii="Arial" w:cs="Arial" w:eastAsia="Arial" w:hAnsi="Arial"/>
          <w:sz w:val="17"/>
          <w:szCs w:val="17"/>
          <w:color w:val="634140"/>
        </w:rPr>
        <w:t>Eu_pb</w:t>
      </w:r>
      <w:r>
        <w:rPr>
          <w:rFonts w:ascii="PMingLiU" w:cs="PMingLiU" w:eastAsia="PMingLiU" w:hAnsi="PMingLiU"/>
          <w:sz w:val="17"/>
          <w:szCs w:val="17"/>
          <w:color w:val="634140"/>
        </w:rPr>
        <w:t/>
      </w:r>
      <w:r>
        <w:rPr>
          <w:rFonts w:ascii="Arial" w:cs="Arial" w:eastAsia="Arial" w:hAnsi="Arial"/>
          <w:sz w:val="17"/>
          <w:szCs w:val="17"/>
          <w:color w:val="634140"/>
        </w:rPr>
        <w:t xml:space="preserve"> ufgaf</w:t>
      </w:r>
      <w:r>
        <w:rPr>
          <w:rFonts w:ascii="PMingLiU" w:cs="PMingLiU" w:eastAsia="PMingLiU" w:hAnsi="PMingLiU"/>
          <w:sz w:val="17"/>
          <w:szCs w:val="17"/>
          <w:color w:val="634140"/>
        </w:rPr>
        <w:t/>
      </w:r>
      <w:r>
        <w:rPr>
          <w:rFonts w:ascii="Arial" w:cs="Arial" w:eastAsia="Arial" w:hAnsi="Arial"/>
          <w:sz w:val="17"/>
          <w:szCs w:val="17"/>
          <w:color w:val="634140"/>
        </w:rPr>
        <w:t>pcamelgxcq</w:t>
      </w:r>
      <w:r>
        <w:rPr>
          <w:rFonts w:ascii="PMingLiU" w:cs="PMingLiU" w:eastAsia="PMingLiU" w:hAnsi="PMingLiU"/>
          <w:sz w:val="17"/>
          <w:szCs w:val="17"/>
          <w:color w:val="634140"/>
        </w:rPr>
        <w:t/>
      </w:r>
      <w:r>
        <w:rPr>
          <w:rFonts w:ascii="Arial" w:cs="Arial" w:eastAsia="Arial" w:hAnsi="Arial"/>
          <w:sz w:val="17"/>
          <w:szCs w:val="17"/>
          <w:color w:val="634140"/>
        </w:rPr>
        <w:t>mlc</w:t>
      </w:r>
      <w:r>
        <w:rPr>
          <w:rFonts w:ascii="PMingLiU" w:cs="PMingLiU" w:eastAsia="PMingLiU" w:hAnsi="PMingLiU"/>
          <w:sz w:val="17"/>
          <w:szCs w:val="17"/>
          <w:color w:val="634140"/>
        </w:rPr>
        <w:t/>
      </w:r>
      <w:r>
        <w:rPr>
          <w:rFonts w:ascii="Arial" w:cs="Arial" w:eastAsia="Arial" w:hAnsi="Arial"/>
          <w:sz w:val="17"/>
          <w:szCs w:val="17"/>
          <w:color w:val="634140"/>
        </w:rPr>
        <w:t xml:space="preserve"> md</w:t>
      </w:r>
      <w:r>
        <w:rPr>
          <w:rFonts w:ascii="PMingLiU" w:cs="PMingLiU" w:eastAsia="PMingLiU" w:hAnsi="PMingLiU"/>
          <w:sz w:val="17"/>
          <w:szCs w:val="17"/>
          <w:color w:val="634140"/>
        </w:rPr>
        <w:t/>
      </w:r>
      <w:r>
        <w:rPr>
          <w:rFonts w:ascii="Arial" w:cs="Arial" w:eastAsia="Arial" w:hAnsi="Arial"/>
          <w:sz w:val="17"/>
          <w:szCs w:val="17"/>
          <w:color w:val="634140"/>
        </w:rPr>
        <w:t>rfc</w:t>
      </w:r>
      <w:r>
        <w:rPr>
          <w:rFonts w:ascii="PMingLiU" w:cs="PMingLiU" w:eastAsia="PMingLiU" w:hAnsi="PMingLiU"/>
          <w:sz w:val="17"/>
          <w:szCs w:val="17"/>
          <w:color w:val="634140"/>
        </w:rPr>
        <w:t/>
      </w:r>
      <w:r>
        <w:rPr>
          <w:rFonts w:ascii="Arial" w:cs="Arial" w:eastAsia="Arial" w:hAnsi="Arial"/>
          <w:sz w:val="17"/>
          <w:szCs w:val="17"/>
          <w:color w:val="634140"/>
        </w:rPr>
        <w:t>fgefcqr&amp;qampgle</w:t>
      </w:r>
      <w:r>
        <w:rPr>
          <w:rFonts w:ascii="PMingLiU" w:cs="PMingLiU" w:eastAsia="PMingLiU" w:hAnsi="PMingLiU"/>
          <w:sz w:val="17"/>
          <w:szCs w:val="17"/>
          <w:color w:val="634140"/>
        </w:rPr>
        <w:t/>
      </w:r>
      <w:r>
        <w:rPr>
          <w:rFonts w:ascii="Arial" w:cs="Arial" w:eastAsia="Arial" w:hAnsi="Arial"/>
          <w:sz w:val="17"/>
          <w:szCs w:val="17"/>
          <w:color w:val="634140"/>
        </w:rPr>
        <w:t xml:space="preserve"> Etg_l</w:t>
      </w:r>
      <w:r>
        <w:rPr>
          <w:rFonts w:ascii="PMingLiU" w:cs="PMingLiU" w:eastAsia="PMingLiU" w:hAnsi="PMingLiU"/>
          <w:sz w:val="17"/>
          <w:szCs w:val="17"/>
          <w:color w:val="634140"/>
        </w:rPr>
        <w:t/>
      </w:r>
      <w:r>
        <w:rPr>
          <w:rFonts w:ascii="Arial" w:cs="Arial" w:eastAsia="Arial" w:hAnsi="Arial"/>
          <w:sz w:val="17"/>
          <w:szCs w:val="17"/>
          <w:color w:val="634140"/>
        </w:rPr>
        <w:t>qncagcq</w:t>
      </w:r>
      <w:r>
        <w:rPr>
          <w:rFonts w:ascii="PMingLiU" w:cs="PMingLiU" w:eastAsia="PMingLiU" w:hAnsi="PMingLiU"/>
          <w:sz w:val="17"/>
          <w:szCs w:val="17"/>
          <w:color w:val="634140"/>
        </w:rPr>
        <w:t/>
      </w:r>
      <w:r>
        <w:rPr>
          <w:rFonts w:ascii="Arial" w:cs="Arial" w:eastAsia="Arial" w:hAnsi="Arial"/>
          <w:sz w:val="17"/>
          <w:szCs w:val="17"/>
          <w:color w:val="634140"/>
        </w:rPr>
        <w:t>npmhcarq</w:t>
      </w:r>
      <w:r>
        <w:rPr>
          <w:rFonts w:ascii="PMingLiU" w:cs="PMingLiU" w:eastAsia="PMingLiU" w:hAnsi="PMingLiU"/>
          <w:sz w:val="17"/>
          <w:szCs w:val="17"/>
          <w:color w:val="634140"/>
        </w:rPr>
        <w:t/>
      </w:r>
      <w:r>
        <w:rPr>
          <w:rFonts w:ascii="Arial" w:cs="Arial" w:eastAsia="Arial" w:hAnsi="Arial"/>
          <w:sz w:val="17"/>
          <w:szCs w:val="17"/>
          <w:color w:val="634140"/>
        </w:rPr>
        <w:t xml:space="preserve"> Xfc</w:t>
      </w:r>
      <w:r>
        <w:rPr>
          <w:rFonts w:ascii="PMingLiU" w:cs="PMingLiU" w:eastAsia="PMingLiU" w:hAnsi="PMingLiU"/>
          <w:sz w:val="17"/>
          <w:szCs w:val="17"/>
          <w:color w:val="634140"/>
        </w:rPr>
        <w:t/>
      </w:r>
      <w:r>
        <w:rPr>
          <w:rFonts w:ascii="Arial" w:cs="Arial" w:eastAsia="Arial" w:hAnsi="Arial"/>
          <w:sz w:val="17"/>
          <w:szCs w:val="17"/>
          <w:color w:val="634140"/>
        </w:rPr>
        <w:t>cgefr&amp;_apc</w:t>
      </w:r>
      <w:r>
        <w:rPr>
          <w:rFonts w:ascii="PMingLiU" w:cs="PMingLiU" w:eastAsia="PMingLiU" w:hAnsi="PMingLiU"/>
          <w:sz w:val="17"/>
          <w:szCs w:val="17"/>
          <w:color w:val="634140"/>
        </w:rPr>
        <w:t/>
      </w:r>
      <w:r>
        <w:rPr>
          <w:rFonts w:ascii="Arial" w:cs="Arial" w:eastAsia="Arial" w:hAnsi="Arial"/>
          <w:sz w:val="17"/>
          <w:szCs w:val="17"/>
          <w:color w:val="634140"/>
        </w:rPr>
        <w:t>j_lb</w:t>
      </w:r>
      <w:r>
        <w:rPr>
          <w:rFonts w:ascii="Arial" w:cs="Arial" w:eastAsia="Arial" w:hAnsi="Arial"/>
          <w:sz w:val="17"/>
          <w:szCs w:val="17"/>
          <w:color w:val="634140"/>
        </w:rPr>
        <w:t>fi</w:t>
      </w:r>
      <w:r>
        <w:rPr>
          <w:rFonts w:ascii="Arial" w:cs="Arial" w:eastAsia="Arial" w:hAnsi="Arial"/>
          <w:sz w:val="17"/>
          <w:szCs w:val="17"/>
          <w:color w:val="634140"/>
        </w:rPr>
        <w:t>jj</w:t>
      </w:r>
      <w:r>
        <w:rPr>
          <w:rFonts w:ascii="PMingLiU" w:cs="PMingLiU" w:eastAsia="PMingLiU" w:hAnsi="PMingLiU"/>
          <w:sz w:val="17"/>
          <w:szCs w:val="17"/>
          <w:color w:val="634140"/>
        </w:rPr>
        <w:t/>
      </w:r>
      <w:r>
        <w:rPr>
          <w:rFonts w:ascii="Arial" w:cs="Arial" w:eastAsia="Arial" w:hAnsi="Arial"/>
          <w:sz w:val="17"/>
          <w:szCs w:val="17"/>
          <w:color w:val="634140"/>
        </w:rPr>
        <w:t>a_n</w:t>
      </w:r>
      <w:r>
        <w:rPr>
          <w:rFonts w:ascii="PMingLiU" w:cs="PMingLiU" w:eastAsia="PMingLiU" w:hAnsi="PMingLiU"/>
          <w:sz w:val="17"/>
          <w:szCs w:val="17"/>
          <w:color w:val="634140"/>
        </w:rPr>
        <w:t/>
      </w:r>
      <w:r>
        <w:rPr>
          <w:rFonts w:ascii="Arial" w:cs="Arial" w:eastAsia="Arial" w:hAnsi="Arial"/>
          <w:sz w:val="17"/>
          <w:szCs w:val="17"/>
          <w:color w:val="634140"/>
        </w:rPr>
        <w:t>kc_bmu</w:t>
      </w:r>
      <w:r>
        <w:rPr>
          <w:rFonts w:ascii="PMingLiU" w:cs="PMingLiU" w:eastAsia="PMingLiU" w:hAnsi="PMingLiU"/>
          <w:sz w:val="17"/>
          <w:szCs w:val="17"/>
          <w:color w:val="634140"/>
        </w:rPr>
        <w:t/>
      </w:r>
      <w:r>
        <w:rPr>
          <w:rFonts w:ascii="Arial" w:cs="Arial" w:eastAsia="Arial" w:hAnsi="Arial"/>
          <w:sz w:val="17"/>
          <w:szCs w:val="17"/>
          <w:color w:val="634140"/>
        </w:rPr>
        <w:t xml:space="preserve"> gq</w:t>
      </w:r>
      <w:r>
        <w:rPr>
          <w:rFonts w:ascii="PMingLiU" w:cs="PMingLiU" w:eastAsia="PMingLiU" w:hAnsi="PMingLiU"/>
          <w:sz w:val="17"/>
          <w:szCs w:val="17"/>
          <w:color w:val="634140"/>
        </w:rPr>
        <w:t/>
      </w:r>
      <w:r>
        <w:rPr>
          <w:rFonts w:ascii="Arial" w:cs="Arial" w:eastAsia="Arial" w:hAnsi="Arial"/>
          <w:sz w:val="17"/>
          <w:szCs w:val="17"/>
          <w:color w:val="634140"/>
        </w:rPr>
        <w:t>qsppmslbcb</w:t>
      </w:r>
      <w:r>
        <w:rPr>
          <w:rFonts w:ascii="PMingLiU" w:cs="PMingLiU" w:eastAsia="PMingLiU" w:hAnsi="PMingLiU"/>
          <w:sz w:val="17"/>
          <w:szCs w:val="17"/>
          <w:color w:val="634140"/>
        </w:rPr>
        <w:t/>
      </w:r>
      <w:r>
        <w:rPr>
          <w:rFonts w:ascii="Arial" w:cs="Arial" w:eastAsia="Arial" w:hAnsi="Arial"/>
          <w:sz w:val="17"/>
          <w:szCs w:val="17"/>
          <w:color w:val="634140"/>
        </w:rPr>
        <w:t>`w</w:t>
      </w:r>
      <w:r>
        <w:rPr>
          <w:rFonts w:ascii="PMingLiU" w:cs="PMingLiU" w:eastAsia="PMingLiU" w:hAnsi="PMingLiU"/>
          <w:sz w:val="17"/>
          <w:szCs w:val="17"/>
          <w:color w:val="634140"/>
        </w:rPr>
        <w:t/>
      </w:r>
      <w:r>
        <w:rPr>
          <w:rFonts w:ascii="Arial" w:cs="Arial" w:eastAsia="Arial" w:hAnsi="Arial"/>
          <w:sz w:val="17"/>
          <w:szCs w:val="17"/>
          <w:color w:val="634140"/>
        </w:rPr>
        <w:t>dmpcqrq</w:t>
      </w:r>
      <w:r>
        <w:rPr>
          <w:rFonts w:ascii="PMingLiU" w:cs="PMingLiU" w:eastAsia="PMingLiU" w:hAnsi="PMingLiU"/>
          <w:sz w:val="17"/>
          <w:szCs w:val="17"/>
          <w:color w:val="634140"/>
        </w:rPr>
        <w:t/>
      </w:r>
      <w:r>
        <w:rPr>
          <w:rFonts w:ascii="Arial" w:cs="Arial" w:eastAsia="Arial" w:hAnsi="Arial"/>
          <w:sz w:val="17"/>
          <w:szCs w:val="17"/>
          <w:color w:val="634140"/>
        </w:rPr>
        <w:t>dpcqfu_rcp</w:t>
      </w:r>
      <w:r>
        <w:rPr>
          <w:rFonts w:ascii="PMingLiU" w:cs="PMingLiU" w:eastAsia="PMingLiU" w:hAnsi="PMingLiU"/>
          <w:sz w:val="17"/>
          <w:szCs w:val="17"/>
          <w:color w:val="634140"/>
        </w:rPr>
        <w:t/>
      </w:r>
      <w:r>
        <w:rPr>
          <w:rFonts w:ascii="Arial" w:cs="Arial" w:eastAsia="Arial" w:hAnsi="Arial"/>
          <w:sz w:val="17"/>
          <w:szCs w:val="17"/>
          <w:color w:val="634140"/>
        </w:rPr>
        <w:t xml:space="preserve"> nmlbq</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ucrj_lbq</w:t>
      </w:r>
      <w:r>
        <w:rPr>
          <w:rFonts w:ascii="PMingLiU" w:cs="PMingLiU" w:eastAsia="PMingLiU" w:hAnsi="PMingLiU"/>
          <w:sz w:val="17"/>
          <w:szCs w:val="17"/>
          <w:color w:val="634140"/>
        </w:rPr>
        <w:t/>
      </w:r>
      <w:r>
        <w:rPr>
          <w:rFonts w:ascii="Arial" w:cs="Arial" w:eastAsia="Arial" w:hAnsi="Arial"/>
          <w:sz w:val="17"/>
          <w:szCs w:val="17"/>
          <w:color w:val="634140"/>
        </w:rPr>
        <w:t>qsnnmprgle</w:t>
      </w:r>
      <w:r>
        <w:rPr>
          <w:rFonts w:ascii="PMingLiU" w:cs="PMingLiU" w:eastAsia="PMingLiU" w:hAnsi="PMingLiU"/>
          <w:sz w:val="17"/>
          <w:szCs w:val="17"/>
          <w:color w:val="634140"/>
        </w:rPr>
        <w:t/>
      </w:r>
      <w:r>
        <w:rPr>
          <w:rFonts w:ascii="Arial" w:cs="Arial" w:eastAsia="Arial" w:hAnsi="Arial"/>
          <w:sz w:val="17"/>
          <w:szCs w:val="17"/>
          <w:color w:val="634140"/>
        </w:rPr>
        <w:t xml:space="preserve"> qctcp_j</w:t>
      </w:r>
      <w:r>
        <w:rPr>
          <w:rFonts w:ascii="PMingLiU" w:cs="PMingLiU" w:eastAsia="PMingLiU" w:hAnsi="PMingLiU"/>
          <w:sz w:val="17"/>
          <w:szCs w:val="17"/>
          <w:color w:val="634140"/>
        </w:rPr>
        <w:t/>
      </w:r>
      <w:r>
        <w:rPr>
          <w:rFonts w:ascii="Arial" w:cs="Arial" w:eastAsia="Arial" w:hAnsi="Arial"/>
          <w:sz w:val="17"/>
          <w:szCs w:val="17"/>
          <w:color w:val="634140"/>
        </w:rPr>
        <w:t>qncagcq</w:t>
      </w:r>
      <w:r>
        <w:rPr>
          <w:rFonts w:ascii="PMingLiU" w:cs="PMingLiU" w:eastAsia="PMingLiU" w:hAnsi="PMingLiU"/>
          <w:sz w:val="17"/>
          <w:szCs w:val="17"/>
          <w:color w:val="634140"/>
        </w:rPr>
        <w:t/>
      </w:r>
      <w:r>
        <w:rPr>
          <w:rFonts w:ascii="Arial" w:cs="Arial" w:eastAsia="Arial" w:hAnsi="Arial"/>
          <w:sz w:val="17"/>
          <w:szCs w:val="17"/>
          <w:color w:val="634140"/>
        </w:rPr>
        <w:t>amlqcpt_rgml</w:t>
      </w:r>
      <w:r>
        <w:rPr>
          <w:rFonts w:ascii="PMingLiU" w:cs="PMingLiU" w:eastAsia="PMingLiU" w:hAnsi="PMingLiU"/>
          <w:sz w:val="17"/>
          <w:szCs w:val="17"/>
          <w:color w:val="634140"/>
        </w:rPr>
        <w:t/>
      </w:r>
      <w:r>
        <w:rPr>
          <w:rFonts w:ascii="Arial" w:cs="Arial" w:eastAsia="Arial" w:hAnsi="Arial"/>
          <w:sz w:val="17"/>
          <w:szCs w:val="17"/>
          <w:color w:val="634140"/>
        </w:rPr>
        <w:t>npmhcarq</w:t>
      </w:r>
      <w:r>
        <w:rPr>
          <w:rFonts w:ascii="PMingLiU" w:cs="PMingLiU" w:eastAsia="PMingLiU" w:hAnsi="PMingLiU"/>
          <w:sz w:val="17"/>
          <w:szCs w:val="17"/>
          <w:color w:val="634140"/>
        </w:rPr>
        <w:t/>
      </w:r>
    </w:p>
    <w:p>
      <w:pPr>
        <w:sectPr>
          <w:pgSz w:w="12240" w:h="15840" w:orient="portrait"/>
          <w:cols w:equalWidth="0" w:num="2">
            <w:col w:w="7080" w:space="692"/>
            <w:col w:w="3148"/>
          </w:cols>
          <w:pgMar w:left="260" w:top="644" w:right="1060" w:bottom="1099"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wp:posOffset>
            </wp:positionH>
            <wp:positionV relativeFrom="page">
              <wp:posOffset>0</wp:posOffset>
            </wp:positionV>
            <wp:extent cx="7746365" cy="10057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1">
                      <a:extLst>
                        <a:ext uri="{28A0092B-C50C-407E-A947-70E740481C1C}"/>
                      </a:extLst>
                    </a:blip>
                    <a:srcRect/>
                    <a:stretch>
                      <a:fillRect/>
                    </a:stretch>
                  </pic:blipFill>
                  <pic:spPr bwMode="auto">
                    <a:xfrm>
                      <a:off x="0" y="0"/>
                      <a:ext cx="7746365"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55"/>
          <w:szCs w:val="55"/>
          <w:color w:val="BFE119"/>
        </w:rPr>
        <w:t>IWK</w:t>
      </w:r>
    </w:p>
    <w:p>
      <w:pPr>
        <w:spacing w:after="0" w:line="262" w:lineRule="exact"/>
        <w:rPr>
          <w:sz w:val="20"/>
          <w:szCs w:val="20"/>
          <w:color w:val="auto"/>
        </w:rPr>
      </w:pPr>
    </w:p>
    <w:p>
      <w:pPr>
        <w:ind w:left="3460" w:right="60"/>
        <w:spacing w:after="0" w:line="240" w:lineRule="exact"/>
        <w:rPr>
          <w:sz w:val="20"/>
          <w:szCs w:val="20"/>
          <w:color w:val="auto"/>
        </w:rPr>
      </w:pPr>
      <w:r>
        <w:rPr>
          <w:rFonts w:ascii="Arial" w:cs="Arial" w:eastAsia="Arial" w:hAnsi="Arial"/>
          <w:sz w:val="18"/>
          <w:szCs w:val="18"/>
          <w:color w:val="FFFFFF"/>
        </w:rPr>
        <w:t>Eqfj_lb</w:t>
      </w:r>
      <w:r>
        <w:rPr>
          <w:rFonts w:ascii="PMingLiU" w:cs="PMingLiU" w:eastAsia="PMingLiU" w:hAnsi="PMingLiU"/>
          <w:sz w:val="18"/>
          <w:szCs w:val="18"/>
          <w:color w:val="FFFFFF"/>
        </w:rPr>
        <w:t/>
      </w:r>
      <w:r>
        <w:rPr>
          <w:rFonts w:ascii="Arial" w:cs="Arial" w:eastAsia="Arial" w:hAnsi="Arial"/>
          <w:sz w:val="18"/>
          <w:szCs w:val="18"/>
          <w:color w:val="FFFFFF"/>
        </w:rPr>
        <w:t>gq</w:t>
      </w:r>
      <w:r>
        <w:rPr>
          <w:rFonts w:ascii="PMingLiU" w:cs="PMingLiU" w:eastAsia="PMingLiU" w:hAnsi="PMingLiU"/>
          <w:sz w:val="18"/>
          <w:szCs w:val="18"/>
          <w:color w:val="FFFFFF"/>
        </w:rPr>
        <w:t/>
      </w:r>
      <w:r>
        <w:rPr>
          <w:rFonts w:ascii="Arial" w:cs="Arial" w:eastAsia="Arial" w:hAnsi="Arial"/>
          <w:sz w:val="18"/>
          <w:szCs w:val="18"/>
          <w:color w:val="FFFFFF"/>
        </w:rPr>
        <w:t>glapc_qgle</w:t>
      </w:r>
      <w:r>
        <w:rPr>
          <w:rFonts w:ascii="PMingLiU" w:cs="PMingLiU" w:eastAsia="PMingLiU" w:hAnsi="PMingLiU"/>
          <w:sz w:val="18"/>
          <w:szCs w:val="18"/>
          <w:color w:val="FFFFFF"/>
        </w:rPr>
        <w:t/>
      </w:r>
      <w:r>
        <w:rPr>
          <w:rFonts w:ascii="Arial" w:cs="Arial" w:eastAsia="Arial" w:hAnsi="Arial"/>
          <w:sz w:val="18"/>
          <w:szCs w:val="18"/>
          <w:color w:val="FFFFFF"/>
        </w:rPr>
        <w:t>rfc</w:t>
      </w:r>
      <w:r>
        <w:rPr>
          <w:rFonts w:ascii="PMingLiU" w:cs="PMingLiU" w:eastAsia="PMingLiU" w:hAnsi="PMingLiU"/>
          <w:sz w:val="18"/>
          <w:szCs w:val="18"/>
          <w:color w:val="FFFFFF"/>
        </w:rPr>
        <w:t/>
      </w:r>
      <w:r>
        <w:rPr>
          <w:rFonts w:ascii="Arial" w:cs="Arial" w:eastAsia="Arial" w:hAnsi="Arial"/>
          <w:sz w:val="18"/>
          <w:szCs w:val="18"/>
          <w:color w:val="FFFFFF"/>
        </w:rPr>
        <w:t>qnccb</w:t>
      </w:r>
      <w:r>
        <w:rPr>
          <w:rFonts w:ascii="PMingLiU" w:cs="PMingLiU" w:eastAsia="PMingLiU" w:hAnsi="PMingLiU"/>
          <w:sz w:val="18"/>
          <w:szCs w:val="18"/>
          <w:color w:val="FFFFFF"/>
        </w:rPr>
        <w:t/>
      </w:r>
      <w:r>
        <w:rPr>
          <w:rFonts w:ascii="Arial" w:cs="Arial" w:eastAsia="Arial" w:hAnsi="Arial"/>
          <w:sz w:val="18"/>
          <w:szCs w:val="18"/>
          <w:color w:val="FFFFFF"/>
        </w:rPr>
        <w:t>_lb</w:t>
      </w:r>
      <w:r>
        <w:rPr>
          <w:rFonts w:ascii="PMingLiU" w:cs="PMingLiU" w:eastAsia="PMingLiU" w:hAnsi="PMingLiU"/>
          <w:sz w:val="18"/>
          <w:szCs w:val="18"/>
          <w:color w:val="FFFFFF"/>
        </w:rPr>
        <w:t/>
      </w:r>
      <w:r>
        <w:rPr>
          <w:rFonts w:ascii="Arial" w:cs="Arial" w:eastAsia="Arial" w:hAnsi="Arial"/>
          <w:sz w:val="18"/>
          <w:szCs w:val="18"/>
          <w:color w:val="FFFFFF"/>
        </w:rPr>
        <w:t>gkn_ar</w:t>
      </w:r>
      <w:r>
        <w:rPr>
          <w:rFonts w:ascii="PMingLiU" w:cs="PMingLiU" w:eastAsia="PMingLiU" w:hAnsi="PMingLiU"/>
          <w:sz w:val="18"/>
          <w:szCs w:val="18"/>
          <w:color w:val="FFFFFF"/>
        </w:rPr>
        <w:t/>
      </w:r>
      <w:r>
        <w:rPr>
          <w:rFonts w:ascii="Arial" w:cs="Arial" w:eastAsia="Arial" w:hAnsi="Arial"/>
          <w:sz w:val="18"/>
          <w:szCs w:val="18"/>
          <w:color w:val="FFFFFF"/>
        </w:rPr>
        <w:t>md</w:t>
      </w:r>
      <w:r>
        <w:rPr>
          <w:rFonts w:ascii="PMingLiU" w:cs="PMingLiU" w:eastAsia="PMingLiU" w:hAnsi="PMingLiU"/>
          <w:sz w:val="18"/>
          <w:szCs w:val="18"/>
          <w:color w:val="FFFFFF"/>
        </w:rPr>
        <w:t/>
      </w:r>
      <w:r>
        <w:rPr>
          <w:rFonts w:ascii="Arial" w:cs="Arial" w:eastAsia="Arial" w:hAnsi="Arial"/>
          <w:sz w:val="18"/>
          <w:szCs w:val="18"/>
          <w:color w:val="FFFFFF"/>
        </w:rPr>
        <w:t>msp</w:t>
      </w:r>
      <w:r>
        <w:rPr>
          <w:rFonts w:ascii="PMingLiU" w:cs="PMingLiU" w:eastAsia="PMingLiU" w:hAnsi="PMingLiU"/>
          <w:sz w:val="18"/>
          <w:szCs w:val="18"/>
          <w:color w:val="FFFFFF"/>
        </w:rPr>
        <w:t/>
      </w:r>
      <w:r>
        <w:rPr>
          <w:rFonts w:ascii="Arial" w:cs="Arial" w:eastAsia="Arial" w:hAnsi="Arial"/>
          <w:sz w:val="18"/>
          <w:szCs w:val="18"/>
          <w:color w:val="FFFFFF"/>
        </w:rPr>
        <w:t>lcu</w:t>
      </w:r>
      <w:r>
        <w:rPr>
          <w:rFonts w:ascii="PMingLiU" w:cs="PMingLiU" w:eastAsia="PMingLiU" w:hAnsi="PMingLiU"/>
          <w:sz w:val="18"/>
          <w:szCs w:val="18"/>
          <w:color w:val="FFFFFF"/>
        </w:rPr>
        <w:t/>
      </w:r>
      <w:r>
        <w:rPr>
          <w:rFonts w:ascii="Arial" w:cs="Arial" w:eastAsia="Arial" w:hAnsi="Arial"/>
          <w:sz w:val="18"/>
          <w:szCs w:val="18"/>
          <w:color w:val="FFFFFF"/>
        </w:rPr>
        <w:t>npmbsar</w:t>
      </w:r>
      <w:r>
        <w:rPr>
          <w:rFonts w:ascii="PMingLiU" w:cs="PMingLiU" w:eastAsia="PMingLiU" w:hAnsi="PMingLiU"/>
          <w:sz w:val="18"/>
          <w:szCs w:val="18"/>
          <w:color w:val="FFFFFF"/>
        </w:rPr>
        <w:t/>
      </w:r>
      <w:r>
        <w:rPr>
          <w:rFonts w:ascii="Arial" w:cs="Arial" w:eastAsia="Arial" w:hAnsi="Arial"/>
          <w:sz w:val="18"/>
          <w:szCs w:val="18"/>
          <w:color w:val="FFFFFF"/>
        </w:rPr>
        <w:t>gllmt_rgmlq</w:t>
      </w:r>
      <w:r>
        <w:rPr>
          <w:rFonts w:ascii="PMingLiU" w:cs="PMingLiU" w:eastAsia="PMingLiU" w:hAnsi="PMingLiU"/>
          <w:sz w:val="18"/>
          <w:szCs w:val="18"/>
          <w:color w:val="FFFFFF"/>
        </w:rPr>
        <w:t/>
      </w:r>
      <w:r>
        <w:rPr>
          <w:rFonts w:ascii="Arial" w:cs="Arial" w:eastAsia="Arial" w:hAnsi="Arial"/>
          <w:sz w:val="18"/>
          <w:szCs w:val="18"/>
          <w:color w:val="FFFFFF"/>
        </w:rPr>
        <w:t>ufgjc</w:t>
      </w:r>
      <w:r>
        <w:rPr>
          <w:rFonts w:ascii="PMingLiU" w:cs="PMingLiU" w:eastAsia="PMingLiU" w:hAnsi="PMingLiU"/>
          <w:sz w:val="18"/>
          <w:szCs w:val="18"/>
          <w:color w:val="FFFFFF"/>
        </w:rPr>
        <w:t/>
      </w:r>
      <w:r>
        <w:rPr>
          <w:rFonts w:ascii="Arial" w:cs="Arial" w:eastAsia="Arial" w:hAnsi="Arial"/>
          <w:sz w:val="18"/>
          <w:szCs w:val="18"/>
          <w:color w:val="FFFFFF"/>
        </w:rPr>
        <w:t xml:space="preserve"> glrcep_rgle</w:t>
      </w:r>
      <w:r>
        <w:rPr>
          <w:rFonts w:ascii="PMingLiU" w:cs="PMingLiU" w:eastAsia="PMingLiU" w:hAnsi="PMingLiU"/>
          <w:sz w:val="18"/>
          <w:szCs w:val="18"/>
          <w:color w:val="FFFFFF"/>
        </w:rPr>
        <w:t/>
      </w:r>
      <w:r>
        <w:rPr>
          <w:rFonts w:ascii="Arial" w:cs="Arial" w:eastAsia="Arial" w:hAnsi="Arial"/>
          <w:sz w:val="18"/>
          <w:szCs w:val="18"/>
          <w:color w:val="FFFFFF"/>
        </w:rPr>
        <w:t>cltgpmlkclr_j</w:t>
      </w:r>
      <w:r>
        <w:rPr>
          <w:rFonts w:ascii="PMingLiU" w:cs="PMingLiU" w:eastAsia="PMingLiU" w:hAnsi="PMingLiU"/>
          <w:sz w:val="18"/>
          <w:szCs w:val="18"/>
          <w:color w:val="FFFFFF"/>
        </w:rPr>
        <w:t/>
      </w:r>
      <w:r>
        <w:rPr>
          <w:rFonts w:ascii="Arial" w:cs="Arial" w:eastAsia="Arial" w:hAnsi="Arial"/>
          <w:sz w:val="18"/>
          <w:szCs w:val="18"/>
          <w:color w:val="FFFFFF"/>
        </w:rPr>
        <w:t>qmag_j</w:t>
      </w:r>
      <w:r>
        <w:rPr>
          <w:rFonts w:ascii="PMingLiU" w:cs="PMingLiU" w:eastAsia="PMingLiU" w:hAnsi="PMingLiU"/>
          <w:sz w:val="18"/>
          <w:szCs w:val="18"/>
          <w:color w:val="FFFFFF"/>
        </w:rPr>
        <w:t/>
      </w:r>
      <w:r>
        <w:rPr>
          <w:rFonts w:ascii="Arial" w:cs="Arial" w:eastAsia="Arial" w:hAnsi="Arial"/>
          <w:sz w:val="18"/>
          <w:szCs w:val="18"/>
          <w:color w:val="FFFFFF"/>
        </w:rPr>
        <w:t>_lb</w:t>
      </w:r>
      <w:r>
        <w:rPr>
          <w:rFonts w:ascii="PMingLiU" w:cs="PMingLiU" w:eastAsia="PMingLiU" w:hAnsi="PMingLiU"/>
          <w:sz w:val="18"/>
          <w:szCs w:val="18"/>
          <w:color w:val="FFFFFF"/>
        </w:rPr>
        <w:t/>
      </w:r>
      <w:r>
        <w:rPr>
          <w:rFonts w:ascii="Arial" w:cs="Arial" w:eastAsia="Arial" w:hAnsi="Arial"/>
          <w:sz w:val="18"/>
          <w:szCs w:val="18"/>
          <w:color w:val="FFFFFF"/>
        </w:rPr>
        <w:t>emtcpl_lac</w:t>
      </w:r>
      <w:r>
        <w:rPr>
          <w:rFonts w:ascii="PMingLiU" w:cs="PMingLiU" w:eastAsia="PMingLiU" w:hAnsi="PMingLiU"/>
          <w:sz w:val="18"/>
          <w:szCs w:val="18"/>
          <w:color w:val="FFFFFF"/>
        </w:rPr>
        <w:t/>
      </w:r>
      <w:r>
        <w:rPr>
          <w:rFonts w:ascii="Arial" w:cs="Arial" w:eastAsia="Arial" w:hAnsi="Arial"/>
          <w:sz w:val="18"/>
          <w:szCs w:val="18"/>
          <w:color w:val="FFFFFF"/>
        </w:rPr>
        <w:t>npglagnjcq</w:t>
      </w:r>
      <w:r>
        <w:rPr>
          <w:rFonts w:ascii="PMingLiU" w:cs="PMingLiU" w:eastAsia="PMingLiU" w:hAnsi="PMingLiU"/>
          <w:sz w:val="18"/>
          <w:szCs w:val="18"/>
          <w:color w:val="FFFFFF"/>
        </w:rPr>
        <w:t/>
      </w:r>
      <w:r>
        <w:rPr>
          <w:rFonts w:ascii="Arial" w:cs="Arial" w:eastAsia="Arial" w:hAnsi="Arial"/>
          <w:sz w:val="18"/>
          <w:szCs w:val="18"/>
          <w:color w:val="FFFFFF"/>
        </w:rPr>
        <w:t>gl</w:t>
      </w:r>
      <w:r>
        <w:rPr>
          <w:rFonts w:ascii="PMingLiU" w:cs="PMingLiU" w:eastAsia="PMingLiU" w:hAnsi="PMingLiU"/>
          <w:sz w:val="18"/>
          <w:szCs w:val="18"/>
          <w:color w:val="FFFFFF"/>
        </w:rPr>
        <w:t/>
      </w:r>
      <w:r>
        <w:rPr>
          <w:rFonts w:ascii="Arial" w:cs="Arial" w:eastAsia="Arial" w:hAnsi="Arial"/>
          <w:sz w:val="18"/>
          <w:szCs w:val="18"/>
          <w:color w:val="FFFFFF"/>
        </w:rPr>
        <w:t>_jj</w:t>
      </w:r>
      <w:r>
        <w:rPr>
          <w:rFonts w:ascii="PMingLiU" w:cs="PMingLiU" w:eastAsia="PMingLiU" w:hAnsi="PMingLiU"/>
          <w:sz w:val="18"/>
          <w:szCs w:val="18"/>
          <w:color w:val="FFFFFF"/>
        </w:rPr>
        <w:t/>
      </w:r>
      <w:r>
        <w:rPr>
          <w:rFonts w:ascii="Arial" w:cs="Arial" w:eastAsia="Arial" w:hAnsi="Arial"/>
          <w:sz w:val="18"/>
          <w:szCs w:val="18"/>
          <w:color w:val="FFFFFF"/>
        </w:rPr>
        <w:t>uc</w:t>
      </w:r>
      <w:r>
        <w:rPr>
          <w:rFonts w:ascii="PMingLiU" w:cs="PMingLiU" w:eastAsia="PMingLiU" w:hAnsi="PMingLiU"/>
          <w:sz w:val="18"/>
          <w:szCs w:val="18"/>
          <w:color w:val="FFFFFF"/>
        </w:rPr>
        <w:t/>
      </w:r>
      <w:r>
        <w:rPr>
          <w:rFonts w:ascii="Arial" w:cs="Arial" w:eastAsia="Arial" w:hAnsi="Arial"/>
          <w:sz w:val="18"/>
          <w:szCs w:val="18"/>
          <w:color w:val="FFFFFF"/>
        </w:rPr>
        <w:t>bm</w:t>
      </w:r>
      <w:r>
        <w:rPr>
          <w:rFonts w:ascii="PMingLiU" w:cs="PMingLiU" w:eastAsia="PMingLiU" w:hAnsi="PMingLiU"/>
          <w:sz w:val="18"/>
          <w:szCs w:val="18"/>
          <w:color w:val="FFFFFF"/>
        </w:rPr>
        <w:t/>
      </w:r>
    </w:p>
    <w:p>
      <w:pPr>
        <w:spacing w:after="0" w:line="229" w:lineRule="exact"/>
        <w:rPr>
          <w:sz w:val="20"/>
          <w:szCs w:val="20"/>
          <w:color w:val="auto"/>
        </w:rPr>
      </w:pPr>
    </w:p>
    <w:p>
      <w:pPr>
        <w:ind w:left="3460"/>
        <w:spacing w:after="0" w:line="219" w:lineRule="exact"/>
        <w:rPr>
          <w:sz w:val="20"/>
          <w:szCs w:val="20"/>
          <w:color w:val="auto"/>
        </w:rPr>
      </w:pPr>
      <w:r>
        <w:rPr>
          <w:rFonts w:ascii="Arial" w:cs="Arial" w:eastAsia="Arial" w:hAnsi="Arial"/>
          <w:sz w:val="18"/>
          <w:szCs w:val="18"/>
          <w:color w:val="FFFFFF"/>
        </w:rPr>
        <w:t>Ssp</w:t>
      </w:r>
      <w:r>
        <w:rPr>
          <w:rFonts w:ascii="PMingLiU" w:cs="PMingLiU" w:eastAsia="PMingLiU" w:hAnsi="PMingLiU"/>
          <w:sz w:val="18"/>
          <w:szCs w:val="18"/>
          <w:color w:val="FFFFFF"/>
        </w:rPr>
        <w:t/>
      </w:r>
      <w:r>
        <w:rPr>
          <w:rFonts w:ascii="Arial" w:cs="Arial" w:eastAsia="Arial" w:hAnsi="Arial"/>
          <w:sz w:val="18"/>
          <w:szCs w:val="18"/>
          <w:color w:val="FFFFFF"/>
        </w:rPr>
        <w:t>bca_p`mlgx_rgml</w:t>
      </w:r>
      <w:r>
        <w:rPr>
          <w:rFonts w:ascii="PMingLiU" w:cs="PMingLiU" w:eastAsia="PMingLiU" w:hAnsi="PMingLiU"/>
          <w:sz w:val="18"/>
          <w:szCs w:val="18"/>
          <w:color w:val="FFFFFF"/>
        </w:rPr>
        <w:t/>
      </w:r>
      <w:r>
        <w:rPr>
          <w:rFonts w:ascii="Arial" w:cs="Arial" w:eastAsia="Arial" w:hAnsi="Arial"/>
          <w:sz w:val="18"/>
          <w:szCs w:val="18"/>
          <w:color w:val="FFFFFF"/>
        </w:rPr>
        <w:t>hmsplcw</w:t>
      </w:r>
      <w:r>
        <w:rPr>
          <w:rFonts w:ascii="PMingLiU" w:cs="PMingLiU" w:eastAsia="PMingLiU" w:hAnsi="PMingLiU"/>
          <w:sz w:val="18"/>
          <w:szCs w:val="18"/>
          <w:color w:val="FFFFFF"/>
        </w:rPr>
        <w:t/>
      </w:r>
      <w:r>
        <w:rPr>
          <w:rFonts w:ascii="Arial" w:cs="Arial" w:eastAsia="Arial" w:hAnsi="Arial"/>
          <w:sz w:val="18"/>
          <w:szCs w:val="18"/>
          <w:color w:val="FFFFFF"/>
        </w:rPr>
        <w:t>glajsbcq</w:t>
      </w:r>
      <w:r>
        <w:rPr>
          <w:rFonts w:ascii="PMingLiU" w:cs="PMingLiU" w:eastAsia="PMingLiU" w:hAnsi="PMingLiU"/>
          <w:sz w:val="18"/>
          <w:szCs w:val="18"/>
          <w:color w:val="FFFFFF"/>
        </w:rPr>
        <w:t/>
      </w:r>
      <w:r>
        <w:rPr>
          <w:rFonts w:ascii="Arial" w:cs="Arial" w:eastAsia="Arial" w:hAnsi="Arial"/>
          <w:sz w:val="18"/>
          <w:szCs w:val="18"/>
          <w:color w:val="FFFFFF"/>
        </w:rPr>
        <w:t>lc_p&amp;rcpk</w:t>
      </w:r>
      <w:r>
        <w:rPr>
          <w:rFonts w:ascii="PMingLiU" w:cs="PMingLiU" w:eastAsia="PMingLiU" w:hAnsi="PMingLiU"/>
          <w:sz w:val="18"/>
          <w:szCs w:val="18"/>
          <w:color w:val="FFFFFF"/>
        </w:rPr>
        <w:t/>
      </w:r>
      <w:r>
        <w:rPr>
          <w:rFonts w:ascii="Arial" w:cs="Arial" w:eastAsia="Arial" w:hAnsi="Arial"/>
          <w:sz w:val="18"/>
          <w:szCs w:val="18"/>
          <w:color w:val="FFFFFF"/>
        </w:rPr>
        <w:t>Wagclac&amp;F_qcb</w:t>
      </w:r>
      <w:r>
        <w:rPr>
          <w:rFonts w:ascii="PMingLiU" w:cs="PMingLiU" w:eastAsia="PMingLiU" w:hAnsi="PMingLiU"/>
          <w:sz w:val="18"/>
          <w:szCs w:val="18"/>
          <w:color w:val="FFFFFF"/>
        </w:rPr>
        <w:t/>
      </w:r>
      <w:r>
        <w:rPr>
          <w:rFonts w:ascii="Arial" w:cs="Arial" w:eastAsia="Arial" w:hAnsi="Arial"/>
          <w:sz w:val="18"/>
          <w:szCs w:val="18"/>
          <w:color w:val="FFFFFF"/>
        </w:rPr>
        <w:t>X_pecrq</w:t>
      </w:r>
      <w:r>
        <w:rPr>
          <w:rFonts w:ascii="PMingLiU" w:cs="PMingLiU" w:eastAsia="PMingLiU" w:hAnsi="PMingLiU"/>
          <w:sz w:val="18"/>
          <w:szCs w:val="18"/>
          <w:color w:val="FFFFFF"/>
        </w:rPr>
        <w:t/>
      </w:r>
      <w:r>
        <w:rPr>
          <w:rFonts w:ascii="Arial" w:cs="Arial" w:eastAsia="Arial" w:hAnsi="Arial"/>
          <w:sz w:val="18"/>
          <w:szCs w:val="18"/>
          <w:color w:val="FFFFFF"/>
        </w:rPr>
        <w:t>+WFXg,</w:t>
      </w:r>
      <w:r>
        <w:rPr>
          <w:rFonts w:ascii="PMingLiU" w:cs="PMingLiU" w:eastAsia="PMingLiU" w:hAnsi="PMingLiU"/>
          <w:sz w:val="18"/>
          <w:szCs w:val="18"/>
          <w:color w:val="FFFFFF"/>
        </w:rPr>
        <w:t/>
      </w:r>
    </w:p>
    <w:p>
      <w:pPr>
        <w:spacing w:after="0" w:line="46" w:lineRule="exact"/>
        <w:rPr>
          <w:sz w:val="20"/>
          <w:szCs w:val="20"/>
          <w:color w:val="auto"/>
        </w:rPr>
      </w:pPr>
    </w:p>
    <w:p>
      <w:pPr>
        <w:ind w:left="3460" w:right="120"/>
        <w:spacing w:after="0" w:line="240" w:lineRule="exact"/>
        <w:rPr>
          <w:sz w:val="20"/>
          <w:szCs w:val="20"/>
          <w:color w:val="auto"/>
        </w:rPr>
      </w:pPr>
      <w:r>
        <w:rPr>
          <w:rFonts w:ascii="Arial" w:cs="Arial" w:eastAsia="Arial" w:hAnsi="Arial"/>
          <w:sz w:val="18"/>
          <w:szCs w:val="18"/>
          <w:color w:val="FFFFFF"/>
        </w:rPr>
        <w:t>_apmqq</w:t>
      </w:r>
      <w:r>
        <w:rPr>
          <w:rFonts w:ascii="PMingLiU" w:cs="PMingLiU" w:eastAsia="PMingLiU" w:hAnsi="PMingLiU"/>
          <w:sz w:val="18"/>
          <w:szCs w:val="18"/>
          <w:color w:val="FFFFFF"/>
        </w:rPr>
        <w:t/>
      </w:r>
      <w:r>
        <w:rPr>
          <w:rFonts w:ascii="Arial" w:cs="Arial" w:eastAsia="Arial" w:hAnsi="Arial"/>
          <w:sz w:val="18"/>
          <w:szCs w:val="18"/>
          <w:color w:val="FFFFFF"/>
        </w:rPr>
        <w:t>qamncq</w:t>
      </w:r>
      <w:r>
        <w:rPr>
          <w:rFonts w:ascii="PMingLiU" w:cs="PMingLiU" w:eastAsia="PMingLiU" w:hAnsi="PMingLiU"/>
          <w:sz w:val="18"/>
          <w:szCs w:val="18"/>
          <w:color w:val="FFFFFF"/>
        </w:rPr>
        <w:t/>
      </w:r>
      <w:r>
        <w:rPr>
          <w:rFonts w:ascii="Arial" w:cs="Arial" w:eastAsia="Arial" w:hAnsi="Arial"/>
          <w:sz w:val="18"/>
          <w:szCs w:val="18"/>
          <w:color w:val="FFFFFF"/>
        </w:rPr>
        <w:t>mlc</w:t>
      </w:r>
      <w:r>
        <w:rPr>
          <w:rFonts w:ascii="PMingLiU" w:cs="PMingLiU" w:eastAsia="PMingLiU" w:hAnsi="PMingLiU"/>
          <w:sz w:val="18"/>
          <w:szCs w:val="18"/>
          <w:color w:val="FFFFFF"/>
        </w:rPr>
        <w:t/>
      </w:r>
      <w:r>
        <w:rPr>
          <w:rFonts w:ascii="Arial" w:cs="Arial" w:eastAsia="Arial" w:hAnsi="Arial"/>
          <w:sz w:val="18"/>
          <w:szCs w:val="18"/>
          <w:color w:val="FFFFFF"/>
        </w:rPr>
        <w:t>rum</w:t>
      </w:r>
      <w:r>
        <w:rPr>
          <w:rFonts w:ascii="PMingLiU" w:cs="PMingLiU" w:eastAsia="PMingLiU" w:hAnsi="PMingLiU"/>
          <w:sz w:val="18"/>
          <w:szCs w:val="18"/>
          <w:color w:val="FFFFFF"/>
        </w:rPr>
        <w:t/>
      </w:r>
      <w:r>
        <w:rPr>
          <w:rFonts w:ascii="Arial" w:cs="Arial" w:eastAsia="Arial" w:hAnsi="Arial"/>
          <w:sz w:val="18"/>
          <w:szCs w:val="18"/>
          <w:color w:val="FFFFFF"/>
        </w:rPr>
        <w:t>_lb</w:t>
      </w:r>
      <w:r>
        <w:rPr>
          <w:rFonts w:ascii="PMingLiU" w:cs="PMingLiU" w:eastAsia="PMingLiU" w:hAnsi="PMingLiU"/>
          <w:sz w:val="18"/>
          <w:szCs w:val="18"/>
          <w:color w:val="FFFFFF"/>
        </w:rPr>
        <w:t/>
      </w:r>
      <w:r>
        <w:rPr>
          <w:rFonts w:ascii="Arial" w:cs="Arial" w:eastAsia="Arial" w:hAnsi="Arial"/>
          <w:sz w:val="18"/>
          <w:szCs w:val="18"/>
          <w:color w:val="FFFFFF"/>
        </w:rPr>
        <w:t>rfpcc</w:t>
      </w:r>
      <w:r>
        <w:rPr>
          <w:rFonts w:ascii="PMingLiU" w:cs="PMingLiU" w:eastAsia="PMingLiU" w:hAnsi="PMingLiU"/>
          <w:sz w:val="18"/>
          <w:szCs w:val="18"/>
          <w:color w:val="FFFFFF"/>
        </w:rPr>
        <w:t/>
      </w:r>
      <w:r>
        <w:rPr>
          <w:rFonts w:ascii="Arial" w:cs="Arial" w:eastAsia="Arial" w:hAnsi="Arial"/>
          <w:sz w:val="18"/>
          <w:szCs w:val="18"/>
          <w:color w:val="FFFFFF"/>
        </w:rPr>
        <w:t>rf_r</w:t>
      </w:r>
      <w:r>
        <w:rPr>
          <w:rFonts w:ascii="PMingLiU" w:cs="PMingLiU" w:eastAsia="PMingLiU" w:hAnsi="PMingLiU"/>
          <w:sz w:val="18"/>
          <w:szCs w:val="18"/>
          <w:color w:val="FFFFFF"/>
        </w:rPr>
        <w:t/>
      </w:r>
      <w:r>
        <w:rPr>
          <w:rFonts w:ascii="Arial" w:cs="Arial" w:eastAsia="Arial" w:hAnsi="Arial"/>
          <w:sz w:val="18"/>
          <w:szCs w:val="18"/>
          <w:color w:val="FFFFFF"/>
        </w:rPr>
        <w:t>_pc</w:t>
      </w:r>
      <w:r>
        <w:rPr>
          <w:rFonts w:ascii="PMingLiU" w:cs="PMingLiU" w:eastAsia="PMingLiU" w:hAnsi="PMingLiU"/>
          <w:sz w:val="18"/>
          <w:szCs w:val="18"/>
          <w:color w:val="FFFFFF"/>
        </w:rPr>
        <w:t/>
      </w:r>
      <w:r>
        <w:rPr>
          <w:rFonts w:ascii="Arial" w:cs="Arial" w:eastAsia="Arial" w:hAnsi="Arial"/>
          <w:sz w:val="18"/>
          <w:szCs w:val="18"/>
          <w:color w:val="FFFFFF"/>
        </w:rPr>
        <w:t>gl</w:t>
      </w:r>
      <w:r>
        <w:rPr>
          <w:rFonts w:ascii="PMingLiU" w:cs="PMingLiU" w:eastAsia="PMingLiU" w:hAnsi="PMingLiU"/>
          <w:sz w:val="18"/>
          <w:szCs w:val="18"/>
          <w:color w:val="FFFFFF"/>
        </w:rPr>
        <w:t/>
      </w:r>
      <w:r>
        <w:rPr>
          <w:rFonts w:ascii="Arial" w:cs="Arial" w:eastAsia="Arial" w:hAnsi="Arial"/>
          <w:sz w:val="18"/>
          <w:szCs w:val="18"/>
          <w:color w:val="FFFFFF"/>
        </w:rPr>
        <w:t>jglc</w:t>
      </w:r>
      <w:r>
        <w:rPr>
          <w:rFonts w:ascii="PMingLiU" w:cs="PMingLiU" w:eastAsia="PMingLiU" w:hAnsi="PMingLiU"/>
          <w:sz w:val="18"/>
          <w:szCs w:val="18"/>
          <w:color w:val="FFFFFF"/>
        </w:rPr>
        <w:t/>
      </w:r>
      <w:r>
        <w:rPr>
          <w:rFonts w:ascii="Arial" w:cs="Arial" w:eastAsia="Arial" w:hAnsi="Arial"/>
          <w:sz w:val="18"/>
          <w:szCs w:val="18"/>
          <w:color w:val="FFFFFF"/>
        </w:rPr>
        <w:t>ugrf</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˪όG</w:t>
      </w:r>
      <w:r>
        <w:rPr>
          <w:rFonts w:ascii="PMingLiU" w:cs="PMingLiU" w:eastAsia="PMingLiU" w:hAnsi="PMingLiU"/>
          <w:sz w:val="18"/>
          <w:szCs w:val="18"/>
          <w:color w:val="FFFFFF"/>
        </w:rPr>
        <w:t/>
      </w:r>
      <w:r>
        <w:rPr>
          <w:rFonts w:ascii="Arial" w:cs="Arial" w:eastAsia="Arial" w:hAnsi="Arial"/>
          <w:sz w:val="18"/>
          <w:szCs w:val="18"/>
          <w:color w:val="FFFFFF"/>
        </w:rPr>
        <w:t>ckgqqgmlq</w:t>
      </w:r>
      <w:r>
        <w:rPr>
          <w:rFonts w:ascii="PMingLiU" w:cs="PMingLiU" w:eastAsia="PMingLiU" w:hAnsi="PMingLiU"/>
          <w:sz w:val="18"/>
          <w:szCs w:val="18"/>
          <w:color w:val="FFFFFF"/>
        </w:rPr>
        <w:t/>
      </w:r>
      <w:r>
        <w:rPr>
          <w:rFonts w:ascii="Arial" w:cs="Arial" w:eastAsia="Arial" w:hAnsi="Arial"/>
          <w:sz w:val="18"/>
          <w:szCs w:val="18"/>
          <w:color w:val="FFFFFF"/>
        </w:rPr>
        <w:t>qacl_pgmq</w:t>
      </w:r>
      <w:r>
        <w:rPr>
          <w:rFonts w:ascii="PMingLiU" w:cs="PMingLiU" w:eastAsia="PMingLiU" w:hAnsi="PMingLiU"/>
          <w:sz w:val="18"/>
          <w:szCs w:val="18"/>
          <w:color w:val="FFFFFF"/>
        </w:rPr>
        <w:t/>
      </w:r>
      <w:r>
        <w:rPr>
          <w:rFonts w:ascii="Arial" w:cs="Arial" w:eastAsia="Arial" w:hAnsi="Arial"/>
          <w:sz w:val="18"/>
          <w:szCs w:val="18"/>
          <w:color w:val="FFFFFF"/>
        </w:rPr>
        <w:t xml:space="preserve"> rm</w:t>
      </w:r>
      <w:r>
        <w:rPr>
          <w:rFonts w:ascii="PMingLiU" w:cs="PMingLiU" w:eastAsia="PMingLiU" w:hAnsi="PMingLiU"/>
          <w:sz w:val="18"/>
          <w:szCs w:val="18"/>
          <w:color w:val="FFFFFF"/>
        </w:rPr>
        <w:t/>
      </w:r>
      <w:r>
        <w:rPr>
          <w:rFonts w:ascii="Arial" w:cs="Arial" w:eastAsia="Arial" w:hAnsi="Arial"/>
          <w:sz w:val="18"/>
          <w:szCs w:val="18"/>
          <w:color w:val="FFFFFF"/>
        </w:rPr>
        <w:t>clqspc</w:t>
      </w:r>
      <w:r>
        <w:rPr>
          <w:rFonts w:ascii="PMingLiU" w:cs="PMingLiU" w:eastAsia="PMingLiU" w:hAnsi="PMingLiU"/>
          <w:sz w:val="18"/>
          <w:szCs w:val="18"/>
          <w:color w:val="FFFFFF"/>
        </w:rPr>
        <w:t/>
      </w:r>
      <w:r>
        <w:rPr>
          <w:rFonts w:ascii="Arial" w:cs="Arial" w:eastAsia="Arial" w:hAnsi="Arial"/>
          <w:sz w:val="18"/>
          <w:szCs w:val="18"/>
          <w:color w:val="FFFFFF"/>
        </w:rPr>
        <w:t>rfc</w:t>
      </w:r>
      <w:r>
        <w:rPr>
          <w:rFonts w:ascii="PMingLiU" w:cs="PMingLiU" w:eastAsia="PMingLiU" w:hAnsi="PMingLiU"/>
          <w:sz w:val="18"/>
          <w:szCs w:val="18"/>
          <w:color w:val="FFFFFF"/>
        </w:rPr>
        <w:t/>
      </w:r>
      <w:r>
        <w:rPr>
          <w:rFonts w:ascii="Arial" w:cs="Arial" w:eastAsia="Arial" w:hAnsi="Arial"/>
          <w:sz w:val="18"/>
          <w:szCs w:val="18"/>
          <w:color w:val="FFFFFF"/>
        </w:rPr>
        <w:t>qrpmlecqr</w:t>
      </w:r>
      <w:r>
        <w:rPr>
          <w:rFonts w:ascii="PMingLiU" w:cs="PMingLiU" w:eastAsia="PMingLiU" w:hAnsi="PMingLiU"/>
          <w:sz w:val="18"/>
          <w:szCs w:val="18"/>
          <w:color w:val="FFFFFF"/>
        </w:rPr>
        <w:t/>
      </w:r>
      <w:r>
        <w:rPr>
          <w:rFonts w:ascii="Arial" w:cs="Arial" w:eastAsia="Arial" w:hAnsi="Arial"/>
          <w:sz w:val="18"/>
          <w:szCs w:val="18"/>
          <w:color w:val="FFFFFF"/>
        </w:rPr>
        <w:t>_k`grgml</w:t>
      </w:r>
      <w:r>
        <w:rPr>
          <w:rFonts w:ascii="PMingLiU" w:cs="PMingLiU" w:eastAsia="PMingLiU" w:hAnsi="PMingLiU"/>
          <w:sz w:val="18"/>
          <w:szCs w:val="18"/>
          <w:color w:val="FFFFFF"/>
        </w:rPr>
        <w:t/>
      </w:r>
      <w:r>
        <w:rPr>
          <w:rFonts w:ascii="Arial" w:cs="Arial" w:eastAsia="Arial" w:hAnsi="Arial"/>
          <w:sz w:val="18"/>
          <w:szCs w:val="18"/>
          <w:color w:val="FFFFFF"/>
        </w:rPr>
        <w:t>gl</w:t>
      </w:r>
      <w:r>
        <w:rPr>
          <w:rFonts w:ascii="PMingLiU" w:cs="PMingLiU" w:eastAsia="PMingLiU" w:hAnsi="PMingLiU"/>
          <w:sz w:val="18"/>
          <w:szCs w:val="18"/>
          <w:color w:val="FFFFFF"/>
        </w:rPr>
        <w:t/>
      </w:r>
      <w:r>
        <w:rPr>
          <w:rFonts w:ascii="Arial" w:cs="Arial" w:eastAsia="Arial" w:hAnsi="Arial"/>
          <w:sz w:val="18"/>
          <w:szCs w:val="18"/>
          <w:color w:val="FFFFFF"/>
        </w:rPr>
        <w:t>rfc</w:t>
      </w:r>
      <w:r>
        <w:rPr>
          <w:rFonts w:ascii="PMingLiU" w:cs="PMingLiU" w:eastAsia="PMingLiU" w:hAnsi="PMingLiU"/>
          <w:sz w:val="18"/>
          <w:szCs w:val="18"/>
          <w:color w:val="FFFFFF"/>
        </w:rPr>
        <w:t/>
      </w:r>
      <w:r>
        <w:rPr>
          <w:rFonts w:ascii="Arial" w:cs="Arial" w:eastAsia="Arial" w:hAnsi="Arial"/>
          <w:sz w:val="18"/>
          <w:szCs w:val="18"/>
          <w:color w:val="FFFFFF"/>
        </w:rPr>
        <w:t>qfmpr&amp;rm&amp;kcbgsk</w:t>
      </w:r>
      <w:r>
        <w:rPr>
          <w:rFonts w:ascii="PMingLiU" w:cs="PMingLiU" w:eastAsia="PMingLiU" w:hAnsi="PMingLiU"/>
          <w:sz w:val="18"/>
          <w:szCs w:val="18"/>
          <w:color w:val="FFFFFF"/>
        </w:rPr>
        <w:t/>
      </w:r>
      <w:r>
        <w:rPr>
          <w:rFonts w:ascii="Arial" w:cs="Arial" w:eastAsia="Arial" w:hAnsi="Arial"/>
          <w:sz w:val="18"/>
          <w:szCs w:val="18"/>
          <w:color w:val="FFFFFF"/>
        </w:rPr>
        <w:t>rcpk</w:t>
      </w:r>
      <w:r>
        <w:rPr>
          <w:rFonts w:ascii="PMingLiU" w:cs="PMingLiU" w:eastAsia="PMingLiU" w:hAnsi="PMingLiU"/>
          <w:sz w:val="18"/>
          <w:szCs w:val="18"/>
          <w:color w:val="FFFFFF"/>
        </w:rPr>
        <w:t/>
      </w:r>
    </w:p>
    <w:p>
      <w:pPr>
        <w:spacing w:after="0" w:line="230" w:lineRule="exact"/>
        <w:rPr>
          <w:sz w:val="20"/>
          <w:szCs w:val="20"/>
          <w:color w:val="auto"/>
        </w:rPr>
      </w:pPr>
    </w:p>
    <w:p>
      <w:pPr>
        <w:ind w:left="3460" w:right="320"/>
        <w:spacing w:after="0" w:line="248" w:lineRule="exact"/>
        <w:rPr>
          <w:sz w:val="20"/>
          <w:szCs w:val="20"/>
          <w:color w:val="auto"/>
        </w:rPr>
      </w:pPr>
      <w:r>
        <w:rPr>
          <w:rFonts w:ascii="Arial" w:cs="Arial" w:eastAsia="Arial" w:hAnsi="Arial"/>
          <w:sz w:val="18"/>
          <w:szCs w:val="18"/>
          <w:color w:val="FFFFFF"/>
        </w:rPr>
        <w:t>[c</w:t>
      </w:r>
      <w:r>
        <w:rPr>
          <w:rFonts w:ascii="PMingLiU" w:cs="PMingLiU" w:eastAsia="PMingLiU" w:hAnsi="PMingLiU"/>
          <w:sz w:val="18"/>
          <w:szCs w:val="18"/>
          <w:color w:val="FFFFFF"/>
        </w:rPr>
        <w:t/>
      </w:r>
      <w:r>
        <w:rPr>
          <w:rFonts w:ascii="Arial" w:cs="Arial" w:eastAsia="Arial" w:hAnsi="Arial"/>
          <w:sz w:val="18"/>
          <w:szCs w:val="18"/>
          <w:color w:val="FFFFFF"/>
        </w:rPr>
        <w:t>_pc</w:t>
      </w:r>
      <w:r>
        <w:rPr>
          <w:rFonts w:ascii="PMingLiU" w:cs="PMingLiU" w:eastAsia="PMingLiU" w:hAnsi="PMingLiU"/>
          <w:sz w:val="18"/>
          <w:szCs w:val="18"/>
          <w:color w:val="FFFFFF"/>
        </w:rPr>
        <w:t/>
      </w:r>
      <w:r>
        <w:rPr>
          <w:rFonts w:ascii="Arial" w:cs="Arial" w:eastAsia="Arial" w:hAnsi="Arial"/>
          <w:sz w:val="18"/>
          <w:szCs w:val="18"/>
          <w:color w:val="FFFFFF"/>
        </w:rPr>
        <w:t>amkkgrrcb</w:t>
      </w:r>
      <w:r>
        <w:rPr>
          <w:rFonts w:ascii="PMingLiU" w:cs="PMingLiU" w:eastAsia="PMingLiU" w:hAnsi="PMingLiU"/>
          <w:sz w:val="18"/>
          <w:szCs w:val="18"/>
          <w:color w:val="FFFFFF"/>
        </w:rPr>
        <w:t/>
      </w:r>
      <w:r>
        <w:rPr>
          <w:rFonts w:ascii="Arial" w:cs="Arial" w:eastAsia="Arial" w:hAnsi="Arial"/>
          <w:sz w:val="18"/>
          <w:szCs w:val="18"/>
          <w:color w:val="FFFFFF"/>
        </w:rPr>
        <w:t>rm</w:t>
      </w:r>
      <w:r>
        <w:rPr>
          <w:rFonts w:ascii="PMingLiU" w:cs="PMingLiU" w:eastAsia="PMingLiU" w:hAnsi="PMingLiU"/>
          <w:sz w:val="18"/>
          <w:szCs w:val="18"/>
          <w:color w:val="FFFFFF"/>
        </w:rPr>
        <w:t/>
      </w:r>
      <w:r>
        <w:rPr>
          <w:rFonts w:ascii="Arial" w:cs="Arial" w:eastAsia="Arial" w:hAnsi="Arial"/>
          <w:sz w:val="18"/>
          <w:szCs w:val="18"/>
          <w:color w:val="FFFFFF"/>
        </w:rPr>
        <w:t>pcbsac</w:t>
      </w:r>
      <w:r>
        <w:rPr>
          <w:rFonts w:ascii="PMingLiU" w:cs="PMingLiU" w:eastAsia="PMingLiU" w:hAnsi="PMingLiU"/>
          <w:sz w:val="18"/>
          <w:szCs w:val="18"/>
          <w:color w:val="FFFFFF"/>
        </w:rPr>
        <w:t/>
      </w:r>
      <w:r>
        <w:rPr>
          <w:rFonts w:ascii="Arial" w:cs="Arial" w:eastAsia="Arial" w:hAnsi="Arial"/>
          <w:sz w:val="18"/>
          <w:szCs w:val="18"/>
          <w:color w:val="FFFFFF"/>
        </w:rPr>
        <w:t>_`qmjsrc</w:t>
      </w:r>
      <w:r>
        <w:rPr>
          <w:rFonts w:ascii="PMingLiU" w:cs="PMingLiU" w:eastAsia="PMingLiU" w:hAnsi="PMingLiU"/>
          <w:sz w:val="18"/>
          <w:szCs w:val="18"/>
          <w:color w:val="FFFFFF"/>
        </w:rPr>
        <w:t/>
      </w:r>
      <w:r>
        <w:rPr>
          <w:rFonts w:ascii="Arial" w:cs="Arial" w:eastAsia="Arial" w:hAnsi="Arial"/>
          <w:sz w:val="18"/>
          <w:szCs w:val="18"/>
          <w:color w:val="FFFFFF"/>
        </w:rPr>
        <w:t>qamnc</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_lb</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epccl</w:t>
      </w:r>
      <w:r>
        <w:rPr>
          <w:rFonts w:ascii="PMingLiU" w:cs="PMingLiU" w:eastAsia="PMingLiU" w:hAnsi="PMingLiU"/>
          <w:sz w:val="18"/>
          <w:szCs w:val="18"/>
          <w:color w:val="FFFFFF"/>
        </w:rPr>
        <w:t/>
      </w:r>
      <w:r>
        <w:rPr>
          <w:rFonts w:ascii="Arial" w:cs="Arial" w:eastAsia="Arial" w:hAnsi="Arial"/>
          <w:sz w:val="18"/>
          <w:szCs w:val="18"/>
          <w:color w:val="FFFFFF"/>
        </w:rPr>
        <w:t>fmsqc</w:t>
      </w:r>
      <w:r>
        <w:rPr>
          <w:rFonts w:ascii="PMingLiU" w:cs="PMingLiU" w:eastAsia="PMingLiU" w:hAnsi="PMingLiU"/>
          <w:sz w:val="18"/>
          <w:szCs w:val="18"/>
          <w:color w:val="FFFFFF"/>
        </w:rPr>
        <w:t/>
      </w:r>
      <w:r>
        <w:rPr>
          <w:rFonts w:ascii="Arial" w:cs="Arial" w:eastAsia="Arial" w:hAnsi="Arial"/>
          <w:sz w:val="18"/>
          <w:szCs w:val="18"/>
          <w:color w:val="FFFFFF"/>
        </w:rPr>
        <w:t>e_q</w:t>
      </w:r>
      <w:r>
        <w:rPr>
          <w:rFonts w:ascii="PMingLiU" w:cs="PMingLiU" w:eastAsia="PMingLiU" w:hAnsi="PMingLiU"/>
          <w:sz w:val="18"/>
          <w:szCs w:val="18"/>
          <w:color w:val="FFFFFF"/>
        </w:rPr>
        <w:t/>
      </w:r>
      <w:r>
        <w:rPr>
          <w:rFonts w:ascii="Arial" w:cs="Arial" w:eastAsia="Arial" w:hAnsi="Arial"/>
          <w:sz w:val="18"/>
          <w:szCs w:val="18"/>
          <w:color w:val="FFFFFF"/>
        </w:rPr>
        <w:t>+KLK,</w:t>
      </w:r>
      <w:r>
        <w:rPr>
          <w:rFonts w:ascii="PMingLiU" w:cs="PMingLiU" w:eastAsia="PMingLiU" w:hAnsi="PMingLiU"/>
          <w:sz w:val="18"/>
          <w:szCs w:val="18"/>
          <w:color w:val="FFFFFF"/>
        </w:rPr>
        <w:t/>
      </w:r>
      <w:r>
        <w:rPr>
          <w:rFonts w:ascii="Arial" w:cs="Arial" w:eastAsia="Arial" w:hAnsi="Arial"/>
          <w:sz w:val="18"/>
          <w:szCs w:val="18"/>
          <w:color w:val="FFFFFF"/>
        </w:rPr>
        <w:t xml:space="preserve"> ckgqqgmlq</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ncpaclr</w:t>
      </w:r>
      <w:r>
        <w:rPr>
          <w:rFonts w:ascii="PMingLiU" w:cs="PMingLiU" w:eastAsia="PMingLiU" w:hAnsi="PMingLiU"/>
          <w:sz w:val="18"/>
          <w:szCs w:val="18"/>
          <w:color w:val="FFFFFF"/>
        </w:rPr>
        <w:t/>
      </w:r>
      <w:r>
        <w:rPr>
          <w:rFonts w:ascii="Arial" w:cs="Arial" w:eastAsia="Arial" w:hAnsi="Arial"/>
          <w:sz w:val="18"/>
          <w:szCs w:val="18"/>
          <w:color w:val="FFFFFF"/>
        </w:rPr>
        <w:t>`w</w:t>
      </w:r>
      <w:r>
        <w:rPr>
          <w:rFonts w:ascii="PMingLiU" w:cs="PMingLiU" w:eastAsia="PMingLiU" w:hAnsi="PMingLiU"/>
          <w:sz w:val="18"/>
          <w:szCs w:val="18"/>
          <w:color w:val="FFFFFF"/>
        </w:rPr>
        <w:t/>
      </w:r>
      <w:r>
        <w:rPr>
          <w:rFonts w:ascii="Arial" w:cs="Arial" w:eastAsia="Arial" w:hAnsi="Arial"/>
          <w:sz w:val="18"/>
          <w:szCs w:val="18"/>
          <w:color w:val="FFFFFF"/>
        </w:rPr>
        <w:t>J]˧˥˨˧</w:t>
      </w:r>
      <w:r>
        <w:rPr>
          <w:rFonts w:ascii="PMingLiU" w:cs="PMingLiU" w:eastAsia="PMingLiU" w:hAnsi="PMingLiU"/>
          <w:sz w:val="18"/>
          <w:szCs w:val="18"/>
          <w:color w:val="FFFFFF"/>
        </w:rPr>
        <w:t/>
      </w:r>
      <w:r>
        <w:rPr>
          <w:rFonts w:ascii="Arial" w:cs="Arial" w:eastAsia="Arial" w:hAnsi="Arial"/>
          <w:sz w:val="18"/>
          <w:szCs w:val="18"/>
          <w:color w:val="FFFFFF"/>
        </w:rPr>
        <w:t>dpmk</w:t>
      </w:r>
      <w:r>
        <w:rPr>
          <w:rFonts w:ascii="PMingLiU" w:cs="PMingLiU" w:eastAsia="PMingLiU" w:hAnsi="PMingLiU"/>
          <w:sz w:val="18"/>
          <w:szCs w:val="18"/>
          <w:color w:val="FFFFFF"/>
        </w:rPr>
        <w:t/>
      </w:r>
      <w:r>
        <w:rPr>
          <w:rFonts w:ascii="Arial" w:cs="Arial" w:eastAsia="Arial" w:hAnsi="Arial"/>
          <w:sz w:val="18"/>
          <w:szCs w:val="18"/>
          <w:color w:val="FFFFFF"/>
        </w:rPr>
        <w:t>_</w:t>
      </w:r>
      <w:r>
        <w:rPr>
          <w:rFonts w:ascii="PMingLiU" w:cs="PMingLiU" w:eastAsia="PMingLiU" w:hAnsi="PMingLiU"/>
          <w:sz w:val="18"/>
          <w:szCs w:val="18"/>
          <w:color w:val="FFFFFF"/>
        </w:rPr>
        <w:t/>
      </w:r>
      <w:r>
        <w:rPr>
          <w:rFonts w:ascii="Arial" w:cs="Arial" w:eastAsia="Arial" w:hAnsi="Arial"/>
          <w:sz w:val="18"/>
          <w:szCs w:val="18"/>
          <w:color w:val="FFFFFF"/>
        </w:rPr>
        <w:t>J]˧˥˧˧</w:t>
      </w:r>
      <w:r>
        <w:rPr>
          <w:rFonts w:ascii="PMingLiU" w:cs="PMingLiU" w:eastAsia="PMingLiU" w:hAnsi="PMingLiU"/>
          <w:sz w:val="18"/>
          <w:szCs w:val="18"/>
          <w:color w:val="FFFFFF"/>
        </w:rPr>
        <w:t/>
      </w:r>
      <w:r>
        <w:rPr>
          <w:rFonts w:ascii="Arial" w:cs="Arial" w:eastAsia="Arial" w:hAnsi="Arial"/>
          <w:sz w:val="18"/>
          <w:szCs w:val="18"/>
          <w:color w:val="FFFFFF"/>
        </w:rPr>
        <w:t>`_qcjglc</w:t>
      </w:r>
      <w:r>
        <w:rPr>
          <w:rFonts w:ascii="PMingLiU" w:cs="PMingLiU" w:eastAsia="PMingLiU" w:hAnsi="PMingLiU"/>
          <w:sz w:val="18"/>
          <w:szCs w:val="18"/>
          <w:color w:val="FFFFFF"/>
        </w:rPr>
        <w:t/>
      </w:r>
      <w:r>
        <w:rPr>
          <w:rFonts w:ascii="Arial" w:cs="Arial" w:eastAsia="Arial" w:hAnsi="Arial"/>
          <w:sz w:val="18"/>
          <w:szCs w:val="18"/>
          <w:color w:val="FFFFFF"/>
        </w:rPr>
        <w:t>wc_p</w:t>
      </w:r>
      <w:r>
        <w:rPr>
          <w:rFonts w:ascii="PMingLiU" w:cs="PMingLiU" w:eastAsia="PMingLiU" w:hAnsi="PMingLiU"/>
          <w:sz w:val="18"/>
          <w:szCs w:val="18"/>
          <w:color w:val="FFFFFF"/>
        </w:rPr>
        <w:t/>
      </w:r>
      <w:r>
        <w:rPr>
          <w:rFonts w:ascii="Arial" w:cs="Arial" w:eastAsia="Arial" w:hAnsi="Arial"/>
          <w:sz w:val="18"/>
          <w:szCs w:val="18"/>
          <w:color w:val="FFFFFF"/>
        </w:rPr>
        <w:t>_lb</w:t>
      </w:r>
      <w:r>
        <w:rPr>
          <w:rFonts w:ascii="PMingLiU" w:cs="PMingLiU" w:eastAsia="PMingLiU" w:hAnsi="PMingLiU"/>
          <w:sz w:val="18"/>
          <w:szCs w:val="18"/>
          <w:color w:val="FFFFFF"/>
        </w:rPr>
        <w:t/>
      </w:r>
      <w:r>
        <w:rPr>
          <w:rFonts w:ascii="Arial" w:cs="Arial" w:eastAsia="Arial" w:hAnsi="Arial"/>
          <w:sz w:val="18"/>
          <w:szCs w:val="18"/>
          <w:color w:val="FFFFFF"/>
        </w:rPr>
        <w:t>rm</w:t>
      </w:r>
      <w:r>
        <w:rPr>
          <w:rFonts w:ascii="PMingLiU" w:cs="PMingLiU" w:eastAsia="PMingLiU" w:hAnsi="PMingLiU"/>
          <w:sz w:val="18"/>
          <w:szCs w:val="18"/>
          <w:color w:val="FFFFFF"/>
        </w:rPr>
        <w:t/>
      </w:r>
      <w:r>
        <w:rPr>
          <w:rFonts w:ascii="Arial" w:cs="Arial" w:eastAsia="Arial" w:hAnsi="Arial"/>
          <w:sz w:val="18"/>
          <w:szCs w:val="18"/>
          <w:color w:val="FFFFFF"/>
        </w:rPr>
        <w:t>pcbsac</w:t>
      </w:r>
      <w:r>
        <w:rPr>
          <w:rFonts w:ascii="PMingLiU" w:cs="PMingLiU" w:eastAsia="PMingLiU" w:hAnsi="PMingLiU"/>
          <w:sz w:val="18"/>
          <w:szCs w:val="18"/>
          <w:color w:val="FFFFFF"/>
        </w:rPr>
        <w:t/>
      </w:r>
      <w:r>
        <w:rPr>
          <w:rFonts w:ascii="Arial" w:cs="Arial" w:eastAsia="Arial" w:hAnsi="Arial"/>
          <w:sz w:val="18"/>
          <w:szCs w:val="18"/>
          <w:color w:val="FFFFFF"/>
        </w:rPr>
        <w:t xml:space="preserve"> _`qmjsrc</w:t>
      </w:r>
      <w:r>
        <w:rPr>
          <w:rFonts w:ascii="PMingLiU" w:cs="PMingLiU" w:eastAsia="PMingLiU" w:hAnsi="PMingLiU"/>
          <w:sz w:val="18"/>
          <w:szCs w:val="18"/>
          <w:color w:val="FFFFFF"/>
        </w:rPr>
        <w:t/>
      </w:r>
      <w:r>
        <w:rPr>
          <w:rFonts w:ascii="Arial" w:cs="Arial" w:eastAsia="Arial" w:hAnsi="Arial"/>
          <w:sz w:val="18"/>
          <w:szCs w:val="18"/>
          <w:color w:val="FFFFFF"/>
        </w:rPr>
        <w:t>qamnc</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KLK</w:t>
      </w:r>
      <w:r>
        <w:rPr>
          <w:rFonts w:ascii="PMingLiU" w:cs="PMingLiU" w:eastAsia="PMingLiU" w:hAnsi="PMingLiU"/>
          <w:sz w:val="18"/>
          <w:szCs w:val="18"/>
          <w:color w:val="FFFFFF"/>
        </w:rPr>
        <w:t/>
      </w:r>
      <w:r>
        <w:rPr>
          <w:rFonts w:ascii="Arial" w:cs="Arial" w:eastAsia="Arial" w:hAnsi="Arial"/>
          <w:sz w:val="18"/>
          <w:szCs w:val="18"/>
          <w:color w:val="FFFFFF"/>
        </w:rPr>
        <w:t>ckgqqgmlq</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ncpaclr</w:t>
      </w:r>
      <w:r>
        <w:rPr>
          <w:rFonts w:ascii="PMingLiU" w:cs="PMingLiU" w:eastAsia="PMingLiU" w:hAnsi="PMingLiU"/>
          <w:sz w:val="18"/>
          <w:szCs w:val="18"/>
          <w:color w:val="FFFFFF"/>
        </w:rPr>
        <w:t/>
      </w:r>
      <w:r>
        <w:rPr>
          <w:rFonts w:ascii="Arial" w:cs="Arial" w:eastAsia="Arial" w:hAnsi="Arial"/>
          <w:sz w:val="18"/>
          <w:szCs w:val="18"/>
          <w:color w:val="FFFFFF"/>
        </w:rPr>
        <w:t>ugrfgl</w:t>
      </w:r>
      <w:r>
        <w:rPr>
          <w:rFonts w:ascii="PMingLiU" w:cs="PMingLiU" w:eastAsia="PMingLiU" w:hAnsi="PMingLiU"/>
          <w:sz w:val="18"/>
          <w:szCs w:val="18"/>
          <w:color w:val="FFFFFF"/>
        </w:rPr>
        <w:t/>
      </w:r>
      <w:r>
        <w:rPr>
          <w:rFonts w:ascii="Arial" w:cs="Arial" w:eastAsia="Arial" w:hAnsi="Arial"/>
          <w:sz w:val="18"/>
          <w:szCs w:val="18"/>
          <w:color w:val="FFFFFF"/>
        </w:rPr>
        <w:t>rfc</w:t>
      </w:r>
      <w:r>
        <w:rPr>
          <w:rFonts w:ascii="PMingLiU" w:cs="PMingLiU" w:eastAsia="PMingLiU" w:hAnsi="PMingLiU"/>
          <w:sz w:val="18"/>
          <w:szCs w:val="18"/>
          <w:color w:val="FFFFFF"/>
        </w:rPr>
        <w:t/>
      </w:r>
      <w:r>
        <w:rPr>
          <w:rFonts w:ascii="Arial" w:cs="Arial" w:eastAsia="Arial" w:hAnsi="Arial"/>
          <w:sz w:val="18"/>
          <w:szCs w:val="18"/>
          <w:color w:val="FFFFFF"/>
        </w:rPr>
        <w:t>q_kc</w:t>
      </w:r>
      <w:r>
        <w:rPr>
          <w:rFonts w:ascii="PMingLiU" w:cs="PMingLiU" w:eastAsia="PMingLiU" w:hAnsi="PMingLiU"/>
          <w:sz w:val="18"/>
          <w:szCs w:val="18"/>
          <w:color w:val="FFFFFF"/>
        </w:rPr>
        <w:t/>
      </w:r>
      <w:r>
        <w:rPr>
          <w:rFonts w:ascii="Arial" w:cs="Arial" w:eastAsia="Arial" w:hAnsi="Arial"/>
          <w:sz w:val="18"/>
          <w:szCs w:val="18"/>
          <w:color w:val="FFFFFF"/>
        </w:rPr>
        <w:t>rgkcdp_kc</w:t>
      </w:r>
      <w:r>
        <w:rPr>
          <w:rFonts w:ascii="PMingLiU" w:cs="PMingLiU" w:eastAsia="PMingLiU" w:hAnsi="PMingLiU"/>
          <w:sz w:val="18"/>
          <w:szCs w:val="18"/>
          <w:color w:val="FFFFFF"/>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line="146" w:lineRule="exact"/>
        <w:rPr>
          <w:sz w:val="20"/>
          <w:szCs w:val="20"/>
          <w:color w:val="auto"/>
        </w:rPr>
      </w:pPr>
      <w:r>
        <w:rPr>
          <w:rFonts w:ascii="PMingLiU" w:cs="PMingLiU" w:eastAsia="PMingLiU" w:hAnsi="PMingLiU"/>
          <w:sz w:val="12"/>
          <w:szCs w:val="12"/>
          <w:color w:val="FFFFFF"/>
        </w:rPr>
        <w:t/>
      </w:r>
      <w:r>
        <w:rPr>
          <w:rFonts w:ascii="Arial" w:cs="Arial" w:eastAsia="Arial" w:hAnsi="Arial"/>
          <w:sz w:val="12"/>
          <w:szCs w:val="12"/>
          <w:color w:val="FFFFFF"/>
        </w:rPr>
        <w:t>Xfc</w:t>
      </w:r>
      <w:r>
        <w:rPr>
          <w:rFonts w:ascii="PMingLiU" w:cs="PMingLiU" w:eastAsia="PMingLiU" w:hAnsi="PMingLiU"/>
          <w:sz w:val="12"/>
          <w:szCs w:val="12"/>
          <w:color w:val="FFFFFF"/>
        </w:rPr>
        <w:t/>
      </w:r>
      <w:r>
        <w:rPr>
          <w:rFonts w:ascii="Arial" w:cs="Arial" w:eastAsia="Arial" w:hAnsi="Arial"/>
          <w:sz w:val="12"/>
          <w:szCs w:val="12"/>
          <w:color w:val="FFFFFF"/>
        </w:rPr>
        <w:t>r_pecr</w:t>
      </w:r>
      <w:r>
        <w:rPr>
          <w:rFonts w:ascii="PMingLiU" w:cs="PMingLiU" w:eastAsia="PMingLiU" w:hAnsi="PMingLiU"/>
          <w:sz w:val="12"/>
          <w:szCs w:val="12"/>
          <w:color w:val="FFFFFF"/>
        </w:rPr>
        <w:t/>
      </w:r>
      <w:r>
        <w:rPr>
          <w:rFonts w:ascii="Arial" w:cs="Arial" w:eastAsia="Arial" w:hAnsi="Arial"/>
          <w:sz w:val="12"/>
          <w:szCs w:val="12"/>
          <w:color w:val="FFFFFF"/>
        </w:rPr>
        <w:t>`mslb_pw</w:t>
      </w:r>
      <w:r>
        <w:rPr>
          <w:rFonts w:ascii="PMingLiU" w:cs="PMingLiU" w:eastAsia="PMingLiU" w:hAnsi="PMingLiU"/>
          <w:sz w:val="12"/>
          <w:szCs w:val="12"/>
          <w:color w:val="FFFFFF"/>
        </w:rPr>
        <w:t/>
      </w:r>
      <w:r>
        <w:rPr>
          <w:rFonts w:ascii="Arial" w:cs="Arial" w:eastAsia="Arial" w:hAnsi="Arial"/>
          <w:sz w:val="12"/>
          <w:szCs w:val="12"/>
          <w:color w:val="FFFFFF"/>
        </w:rPr>
        <w:t>glajsbcq</w:t>
      </w:r>
      <w:r>
        <w:rPr>
          <w:rFonts w:ascii="PMingLiU" w:cs="PMingLiU" w:eastAsia="PMingLiU" w:hAnsi="PMingLiU"/>
          <w:sz w:val="12"/>
          <w:szCs w:val="12"/>
          <w:color w:val="FFFFFF"/>
        </w:rPr>
        <w:t/>
      </w:r>
      <w:r>
        <w:rPr>
          <w:rFonts w:ascii="Arial" w:cs="Arial" w:eastAsia="Arial" w:hAnsi="Arial"/>
          <w:sz w:val="12"/>
          <w:szCs w:val="12"/>
          <w:color w:val="FFFFFF"/>
        </w:rPr>
        <w:t>j_lb&amp;pcj_rcb</w:t>
      </w:r>
      <w:r>
        <w:rPr>
          <w:rFonts w:ascii="PMingLiU" w:cs="PMingLiU" w:eastAsia="PMingLiU" w:hAnsi="PMingLiU"/>
          <w:sz w:val="12"/>
          <w:szCs w:val="12"/>
          <w:color w:val="FFFFFF"/>
        </w:rPr>
        <w:t/>
      </w:r>
      <w:r>
        <w:rPr>
          <w:rFonts w:ascii="Arial" w:cs="Arial" w:eastAsia="Arial" w:hAnsi="Arial"/>
          <w:sz w:val="12"/>
          <w:szCs w:val="12"/>
          <w:color w:val="FFFFFF"/>
        </w:rPr>
        <w:t>ckgqqgmlq</w:t>
      </w:r>
      <w:r>
        <w:rPr>
          <w:rFonts w:ascii="PMingLiU" w:cs="PMingLiU" w:eastAsia="PMingLiU" w:hAnsi="PMingLiU"/>
          <w:sz w:val="12"/>
          <w:szCs w:val="12"/>
          <w:color w:val="FFFFFF"/>
        </w:rPr>
        <w:t/>
      </w:r>
      <w:r>
        <w:rPr>
          <w:rFonts w:ascii="Arial" w:cs="Arial" w:eastAsia="Arial" w:hAnsi="Arial"/>
          <w:sz w:val="12"/>
          <w:szCs w:val="12"/>
          <w:color w:val="FFFFFF"/>
        </w:rPr>
        <w:t>_lb</w:t>
      </w:r>
      <w:r>
        <w:rPr>
          <w:rFonts w:ascii="PMingLiU" w:cs="PMingLiU" w:eastAsia="PMingLiU" w:hAnsi="PMingLiU"/>
          <w:sz w:val="12"/>
          <w:szCs w:val="12"/>
          <w:color w:val="FFFFFF"/>
        </w:rPr>
        <w:t/>
      </w:r>
      <w:r>
        <w:rPr>
          <w:rFonts w:ascii="Arial" w:cs="Arial" w:eastAsia="Arial" w:hAnsi="Arial"/>
          <w:sz w:val="12"/>
          <w:szCs w:val="12"/>
          <w:color w:val="FFFFFF"/>
        </w:rPr>
        <w:t>pckmt_jq</w:t>
      </w:r>
      <w:r>
        <w:rPr>
          <w:rFonts w:ascii="PMingLiU" w:cs="PMingLiU" w:eastAsia="PMingLiU" w:hAnsi="PMingLiU"/>
          <w:sz w:val="12"/>
          <w:szCs w:val="12"/>
          <w:color w:val="FFFFFF"/>
        </w:rPr>
        <w:t/>
      </w:r>
      <w:r>
        <w:rPr>
          <w:rFonts w:ascii="Arial" w:cs="Arial" w:eastAsia="Arial" w:hAnsi="Arial"/>
          <w:sz w:val="12"/>
          <w:szCs w:val="12"/>
          <w:color w:val="FFFFFF"/>
        </w:rPr>
        <w:t>dpmk</w:t>
      </w:r>
      <w:r>
        <w:rPr>
          <w:rFonts w:ascii="PMingLiU" w:cs="PMingLiU" w:eastAsia="PMingLiU" w:hAnsi="PMingLiU"/>
          <w:sz w:val="12"/>
          <w:szCs w:val="12"/>
          <w:color w:val="FFFFFF"/>
        </w:rPr>
        <w:t/>
      </w:r>
      <w:r>
        <w:rPr>
          <w:rFonts w:ascii="Arial" w:cs="Arial" w:eastAsia="Arial" w:hAnsi="Arial"/>
          <w:sz w:val="12"/>
          <w:szCs w:val="12"/>
          <w:color w:val="FFFFFF"/>
        </w:rPr>
        <w:t>`gmclcpew</w:t>
      </w:r>
      <w:r>
        <w:rPr>
          <w:rFonts w:ascii="PMingLiU" w:cs="PMingLiU" w:eastAsia="PMingLiU" w:hAnsi="PMingLiU"/>
          <w:sz w:val="12"/>
          <w:szCs w:val="12"/>
          <w:color w:val="FFFFFF"/>
        </w:rPr>
        <w:t/>
      </w:r>
      <w:r>
        <w:rPr>
          <w:rFonts w:ascii="Arial" w:cs="Arial" w:eastAsia="Arial" w:hAnsi="Arial"/>
          <w:sz w:val="12"/>
          <w:szCs w:val="12"/>
          <w:color w:val="FFFFFF"/>
        </w:rPr>
        <w:t>dccbqrmaiq</w:t>
      </w:r>
      <w:r>
        <w:rPr>
          <w:rFonts w:ascii="PMingLiU" w:cs="PMingLiU" w:eastAsia="PMingLiU" w:hAnsi="PMingLiU"/>
          <w:sz w:val="12"/>
          <w:szCs w:val="12"/>
          <w:color w:val="FFFFFF"/>
        </w:rPr>
        <w:t/>
      </w:r>
    </w:p>
    <w:p>
      <w:pPr>
        <w:sectPr>
          <w:pgSz w:w="12240" w:h="15840" w:orient="portrait"/>
          <w:cols w:equalWidth="0" w:num="1">
            <w:col w:w="10000"/>
          </w:cols>
          <w:pgMar w:left="1120" w:top="1440" w:right="1120" w:bottom="0" w:gutter="0" w:footer="0" w:header="0"/>
        </w:sectPr>
      </w:pPr>
    </w:p>
    <w:p>
      <w:pPr>
        <w:spacing w:after="0" w:line="148" w:lineRule="exact"/>
        <w:rPr>
          <w:sz w:val="20"/>
          <w:szCs w:val="20"/>
          <w:color w:val="auto"/>
        </w:rPr>
      </w:pPr>
    </w:p>
    <w:p>
      <w:pPr>
        <w:ind w:left="940"/>
        <w:spacing w:after="0"/>
        <w:rPr>
          <w:sz w:val="20"/>
          <w:szCs w:val="20"/>
          <w:color w:val="auto"/>
        </w:rPr>
      </w:pPr>
      <w:r>
        <w:rPr>
          <w:sz w:val="1"/>
          <w:szCs w:val="1"/>
          <w:color w:val="auto"/>
        </w:rPr>
        <w:drawing>
          <wp:inline distT="0" distB="0" distL="0" distR="0">
            <wp:extent cx="93345" cy="19113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2">
                      <a:extLst>
                        <a:ext uri="{28A0092B-C50C-407E-A947-70E740481C1C}"/>
                      </a:extLst>
                    </a:blip>
                    <a:srcRect/>
                    <a:stretch>
                      <a:fillRect/>
                    </a:stretch>
                  </pic:blipFill>
                  <pic:spPr bwMode="auto">
                    <a:xfrm>
                      <a:off x="0" y="0"/>
                      <a:ext cx="93345" cy="191135"/>
                    </a:xfrm>
                    <a:prstGeom prst="rect">
                      <a:avLst/>
                    </a:prstGeom>
                    <a:noFill/>
                    <a:ln>
                      <a:noFill/>
                    </a:ln>
                  </pic:spPr>
                </pic:pic>
              </a:graphicData>
            </a:graphic>
          </wp:inline>
        </w:drawing>
      </w:r>
      <w:r>
        <w:rPr>
          <w:rFonts w:ascii="Arial" w:cs="Arial" w:eastAsia="Arial" w:hAnsi="Arial"/>
          <w:sz w:val="19"/>
          <w:szCs w:val="19"/>
          <w:b w:val="1"/>
          <w:bCs w:val="1"/>
          <w:color w:val="FFFFFF"/>
        </w:rPr>
        <w:t xml:space="preserve"> ˦˩</w:t>
      </w:r>
    </w:p>
    <w:p>
      <w:pPr>
        <w:sectPr>
          <w:pgSz w:w="12240" w:h="15840" w:orient="portrait"/>
          <w:cols w:equalWidth="0" w:num="1">
            <w:col w:w="10000"/>
          </w:cols>
          <w:pgMar w:left="1120" w:top="1440" w:right="1120" w:bottom="0" w:gutter="0" w:footer="0" w:header="0"/>
          <w:type w:val="continuous"/>
        </w:sectPr>
      </w:pPr>
    </w:p>
    <w:bookmarkStart w:id="14" w:name="page15"/>
    <w:bookmarkEnd w:id="14"/>
    <w:p>
      <w:pPr>
        <w:spacing w:after="0"/>
        <w:rPr>
          <w:sz w:val="20"/>
          <w:szCs w:val="20"/>
          <w:color w:val="auto"/>
        </w:rPr>
      </w:pPr>
      <w:r>
        <w:rPr>
          <w:rFonts w:ascii="Arial" w:cs="Arial" w:eastAsia="Arial" w:hAnsi="Arial"/>
          <w:sz w:val="55"/>
          <w:szCs w:val="55"/>
          <w:color w:val="66C3C4"/>
        </w:rPr>
        <w:drawing>
          <wp:anchor simplePos="0" relativeHeight="251657728" behindDoc="1" locked="0" layoutInCell="0" allowOverlap="1">
            <wp:simplePos x="0" y="0"/>
            <wp:positionH relativeFrom="page">
              <wp:posOffset>687070</wp:posOffset>
            </wp:positionH>
            <wp:positionV relativeFrom="page">
              <wp:posOffset>0</wp:posOffset>
            </wp:positionV>
            <wp:extent cx="7085330" cy="10058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3">
                      <a:extLst>
                        <a:ext uri="{28A0092B-C50C-407E-A947-70E740481C1C}"/>
                      </a:extLst>
                    </a:blip>
                    <a:srcRect/>
                    <a:stretch>
                      <a:fillRect/>
                    </a:stretch>
                  </pic:blipFill>
                  <pic:spPr bwMode="auto">
                    <a:xfrm>
                      <a:off x="0" y="0"/>
                      <a:ext cx="7085330" cy="10058400"/>
                    </a:xfrm>
                    <a:prstGeom prst="rect">
                      <a:avLst/>
                    </a:prstGeom>
                    <a:noFill/>
                  </pic:spPr>
                </pic:pic>
              </a:graphicData>
            </a:graphic>
          </wp:anchor>
        </w:drawing>
        <w:t>cltgpmlkclr_j</w:t>
      </w:r>
    </w:p>
    <w:p>
      <w:pPr>
        <w:spacing w:after="0" w:line="290" w:lineRule="exact"/>
        <w:rPr>
          <w:sz w:val="20"/>
          <w:szCs w:val="20"/>
          <w:color w:val="auto"/>
        </w:rPr>
      </w:pPr>
    </w:p>
    <w:p>
      <w:pPr>
        <w:ind w:right="4060"/>
        <w:spacing w:after="0" w:line="255" w:lineRule="exact"/>
        <w:rPr>
          <w:sz w:val="20"/>
          <w:szCs w:val="20"/>
          <w:color w:val="auto"/>
        </w:rPr>
      </w:pPr>
      <w:r>
        <w:rPr>
          <w:rFonts w:ascii="Arial" w:cs="Arial" w:eastAsia="Arial" w:hAnsi="Arial"/>
          <w:sz w:val="20"/>
          <w:szCs w:val="20"/>
          <w:b w:val="1"/>
          <w:bCs w:val="1"/>
          <w:color w:val="66C3C4"/>
        </w:rPr>
        <w:t>Ssp</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amjj_`mp_rgml</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ugrf</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rfc</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Ep`mp</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H_w</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Jmslb_rgml</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gq</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f_tgle</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 xml:space="preserve"> rfc</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dmjjmugle</w:t>
      </w:r>
      <w:r>
        <w:rPr>
          <w:rFonts w:ascii="PMingLiU" w:cs="PMingLiU" w:eastAsia="PMingLiU" w:hAnsi="PMingLiU"/>
          <w:sz w:val="20"/>
          <w:szCs w:val="20"/>
          <w:b w:val="1"/>
          <w:bCs w:val="1"/>
          <w:color w:val="66C3C4"/>
        </w:rPr>
        <w:t/>
      </w:r>
      <w:r>
        <w:rPr>
          <w:rFonts w:ascii="Arial" w:cs="Arial" w:eastAsia="Arial" w:hAnsi="Arial"/>
          <w:sz w:val="20"/>
          <w:szCs w:val="20"/>
          <w:b w:val="1"/>
          <w:bCs w:val="1"/>
          <w:color w:val="66C3C4"/>
        </w:rPr>
        <w:t>gkn_ar</w:t>
      </w:r>
    </w:p>
    <w:p>
      <w:pPr>
        <w:spacing w:after="0" w:line="218" w:lineRule="exact"/>
        <w:rPr>
          <w:sz w:val="20"/>
          <w:szCs w:val="20"/>
          <w:color w:val="auto"/>
        </w:rPr>
      </w:pPr>
    </w:p>
    <w:p>
      <w:pPr>
        <w:ind w:left="2220" w:right="4300"/>
        <w:spacing w:after="0" w:line="242" w:lineRule="exact"/>
        <w:rPr>
          <w:sz w:val="20"/>
          <w:szCs w:val="20"/>
          <w:color w:val="auto"/>
        </w:rPr>
      </w:pPr>
      <w:r>
        <w:rPr>
          <w:rFonts w:ascii="Arial" w:cs="Arial" w:eastAsia="Arial" w:hAnsi="Arial"/>
          <w:sz w:val="18"/>
          <w:szCs w:val="18"/>
          <w:b w:val="1"/>
          <w:bCs w:val="1"/>
          <w:color w:val="634140"/>
        </w:rPr>
        <w:t>Ek_xml</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V_gldmpcqr</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Vcdmpcqr_rgml</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 xml:space="preserve"> gl</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Vmlbĝlg_</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_lb</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Q_rm</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Kpmqqm</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Fp_xgj</w:t>
      </w:r>
    </w:p>
    <w:p>
      <w:pPr>
        <w:spacing w:after="0" w:line="46" w:lineRule="exact"/>
        <w:rPr>
          <w:sz w:val="20"/>
          <w:szCs w:val="20"/>
          <w:color w:val="auto"/>
        </w:rPr>
      </w:pPr>
    </w:p>
    <w:p>
      <w:pPr>
        <w:ind w:left="2220" w:right="3540"/>
        <w:spacing w:after="0" w:line="254" w:lineRule="exact"/>
        <w:rPr>
          <w:sz w:val="20"/>
          <w:szCs w:val="20"/>
          <w:color w:val="auto"/>
        </w:rPr>
      </w:pPr>
      <w:r>
        <w:rPr>
          <w:rFonts w:ascii="Arial" w:cs="Arial" w:eastAsia="Arial" w:hAnsi="Arial"/>
          <w:sz w:val="17"/>
          <w:szCs w:val="17"/>
          <w:color w:val="634140"/>
        </w:rPr>
        <w:t>˧</w:t>
      </w:r>
      <w:r>
        <w:rPr>
          <w:rFonts w:ascii="PMingLiU" w:cs="PMingLiU" w:eastAsia="PMingLiU" w:hAnsi="PMingLiU"/>
          <w:sz w:val="17"/>
          <w:szCs w:val="17"/>
          <w:color w:val="634140"/>
        </w:rPr>
        <w:t/>
      </w:r>
      <w:r>
        <w:rPr>
          <w:rFonts w:ascii="Arial" w:cs="Arial" w:eastAsia="Arial" w:hAnsi="Arial"/>
          <w:sz w:val="17"/>
          <w:szCs w:val="17"/>
          <w:color w:val="634140"/>
        </w:rPr>
        <w:t>˪˥˥</w:t>
      </w:r>
      <w:r>
        <w:rPr>
          <w:rFonts w:ascii="PMingLiU" w:cs="PMingLiU" w:eastAsia="PMingLiU" w:hAnsi="PMingLiU"/>
          <w:sz w:val="17"/>
          <w:szCs w:val="17"/>
          <w:color w:val="634140"/>
        </w:rPr>
        <w:t/>
      </w:r>
      <w:r>
        <w:rPr>
          <w:rFonts w:ascii="Arial" w:cs="Arial" w:eastAsia="Arial" w:hAnsi="Arial"/>
          <w:sz w:val="17"/>
          <w:szCs w:val="17"/>
          <w:color w:val="634140"/>
        </w:rPr>
        <w:t>rpccq</w:t>
      </w:r>
      <w:r>
        <w:rPr>
          <w:rFonts w:ascii="PMingLiU" w:cs="PMingLiU" w:eastAsia="PMingLiU" w:hAnsi="PMingLiU"/>
          <w:sz w:val="17"/>
          <w:szCs w:val="17"/>
          <w:color w:val="634140"/>
        </w:rPr>
        <w:t/>
      </w:r>
      <w:r>
        <w:rPr>
          <w:rFonts w:ascii="Arial" w:cs="Arial" w:eastAsia="Arial" w:hAnsi="Arial"/>
          <w:sz w:val="17"/>
          <w:szCs w:val="17"/>
          <w:color w:val="634140"/>
        </w:rPr>
        <w:t>nj_lrcb</w:t>
      </w:r>
      <w:r>
        <w:rPr>
          <w:rFonts w:ascii="PMingLiU" w:cs="PMingLiU" w:eastAsia="PMingLiU" w:hAnsi="PMingLiU"/>
          <w:sz w:val="17"/>
          <w:szCs w:val="17"/>
          <w:color w:val="634140"/>
        </w:rPr>
        <w:t/>
      </w:r>
      <w:r>
        <w:rPr>
          <w:rFonts w:ascii="Arial" w:cs="Arial" w:eastAsia="Arial" w:hAnsi="Arial"/>
          <w:sz w:val="17"/>
          <w:szCs w:val="17"/>
          <w:color w:val="634140"/>
        </w:rPr>
        <w:t>pcqrmpgle</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npmrcargle</w:t>
      </w:r>
      <w:r>
        <w:rPr>
          <w:rFonts w:ascii="PMingLiU" w:cs="PMingLiU" w:eastAsia="PMingLiU" w:hAnsi="PMingLiU"/>
          <w:sz w:val="17"/>
          <w:szCs w:val="17"/>
          <w:color w:val="634140"/>
        </w:rPr>
        <w:t/>
      </w:r>
      <w:r>
        <w:rPr>
          <w:rFonts w:ascii="Arial" w:cs="Arial" w:eastAsia="Arial" w:hAnsi="Arial"/>
          <w:sz w:val="17"/>
          <w:szCs w:val="17"/>
          <w:color w:val="634140"/>
        </w:rPr>
        <w:t>rfc</w:t>
      </w:r>
      <w:r>
        <w:rPr>
          <w:rFonts w:ascii="PMingLiU" w:cs="PMingLiU" w:eastAsia="PMingLiU" w:hAnsi="PMingLiU"/>
          <w:sz w:val="17"/>
          <w:szCs w:val="17"/>
          <w:color w:val="634140"/>
        </w:rPr>
        <w:t/>
      </w:r>
      <w:r>
        <w:rPr>
          <w:rFonts w:ascii="Arial" w:cs="Arial" w:eastAsia="Arial" w:hAnsi="Arial"/>
          <w:sz w:val="17"/>
          <w:szCs w:val="17"/>
          <w:color w:val="634140"/>
        </w:rPr>
        <w:t xml:space="preserve"> Ek_xml</w:t>
      </w:r>
      <w:r>
        <w:rPr>
          <w:rFonts w:ascii="PMingLiU" w:cs="PMingLiU" w:eastAsia="PMingLiU" w:hAnsi="PMingLiU"/>
          <w:sz w:val="17"/>
          <w:szCs w:val="17"/>
          <w:color w:val="634140"/>
        </w:rPr>
        <w:t/>
      </w:r>
      <w:r>
        <w:rPr>
          <w:rFonts w:ascii="Arial" w:cs="Arial" w:eastAsia="Arial" w:hAnsi="Arial"/>
          <w:sz w:val="17"/>
          <w:szCs w:val="17"/>
          <w:color w:val="634140"/>
        </w:rPr>
        <w:t>q</w:t>
      </w:r>
      <w:r>
        <w:rPr>
          <w:rFonts w:ascii="PMingLiU" w:cs="PMingLiU" w:eastAsia="PMingLiU" w:hAnsi="PMingLiU"/>
          <w:sz w:val="17"/>
          <w:szCs w:val="17"/>
          <w:color w:val="634140"/>
        </w:rPr>
        <w:t/>
      </w:r>
      <w:r>
        <w:rPr>
          <w:rFonts w:ascii="Arial" w:cs="Arial" w:eastAsia="Arial" w:hAnsi="Arial"/>
          <w:sz w:val="17"/>
          <w:szCs w:val="17"/>
          <w:color w:val="634140"/>
        </w:rPr>
        <w:t>tgr_j</w:t>
      </w:r>
      <w:r>
        <w:rPr>
          <w:rFonts w:ascii="PMingLiU" w:cs="PMingLiU" w:eastAsia="PMingLiU" w:hAnsi="PMingLiU"/>
          <w:sz w:val="17"/>
          <w:szCs w:val="17"/>
          <w:color w:val="634140"/>
        </w:rPr>
        <w:t/>
      </w:r>
      <w:r>
        <w:rPr>
          <w:rFonts w:ascii="Arial" w:cs="Arial" w:eastAsia="Arial" w:hAnsi="Arial"/>
          <w:sz w:val="17"/>
          <w:szCs w:val="17"/>
          <w:color w:val="634140"/>
        </w:rPr>
        <w:t>rpcc</w:t>
      </w:r>
      <w:r>
        <w:rPr>
          <w:rFonts w:ascii="PMingLiU" w:cs="PMingLiU" w:eastAsia="PMingLiU" w:hAnsi="PMingLiU"/>
          <w:sz w:val="17"/>
          <w:szCs w:val="17"/>
          <w:color w:val="634140"/>
        </w:rPr>
        <w:t/>
      </w:r>
      <w:r>
        <w:rPr>
          <w:rFonts w:ascii="Arial" w:cs="Arial" w:eastAsia="Arial" w:hAnsi="Arial"/>
          <w:sz w:val="17"/>
          <w:szCs w:val="17"/>
          <w:color w:val="634140"/>
        </w:rPr>
        <w:t>a_lmnw</w:t>
      </w:r>
      <w:r>
        <w:rPr>
          <w:rFonts w:ascii="PMingLiU" w:cs="PMingLiU" w:eastAsia="PMingLiU" w:hAnsi="PMingLiU"/>
          <w:sz w:val="17"/>
          <w:szCs w:val="17"/>
          <w:color w:val="634140"/>
        </w:rPr>
        <w:t/>
      </w:r>
      <w:r>
        <w:rPr>
          <w:rFonts w:ascii="Arial" w:cs="Arial" w:eastAsia="Arial" w:hAnsi="Arial"/>
          <w:sz w:val="17"/>
          <w:szCs w:val="17"/>
          <w:color w:val="634140"/>
        </w:rPr>
        <w:t>R_rgtc</w:t>
      </w:r>
      <w:r>
        <w:rPr>
          <w:rFonts w:ascii="PMingLiU" w:cs="PMingLiU" w:eastAsia="PMingLiU" w:hAnsi="PMingLiU"/>
          <w:sz w:val="17"/>
          <w:szCs w:val="17"/>
          <w:color w:val="634140"/>
        </w:rPr>
        <w:t/>
      </w:r>
      <w:r>
        <w:rPr>
          <w:rFonts w:ascii="Arial" w:cs="Arial" w:eastAsia="Arial" w:hAnsi="Arial"/>
          <w:sz w:val="17"/>
          <w:szCs w:val="17"/>
          <w:color w:val="634140"/>
        </w:rPr>
        <w:t>rpcc</w:t>
      </w:r>
      <w:r>
        <w:rPr>
          <w:rFonts w:ascii="PMingLiU" w:cs="PMingLiU" w:eastAsia="PMingLiU" w:hAnsi="PMingLiU"/>
          <w:sz w:val="17"/>
          <w:szCs w:val="17"/>
          <w:color w:val="634140"/>
        </w:rPr>
        <w:t/>
      </w:r>
      <w:r>
        <w:rPr>
          <w:rFonts w:ascii="Arial" w:cs="Arial" w:eastAsia="Arial" w:hAnsi="Arial"/>
          <w:sz w:val="17"/>
          <w:szCs w:val="17"/>
          <w:color w:val="634140"/>
        </w:rPr>
        <w:t>qncagcq</w:t>
      </w:r>
      <w:r>
        <w:rPr>
          <w:rFonts w:ascii="PMingLiU" w:cs="PMingLiU" w:eastAsia="PMingLiU" w:hAnsi="PMingLiU"/>
          <w:sz w:val="17"/>
          <w:szCs w:val="17"/>
          <w:color w:val="634140"/>
        </w:rPr>
        <w:t/>
      </w:r>
      <w:r>
        <w:rPr>
          <w:rFonts w:ascii="Arial" w:cs="Arial" w:eastAsia="Arial" w:hAnsi="Arial"/>
          <w:sz w:val="17"/>
          <w:szCs w:val="17"/>
          <w:color w:val="634140"/>
        </w:rPr>
        <w:t xml:space="preserve"> qsnnmpr</w:t>
      </w:r>
      <w:r>
        <w:rPr>
          <w:rFonts w:ascii="PMingLiU" w:cs="PMingLiU" w:eastAsia="PMingLiU" w:hAnsi="PMingLiU"/>
          <w:sz w:val="17"/>
          <w:szCs w:val="17"/>
          <w:color w:val="634140"/>
        </w:rPr>
        <w:t/>
      </w:r>
      <w:r>
        <w:rPr>
          <w:rFonts w:ascii="Arial" w:cs="Arial" w:eastAsia="Arial" w:hAnsi="Arial"/>
          <w:sz w:val="17"/>
          <w:szCs w:val="17"/>
          <w:color w:val="634140"/>
        </w:rPr>
        <w:t>rfc</w:t>
      </w:r>
      <w:r>
        <w:rPr>
          <w:rFonts w:ascii="PMingLiU" w:cs="PMingLiU" w:eastAsia="PMingLiU" w:hAnsi="PMingLiU"/>
          <w:sz w:val="17"/>
          <w:szCs w:val="17"/>
          <w:color w:val="634140"/>
        </w:rPr>
        <w:t/>
      </w:r>
      <w:r>
        <w:rPr>
          <w:rFonts w:ascii="Arial" w:cs="Arial" w:eastAsia="Arial" w:hAnsi="Arial"/>
          <w:sz w:val="17"/>
          <w:szCs w:val="17"/>
          <w:color w:val="634140"/>
        </w:rPr>
        <w:t>bgtcpqc</w:t>
      </w:r>
      <w:r>
        <w:rPr>
          <w:rFonts w:ascii="PMingLiU" w:cs="PMingLiU" w:eastAsia="PMingLiU" w:hAnsi="PMingLiU"/>
          <w:sz w:val="17"/>
          <w:szCs w:val="17"/>
          <w:color w:val="634140"/>
        </w:rPr>
        <w:t/>
      </w:r>
      <w:r>
        <w:rPr>
          <w:rFonts w:ascii="Arial" w:cs="Arial" w:eastAsia="Arial" w:hAnsi="Arial"/>
          <w:sz w:val="17"/>
          <w:szCs w:val="17"/>
          <w:color w:val="634140"/>
        </w:rPr>
        <w:t>nj_lr</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_lgk_j</w:t>
      </w:r>
      <w:r>
        <w:rPr>
          <w:rFonts w:ascii="PMingLiU" w:cs="PMingLiU" w:eastAsia="PMingLiU" w:hAnsi="PMingLiU"/>
          <w:sz w:val="17"/>
          <w:szCs w:val="17"/>
          <w:color w:val="634140"/>
        </w:rPr>
        <w:t/>
      </w:r>
      <w:r>
        <w:rPr>
          <w:rFonts w:ascii="Arial" w:cs="Arial" w:eastAsia="Arial" w:hAnsi="Arial"/>
          <w:sz w:val="17"/>
          <w:szCs w:val="17"/>
          <w:color w:val="634140"/>
        </w:rPr>
        <w:t>jgdc</w:t>
      </w:r>
      <w:r>
        <w:rPr>
          <w:rFonts w:ascii="PMingLiU" w:cs="PMingLiU" w:eastAsia="PMingLiU" w:hAnsi="PMingLiU"/>
          <w:sz w:val="17"/>
          <w:szCs w:val="17"/>
          <w:color w:val="634140"/>
        </w:rPr>
        <w:t/>
      </w:r>
      <w:r>
        <w:rPr>
          <w:rFonts w:ascii="Arial" w:cs="Arial" w:eastAsia="Arial" w:hAnsi="Arial"/>
          <w:sz w:val="17"/>
          <w:szCs w:val="17"/>
          <w:color w:val="634140"/>
        </w:rPr>
        <w:t>gl</w:t>
      </w:r>
      <w:r>
        <w:rPr>
          <w:rFonts w:ascii="PMingLiU" w:cs="PMingLiU" w:eastAsia="PMingLiU" w:hAnsi="PMingLiU"/>
          <w:sz w:val="17"/>
          <w:szCs w:val="17"/>
          <w:color w:val="634140"/>
        </w:rPr>
        <w:t/>
      </w:r>
      <w:r>
        <w:rPr>
          <w:rFonts w:ascii="Arial" w:cs="Arial" w:eastAsia="Arial" w:hAnsi="Arial"/>
          <w:sz w:val="17"/>
          <w:szCs w:val="17"/>
          <w:color w:val="634140"/>
        </w:rPr>
        <w:t>rfc</w:t>
      </w:r>
      <w:r>
        <w:rPr>
          <w:rFonts w:ascii="PMingLiU" w:cs="PMingLiU" w:eastAsia="PMingLiU" w:hAnsi="PMingLiU"/>
          <w:sz w:val="17"/>
          <w:szCs w:val="17"/>
          <w:color w:val="634140"/>
        </w:rPr>
        <w:t/>
      </w:r>
      <w:r>
        <w:rPr>
          <w:rFonts w:ascii="Arial" w:cs="Arial" w:eastAsia="Arial" w:hAnsi="Arial"/>
          <w:sz w:val="17"/>
          <w:szCs w:val="17"/>
          <w:color w:val="634140"/>
        </w:rPr>
        <w:t xml:space="preserve"> pcegml</w:t>
      </w:r>
      <w:r>
        <w:rPr>
          <w:rFonts w:ascii="PMingLiU" w:cs="PMingLiU" w:eastAsia="PMingLiU" w:hAnsi="PMingLiU"/>
          <w:sz w:val="17"/>
          <w:szCs w:val="17"/>
          <w:color w:val="634140"/>
        </w:rPr>
        <w:t/>
      </w:r>
      <w:r>
        <w:rPr>
          <w:rFonts w:ascii="Arial" w:cs="Arial" w:eastAsia="Arial" w:hAnsi="Arial"/>
          <w:sz w:val="17"/>
          <w:szCs w:val="17"/>
          <w:color w:val="634140"/>
        </w:rPr>
        <w:t>gknpmtgle</w:t>
      </w:r>
      <w:r>
        <w:rPr>
          <w:rFonts w:ascii="PMingLiU" w:cs="PMingLiU" w:eastAsia="PMingLiU" w:hAnsi="PMingLiU"/>
          <w:sz w:val="17"/>
          <w:szCs w:val="17"/>
          <w:color w:val="634140"/>
        </w:rPr>
        <w:t/>
      </w:r>
      <w:r>
        <w:rPr>
          <w:rFonts w:ascii="Arial" w:cs="Arial" w:eastAsia="Arial" w:hAnsi="Arial"/>
          <w:sz w:val="17"/>
          <w:szCs w:val="17"/>
          <w:color w:val="634140"/>
        </w:rPr>
        <w:t>qmgj</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u_rcp</w:t>
      </w:r>
      <w:r>
        <w:rPr>
          <w:rFonts w:ascii="PMingLiU" w:cs="PMingLiU" w:eastAsia="PMingLiU" w:hAnsi="PMingLiU"/>
          <w:sz w:val="17"/>
          <w:szCs w:val="17"/>
          <w:color w:val="634140"/>
        </w:rPr>
        <w:t/>
      </w:r>
      <w:r>
        <w:rPr>
          <w:rFonts w:ascii="Arial" w:cs="Arial" w:eastAsia="Arial" w:hAnsi="Arial"/>
          <w:sz w:val="17"/>
          <w:szCs w:val="17"/>
          <w:color w:val="634140"/>
        </w:rPr>
        <w:t>os_jgrw</w:t>
      </w:r>
      <w:r>
        <w:rPr>
          <w:rFonts w:ascii="PMingLiU" w:cs="PMingLiU" w:eastAsia="PMingLiU" w:hAnsi="PMingLiU"/>
          <w:sz w:val="17"/>
          <w:szCs w:val="17"/>
          <w:color w:val="634140"/>
        </w:rPr>
        <w:t/>
      </w:r>
      <w:r>
        <w:rPr>
          <w:rFonts w:ascii="Arial" w:cs="Arial" w:eastAsia="Arial" w:hAnsi="Arial"/>
          <w:sz w:val="17"/>
          <w:szCs w:val="17"/>
          <w:color w:val="634140"/>
        </w:rPr>
        <w:t>ufgjc</w:t>
      </w:r>
      <w:r>
        <w:rPr>
          <w:rFonts w:ascii="PMingLiU" w:cs="PMingLiU" w:eastAsia="PMingLiU" w:hAnsi="PMingLiU"/>
          <w:sz w:val="17"/>
          <w:szCs w:val="17"/>
          <w:color w:val="634140"/>
        </w:rPr>
        <w:t/>
      </w:r>
      <w:r>
        <w:rPr>
          <w:rFonts w:ascii="Arial" w:cs="Arial" w:eastAsia="Arial" w:hAnsi="Arial"/>
          <w:sz w:val="17"/>
          <w:szCs w:val="17"/>
          <w:color w:val="634140"/>
        </w:rPr>
        <w:t xml:space="preserve"> npmtgbgle</w:t>
      </w:r>
      <w:r>
        <w:rPr>
          <w:rFonts w:ascii="PMingLiU" w:cs="PMingLiU" w:eastAsia="PMingLiU" w:hAnsi="PMingLiU"/>
          <w:sz w:val="17"/>
          <w:szCs w:val="17"/>
          <w:color w:val="634140"/>
        </w:rPr>
        <w:t/>
      </w:r>
      <w:r>
        <w:rPr>
          <w:rFonts w:ascii="Arial" w:cs="Arial" w:eastAsia="Arial" w:hAnsi="Arial"/>
          <w:sz w:val="17"/>
          <w:szCs w:val="17"/>
          <w:color w:val="634140"/>
        </w:rPr>
        <w:t>pcqmspacq</w:t>
      </w:r>
      <w:r>
        <w:rPr>
          <w:rFonts w:ascii="PMingLiU" w:cs="PMingLiU" w:eastAsia="PMingLiU" w:hAnsi="PMingLiU"/>
          <w:sz w:val="17"/>
          <w:szCs w:val="17"/>
          <w:color w:val="634140"/>
        </w:rPr>
        <w:t/>
      </w:r>
      <w:r>
        <w:rPr>
          <w:rFonts w:ascii="Arial" w:cs="Arial" w:eastAsia="Arial" w:hAnsi="Arial"/>
          <w:sz w:val="17"/>
          <w:szCs w:val="17"/>
          <w:color w:val="634140"/>
        </w:rPr>
        <w:t>dmp</w:t>
      </w:r>
      <w:r>
        <w:rPr>
          <w:rFonts w:ascii="PMingLiU" w:cs="PMingLiU" w:eastAsia="PMingLiU" w:hAnsi="PMingLiU"/>
          <w:sz w:val="17"/>
          <w:szCs w:val="17"/>
          <w:color w:val="634140"/>
        </w:rPr>
        <w:t/>
      </w:r>
      <w:r>
        <w:rPr>
          <w:rFonts w:ascii="Arial" w:cs="Arial" w:eastAsia="Arial" w:hAnsi="Arial"/>
          <w:sz w:val="17"/>
          <w:szCs w:val="17"/>
          <w:color w:val="634140"/>
        </w:rPr>
        <w:t>glbgeclmsq</w:t>
      </w:r>
      <w:r>
        <w:rPr>
          <w:rFonts w:ascii="PMingLiU" w:cs="PMingLiU" w:eastAsia="PMingLiU" w:hAnsi="PMingLiU"/>
          <w:sz w:val="17"/>
          <w:szCs w:val="17"/>
          <w:color w:val="634140"/>
        </w:rPr>
        <w:t/>
      </w:r>
      <w:r>
        <w:rPr>
          <w:rFonts w:ascii="Arial" w:cs="Arial" w:eastAsia="Arial" w:hAnsi="Arial"/>
          <w:sz w:val="17"/>
          <w:szCs w:val="17"/>
          <w:color w:val="634140"/>
        </w:rPr>
        <w:t>amkkslgrgcq</w:t>
      </w:r>
      <w:r>
        <w:rPr>
          <w:rFonts w:ascii="PMingLiU" w:cs="PMingLiU" w:eastAsia="PMingLiU" w:hAnsi="PMingLiU"/>
          <w:sz w:val="17"/>
          <w:szCs w:val="17"/>
          <w:color w:val="634140"/>
        </w:rPr>
        <w:t/>
      </w:r>
    </w:p>
    <w:p>
      <w:pPr>
        <w:spacing w:after="0" w:line="200" w:lineRule="exact"/>
        <w:rPr>
          <w:sz w:val="20"/>
          <w:szCs w:val="20"/>
          <w:color w:val="auto"/>
        </w:rPr>
      </w:pPr>
    </w:p>
    <w:p>
      <w:pPr>
        <w:spacing w:after="0" w:line="391" w:lineRule="exact"/>
        <w:rPr>
          <w:sz w:val="20"/>
          <w:szCs w:val="20"/>
          <w:color w:val="auto"/>
        </w:rPr>
      </w:pPr>
    </w:p>
    <w:p>
      <w:pPr>
        <w:ind w:left="2220" w:right="3640"/>
        <w:spacing w:after="0" w:line="249" w:lineRule="exact"/>
        <w:rPr>
          <w:sz w:val="20"/>
          <w:szCs w:val="20"/>
          <w:color w:val="auto"/>
        </w:rPr>
      </w:pPr>
      <w:r>
        <w:rPr>
          <w:rFonts w:ascii="Arial" w:cs="Arial" w:eastAsia="Arial" w:hAnsi="Arial"/>
          <w:sz w:val="18"/>
          <w:szCs w:val="18"/>
          <w:b w:val="1"/>
          <w:bCs w:val="1"/>
          <w:color w:val="634140"/>
        </w:rPr>
        <w:t>[gjbjgdc</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Gmppgbmp</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dmp</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N_es_p</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_lb</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Srfcp</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 xml:space="preserve"> Wncagcq</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P_esl_</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bc</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Xcpkglmq</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_lb</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T_lr_lmq</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 xml:space="preserve"> bc</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Gclrj_</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R_rspc</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Vcqcptcq</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Qcvgam</w:t>
      </w:r>
    </w:p>
    <w:p>
      <w:pPr>
        <w:spacing w:after="0" w:line="48" w:lineRule="exact"/>
        <w:rPr>
          <w:sz w:val="20"/>
          <w:szCs w:val="20"/>
          <w:color w:val="auto"/>
        </w:rPr>
      </w:pPr>
    </w:p>
    <w:p>
      <w:pPr>
        <w:ind w:left="2220" w:right="3880"/>
        <w:spacing w:after="0" w:line="254" w:lineRule="exact"/>
        <w:rPr>
          <w:sz w:val="20"/>
          <w:szCs w:val="20"/>
          <w:color w:val="auto"/>
        </w:rPr>
      </w:pPr>
      <w:r>
        <w:rPr>
          <w:rFonts w:ascii="Arial" w:cs="Arial" w:eastAsia="Arial" w:hAnsi="Arial"/>
          <w:sz w:val="17"/>
          <w:szCs w:val="17"/>
          <w:color w:val="634140"/>
        </w:rPr>
        <w:t>˧</w:t>
      </w:r>
      <w:r>
        <w:rPr>
          <w:rFonts w:ascii="PMingLiU" w:cs="PMingLiU" w:eastAsia="PMingLiU" w:hAnsi="PMingLiU"/>
          <w:sz w:val="17"/>
          <w:szCs w:val="17"/>
          <w:color w:val="634140"/>
        </w:rPr>
        <w:t/>
      </w:r>
      <w:r>
        <w:rPr>
          <w:rFonts w:ascii="Arial" w:cs="Arial" w:eastAsia="Arial" w:hAnsi="Arial"/>
          <w:sz w:val="17"/>
          <w:szCs w:val="17"/>
          <w:color w:val="634140"/>
        </w:rPr>
        <w:t>˥˥˥</w:t>
      </w:r>
      <w:r>
        <w:rPr>
          <w:rFonts w:ascii="PMingLiU" w:cs="PMingLiU" w:eastAsia="PMingLiU" w:hAnsi="PMingLiU"/>
          <w:sz w:val="17"/>
          <w:szCs w:val="17"/>
          <w:color w:val="634140"/>
        </w:rPr>
        <w:t/>
      </w:r>
      <w:r>
        <w:rPr>
          <w:rFonts w:ascii="Arial" w:cs="Arial" w:eastAsia="Arial" w:hAnsi="Arial"/>
          <w:sz w:val="17"/>
          <w:szCs w:val="17"/>
          <w:color w:val="634140"/>
        </w:rPr>
        <w:t>rpccq</w:t>
      </w:r>
      <w:r>
        <w:rPr>
          <w:rFonts w:ascii="PMingLiU" w:cs="PMingLiU" w:eastAsia="PMingLiU" w:hAnsi="PMingLiU"/>
          <w:sz w:val="17"/>
          <w:szCs w:val="17"/>
          <w:color w:val="634140"/>
        </w:rPr>
        <w:t/>
      </w:r>
      <w:r>
        <w:rPr>
          <w:rFonts w:ascii="Arial" w:cs="Arial" w:eastAsia="Arial" w:hAnsi="Arial"/>
          <w:sz w:val="17"/>
          <w:szCs w:val="17"/>
          <w:color w:val="634140"/>
        </w:rPr>
        <w:t>nj_lrcb</w:t>
      </w:r>
      <w:r>
        <w:rPr>
          <w:rFonts w:ascii="PMingLiU" w:cs="PMingLiU" w:eastAsia="PMingLiU" w:hAnsi="PMingLiU"/>
          <w:sz w:val="17"/>
          <w:szCs w:val="17"/>
          <w:color w:val="634140"/>
        </w:rPr>
        <w:t/>
      </w:r>
      <w:r>
        <w:rPr>
          <w:rFonts w:ascii="Arial" w:cs="Arial" w:eastAsia="Arial" w:hAnsi="Arial"/>
          <w:sz w:val="17"/>
          <w:szCs w:val="17"/>
          <w:color w:val="634140"/>
        </w:rPr>
        <w:t>gl</w:t>
      </w:r>
      <w:r>
        <w:rPr>
          <w:rFonts w:ascii="PMingLiU" w:cs="PMingLiU" w:eastAsia="PMingLiU" w:hAnsi="PMingLiU"/>
          <w:sz w:val="17"/>
          <w:szCs w:val="17"/>
          <w:color w:val="634140"/>
        </w:rPr>
        <w:t/>
      </w:r>
      <w:r>
        <w:rPr>
          <w:rFonts w:ascii="Arial" w:cs="Arial" w:eastAsia="Arial" w:hAnsi="Arial"/>
          <w:sz w:val="17"/>
          <w:szCs w:val="17"/>
          <w:color w:val="634140"/>
        </w:rPr>
        <w:t>_</w:t>
      </w:r>
      <w:r>
        <w:rPr>
          <w:rFonts w:ascii="PMingLiU" w:cs="PMingLiU" w:eastAsia="PMingLiU" w:hAnsi="PMingLiU"/>
          <w:sz w:val="17"/>
          <w:szCs w:val="17"/>
          <w:color w:val="634140"/>
        </w:rPr>
        <w:t/>
      </w:r>
      <w:r>
        <w:rPr>
          <w:rFonts w:ascii="Arial" w:cs="Arial" w:eastAsia="Arial" w:hAnsi="Arial"/>
          <w:sz w:val="17"/>
          <w:szCs w:val="17"/>
          <w:color w:val="634140"/>
        </w:rPr>
        <w:t>pcegml</w:t>
      </w:r>
      <w:r>
        <w:rPr>
          <w:rFonts w:ascii="PMingLiU" w:cs="PMingLiU" w:eastAsia="PMingLiU" w:hAnsi="PMingLiU"/>
          <w:sz w:val="17"/>
          <w:szCs w:val="17"/>
          <w:color w:val="634140"/>
        </w:rPr>
        <w:t/>
      </w:r>
      <w:r>
        <w:rPr>
          <w:rFonts w:ascii="Arial" w:cs="Arial" w:eastAsia="Arial" w:hAnsi="Arial"/>
          <w:sz w:val="17"/>
          <w:szCs w:val="17"/>
          <w:color w:val="634140"/>
        </w:rPr>
        <w:t>apsag_j</w:t>
      </w:r>
      <w:r>
        <w:rPr>
          <w:rFonts w:ascii="PMingLiU" w:cs="PMingLiU" w:eastAsia="PMingLiU" w:hAnsi="PMingLiU"/>
          <w:sz w:val="17"/>
          <w:szCs w:val="17"/>
          <w:color w:val="634140"/>
        </w:rPr>
        <w:t/>
      </w:r>
      <w:r>
        <w:rPr>
          <w:rFonts w:ascii="Arial" w:cs="Arial" w:eastAsia="Arial" w:hAnsi="Arial"/>
          <w:sz w:val="17"/>
          <w:szCs w:val="17"/>
          <w:color w:val="634140"/>
        </w:rPr>
        <w:t>dmp</w:t>
      </w:r>
      <w:r>
        <w:rPr>
          <w:rFonts w:ascii="PMingLiU" w:cs="PMingLiU" w:eastAsia="PMingLiU" w:hAnsi="PMingLiU"/>
          <w:sz w:val="17"/>
          <w:szCs w:val="17"/>
          <w:color w:val="634140"/>
        </w:rPr>
        <w:t/>
      </w:r>
      <w:r>
        <w:rPr>
          <w:rFonts w:ascii="Arial" w:cs="Arial" w:eastAsia="Arial" w:hAnsi="Arial"/>
          <w:sz w:val="17"/>
          <w:szCs w:val="17"/>
          <w:color w:val="634140"/>
        </w:rPr>
        <w:t xml:space="preserve"> `gmbgtcpqgrw</w:t>
      </w:r>
      <w:r>
        <w:rPr>
          <w:rFonts w:ascii="PMingLiU" w:cs="PMingLiU" w:eastAsia="PMingLiU" w:hAnsi="PMingLiU"/>
          <w:sz w:val="17"/>
          <w:szCs w:val="17"/>
          <w:color w:val="634140"/>
        </w:rPr>
        <w:t/>
      </w:r>
      <w:r>
        <w:rPr>
          <w:rFonts w:ascii="Arial" w:cs="Arial" w:eastAsia="Arial" w:hAnsi="Arial"/>
          <w:sz w:val="17"/>
          <w:szCs w:val="17"/>
          <w:color w:val="634140"/>
        </w:rPr>
        <w:t>Xfgq</w:t>
      </w:r>
      <w:r>
        <w:rPr>
          <w:rFonts w:ascii="PMingLiU" w:cs="PMingLiU" w:eastAsia="PMingLiU" w:hAnsi="PMingLiU"/>
          <w:sz w:val="17"/>
          <w:szCs w:val="17"/>
          <w:color w:val="634140"/>
        </w:rPr>
        <w:t/>
      </w:r>
      <w:r>
        <w:rPr>
          <w:rFonts w:ascii="Arial" w:cs="Arial" w:eastAsia="Arial" w:hAnsi="Arial"/>
          <w:sz w:val="17"/>
          <w:szCs w:val="17"/>
          <w:color w:val="634140"/>
        </w:rPr>
        <w:t>npmhcar</w:t>
      </w:r>
      <w:r>
        <w:rPr>
          <w:rFonts w:ascii="PMingLiU" w:cs="PMingLiU" w:eastAsia="PMingLiU" w:hAnsi="PMingLiU"/>
          <w:sz w:val="17"/>
          <w:szCs w:val="17"/>
          <w:color w:val="634140"/>
        </w:rPr>
        <w:t/>
      </w:r>
      <w:r>
        <w:rPr>
          <w:rFonts w:ascii="Arial" w:cs="Arial" w:eastAsia="Arial" w:hAnsi="Arial"/>
          <w:sz w:val="17"/>
          <w:szCs w:val="17"/>
          <w:color w:val="634140"/>
        </w:rPr>
        <w:t>gq</w:t>
      </w:r>
      <w:r>
        <w:rPr>
          <w:rFonts w:ascii="PMingLiU" w:cs="PMingLiU" w:eastAsia="PMingLiU" w:hAnsi="PMingLiU"/>
          <w:sz w:val="17"/>
          <w:szCs w:val="17"/>
          <w:color w:val="634140"/>
        </w:rPr>
        <w:t/>
      </w:r>
      <w:r>
        <w:rPr>
          <w:rFonts w:ascii="Arial" w:cs="Arial" w:eastAsia="Arial" w:hAnsi="Arial"/>
          <w:sz w:val="17"/>
          <w:szCs w:val="17"/>
          <w:color w:val="634140"/>
        </w:rPr>
        <w:t>cqr_`jgqfgle</w:t>
      </w:r>
      <w:r>
        <w:rPr>
          <w:rFonts w:ascii="PMingLiU" w:cs="PMingLiU" w:eastAsia="PMingLiU" w:hAnsi="PMingLiU"/>
          <w:sz w:val="17"/>
          <w:szCs w:val="17"/>
          <w:color w:val="634140"/>
        </w:rPr>
        <w:t/>
      </w:r>
      <w:r>
        <w:rPr>
          <w:rFonts w:ascii="Arial" w:cs="Arial" w:eastAsia="Arial" w:hAnsi="Arial"/>
          <w:sz w:val="17"/>
          <w:szCs w:val="17"/>
          <w:color w:val="634140"/>
        </w:rPr>
        <w:t xml:space="preserve"> qsqr_gl_`jc</w:t>
      </w:r>
      <w:r>
        <w:rPr>
          <w:rFonts w:ascii="PMingLiU" w:cs="PMingLiU" w:eastAsia="PMingLiU" w:hAnsi="PMingLiU"/>
          <w:sz w:val="17"/>
          <w:szCs w:val="17"/>
          <w:color w:val="634140"/>
        </w:rPr>
        <w:t/>
      </w:r>
      <w:r>
        <w:rPr>
          <w:rFonts w:ascii="Arial" w:cs="Arial" w:eastAsia="Arial" w:hAnsi="Arial"/>
          <w:sz w:val="17"/>
          <w:szCs w:val="17"/>
          <w:color w:val="634140"/>
        </w:rPr>
        <w:t>dmpcqrpw</w:t>
      </w:r>
      <w:r>
        <w:rPr>
          <w:rFonts w:ascii="PMingLiU" w:cs="PMingLiU" w:eastAsia="PMingLiU" w:hAnsi="PMingLiU"/>
          <w:sz w:val="17"/>
          <w:szCs w:val="17"/>
          <w:color w:val="634140"/>
        </w:rPr>
        <w:t/>
      </w:r>
      <w:r>
        <w:rPr>
          <w:rFonts w:ascii="Arial" w:cs="Arial" w:eastAsia="Arial" w:hAnsi="Arial"/>
          <w:sz w:val="17"/>
          <w:szCs w:val="17"/>
          <w:color w:val="634140"/>
        </w:rPr>
        <w:t>np_argacq</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apc_rgle</w:t>
      </w:r>
      <w:r>
        <w:rPr>
          <w:rFonts w:ascii="PMingLiU" w:cs="PMingLiU" w:eastAsia="PMingLiU" w:hAnsi="PMingLiU"/>
          <w:sz w:val="17"/>
          <w:szCs w:val="17"/>
          <w:color w:val="634140"/>
        </w:rPr>
        <w:t/>
      </w:r>
      <w:r>
        <w:rPr>
          <w:rFonts w:ascii="Arial" w:cs="Arial" w:eastAsia="Arial" w:hAnsi="Arial"/>
          <w:sz w:val="17"/>
          <w:szCs w:val="17"/>
          <w:color w:val="634140"/>
        </w:rPr>
        <w:t xml:space="preserve"> _</w:t>
      </w:r>
      <w:r>
        <w:rPr>
          <w:rFonts w:ascii="PMingLiU" w:cs="PMingLiU" w:eastAsia="PMingLiU" w:hAnsi="PMingLiU"/>
          <w:sz w:val="17"/>
          <w:szCs w:val="17"/>
          <w:color w:val="634140"/>
        </w:rPr>
        <w:t/>
      </w:r>
      <w:r>
        <w:rPr>
          <w:rFonts w:ascii="Arial" w:cs="Arial" w:eastAsia="Arial" w:hAnsi="Arial"/>
          <w:sz w:val="17"/>
          <w:szCs w:val="17"/>
          <w:color w:val="634140"/>
        </w:rPr>
        <w:t>ugjbjgdc</w:t>
      </w:r>
      <w:r>
        <w:rPr>
          <w:rFonts w:ascii="PMingLiU" w:cs="PMingLiU" w:eastAsia="PMingLiU" w:hAnsi="PMingLiU"/>
          <w:sz w:val="17"/>
          <w:szCs w:val="17"/>
          <w:color w:val="634140"/>
        </w:rPr>
        <w:t/>
      </w:r>
      <w:r>
        <w:rPr>
          <w:rFonts w:ascii="Arial" w:cs="Arial" w:eastAsia="Arial" w:hAnsi="Arial"/>
          <w:sz w:val="17"/>
          <w:szCs w:val="17"/>
          <w:color w:val="634140"/>
        </w:rPr>
        <w:t>amppgbmp</w:t>
      </w:r>
      <w:r>
        <w:rPr>
          <w:rFonts w:ascii="PMingLiU" w:cs="PMingLiU" w:eastAsia="PMingLiU" w:hAnsi="PMingLiU"/>
          <w:sz w:val="17"/>
          <w:szCs w:val="17"/>
          <w:color w:val="634140"/>
        </w:rPr>
        <w:t/>
      </w:r>
      <w:r>
        <w:rPr>
          <w:rFonts w:ascii="Arial" w:cs="Arial" w:eastAsia="Arial" w:hAnsi="Arial"/>
          <w:sz w:val="17"/>
          <w:szCs w:val="17"/>
          <w:color w:val="634140"/>
        </w:rPr>
        <w:t>rm</w:t>
      </w:r>
      <w:r>
        <w:rPr>
          <w:rFonts w:ascii="PMingLiU" w:cs="PMingLiU" w:eastAsia="PMingLiU" w:hAnsi="PMingLiU"/>
          <w:sz w:val="17"/>
          <w:szCs w:val="17"/>
          <w:color w:val="634140"/>
        </w:rPr>
        <w:t/>
      </w:r>
      <w:r>
        <w:rPr>
          <w:rFonts w:ascii="Arial" w:cs="Arial" w:eastAsia="Arial" w:hAnsi="Arial"/>
          <w:sz w:val="17"/>
          <w:szCs w:val="17"/>
          <w:color w:val="634140"/>
        </w:rPr>
        <w:t>qsnnmpr</w:t>
      </w:r>
      <w:r>
        <w:rPr>
          <w:rFonts w:ascii="PMingLiU" w:cs="PMingLiU" w:eastAsia="PMingLiU" w:hAnsi="PMingLiU"/>
          <w:sz w:val="17"/>
          <w:szCs w:val="17"/>
          <w:color w:val="634140"/>
        </w:rPr>
        <w:t/>
      </w:r>
      <w:r>
        <w:rPr>
          <w:rFonts w:ascii="Arial" w:cs="Arial" w:eastAsia="Arial" w:hAnsi="Arial"/>
          <w:sz w:val="17"/>
          <w:szCs w:val="17"/>
          <w:color w:val="634140"/>
        </w:rPr>
        <w:t>rfpc_rclcb</w:t>
      </w:r>
      <w:r>
        <w:rPr>
          <w:rFonts w:ascii="PMingLiU" w:cs="PMingLiU" w:eastAsia="PMingLiU" w:hAnsi="PMingLiU"/>
          <w:sz w:val="17"/>
          <w:szCs w:val="17"/>
          <w:color w:val="634140"/>
        </w:rPr>
        <w:t/>
      </w:r>
      <w:r>
        <w:rPr>
          <w:rFonts w:ascii="Arial" w:cs="Arial" w:eastAsia="Arial" w:hAnsi="Arial"/>
          <w:sz w:val="17"/>
          <w:szCs w:val="17"/>
          <w:color w:val="634140"/>
        </w:rPr>
        <w:t>_lb</w:t>
      </w:r>
      <w:r>
        <w:rPr>
          <w:rFonts w:ascii="PMingLiU" w:cs="PMingLiU" w:eastAsia="PMingLiU" w:hAnsi="PMingLiU"/>
          <w:sz w:val="17"/>
          <w:szCs w:val="17"/>
          <w:color w:val="634140"/>
        </w:rPr>
        <w:t/>
      </w:r>
      <w:r>
        <w:rPr>
          <w:rFonts w:ascii="Arial" w:cs="Arial" w:eastAsia="Arial" w:hAnsi="Arial"/>
          <w:sz w:val="17"/>
          <w:szCs w:val="17"/>
          <w:color w:val="634140"/>
        </w:rPr>
        <w:t xml:space="preserve"> tsjlcp_`jc</w:t>
      </w:r>
      <w:r>
        <w:rPr>
          <w:rFonts w:ascii="PMingLiU" w:cs="PMingLiU" w:eastAsia="PMingLiU" w:hAnsi="PMingLiU"/>
          <w:sz w:val="17"/>
          <w:szCs w:val="17"/>
          <w:color w:val="634140"/>
        </w:rPr>
        <w:t/>
      </w:r>
      <w:r>
        <w:rPr>
          <w:rFonts w:ascii="Arial" w:cs="Arial" w:eastAsia="Arial" w:hAnsi="Arial"/>
          <w:sz w:val="17"/>
          <w:szCs w:val="17"/>
          <w:color w:val="634140"/>
        </w:rPr>
        <w:t>qncagcq</w:t>
      </w:r>
      <w:r>
        <w:rPr>
          <w:rFonts w:ascii="PMingLiU" w:cs="PMingLiU" w:eastAsia="PMingLiU" w:hAnsi="PMingLiU"/>
          <w:sz w:val="17"/>
          <w:szCs w:val="17"/>
          <w:color w:val="634140"/>
        </w:rPr>
        <w:t/>
      </w:r>
      <w:r>
        <w:rPr>
          <w:rFonts w:ascii="Arial" w:cs="Arial" w:eastAsia="Arial" w:hAnsi="Arial"/>
          <w:sz w:val="17"/>
          <w:szCs w:val="17"/>
          <w:color w:val="634140"/>
        </w:rPr>
        <w:t>qsaf</w:t>
      </w:r>
      <w:r>
        <w:rPr>
          <w:rFonts w:ascii="PMingLiU" w:cs="PMingLiU" w:eastAsia="PMingLiU" w:hAnsi="PMingLiU"/>
          <w:sz w:val="17"/>
          <w:szCs w:val="17"/>
          <w:color w:val="634140"/>
        </w:rPr>
        <w:t/>
      </w:r>
      <w:r>
        <w:rPr>
          <w:rFonts w:ascii="Arial" w:cs="Arial" w:eastAsia="Arial" w:hAnsi="Arial"/>
          <w:sz w:val="17"/>
          <w:szCs w:val="17"/>
          <w:color w:val="634140"/>
        </w:rPr>
        <w:t>_q</w:t>
      </w:r>
      <w:r>
        <w:rPr>
          <w:rFonts w:ascii="PMingLiU" w:cs="PMingLiU" w:eastAsia="PMingLiU" w:hAnsi="PMingLiU"/>
          <w:sz w:val="17"/>
          <w:szCs w:val="17"/>
          <w:color w:val="634140"/>
        </w:rPr>
        <w:t/>
      </w:r>
      <w:r>
        <w:rPr>
          <w:rFonts w:ascii="Arial" w:cs="Arial" w:eastAsia="Arial" w:hAnsi="Arial"/>
          <w:sz w:val="17"/>
          <w:szCs w:val="17"/>
          <w:color w:val="634140"/>
        </w:rPr>
        <w:t>rfc</w:t>
      </w:r>
      <w:r>
        <w:rPr>
          <w:rFonts w:ascii="PMingLiU" w:cs="PMingLiU" w:eastAsia="PMingLiU" w:hAnsi="PMingLiU"/>
          <w:sz w:val="17"/>
          <w:szCs w:val="17"/>
          <w:color w:val="634140"/>
        </w:rPr>
        <w:t/>
      </w:r>
      <w:r>
        <w:rPr>
          <w:rFonts w:ascii="Arial" w:cs="Arial" w:eastAsia="Arial" w:hAnsi="Arial"/>
          <w:sz w:val="17"/>
          <w:szCs w:val="17"/>
          <w:color w:val="634140"/>
        </w:rPr>
        <w:t>h_es_p</w:t>
      </w:r>
      <w:r>
        <w:rPr>
          <w:rFonts w:ascii="PMingLiU" w:cs="PMingLiU" w:eastAsia="PMingLiU" w:hAnsi="PMingLiU"/>
          <w:sz w:val="17"/>
          <w:szCs w:val="17"/>
          <w:color w:val="634140"/>
        </w:rPr>
        <w:t/>
      </w:r>
    </w:p>
    <w:p>
      <w:pPr>
        <w:spacing w:after="0" w:line="200" w:lineRule="exact"/>
        <w:rPr>
          <w:sz w:val="20"/>
          <w:szCs w:val="20"/>
          <w:color w:val="auto"/>
        </w:rPr>
      </w:pPr>
    </w:p>
    <w:p>
      <w:pPr>
        <w:spacing w:after="0" w:line="252" w:lineRule="exact"/>
        <w:rPr>
          <w:sz w:val="20"/>
          <w:szCs w:val="20"/>
          <w:color w:val="auto"/>
        </w:rPr>
      </w:pPr>
    </w:p>
    <w:p>
      <w:pPr>
        <w:ind w:left="2220" w:right="3960"/>
        <w:spacing w:after="0" w:line="242" w:lineRule="exact"/>
        <w:rPr>
          <w:sz w:val="20"/>
          <w:szCs w:val="20"/>
          <w:color w:val="auto"/>
        </w:rPr>
      </w:pPr>
      <w:r>
        <w:rPr>
          <w:rFonts w:ascii="Arial" w:cs="Arial" w:eastAsia="Arial" w:hAnsi="Arial"/>
          <w:sz w:val="18"/>
          <w:szCs w:val="18"/>
          <w:b w:val="1"/>
          <w:bCs w:val="1"/>
          <w:color w:val="634140"/>
        </w:rPr>
        <w:t>Gclrp_j</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Enn_j_afg_l</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P_lb</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Vcqrmp_rgmlq</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 xml:space="preserve"> gl</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Oclrsaiw</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_lb</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[cqr</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Zgpeglg_</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Y</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W</w:t>
      </w:r>
      <w:r>
        <w:rPr>
          <w:rFonts w:ascii="PMingLiU" w:cs="PMingLiU" w:eastAsia="PMingLiU" w:hAnsi="PMingLiU"/>
          <w:sz w:val="18"/>
          <w:szCs w:val="18"/>
          <w:b w:val="1"/>
          <w:bCs w:val="1"/>
          <w:color w:val="634140"/>
        </w:rPr>
        <w:t/>
      </w:r>
    </w:p>
    <w:p>
      <w:pPr>
        <w:spacing w:after="0" w:line="46" w:lineRule="exact"/>
        <w:rPr>
          <w:sz w:val="20"/>
          <w:szCs w:val="20"/>
          <w:color w:val="auto"/>
        </w:rPr>
      </w:pPr>
    </w:p>
    <w:p>
      <w:pPr>
        <w:ind w:left="2220" w:right="3620"/>
        <w:spacing w:after="0" w:line="254" w:lineRule="exact"/>
        <w:rPr>
          <w:sz w:val="20"/>
          <w:szCs w:val="20"/>
          <w:color w:val="auto"/>
        </w:rPr>
      </w:pPr>
      <w:r>
        <w:rPr>
          <w:rFonts w:ascii="Arial" w:cs="Arial" w:eastAsia="Arial" w:hAnsi="Arial"/>
          <w:sz w:val="18"/>
          <w:szCs w:val="18"/>
          <w:color w:val="634140"/>
        </w:rPr>
        <w:t>˧</w:t>
      </w:r>
      <w:r>
        <w:rPr>
          <w:rFonts w:ascii="PMingLiU" w:cs="PMingLiU" w:eastAsia="PMingLiU" w:hAnsi="PMingLiU"/>
          <w:sz w:val="18"/>
          <w:szCs w:val="18"/>
          <w:color w:val="634140"/>
        </w:rPr>
        <w:t/>
      </w:r>
      <w:r>
        <w:rPr>
          <w:rFonts w:ascii="Arial" w:cs="Arial" w:eastAsia="Arial" w:hAnsi="Arial"/>
          <w:sz w:val="18"/>
          <w:szCs w:val="18"/>
          <w:color w:val="634140"/>
        </w:rPr>
        <w:t>ˬ˥˥</w:t>
      </w:r>
      <w:r>
        <w:rPr>
          <w:rFonts w:ascii="PMingLiU" w:cs="PMingLiU" w:eastAsia="PMingLiU" w:hAnsi="PMingLiU"/>
          <w:sz w:val="18"/>
          <w:szCs w:val="18"/>
          <w:color w:val="634140"/>
        </w:rPr>
        <w:t/>
      </w:r>
      <w:r>
        <w:rPr>
          <w:rFonts w:ascii="Arial" w:cs="Arial" w:eastAsia="Arial" w:hAnsi="Arial"/>
          <w:sz w:val="18"/>
          <w:szCs w:val="18"/>
          <w:color w:val="634140"/>
        </w:rPr>
        <w:t>rpcqq</w:t>
      </w:r>
      <w:r>
        <w:rPr>
          <w:rFonts w:ascii="PMingLiU" w:cs="PMingLiU" w:eastAsia="PMingLiU" w:hAnsi="PMingLiU"/>
          <w:sz w:val="18"/>
          <w:szCs w:val="18"/>
          <w:color w:val="634140"/>
        </w:rPr>
        <w:t/>
      </w:r>
      <w:r>
        <w:rPr>
          <w:rFonts w:ascii="Arial" w:cs="Arial" w:eastAsia="Arial" w:hAnsi="Arial"/>
          <w:sz w:val="18"/>
          <w:szCs w:val="18"/>
          <w:color w:val="634140"/>
        </w:rPr>
        <w:t>nj_lrcb</w:t>
      </w:r>
      <w:r>
        <w:rPr>
          <w:rFonts w:ascii="PMingLiU" w:cs="PMingLiU" w:eastAsia="PMingLiU" w:hAnsi="PMingLiU"/>
          <w:sz w:val="18"/>
          <w:szCs w:val="18"/>
          <w:color w:val="634140"/>
        </w:rPr>
        <w:t/>
      </w:r>
      <w:r>
        <w:rPr>
          <w:rFonts w:ascii="Arial" w:cs="Arial" w:eastAsia="Arial" w:hAnsi="Arial"/>
          <w:sz w:val="18"/>
          <w:szCs w:val="18"/>
          <w:color w:val="634140"/>
        </w:rPr>
        <w:t>pcaj_gkgle</w:t>
      </w:r>
      <w:r>
        <w:rPr>
          <w:rFonts w:ascii="PMingLiU" w:cs="PMingLiU" w:eastAsia="PMingLiU" w:hAnsi="PMingLiU"/>
          <w:sz w:val="18"/>
          <w:szCs w:val="18"/>
          <w:color w:val="634140"/>
        </w:rPr>
        <w:t/>
      </w:r>
      <w:r>
        <w:rPr>
          <w:rFonts w:ascii="Arial" w:cs="Arial" w:eastAsia="Arial" w:hAnsi="Arial"/>
          <w:sz w:val="18"/>
          <w:szCs w:val="18"/>
          <w:color w:val="634140"/>
        </w:rPr>
        <w:t>dmpkcp</w:t>
      </w:r>
      <w:r>
        <w:rPr>
          <w:rFonts w:ascii="PMingLiU" w:cs="PMingLiU" w:eastAsia="PMingLiU" w:hAnsi="PMingLiU"/>
          <w:sz w:val="18"/>
          <w:szCs w:val="18"/>
          <w:color w:val="634140"/>
        </w:rPr>
        <w:t/>
      </w:r>
      <w:r>
        <w:rPr>
          <w:rFonts w:ascii="Arial" w:cs="Arial" w:eastAsia="Arial" w:hAnsi="Arial"/>
          <w:sz w:val="18"/>
          <w:szCs w:val="18"/>
          <w:color w:val="634140"/>
        </w:rPr>
        <w:t>qspd_ac</w:t>
      </w:r>
      <w:r>
        <w:rPr>
          <w:rFonts w:ascii="PMingLiU" w:cs="PMingLiU" w:eastAsia="PMingLiU" w:hAnsi="PMingLiU"/>
          <w:sz w:val="18"/>
          <w:szCs w:val="18"/>
          <w:color w:val="634140"/>
        </w:rPr>
        <w:t/>
      </w:r>
      <w:r>
        <w:rPr>
          <w:rFonts w:ascii="Arial" w:cs="Arial" w:eastAsia="Arial" w:hAnsi="Arial"/>
          <w:sz w:val="18"/>
          <w:szCs w:val="18"/>
          <w:color w:val="634140"/>
        </w:rPr>
        <w:t xml:space="preserve"> am_j</w:t>
      </w:r>
      <w:r>
        <w:rPr>
          <w:rFonts w:ascii="PMingLiU" w:cs="PMingLiU" w:eastAsia="PMingLiU" w:hAnsi="PMingLiU"/>
          <w:sz w:val="18"/>
          <w:szCs w:val="18"/>
          <w:color w:val="634140"/>
        </w:rPr>
        <w:t/>
      </w:r>
      <w:r>
        <w:rPr>
          <w:rFonts w:ascii="Arial" w:cs="Arial" w:eastAsia="Arial" w:hAnsi="Arial"/>
          <w:sz w:val="18"/>
          <w:szCs w:val="18"/>
          <w:color w:val="634140"/>
        </w:rPr>
        <w:t>kglgle</w:t>
      </w:r>
      <w:r>
        <w:rPr>
          <w:rFonts w:ascii="PMingLiU" w:cs="PMingLiU" w:eastAsia="PMingLiU" w:hAnsi="PMingLiU"/>
          <w:sz w:val="18"/>
          <w:szCs w:val="18"/>
          <w:color w:val="634140"/>
        </w:rPr>
        <w:t/>
      </w:r>
      <w:r>
        <w:rPr>
          <w:rFonts w:ascii="Arial" w:cs="Arial" w:eastAsia="Arial" w:hAnsi="Arial"/>
          <w:sz w:val="18"/>
          <w:szCs w:val="18"/>
          <w:color w:val="634140"/>
        </w:rPr>
        <w:t>_pc_q</w:t>
      </w:r>
      <w:r>
        <w:rPr>
          <w:rFonts w:ascii="PMingLiU" w:cs="PMingLiU" w:eastAsia="PMingLiU" w:hAnsi="PMingLiU"/>
          <w:sz w:val="18"/>
          <w:szCs w:val="18"/>
          <w:color w:val="634140"/>
        </w:rPr>
        <w:t/>
      </w:r>
      <w:r>
        <w:rPr>
          <w:rFonts w:ascii="Arial" w:cs="Arial" w:eastAsia="Arial" w:hAnsi="Arial"/>
          <w:sz w:val="18"/>
          <w:szCs w:val="18"/>
          <w:color w:val="634140"/>
        </w:rPr>
        <w:t>ugrf</w:t>
      </w:r>
      <w:r>
        <w:rPr>
          <w:rFonts w:ascii="PMingLiU" w:cs="PMingLiU" w:eastAsia="PMingLiU" w:hAnsi="PMingLiU"/>
          <w:sz w:val="18"/>
          <w:szCs w:val="18"/>
          <w:color w:val="634140"/>
        </w:rPr>
        <w:t/>
      </w:r>
      <w:r>
        <w:rPr>
          <w:rFonts w:ascii="Arial" w:cs="Arial" w:eastAsia="Arial" w:hAnsi="Arial"/>
          <w:sz w:val="18"/>
          <w:szCs w:val="18"/>
          <w:color w:val="634140"/>
        </w:rPr>
        <w:t>bgtcpqc</w:t>
      </w:r>
      <w:r>
        <w:rPr>
          <w:rFonts w:ascii="PMingLiU" w:cs="PMingLiU" w:eastAsia="PMingLiU" w:hAnsi="PMingLiU"/>
          <w:sz w:val="18"/>
          <w:szCs w:val="18"/>
          <w:color w:val="634140"/>
        </w:rPr>
        <w:t/>
      </w:r>
      <w:r>
        <w:rPr>
          <w:rFonts w:ascii="Arial" w:cs="Arial" w:eastAsia="Arial" w:hAnsi="Arial"/>
          <w:sz w:val="18"/>
          <w:szCs w:val="18"/>
          <w:color w:val="634140"/>
        </w:rPr>
        <w:t>mlac</w:t>
      </w:r>
      <w:r>
        <w:rPr>
          <w:rFonts w:ascii="PMingLiU" w:cs="PMingLiU" w:eastAsia="PMingLiU" w:hAnsi="PMingLiU"/>
          <w:sz w:val="18"/>
          <w:szCs w:val="18"/>
          <w:color w:val="634140"/>
        </w:rPr>
        <w:t/>
      </w:r>
      <w:r>
        <w:rPr>
          <w:rFonts w:ascii="Arial" w:cs="Arial" w:eastAsia="Arial" w:hAnsi="Arial"/>
          <w:sz w:val="18"/>
          <w:szCs w:val="18"/>
          <w:color w:val="634140"/>
        </w:rPr>
        <w:t>npct_jclr</w:t>
      </w:r>
      <w:r>
        <w:rPr>
          <w:rFonts w:ascii="PMingLiU" w:cs="PMingLiU" w:eastAsia="PMingLiU" w:hAnsi="PMingLiU"/>
          <w:sz w:val="18"/>
          <w:szCs w:val="18"/>
          <w:color w:val="634140"/>
        </w:rPr>
        <w:t/>
      </w:r>
      <w:r>
        <w:rPr>
          <w:rFonts w:ascii="Arial" w:cs="Arial" w:eastAsia="Arial" w:hAnsi="Arial"/>
          <w:sz w:val="18"/>
          <w:szCs w:val="18"/>
          <w:color w:val="634140"/>
        </w:rPr>
        <w:t xml:space="preserve"> _lb</w:t>
      </w:r>
      <w:r>
        <w:rPr>
          <w:rFonts w:ascii="PMingLiU" w:cs="PMingLiU" w:eastAsia="PMingLiU" w:hAnsi="PMingLiU"/>
          <w:sz w:val="18"/>
          <w:szCs w:val="18"/>
          <w:color w:val="634140"/>
        </w:rPr>
        <w:t/>
      </w:r>
      <w:r>
        <w:rPr>
          <w:rFonts w:ascii="Arial" w:cs="Arial" w:eastAsia="Arial" w:hAnsi="Arial"/>
          <w:sz w:val="18"/>
          <w:szCs w:val="18"/>
          <w:color w:val="634140"/>
        </w:rPr>
        <w:t>l_rgtc</w:t>
      </w:r>
      <w:r>
        <w:rPr>
          <w:rFonts w:ascii="PMingLiU" w:cs="PMingLiU" w:eastAsia="PMingLiU" w:hAnsi="PMingLiU"/>
          <w:sz w:val="18"/>
          <w:szCs w:val="18"/>
          <w:color w:val="634140"/>
        </w:rPr>
        <w:t/>
      </w:r>
      <w:r>
        <w:rPr>
          <w:rFonts w:ascii="Arial" w:cs="Arial" w:eastAsia="Arial" w:hAnsi="Arial"/>
          <w:sz w:val="18"/>
          <w:szCs w:val="18"/>
          <w:color w:val="634140"/>
        </w:rPr>
        <w:t>rpccq</w:t>
      </w:r>
      <w:r>
        <w:rPr>
          <w:rFonts w:ascii="PMingLiU" w:cs="PMingLiU" w:eastAsia="PMingLiU" w:hAnsi="PMingLiU"/>
          <w:sz w:val="18"/>
          <w:szCs w:val="18"/>
          <w:color w:val="634140"/>
        </w:rPr>
        <w:t/>
      </w:r>
      <w:r>
        <w:rPr>
          <w:rFonts w:ascii="Arial" w:cs="Arial" w:eastAsia="Arial" w:hAnsi="Arial"/>
          <w:sz w:val="18"/>
          <w:szCs w:val="18"/>
          <w:color w:val="634140"/>
        </w:rPr>
        <w:t>pchstcl_rgle</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dmpcqr</w:t>
      </w:r>
      <w:r>
        <w:rPr>
          <w:rFonts w:ascii="PMingLiU" w:cs="PMingLiU" w:eastAsia="PMingLiU" w:hAnsi="PMingLiU"/>
          <w:sz w:val="18"/>
          <w:szCs w:val="18"/>
          <w:color w:val="634140"/>
        </w:rPr>
        <w:t/>
      </w:r>
      <w:r>
        <w:rPr>
          <w:rFonts w:ascii="Arial" w:cs="Arial" w:eastAsia="Arial" w:hAnsi="Arial"/>
          <w:sz w:val="18"/>
          <w:szCs w:val="18"/>
          <w:color w:val="634140"/>
        </w:rPr>
        <w:t>f_`gr_r</w:t>
      </w:r>
      <w:r>
        <w:rPr>
          <w:rFonts w:ascii="PMingLiU" w:cs="PMingLiU" w:eastAsia="PMingLiU" w:hAnsi="PMingLiU"/>
          <w:sz w:val="18"/>
          <w:szCs w:val="18"/>
          <w:color w:val="634140"/>
        </w:rPr>
        <w:t/>
      </w:r>
      <w:r>
        <w:rPr>
          <w:rFonts w:ascii="Arial" w:cs="Arial" w:eastAsia="Arial" w:hAnsi="Arial"/>
          <w:sz w:val="18"/>
          <w:szCs w:val="18"/>
          <w:color w:val="634140"/>
        </w:rPr>
        <w:t xml:space="preserve"> _lb</w:t>
      </w:r>
      <w:r>
        <w:rPr>
          <w:rFonts w:ascii="PMingLiU" w:cs="PMingLiU" w:eastAsia="PMingLiU" w:hAnsi="PMingLiU"/>
          <w:sz w:val="18"/>
          <w:szCs w:val="18"/>
          <w:color w:val="634140"/>
        </w:rPr>
        <w:t/>
      </w:r>
      <w:r>
        <w:rPr>
          <w:rFonts w:ascii="Arial" w:cs="Arial" w:eastAsia="Arial" w:hAnsi="Arial"/>
          <w:sz w:val="18"/>
          <w:szCs w:val="18"/>
          <w:color w:val="634140"/>
        </w:rPr>
        <w:t>npmtgbgle</w:t>
      </w:r>
      <w:r>
        <w:rPr>
          <w:rFonts w:ascii="PMingLiU" w:cs="PMingLiU" w:eastAsia="PMingLiU" w:hAnsi="PMingLiU"/>
          <w:sz w:val="18"/>
          <w:szCs w:val="18"/>
          <w:color w:val="634140"/>
        </w:rPr>
        <w:t/>
      </w:r>
      <w:r>
        <w:rPr>
          <w:rFonts w:ascii="Arial" w:cs="Arial" w:eastAsia="Arial" w:hAnsi="Arial"/>
          <w:sz w:val="18"/>
          <w:szCs w:val="18"/>
          <w:color w:val="634140"/>
        </w:rPr>
        <w:t>qfcjrcp</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_r&amp;pgqi</w:t>
      </w:r>
      <w:r>
        <w:rPr>
          <w:rFonts w:ascii="PMingLiU" w:cs="PMingLiU" w:eastAsia="PMingLiU" w:hAnsi="PMingLiU"/>
          <w:sz w:val="18"/>
          <w:szCs w:val="18"/>
          <w:color w:val="634140"/>
        </w:rPr>
        <w:t/>
      </w:r>
      <w:r>
        <w:rPr>
          <w:rFonts w:ascii="Arial" w:cs="Arial" w:eastAsia="Arial" w:hAnsi="Arial"/>
          <w:sz w:val="18"/>
          <w:szCs w:val="18"/>
          <w:color w:val="634140"/>
        </w:rPr>
        <w:t>qncagcq</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 xml:space="preserve"> gknpmtgle</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fc_jrf</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lc_p`w</w:t>
      </w:r>
      <w:r>
        <w:rPr>
          <w:rFonts w:ascii="PMingLiU" w:cs="PMingLiU" w:eastAsia="PMingLiU" w:hAnsi="PMingLiU"/>
          <w:sz w:val="18"/>
          <w:szCs w:val="18"/>
          <w:color w:val="634140"/>
        </w:rPr>
        <w:t/>
      </w:r>
      <w:r>
        <w:rPr>
          <w:rFonts w:ascii="Arial" w:cs="Arial" w:eastAsia="Arial" w:hAnsi="Arial"/>
          <w:sz w:val="18"/>
          <w:szCs w:val="18"/>
          <w:color w:val="634140"/>
        </w:rPr>
        <w:t>u_rcp</w:t>
      </w:r>
      <w:r>
        <w:rPr>
          <w:rFonts w:ascii="PMingLiU" w:cs="PMingLiU" w:eastAsia="PMingLiU" w:hAnsi="PMingLiU"/>
          <w:sz w:val="18"/>
          <w:szCs w:val="18"/>
          <w:color w:val="634140"/>
        </w:rPr>
        <w:t/>
      </w:r>
      <w:r>
        <w:rPr>
          <w:rFonts w:ascii="Arial" w:cs="Arial" w:eastAsia="Arial" w:hAnsi="Arial"/>
          <w:sz w:val="18"/>
          <w:szCs w:val="18"/>
          <w:color w:val="634140"/>
        </w:rPr>
        <w:t>`mbgcq</w:t>
      </w:r>
      <w:r>
        <w:rPr>
          <w:rFonts w:ascii="PMingLiU" w:cs="PMingLiU" w:eastAsia="PMingLiU" w:hAnsi="PMingLiU"/>
          <w:sz w:val="18"/>
          <w:szCs w:val="18"/>
          <w:color w:val="634140"/>
        </w:rPr>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20" w:right="3960"/>
        <w:spacing w:after="0" w:line="249" w:lineRule="exact"/>
        <w:rPr>
          <w:sz w:val="20"/>
          <w:szCs w:val="20"/>
          <w:color w:val="auto"/>
        </w:rPr>
      </w:pPr>
      <w:r>
        <w:rPr>
          <w:rFonts w:ascii="Arial" w:cs="Arial" w:eastAsia="Arial" w:hAnsi="Arial"/>
          <w:sz w:val="18"/>
          <w:szCs w:val="18"/>
          <w:b w:val="1"/>
          <w:bCs w:val="1"/>
          <w:color w:val="634140"/>
        </w:rPr>
        <w:t>Ksjd</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Gm_qr_j</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Jmpcqrq</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gl</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Lsppga_lc</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_lb</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 xml:space="preserve"> Jjmmbgle Vcqrmp_rgml</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Epc_q</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md</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Ej_`_k_</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 xml:space="preserve"> Jjmpgb_</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Kcmpeg_</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_lb</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Qgqqgqqgnng</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Y</w:t>
      </w:r>
      <w:r>
        <w:rPr>
          <w:rFonts w:ascii="PMingLiU" w:cs="PMingLiU" w:eastAsia="PMingLiU" w:hAnsi="PMingLiU"/>
          <w:sz w:val="18"/>
          <w:szCs w:val="18"/>
          <w:b w:val="1"/>
          <w:bCs w:val="1"/>
          <w:color w:val="634140"/>
        </w:rPr>
        <w:t/>
      </w:r>
      <w:r>
        <w:rPr>
          <w:rFonts w:ascii="Arial" w:cs="Arial" w:eastAsia="Arial" w:hAnsi="Arial"/>
          <w:sz w:val="18"/>
          <w:szCs w:val="18"/>
          <w:b w:val="1"/>
          <w:bCs w:val="1"/>
          <w:color w:val="634140"/>
        </w:rPr>
        <w:t>W</w:t>
      </w:r>
      <w:r>
        <w:rPr>
          <w:rFonts w:ascii="PMingLiU" w:cs="PMingLiU" w:eastAsia="PMingLiU" w:hAnsi="PMingLiU"/>
          <w:sz w:val="18"/>
          <w:szCs w:val="18"/>
          <w:b w:val="1"/>
          <w:bCs w:val="1"/>
          <w:color w:val="634140"/>
        </w:rPr>
        <w:t/>
      </w:r>
    </w:p>
    <w:p>
      <w:pPr>
        <w:spacing w:after="0" w:line="48" w:lineRule="exact"/>
        <w:rPr>
          <w:sz w:val="20"/>
          <w:szCs w:val="20"/>
          <w:color w:val="auto"/>
        </w:rPr>
      </w:pPr>
    </w:p>
    <w:p>
      <w:pPr>
        <w:ind w:left="2220" w:right="3580"/>
        <w:spacing w:after="0" w:line="255" w:lineRule="exact"/>
        <w:rPr>
          <w:sz w:val="20"/>
          <w:szCs w:val="20"/>
          <w:color w:val="auto"/>
        </w:rPr>
      </w:pPr>
      <w:r>
        <w:rPr>
          <w:rFonts w:ascii="Arial" w:cs="Arial" w:eastAsia="Arial" w:hAnsi="Arial"/>
          <w:sz w:val="18"/>
          <w:szCs w:val="18"/>
          <w:color w:val="634140"/>
        </w:rPr>
        <w:t>˭</w:t>
      </w:r>
      <w:r>
        <w:rPr>
          <w:rFonts w:ascii="PMingLiU" w:cs="PMingLiU" w:eastAsia="PMingLiU" w:hAnsi="PMingLiU"/>
          <w:sz w:val="18"/>
          <w:szCs w:val="18"/>
          <w:color w:val="634140"/>
        </w:rPr>
        <w:t/>
      </w:r>
      <w:r>
        <w:rPr>
          <w:rFonts w:ascii="Arial" w:cs="Arial" w:eastAsia="Arial" w:hAnsi="Arial"/>
          <w:sz w:val="18"/>
          <w:szCs w:val="18"/>
          <w:color w:val="634140"/>
        </w:rPr>
        <w:t>˥˥˥</w:t>
      </w:r>
      <w:r>
        <w:rPr>
          <w:rFonts w:ascii="PMingLiU" w:cs="PMingLiU" w:eastAsia="PMingLiU" w:hAnsi="PMingLiU"/>
          <w:sz w:val="18"/>
          <w:szCs w:val="18"/>
          <w:color w:val="634140"/>
        </w:rPr>
        <w:t/>
      </w:r>
      <w:r>
        <w:rPr>
          <w:rFonts w:ascii="Arial" w:cs="Arial" w:eastAsia="Arial" w:hAnsi="Arial"/>
          <w:sz w:val="18"/>
          <w:szCs w:val="18"/>
          <w:color w:val="634140"/>
        </w:rPr>
        <w:t>rpccq</w:t>
      </w:r>
      <w:r>
        <w:rPr>
          <w:rFonts w:ascii="PMingLiU" w:cs="PMingLiU" w:eastAsia="PMingLiU" w:hAnsi="PMingLiU"/>
          <w:sz w:val="18"/>
          <w:szCs w:val="18"/>
          <w:color w:val="634140"/>
        </w:rPr>
        <w:t/>
      </w:r>
      <w:r>
        <w:rPr>
          <w:rFonts w:ascii="Arial" w:cs="Arial" w:eastAsia="Arial" w:hAnsi="Arial"/>
          <w:sz w:val="18"/>
          <w:szCs w:val="18"/>
          <w:color w:val="634140"/>
        </w:rPr>
        <w:t>nj_lrcb</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_pc_q</w:t>
      </w:r>
      <w:r>
        <w:rPr>
          <w:rFonts w:ascii="PMingLiU" w:cs="PMingLiU" w:eastAsia="PMingLiU" w:hAnsi="PMingLiU"/>
          <w:sz w:val="18"/>
          <w:szCs w:val="18"/>
          <w:color w:val="634140"/>
        </w:rPr>
        <w:t/>
      </w:r>
      <w:r>
        <w:rPr>
          <w:rFonts w:ascii="Arial" w:cs="Arial" w:eastAsia="Arial" w:hAnsi="Arial"/>
          <w:sz w:val="18"/>
          <w:szCs w:val="18"/>
          <w:color w:val="634140"/>
        </w:rPr>
        <w:t>epc_rjw</w:t>
      </w:r>
      <w:r>
        <w:rPr>
          <w:rFonts w:ascii="PMingLiU" w:cs="PMingLiU" w:eastAsia="PMingLiU" w:hAnsi="PMingLiU"/>
          <w:sz w:val="18"/>
          <w:szCs w:val="18"/>
          <w:color w:val="634140"/>
        </w:rPr>
        <w:t/>
      </w:r>
      <w:r>
        <w:rPr>
          <w:rFonts w:ascii="Arial" w:cs="Arial" w:eastAsia="Arial" w:hAnsi="Arial"/>
          <w:sz w:val="18"/>
          <w:szCs w:val="18"/>
          <w:color w:val="634140"/>
        </w:rPr>
        <w:t>gkn_arcb</w:t>
      </w:r>
      <w:r>
        <w:rPr>
          <w:rFonts w:ascii="PMingLiU" w:cs="PMingLiU" w:eastAsia="PMingLiU" w:hAnsi="PMingLiU"/>
          <w:sz w:val="18"/>
          <w:szCs w:val="18"/>
          <w:color w:val="634140"/>
        </w:rPr>
        <w:t/>
      </w:r>
      <w:r>
        <w:rPr>
          <w:rFonts w:ascii="Arial" w:cs="Arial" w:eastAsia="Arial" w:hAnsi="Arial"/>
          <w:sz w:val="18"/>
          <w:szCs w:val="18"/>
          <w:color w:val="634140"/>
        </w:rPr>
        <w:t xml:space="preserve"> `w</w:t>
      </w:r>
      <w:r>
        <w:rPr>
          <w:rFonts w:ascii="PMingLiU" w:cs="PMingLiU" w:eastAsia="PMingLiU" w:hAnsi="PMingLiU"/>
          <w:sz w:val="18"/>
          <w:szCs w:val="18"/>
          <w:color w:val="634140"/>
        </w:rPr>
        <w:t/>
      </w:r>
      <w:r>
        <w:rPr>
          <w:rFonts w:ascii="Arial" w:cs="Arial" w:eastAsia="Arial" w:hAnsi="Arial"/>
          <w:sz w:val="18"/>
          <w:szCs w:val="18"/>
          <w:color w:val="634140"/>
        </w:rPr>
        <w:t>fsppga_lcq, flmmbgle</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j_lb</w:t>
      </w:r>
      <w:r>
        <w:rPr>
          <w:rFonts w:ascii="PMingLiU" w:cs="PMingLiU" w:eastAsia="PMingLiU" w:hAnsi="PMingLiU"/>
          <w:sz w:val="18"/>
          <w:szCs w:val="18"/>
          <w:color w:val="634140"/>
        </w:rPr>
        <w:t/>
      </w:r>
      <w:r>
        <w:rPr>
          <w:rFonts w:ascii="Arial" w:cs="Arial" w:eastAsia="Arial" w:hAnsi="Arial"/>
          <w:sz w:val="18"/>
          <w:szCs w:val="18"/>
          <w:color w:val="634140"/>
        </w:rPr>
        <w:t>sqc</w:t>
      </w:r>
      <w:r>
        <w:rPr>
          <w:rFonts w:ascii="PMingLiU" w:cs="PMingLiU" w:eastAsia="PMingLiU" w:hAnsi="PMingLiU"/>
          <w:sz w:val="18"/>
          <w:szCs w:val="18"/>
          <w:color w:val="634140"/>
        </w:rPr>
        <w:t/>
      </w:r>
      <w:r>
        <w:rPr>
          <w:rFonts w:ascii="Arial" w:cs="Arial" w:eastAsia="Arial" w:hAnsi="Arial"/>
          <w:sz w:val="18"/>
          <w:szCs w:val="18"/>
          <w:color w:val="634140"/>
        </w:rPr>
        <w:t>af_lec</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 xml:space="preserve"> pcqrmpc</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t_pgcrw</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snj_lb</w:t>
      </w:r>
      <w:r>
        <w:rPr>
          <w:rFonts w:ascii="PMingLiU" w:cs="PMingLiU" w:eastAsia="PMingLiU" w:hAnsi="PMingLiU"/>
          <w:sz w:val="18"/>
          <w:szCs w:val="18"/>
          <w:color w:val="634140"/>
        </w:rPr>
        <w:t/>
      </w:r>
      <w:r>
        <w:rPr>
          <w:rFonts w:ascii="Arial" w:cs="Arial" w:eastAsia="Arial" w:hAnsi="Arial"/>
          <w:sz w:val="18"/>
          <w:szCs w:val="18"/>
          <w:color w:val="634140"/>
        </w:rPr>
        <w:t>nglc</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`mrrmkj_lb</w:t>
      </w:r>
      <w:r>
        <w:rPr>
          <w:rFonts w:ascii="PMingLiU" w:cs="PMingLiU" w:eastAsia="PMingLiU" w:hAnsi="PMingLiU"/>
          <w:sz w:val="18"/>
          <w:szCs w:val="18"/>
          <w:color w:val="634140"/>
        </w:rPr>
        <w:t/>
      </w:r>
      <w:r>
        <w:rPr>
          <w:rFonts w:ascii="Arial" w:cs="Arial" w:eastAsia="Arial" w:hAnsi="Arial"/>
          <w:sz w:val="18"/>
          <w:szCs w:val="18"/>
          <w:color w:val="634140"/>
        </w:rPr>
        <w:t xml:space="preserve"> f_pbummb</w:t>
      </w:r>
      <w:r>
        <w:rPr>
          <w:rFonts w:ascii="PMingLiU" w:cs="PMingLiU" w:eastAsia="PMingLiU" w:hAnsi="PMingLiU"/>
          <w:sz w:val="18"/>
          <w:szCs w:val="18"/>
          <w:color w:val="634140"/>
        </w:rPr>
        <w:t/>
      </w:r>
      <w:r>
        <w:rPr>
          <w:rFonts w:ascii="Arial" w:cs="Arial" w:eastAsia="Arial" w:hAnsi="Arial"/>
          <w:sz w:val="18"/>
          <w:szCs w:val="18"/>
          <w:color w:val="634140"/>
        </w:rPr>
        <w:t>dmpcqrq</w:t>
      </w:r>
      <w:r>
        <w:rPr>
          <w:rFonts w:ascii="PMingLiU" w:cs="PMingLiU" w:eastAsia="PMingLiU" w:hAnsi="PMingLiU"/>
          <w:sz w:val="18"/>
          <w:szCs w:val="18"/>
          <w:color w:val="634140"/>
        </w:rPr>
        <w:t/>
      </w:r>
      <w:r>
        <w:rPr>
          <w:rFonts w:ascii="Arial" w:cs="Arial" w:eastAsia="Arial" w:hAnsi="Arial"/>
          <w:sz w:val="18"/>
          <w:szCs w:val="18"/>
          <w:color w:val="634140"/>
        </w:rPr>
        <w:t>_pc</w:t>
      </w:r>
      <w:r>
        <w:rPr>
          <w:rFonts w:ascii="PMingLiU" w:cs="PMingLiU" w:eastAsia="PMingLiU" w:hAnsi="PMingLiU"/>
          <w:sz w:val="18"/>
          <w:szCs w:val="18"/>
          <w:color w:val="634140"/>
        </w:rPr>
        <w:t/>
      </w:r>
      <w:r>
        <w:rPr>
          <w:rFonts w:ascii="Arial" w:cs="Arial" w:eastAsia="Arial" w:hAnsi="Arial"/>
          <w:sz w:val="18"/>
          <w:szCs w:val="18"/>
          <w:color w:val="634140"/>
        </w:rPr>
        <w:t>gknpmtgle</w:t>
      </w:r>
      <w:r>
        <w:rPr>
          <w:rFonts w:ascii="PMingLiU" w:cs="PMingLiU" w:eastAsia="PMingLiU" w:hAnsi="PMingLiU"/>
          <w:sz w:val="18"/>
          <w:szCs w:val="18"/>
          <w:color w:val="634140"/>
        </w:rPr>
        <w:t/>
      </w:r>
      <w:r>
        <w:rPr>
          <w:rFonts w:ascii="Arial" w:cs="Arial" w:eastAsia="Arial" w:hAnsi="Arial"/>
          <w:sz w:val="18"/>
          <w:szCs w:val="18"/>
          <w:color w:val="634140"/>
        </w:rPr>
        <w:t>u_rcpqfcb</w:t>
      </w:r>
      <w:r>
        <w:rPr>
          <w:rFonts w:ascii="PMingLiU" w:cs="PMingLiU" w:eastAsia="PMingLiU" w:hAnsi="PMingLiU"/>
          <w:sz w:val="18"/>
          <w:szCs w:val="18"/>
          <w:color w:val="634140"/>
        </w:rPr>
        <w:t/>
      </w:r>
      <w:r>
        <w:rPr>
          <w:rFonts w:ascii="Arial" w:cs="Arial" w:eastAsia="Arial" w:hAnsi="Arial"/>
          <w:sz w:val="18"/>
          <w:szCs w:val="18"/>
          <w:color w:val="634140"/>
        </w:rPr>
        <w:t xml:space="preserve"> dslargml</w:t>
      </w:r>
      <w:r>
        <w:rPr>
          <w:rFonts w:ascii="PMingLiU" w:cs="PMingLiU" w:eastAsia="PMingLiU" w:hAnsi="PMingLiU"/>
          <w:sz w:val="18"/>
          <w:szCs w:val="18"/>
          <w:color w:val="634140"/>
        </w:rPr>
        <w:t/>
      </w:r>
      <w:r>
        <w:rPr>
          <w:rFonts w:ascii="Arial" w:cs="Arial" w:eastAsia="Arial" w:hAnsi="Arial"/>
          <w:sz w:val="18"/>
          <w:szCs w:val="18"/>
          <w:color w:val="634140"/>
        </w:rPr>
        <w:t>clf_lagle</w:t>
      </w:r>
      <w:r>
        <w:rPr>
          <w:rFonts w:ascii="PMingLiU" w:cs="PMingLiU" w:eastAsia="PMingLiU" w:hAnsi="PMingLiU"/>
          <w:sz w:val="18"/>
          <w:szCs w:val="18"/>
          <w:color w:val="634140"/>
        </w:rPr>
        <w:t/>
      </w:r>
      <w:r>
        <w:rPr>
          <w:rFonts w:ascii="Arial" w:cs="Arial" w:eastAsia="Arial" w:hAnsi="Arial"/>
          <w:sz w:val="18"/>
          <w:szCs w:val="18"/>
          <w:color w:val="634140"/>
        </w:rPr>
        <w:t>u_rcp</w:t>
      </w:r>
      <w:r>
        <w:rPr>
          <w:rFonts w:ascii="PMingLiU" w:cs="PMingLiU" w:eastAsia="PMingLiU" w:hAnsi="PMingLiU"/>
          <w:sz w:val="18"/>
          <w:szCs w:val="18"/>
          <w:color w:val="634140"/>
        </w:rPr>
        <w:t/>
      </w:r>
      <w:r>
        <w:rPr>
          <w:rFonts w:ascii="Arial" w:cs="Arial" w:eastAsia="Arial" w:hAnsi="Arial"/>
          <w:sz w:val="18"/>
          <w:szCs w:val="18"/>
          <w:color w:val="634140"/>
        </w:rPr>
        <w:t>os_jgrw</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npmtgbgle</w:t>
      </w:r>
      <w:r>
        <w:rPr>
          <w:rFonts w:ascii="PMingLiU" w:cs="PMingLiU" w:eastAsia="PMingLiU" w:hAnsi="PMingLiU"/>
          <w:sz w:val="18"/>
          <w:szCs w:val="18"/>
          <w:color w:val="634140"/>
        </w:rPr>
        <w:t/>
      </w:r>
      <w:r>
        <w:rPr>
          <w:rFonts w:ascii="Arial" w:cs="Arial" w:eastAsia="Arial" w:hAnsi="Arial"/>
          <w:sz w:val="18"/>
          <w:szCs w:val="18"/>
          <w:color w:val="634140"/>
        </w:rPr>
        <w:t xml:space="preserve"> apsag_j</w:t>
      </w:r>
      <w:r>
        <w:rPr>
          <w:rFonts w:ascii="PMingLiU" w:cs="PMingLiU" w:eastAsia="PMingLiU" w:hAnsi="PMingLiU"/>
          <w:sz w:val="18"/>
          <w:szCs w:val="18"/>
          <w:color w:val="634140"/>
        </w:rPr>
        <w:t/>
      </w:r>
      <w:r>
        <w:rPr>
          <w:rFonts w:ascii="Arial" w:cs="Arial" w:eastAsia="Arial" w:hAnsi="Arial"/>
          <w:sz w:val="18"/>
          <w:szCs w:val="18"/>
          <w:color w:val="634140"/>
        </w:rPr>
        <w:t>f_`gr_rq</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clb_lecpcb</w:t>
      </w:r>
      <w:r>
        <w:rPr>
          <w:rFonts w:ascii="PMingLiU" w:cs="PMingLiU" w:eastAsia="PMingLiU" w:hAnsi="PMingLiU"/>
          <w:sz w:val="18"/>
          <w:szCs w:val="18"/>
          <w:color w:val="634140"/>
        </w:rPr>
        <w:t/>
      </w:r>
      <w:r>
        <w:rPr>
          <w:rFonts w:ascii="Arial" w:cs="Arial" w:eastAsia="Arial" w:hAnsi="Arial"/>
          <w:sz w:val="18"/>
          <w:szCs w:val="18"/>
          <w:color w:val="634140"/>
        </w:rPr>
        <w:t>pcegml_j</w:t>
      </w:r>
      <w:r>
        <w:rPr>
          <w:rFonts w:ascii="PMingLiU" w:cs="PMingLiU" w:eastAsia="PMingLiU" w:hAnsi="PMingLiU"/>
          <w:sz w:val="18"/>
          <w:szCs w:val="18"/>
          <w:color w:val="634140"/>
        </w:rPr>
        <w:t/>
      </w:r>
      <w:r>
        <w:rPr>
          <w:rFonts w:ascii="Arial" w:cs="Arial" w:eastAsia="Arial" w:hAnsi="Arial"/>
          <w:sz w:val="18"/>
          <w:szCs w:val="18"/>
          <w:color w:val="634140"/>
        </w:rPr>
        <w:t>ugjbjgdc</w:t>
      </w:r>
      <w:r>
        <w:rPr>
          <w:rFonts w:ascii="PMingLiU" w:cs="PMingLiU" w:eastAsia="PMingLiU" w:hAnsi="PMingLiU"/>
          <w:sz w:val="18"/>
          <w:szCs w:val="18"/>
          <w:color w:val="634140"/>
        </w:rPr>
        <w:t/>
      </w:r>
    </w:p>
    <w:p>
      <w:pPr>
        <w:sectPr>
          <w:pgSz w:w="12240" w:h="15840" w:orient="portrait"/>
          <w:cols w:equalWidth="0" w:num="1">
            <w:col w:w="9680"/>
          </w:cols>
          <w:pgMar w:left="1120" w:top="1137" w:right="1440" w:bottom="9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67" w:lineRule="exact"/>
        <w:rPr>
          <w:sz w:val="20"/>
          <w:szCs w:val="20"/>
          <w:color w:val="auto"/>
        </w:rPr>
      </w:pPr>
      <w:r>
        <w:rPr>
          <w:rFonts w:ascii="Arial" w:cs="Arial" w:eastAsia="Arial" w:hAnsi="Arial"/>
          <w:sz w:val="22"/>
          <w:szCs w:val="22"/>
          <w:color w:val="634140"/>
        </w:rPr>
        <w:t>jc_pl</w:t>
      </w:r>
      <w:r>
        <w:rPr>
          <w:rFonts w:ascii="PMingLiU" w:cs="PMingLiU" w:eastAsia="PMingLiU" w:hAnsi="PMingLiU"/>
          <w:sz w:val="22"/>
          <w:szCs w:val="22"/>
          <w:color w:val="634140"/>
        </w:rPr>
        <w:t/>
      </w:r>
      <w:r>
        <w:rPr>
          <w:rFonts w:ascii="Arial" w:cs="Arial" w:eastAsia="Arial" w:hAnsi="Arial"/>
          <w:sz w:val="22"/>
          <w:szCs w:val="22"/>
          <w:color w:val="634140"/>
        </w:rPr>
        <w:t>kmpc</w:t>
      </w:r>
      <w:r>
        <w:rPr>
          <w:rFonts w:ascii="PMingLiU" w:cs="PMingLiU" w:eastAsia="PMingLiU" w:hAnsi="PMingLiU"/>
          <w:sz w:val="22"/>
          <w:szCs w:val="22"/>
          <w:color w:val="634140"/>
        </w:rPr>
        <w:t/>
      </w:r>
      <w:r>
        <w:rPr>
          <w:rFonts w:ascii="Arial" w:cs="Arial" w:eastAsia="Arial" w:hAnsi="Arial"/>
          <w:sz w:val="22"/>
          <w:szCs w:val="22"/>
          <w:color w:val="634140"/>
        </w:rPr>
        <w:t xml:space="preserve">_r </w:t>
      </w:r>
      <w:r>
        <w:rPr>
          <w:rFonts w:ascii="Arial" w:cs="Arial" w:eastAsia="Arial" w:hAnsi="Arial"/>
          <w:sz w:val="22"/>
          <w:szCs w:val="22"/>
          <w:b w:val="1"/>
          <w:bCs w:val="1"/>
          <w:color w:val="66C3C4"/>
        </w:rPr>
        <w:t>_qfj_lb</w:t>
      </w:r>
      <w:r>
        <w:rPr>
          <w:rFonts w:ascii="PMingLiU" w:cs="PMingLiU" w:eastAsia="PMingLiU" w:hAnsi="PMingLiU"/>
          <w:sz w:val="22"/>
          <w:szCs w:val="22"/>
          <w:b w:val="1"/>
          <w:bCs w:val="1"/>
          <w:color w:val="66C3C4"/>
        </w:rPr>
        <w:t/>
      </w:r>
      <w:r>
        <w:rPr>
          <w:rFonts w:ascii="Arial" w:cs="Arial" w:eastAsia="Arial" w:hAnsi="Arial"/>
          <w:sz w:val="22"/>
          <w:szCs w:val="22"/>
          <w:b w:val="1"/>
          <w:bCs w:val="1"/>
          <w:color w:val="66C3C4"/>
        </w:rPr>
        <w:t>amk5_p`mpb_w</w:t>
      </w:r>
    </w:p>
    <w:p>
      <w:pPr>
        <w:sectPr>
          <w:pgSz w:w="12240" w:h="15840" w:orient="portrait"/>
          <w:cols w:equalWidth="0" w:num="1">
            <w:col w:w="9680"/>
          </w:cols>
          <w:pgMar w:left="1120" w:top="1137" w:right="1440" w:bottom="949" w:gutter="0" w:footer="0" w:header="0"/>
          <w:type w:val="continuous"/>
        </w:sectPr>
      </w:pPr>
    </w:p>
    <w:bookmarkStart w:id="15" w:name="page16"/>
    <w:bookmarkEnd w:id="15"/>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1035685</wp:posOffset>
            </wp:positionH>
            <wp:positionV relativeFrom="page">
              <wp:posOffset>0</wp:posOffset>
            </wp:positionV>
            <wp:extent cx="372745" cy="3708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4">
                      <a:extLst>
                        <a:ext uri="{28A0092B-C50C-407E-A947-70E740481C1C}"/>
                      </a:extLst>
                    </a:blip>
                    <a:srcRect/>
                    <a:stretch>
                      <a:fillRect/>
                    </a:stretch>
                  </pic:blipFill>
                  <pic:spPr bwMode="auto">
                    <a:xfrm>
                      <a:off x="0" y="0"/>
                      <a:ext cx="372745" cy="370840"/>
                    </a:xfrm>
                    <a:prstGeom prst="rect">
                      <a:avLst/>
                    </a:prstGeom>
                    <a:noFill/>
                  </pic:spPr>
                </pic:pic>
              </a:graphicData>
            </a:graphic>
          </wp:anchor>
        </w:drawing>
        <w:drawing>
          <wp:anchor simplePos="0" relativeHeight="251657728" behindDoc="1" locked="0" layoutInCell="0" allowOverlap="1">
            <wp:simplePos x="0" y="0"/>
            <wp:positionH relativeFrom="page">
              <wp:posOffset>2548255</wp:posOffset>
            </wp:positionH>
            <wp:positionV relativeFrom="page">
              <wp:posOffset>313690</wp:posOffset>
            </wp:positionV>
            <wp:extent cx="361315" cy="3575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5">
                      <a:extLst>
                        <a:ext uri="{28A0092B-C50C-407E-A947-70E740481C1C}"/>
                      </a:extLst>
                    </a:blip>
                    <a:srcRect/>
                    <a:stretch>
                      <a:fillRect/>
                    </a:stretch>
                  </pic:blipFill>
                  <pic:spPr bwMode="auto">
                    <a:xfrm>
                      <a:off x="0" y="0"/>
                      <a:ext cx="361315" cy="35750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626745</wp:posOffset>
            </wp:positionV>
            <wp:extent cx="194310" cy="3575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6">
                      <a:extLst>
                        <a:ext uri="{28A0092B-C50C-407E-A947-70E740481C1C}"/>
                      </a:extLst>
                    </a:blip>
                    <a:srcRect/>
                    <a:stretch>
                      <a:fillRect/>
                    </a:stretch>
                  </pic:blipFill>
                  <pic:spPr bwMode="auto">
                    <a:xfrm>
                      <a:off x="0" y="0"/>
                      <a:ext cx="194310" cy="357505"/>
                    </a:xfrm>
                    <a:prstGeom prst="rect">
                      <a:avLst/>
                    </a:prstGeom>
                    <a:noFill/>
                  </pic:spPr>
                </pic:pic>
              </a:graphicData>
            </a:graphic>
          </wp:anchor>
        </w:drawing>
        <w:drawing>
          <wp:anchor simplePos="0" relativeHeight="251657728" behindDoc="1" locked="0" layoutInCell="0" allowOverlap="1">
            <wp:simplePos x="0" y="0"/>
            <wp:positionH relativeFrom="page">
              <wp:posOffset>3451860</wp:posOffset>
            </wp:positionH>
            <wp:positionV relativeFrom="page">
              <wp:posOffset>100330</wp:posOffset>
            </wp:positionV>
            <wp:extent cx="554355" cy="389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7">
                      <a:extLst>
                        <a:ext uri="{28A0092B-C50C-407E-A947-70E740481C1C}"/>
                      </a:extLst>
                    </a:blip>
                    <a:srcRect/>
                    <a:stretch>
                      <a:fillRect/>
                    </a:stretch>
                  </pic:blipFill>
                  <pic:spPr bwMode="auto">
                    <a:xfrm>
                      <a:off x="0" y="0"/>
                      <a:ext cx="554355" cy="389255"/>
                    </a:xfrm>
                    <a:prstGeom prst="rect">
                      <a:avLst/>
                    </a:prstGeom>
                    <a:noFill/>
                  </pic:spPr>
                </pic:pic>
              </a:graphicData>
            </a:graphic>
          </wp:anchor>
        </w:drawing>
      </w:r>
    </w:p>
    <w:p>
      <w:pPr>
        <w:spacing w:after="0"/>
        <w:rPr>
          <w:sz w:val="20"/>
          <w:szCs w:val="20"/>
          <w:color w:val="auto"/>
        </w:rPr>
      </w:pPr>
      <w:r>
        <w:rPr>
          <w:rFonts w:ascii="Arial" w:cs="Arial" w:eastAsia="Arial" w:hAnsi="Arial"/>
          <w:sz w:val="55"/>
          <w:szCs w:val="55"/>
          <w:color w:val="634140"/>
        </w:rPr>
        <w:t>qmag_j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-73025</wp:posOffset>
            </wp:positionV>
            <wp:extent cx="307975" cy="3244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8">
                      <a:extLst>
                        <a:ext uri="{28A0092B-C50C-407E-A947-70E740481C1C}"/>
                      </a:extLst>
                    </a:blip>
                    <a:srcRect/>
                    <a:stretch>
                      <a:fillRect/>
                    </a:stretch>
                  </pic:blipFill>
                  <pic:spPr bwMode="auto">
                    <a:xfrm>
                      <a:off x="0" y="0"/>
                      <a:ext cx="307975" cy="32448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b w:val="1"/>
          <w:bCs w:val="1"/>
          <w:color w:val="66BF9B"/>
        </w:rPr>
        <w:t>WXIQ</w:t>
      </w:r>
    </w:p>
    <w:p>
      <w:pPr>
        <w:spacing w:after="0" w:line="223" w:lineRule="exact"/>
        <w:rPr>
          <w:sz w:val="20"/>
          <w:szCs w:val="20"/>
          <w:color w:val="auto"/>
        </w:rPr>
      </w:pPr>
    </w:p>
    <w:p>
      <w:pPr>
        <w:ind w:right="320"/>
        <w:spacing w:after="0" w:line="257" w:lineRule="exact"/>
        <w:rPr>
          <w:sz w:val="20"/>
          <w:szCs w:val="20"/>
          <w:color w:val="auto"/>
        </w:rPr>
      </w:pPr>
      <w:r>
        <w:rPr>
          <w:rFonts w:ascii="Arial" w:cs="Arial" w:eastAsia="Arial" w:hAnsi="Arial"/>
          <w:sz w:val="18"/>
          <w:szCs w:val="18"/>
          <w:color w:val="634140"/>
        </w:rPr>
        <w:t>Er</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glrcpqcargml</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qagclac</w:t>
      </w:r>
      <w:r>
        <w:rPr>
          <w:rFonts w:ascii="PMingLiU" w:cs="PMingLiU" w:eastAsia="PMingLiU" w:hAnsi="PMingLiU"/>
          <w:sz w:val="18"/>
          <w:szCs w:val="18"/>
          <w:color w:val="634140"/>
        </w:rPr>
        <w:t/>
      </w:r>
      <w:r>
        <w:rPr>
          <w:rFonts w:ascii="Arial" w:cs="Arial" w:eastAsia="Arial" w:hAnsi="Arial"/>
          <w:sz w:val="18"/>
          <w:szCs w:val="18"/>
          <w:color w:val="634140"/>
        </w:rPr>
        <w:t>rcaflmjmew</w:t>
      </w:r>
      <w:r>
        <w:rPr>
          <w:rFonts w:ascii="PMingLiU" w:cs="PMingLiU" w:eastAsia="PMingLiU" w:hAnsi="PMingLiU"/>
          <w:sz w:val="18"/>
          <w:szCs w:val="18"/>
          <w:color w:val="634140"/>
        </w:rPr>
        <w:t/>
      </w:r>
      <w:r>
        <w:rPr>
          <w:rFonts w:ascii="Arial" w:cs="Arial" w:eastAsia="Arial" w:hAnsi="Arial"/>
          <w:sz w:val="18"/>
          <w:szCs w:val="18"/>
          <w:color w:val="634140"/>
        </w:rPr>
        <w:t>cleglccpgle</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 xml:space="preserve"> k_rfck_rgaq</w:t>
      </w:r>
      <w:r>
        <w:rPr>
          <w:rFonts w:ascii="PMingLiU" w:cs="PMingLiU" w:eastAsia="PMingLiU" w:hAnsi="PMingLiU"/>
          <w:sz w:val="18"/>
          <w:szCs w:val="18"/>
          <w:color w:val="634140"/>
        </w:rPr>
        <w:t/>
      </w:r>
      <w:r>
        <w:rPr>
          <w:rFonts w:ascii="Arial" w:cs="Arial" w:eastAsia="Arial" w:hAnsi="Arial"/>
          <w:sz w:val="18"/>
          <w:szCs w:val="18"/>
          <w:color w:val="634140"/>
        </w:rPr>
        <w:t>+WXIQ,</w:t>
      </w:r>
      <w:r>
        <w:rPr>
          <w:rFonts w:ascii="PMingLiU" w:cs="PMingLiU" w:eastAsia="PMingLiU" w:hAnsi="PMingLiU"/>
          <w:sz w:val="18"/>
          <w:szCs w:val="18"/>
          <w:color w:val="634140"/>
        </w:rPr>
        <w:t/>
      </w:r>
      <w:r>
        <w:rPr>
          <w:rFonts w:ascii="Arial" w:cs="Arial" w:eastAsia="Arial" w:hAnsi="Arial"/>
          <w:sz w:val="18"/>
          <w:szCs w:val="18"/>
          <w:color w:val="634140"/>
        </w:rPr>
        <w:t>_pc</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_lqucpq</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qmkc</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umpjb</w:t>
      </w:r>
      <w:r>
        <w:rPr>
          <w:rFonts w:ascii="PMingLiU" w:cs="PMingLiU" w:eastAsia="PMingLiU" w:hAnsi="PMingLiU"/>
          <w:sz w:val="18"/>
          <w:szCs w:val="18"/>
          <w:color w:val="634140"/>
        </w:rPr>
        <w:t/>
      </w:r>
      <w:r>
        <w:rPr>
          <w:rFonts w:ascii="Arial" w:cs="Arial" w:eastAsia="Arial" w:hAnsi="Arial"/>
          <w:sz w:val="18"/>
          <w:szCs w:val="18"/>
          <w:color w:val="634140"/>
        </w:rPr>
        <w:t>q</w:t>
      </w:r>
      <w:r>
        <w:rPr>
          <w:rFonts w:ascii="PMingLiU" w:cs="PMingLiU" w:eastAsia="PMingLiU" w:hAnsi="PMingLiU"/>
          <w:sz w:val="18"/>
          <w:szCs w:val="18"/>
          <w:color w:val="634140"/>
        </w:rPr>
        <w:t/>
      </w:r>
      <w:r>
        <w:rPr>
          <w:rFonts w:ascii="Arial" w:cs="Arial" w:eastAsia="Arial" w:hAnsi="Arial"/>
          <w:sz w:val="18"/>
          <w:szCs w:val="18"/>
          <w:color w:val="634140"/>
        </w:rPr>
        <w:t xml:space="preserve"> kmqr</w:t>
      </w:r>
      <w:r>
        <w:rPr>
          <w:rFonts w:ascii="PMingLiU" w:cs="PMingLiU" w:eastAsia="PMingLiU" w:hAnsi="PMingLiU"/>
          <w:sz w:val="18"/>
          <w:szCs w:val="18"/>
          <w:color w:val="634140"/>
        </w:rPr>
        <w:t/>
      </w:r>
      <w:r>
        <w:rPr>
          <w:rFonts w:ascii="Arial" w:cs="Arial" w:eastAsia="Arial" w:hAnsi="Arial"/>
          <w:sz w:val="18"/>
          <w:szCs w:val="18"/>
          <w:color w:val="634140"/>
        </w:rPr>
        <w:t>amknjcv</w:t>
      </w:r>
      <w:r>
        <w:rPr>
          <w:rFonts w:ascii="PMingLiU" w:cs="PMingLiU" w:eastAsia="PMingLiU" w:hAnsi="PMingLiU"/>
          <w:sz w:val="18"/>
          <w:szCs w:val="18"/>
          <w:color w:val="634140"/>
        </w:rPr>
        <w:t/>
      </w:r>
      <w:r>
        <w:rPr>
          <w:rFonts w:ascii="Arial" w:cs="Arial" w:eastAsia="Arial" w:hAnsi="Arial"/>
          <w:sz w:val="18"/>
          <w:szCs w:val="18"/>
          <w:color w:val="634140"/>
        </w:rPr>
        <w:t>af_jjclecq</w:t>
      </w:r>
      <w:r>
        <w:rPr>
          <w:rFonts w:ascii="PMingLiU" w:cs="PMingLiU" w:eastAsia="PMingLiU" w:hAnsi="PMingLiU"/>
          <w:sz w:val="18"/>
          <w:szCs w:val="18"/>
          <w:color w:val="634140"/>
        </w:rPr>
        <w:t/>
      </w:r>
      <w:r>
        <w:rPr>
          <w:rFonts w:ascii="Arial" w:cs="Arial" w:eastAsia="Arial" w:hAnsi="Arial"/>
          <w:sz w:val="18"/>
          <w:szCs w:val="18"/>
          <w:color w:val="634140"/>
        </w:rPr>
        <w:t>Yljmaigle</w:t>
      </w:r>
      <w:r>
        <w:rPr>
          <w:rFonts w:ascii="PMingLiU" w:cs="PMingLiU" w:eastAsia="PMingLiU" w:hAnsi="PMingLiU"/>
          <w:sz w:val="18"/>
          <w:szCs w:val="18"/>
          <w:color w:val="634140"/>
        </w:rPr>
        <w:t/>
      </w:r>
      <w:r>
        <w:rPr>
          <w:rFonts w:ascii="Arial" w:cs="Arial" w:eastAsia="Arial" w:hAnsi="Arial"/>
          <w:sz w:val="18"/>
          <w:szCs w:val="18"/>
          <w:color w:val="634140"/>
        </w:rPr>
        <w:t>rfmqc</w:t>
      </w:r>
      <w:r>
        <w:rPr>
          <w:rFonts w:ascii="PMingLiU" w:cs="PMingLiU" w:eastAsia="PMingLiU" w:hAnsi="PMingLiU"/>
          <w:sz w:val="18"/>
          <w:szCs w:val="18"/>
          <w:color w:val="634140"/>
        </w:rPr>
        <w:t/>
      </w:r>
      <w:r>
        <w:rPr>
          <w:rFonts w:ascii="Arial" w:cs="Arial" w:eastAsia="Arial" w:hAnsi="Arial"/>
          <w:sz w:val="18"/>
          <w:szCs w:val="18"/>
          <w:color w:val="634140"/>
        </w:rPr>
        <w:t>qmjsrgmlq</w:t>
      </w:r>
      <w:r>
        <w:rPr>
          <w:rFonts w:ascii="PMingLiU" w:cs="PMingLiU" w:eastAsia="PMingLiU" w:hAnsi="PMingLiU"/>
          <w:sz w:val="18"/>
          <w:szCs w:val="18"/>
          <w:color w:val="634140"/>
        </w:rPr>
        <w:t/>
      </w:r>
      <w:r>
        <w:rPr>
          <w:rFonts w:ascii="Arial" w:cs="Arial" w:eastAsia="Arial" w:hAnsi="Arial"/>
          <w:sz w:val="18"/>
          <w:szCs w:val="18"/>
          <w:color w:val="634140"/>
        </w:rPr>
        <w:t>pcosgpcq</w:t>
      </w:r>
      <w:r>
        <w:rPr>
          <w:rFonts w:ascii="PMingLiU" w:cs="PMingLiU" w:eastAsia="PMingLiU" w:hAnsi="PMingLiU"/>
          <w:sz w:val="18"/>
          <w:szCs w:val="18"/>
          <w:color w:val="634140"/>
        </w:rPr>
        <w:t/>
      </w:r>
      <w:r>
        <w:rPr>
          <w:rFonts w:ascii="Arial" w:cs="Arial" w:eastAsia="Arial" w:hAnsi="Arial"/>
          <w:sz w:val="18"/>
          <w:szCs w:val="18"/>
          <w:color w:val="634140"/>
        </w:rPr>
        <w:t xml:space="preserve"> _</w:t>
      </w:r>
      <w:r>
        <w:rPr>
          <w:rFonts w:ascii="PMingLiU" w:cs="PMingLiU" w:eastAsia="PMingLiU" w:hAnsi="PMingLiU"/>
          <w:sz w:val="18"/>
          <w:szCs w:val="18"/>
          <w:color w:val="634140"/>
        </w:rPr>
        <w:t/>
      </w:r>
      <w:r>
        <w:rPr>
          <w:rFonts w:ascii="Arial" w:cs="Arial" w:eastAsia="Arial" w:hAnsi="Arial"/>
          <w:sz w:val="18"/>
          <w:szCs w:val="18"/>
          <w:color w:val="634140"/>
        </w:rPr>
        <w:t>lcu</w:t>
      </w:r>
      <w:r>
        <w:rPr>
          <w:rFonts w:ascii="PMingLiU" w:cs="PMingLiU" w:eastAsia="PMingLiU" w:hAnsi="PMingLiU"/>
          <w:sz w:val="18"/>
          <w:szCs w:val="18"/>
          <w:color w:val="634140"/>
        </w:rPr>
        <w:t/>
      </w:r>
      <w:r>
        <w:rPr>
          <w:rFonts w:ascii="Arial" w:cs="Arial" w:eastAsia="Arial" w:hAnsi="Arial"/>
          <w:sz w:val="18"/>
          <w:szCs w:val="18"/>
          <w:color w:val="634140"/>
        </w:rPr>
        <w:t>eclcp_rgml</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rfglicpq</w:t>
      </w:r>
      <w:r>
        <w:rPr>
          <w:rFonts w:ascii="PMingLiU" w:cs="PMingLiU" w:eastAsia="PMingLiU" w:hAnsi="PMingLiU"/>
          <w:sz w:val="18"/>
          <w:szCs w:val="18"/>
          <w:color w:val="634140"/>
        </w:rPr>
        <w:t/>
      </w:r>
      <w:r>
        <w:rPr>
          <w:rFonts w:ascii="Arial" w:cs="Arial" w:eastAsia="Arial" w:hAnsi="Arial"/>
          <w:sz w:val="18"/>
          <w:szCs w:val="18"/>
          <w:color w:val="634140"/>
        </w:rPr>
        <w:t>bmcpq</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qmjtcpq</w:t>
      </w:r>
      <w:r>
        <w:rPr>
          <w:rFonts w:ascii="PMingLiU" w:cs="PMingLiU" w:eastAsia="PMingLiU" w:hAnsi="PMingLiU"/>
          <w:sz w:val="18"/>
          <w:szCs w:val="18"/>
          <w:color w:val="634140"/>
        </w:rPr>
        <w:t/>
      </w:r>
      <w:r>
        <w:rPr>
          <w:rFonts w:ascii="Arial" w:cs="Arial" w:eastAsia="Arial" w:hAnsi="Arial"/>
          <w:sz w:val="18"/>
          <w:szCs w:val="18"/>
          <w:color w:val="634140"/>
        </w:rPr>
        <w:t>ufgaf</w:t>
      </w:r>
      <w:r>
        <w:rPr>
          <w:rFonts w:ascii="PMingLiU" w:cs="PMingLiU" w:eastAsia="PMingLiU" w:hAnsi="PMingLiU"/>
          <w:sz w:val="18"/>
          <w:szCs w:val="18"/>
          <w:color w:val="634140"/>
        </w:rPr>
        <w:t/>
      </w:r>
      <w:r>
        <w:rPr>
          <w:rFonts w:ascii="Arial" w:cs="Arial" w:eastAsia="Arial" w:hAnsi="Arial"/>
          <w:sz w:val="18"/>
          <w:szCs w:val="18"/>
          <w:color w:val="634140"/>
        </w:rPr>
        <w:t>gq</w:t>
      </w:r>
      <w:r>
        <w:rPr>
          <w:rFonts w:ascii="PMingLiU" w:cs="PMingLiU" w:eastAsia="PMingLiU" w:hAnsi="PMingLiU"/>
          <w:sz w:val="18"/>
          <w:szCs w:val="18"/>
          <w:color w:val="634140"/>
        </w:rPr>
        <w:t/>
      </w:r>
      <w:r>
        <w:rPr>
          <w:rFonts w:ascii="Arial" w:cs="Arial" w:eastAsia="Arial" w:hAnsi="Arial"/>
          <w:sz w:val="18"/>
          <w:szCs w:val="18"/>
          <w:color w:val="634140"/>
        </w:rPr>
        <w:t>ufw</w:t>
      </w:r>
      <w:r>
        <w:rPr>
          <w:rFonts w:ascii="PMingLiU" w:cs="PMingLiU" w:eastAsia="PMingLiU" w:hAnsi="PMingLiU"/>
          <w:sz w:val="18"/>
          <w:szCs w:val="18"/>
          <w:color w:val="634140"/>
        </w:rPr>
        <w:t/>
      </w:r>
      <w:r>
        <w:rPr>
          <w:rFonts w:ascii="Arial" w:cs="Arial" w:eastAsia="Arial" w:hAnsi="Arial"/>
          <w:sz w:val="18"/>
          <w:szCs w:val="18"/>
          <w:color w:val="634140"/>
        </w:rPr>
        <w:t xml:space="preserve"> Eqfj_lb</w:t>
      </w:r>
      <w:r>
        <w:rPr>
          <w:rFonts w:ascii="PMingLiU" w:cs="PMingLiU" w:eastAsia="PMingLiU" w:hAnsi="PMingLiU"/>
          <w:sz w:val="18"/>
          <w:szCs w:val="18"/>
          <w:color w:val="634140"/>
        </w:rPr>
        <w:t/>
      </w:r>
      <w:r>
        <w:rPr>
          <w:rFonts w:ascii="Arial" w:cs="Arial" w:eastAsia="Arial" w:hAnsi="Arial"/>
          <w:sz w:val="18"/>
          <w:szCs w:val="18"/>
          <w:color w:val="634140"/>
        </w:rPr>
        <w:t>f_q</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bcjg`cp_rc</w:t>
      </w:r>
      <w:r>
        <w:rPr>
          <w:rFonts w:ascii="PMingLiU" w:cs="PMingLiU" w:eastAsia="PMingLiU" w:hAnsi="PMingLiU"/>
          <w:sz w:val="18"/>
          <w:szCs w:val="18"/>
          <w:color w:val="634140"/>
        </w:rPr>
        <w:t/>
      </w:r>
      <w:r>
        <w:rPr>
          <w:rFonts w:ascii="Arial" w:cs="Arial" w:eastAsia="Arial" w:hAnsi="Arial"/>
          <w:sz w:val="18"/>
          <w:szCs w:val="18"/>
          <w:color w:val="634140"/>
        </w:rPr>
        <w:t>dmasqcb</w:t>
      </w:r>
      <w:r>
        <w:rPr>
          <w:rFonts w:ascii="PMingLiU" w:cs="PMingLiU" w:eastAsia="PMingLiU" w:hAnsi="PMingLiU"/>
          <w:sz w:val="18"/>
          <w:szCs w:val="18"/>
          <w:color w:val="634140"/>
        </w:rPr>
        <w:t/>
      </w:r>
      <w:r>
        <w:rPr>
          <w:rFonts w:ascii="Arial" w:cs="Arial" w:eastAsia="Arial" w:hAnsi="Arial"/>
          <w:sz w:val="18"/>
          <w:szCs w:val="18"/>
          <w:color w:val="634140"/>
        </w:rPr>
        <w:t>_nnpm_af</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WXIQ</w:t>
      </w:r>
      <w:r>
        <w:rPr>
          <w:rFonts w:ascii="PMingLiU" w:cs="PMingLiU" w:eastAsia="PMingLiU" w:hAnsi="PMingLiU"/>
          <w:sz w:val="18"/>
          <w:szCs w:val="18"/>
          <w:color w:val="634140"/>
        </w:rPr>
        <w:t/>
      </w:r>
      <w:r>
        <w:rPr>
          <w:rFonts w:ascii="Arial" w:cs="Arial" w:eastAsia="Arial" w:hAnsi="Arial"/>
          <w:sz w:val="18"/>
          <w:szCs w:val="18"/>
          <w:color w:val="634140"/>
        </w:rPr>
        <w:t>npmep_kq</w:t>
      </w:r>
      <w:r>
        <w:rPr>
          <w:rFonts w:ascii="PMingLiU" w:cs="PMingLiU" w:eastAsia="PMingLiU" w:hAnsi="PMingLiU"/>
          <w:sz w:val="18"/>
          <w:szCs w:val="18"/>
          <w:color w:val="634140"/>
        </w:rPr>
        <w:t/>
      </w:r>
      <w:r>
        <w:rPr>
          <w:rFonts w:ascii="Arial" w:cs="Arial" w:eastAsia="Arial" w:hAnsi="Arial"/>
          <w:sz w:val="18"/>
          <w:szCs w:val="18"/>
          <w:color w:val="634140"/>
        </w:rPr>
        <w:t xml:space="preserve"> jma_jgxcb</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lccbq</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amkkslgrgcq</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ctcpw</w:t>
      </w:r>
      <w:r>
        <w:rPr>
          <w:rFonts w:ascii="PMingLiU" w:cs="PMingLiU" w:eastAsia="PMingLiU" w:hAnsi="PMingLiU"/>
          <w:sz w:val="18"/>
          <w:szCs w:val="18"/>
          <w:color w:val="634140"/>
        </w:rPr>
        <w:t/>
      </w:r>
      <w:r>
        <w:rPr>
          <w:rFonts w:ascii="Arial" w:cs="Arial" w:eastAsia="Arial" w:hAnsi="Arial"/>
          <w:sz w:val="18"/>
          <w:szCs w:val="18"/>
          <w:color w:val="634140"/>
        </w:rPr>
        <w:t>amplcp</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umpjb</w:t>
      </w:r>
      <w:r>
        <w:rPr>
          <w:rFonts w:ascii="PMingLiU" w:cs="PMingLiU" w:eastAsia="PMingLiU" w:hAnsi="PMingLiU"/>
          <w:sz w:val="18"/>
          <w:szCs w:val="18"/>
          <w:color w:val="634140"/>
        </w:rPr>
        <w:t/>
      </w:r>
      <w:r>
        <w:rPr>
          <w:rFonts w:ascii="Arial" w:cs="Arial" w:eastAsia="Arial" w:hAnsi="Arial"/>
          <w:sz w:val="18"/>
          <w:szCs w:val="18"/>
          <w:color w:val="634140"/>
        </w:rPr>
        <w:t xml:space="preserve"> ufcpc</w:t>
      </w:r>
      <w:r>
        <w:rPr>
          <w:rFonts w:ascii="PMingLiU" w:cs="PMingLiU" w:eastAsia="PMingLiU" w:hAnsi="PMingLiU"/>
          <w:sz w:val="18"/>
          <w:szCs w:val="18"/>
          <w:color w:val="634140"/>
        </w:rPr>
        <w:t/>
      </w:r>
      <w:r>
        <w:rPr>
          <w:rFonts w:ascii="Arial" w:cs="Arial" w:eastAsia="Arial" w:hAnsi="Arial"/>
          <w:sz w:val="18"/>
          <w:szCs w:val="18"/>
          <w:color w:val="634140"/>
        </w:rPr>
        <w:t>uc</w:t>
      </w:r>
      <w:r>
        <w:rPr>
          <w:rFonts w:ascii="PMingLiU" w:cs="PMingLiU" w:eastAsia="PMingLiU" w:hAnsi="PMingLiU"/>
          <w:sz w:val="18"/>
          <w:szCs w:val="18"/>
          <w:color w:val="634140"/>
        </w:rPr>
        <w:t/>
      </w:r>
      <w:r>
        <w:rPr>
          <w:rFonts w:ascii="Arial" w:cs="Arial" w:eastAsia="Arial" w:hAnsi="Arial"/>
          <w:sz w:val="18"/>
          <w:szCs w:val="18"/>
          <w:color w:val="634140"/>
        </w:rPr>
        <w:t>mncp_rc</w:t>
      </w:r>
      <w:r>
        <w:rPr>
          <w:rFonts w:ascii="PMingLiU" w:cs="PMingLiU" w:eastAsia="PMingLiU" w:hAnsi="PMingLiU"/>
          <w:sz w:val="18"/>
          <w:szCs w:val="18"/>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-1130935</wp:posOffset>
            </wp:positionV>
            <wp:extent cx="7771765" cy="8164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9">
                      <a:extLst>
                        <a:ext uri="{28A0092B-C50C-407E-A947-70E740481C1C}"/>
                      </a:extLst>
                    </a:blip>
                    <a:srcRect/>
                    <a:stretch>
                      <a:fillRect/>
                    </a:stretch>
                  </pic:blipFill>
                  <pic:spPr bwMode="auto">
                    <a:xfrm>
                      <a:off x="0" y="0"/>
                      <a:ext cx="7771765" cy="8164830"/>
                    </a:xfrm>
                    <a:prstGeom prst="rect">
                      <a:avLst/>
                    </a:prstGeom>
                    <a:noFill/>
                  </pic:spPr>
                </pic:pic>
              </a:graphicData>
            </a:graphic>
          </wp:anchor>
        </w:drawing>
      </w:r>
    </w:p>
    <w:p>
      <w:pPr>
        <w:spacing w:after="0" w:line="207"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Xfpmsef</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r>
        <w:rPr>
          <w:rFonts w:ascii="Arial" w:cs="Arial" w:eastAsia="Arial" w:hAnsi="Arial"/>
          <w:sz w:val="18"/>
          <w:szCs w:val="18"/>
          <w:color w:val="634140"/>
        </w:rPr>
        <w:t>nfgj_lrfpmnga</w:t>
      </w:r>
      <w:r>
        <w:rPr>
          <w:rFonts w:ascii="PMingLiU" w:cs="PMingLiU" w:eastAsia="PMingLiU" w:hAnsi="PMingLiU"/>
          <w:sz w:val="18"/>
          <w:szCs w:val="18"/>
          <w:color w:val="634140"/>
        </w:rPr>
        <w:t/>
      </w:r>
      <w:r>
        <w:rPr>
          <w:rFonts w:ascii="Arial" w:cs="Arial" w:eastAsia="Arial" w:hAnsi="Arial"/>
          <w:sz w:val="18"/>
          <w:szCs w:val="18"/>
          <w:color w:val="634140"/>
        </w:rPr>
        <w:t>dmasq</w:t>
      </w:r>
      <w:r>
        <w:rPr>
          <w:rFonts w:ascii="PMingLiU" w:cs="PMingLiU" w:eastAsia="PMingLiU" w:hAnsi="PMingLiU"/>
          <w:sz w:val="18"/>
          <w:szCs w:val="18"/>
          <w:color w:val="634140"/>
        </w:rPr>
        <w:t/>
      </w:r>
      <w:r>
        <w:rPr>
          <w:rFonts w:ascii="Arial" w:cs="Arial" w:eastAsia="Arial" w:hAnsi="Arial"/>
          <w:sz w:val="18"/>
          <w:szCs w:val="18"/>
          <w:color w:val="634140"/>
        </w:rPr>
        <w:t>ml</w:t>
      </w:r>
      <w:r>
        <w:rPr>
          <w:rFonts w:ascii="PMingLiU" w:cs="PMingLiU" w:eastAsia="PMingLiU" w:hAnsi="PMingLiU"/>
          <w:sz w:val="18"/>
          <w:szCs w:val="18"/>
          <w:color w:val="634140"/>
        </w:rPr>
        <w:t/>
      </w:r>
      <w:r>
        <w:rPr>
          <w:rFonts w:ascii="Arial" w:cs="Arial" w:eastAsia="Arial" w:hAnsi="Arial"/>
          <w:sz w:val="18"/>
          <w:szCs w:val="18"/>
          <w:color w:val="634140"/>
        </w:rPr>
        <w:t>WXIQ</w:t>
      </w:r>
      <w:r>
        <w:rPr>
          <w:rFonts w:ascii="PMingLiU" w:cs="PMingLiU" w:eastAsia="PMingLiU" w:hAnsi="PMingLiU"/>
          <w:sz w:val="18"/>
          <w:szCs w:val="18"/>
          <w:color w:val="634140"/>
        </w:rPr>
        <w:t/>
      </w:r>
      <w:r>
        <w:rPr>
          <w:rFonts w:ascii="Arial" w:cs="Arial" w:eastAsia="Arial" w:hAnsi="Arial"/>
          <w:sz w:val="18"/>
          <w:szCs w:val="18"/>
          <w:color w:val="634140"/>
        </w:rPr>
        <w:t>cbsa_rgml</w:t>
      </w:r>
      <w:r>
        <w:rPr>
          <w:rFonts w:ascii="PMingLiU" w:cs="PMingLiU" w:eastAsia="PMingLiU" w:hAnsi="PMingLiU"/>
          <w:sz w:val="18"/>
          <w:szCs w:val="18"/>
          <w:color w:val="634140"/>
        </w:rPr>
        <w:t/>
      </w:r>
      <w:r>
        <w:rPr>
          <w:rFonts w:ascii="Arial" w:cs="Arial" w:eastAsia="Arial" w:hAnsi="Arial"/>
          <w:sz w:val="18"/>
          <w:szCs w:val="18"/>
          <w:color w:val="634140"/>
        </w:rPr>
        <w:t>uc</w:t>
      </w:r>
      <w:r>
        <w:rPr>
          <w:rFonts w:ascii="PMingLiU" w:cs="PMingLiU" w:eastAsia="PMingLiU" w:hAnsi="PMingLiU"/>
          <w:sz w:val="18"/>
          <w:szCs w:val="18"/>
          <w:color w:val="634140"/>
        </w:rPr>
        <w:t/>
      </w:r>
      <w:r>
        <w:rPr>
          <w:rFonts w:ascii="Arial" w:cs="Arial" w:eastAsia="Arial" w:hAnsi="Arial"/>
          <w:sz w:val="18"/>
          <w:szCs w:val="18"/>
          <w:color w:val="634140"/>
        </w:rPr>
        <w:t>pc</w:t>
      </w:r>
      <w:r>
        <w:rPr>
          <w:rFonts w:ascii="PMingLiU" w:cs="PMingLiU" w:eastAsia="PMingLiU" w:hAnsi="PMingLiU"/>
          <w:sz w:val="18"/>
          <w:szCs w:val="18"/>
          <w:color w:val="634140"/>
        </w:rPr>
        <w:t/>
      </w:r>
    </w:p>
    <w:p>
      <w:pPr>
        <w:spacing w:after="0" w:line="46" w:lineRule="exact"/>
        <w:rPr>
          <w:sz w:val="20"/>
          <w:szCs w:val="20"/>
          <w:color w:val="auto"/>
        </w:rPr>
      </w:pPr>
    </w:p>
    <w:p>
      <w:pPr>
        <w:ind w:right="400"/>
        <w:spacing w:after="0" w:line="254" w:lineRule="exact"/>
        <w:rPr>
          <w:sz w:val="20"/>
          <w:szCs w:val="20"/>
          <w:color w:val="auto"/>
        </w:rPr>
      </w:pPr>
      <w:r>
        <w:rPr>
          <w:rFonts w:ascii="Arial" w:cs="Arial" w:eastAsia="Arial" w:hAnsi="Arial"/>
          <w:sz w:val="18"/>
          <w:szCs w:val="18"/>
          <w:color w:val="634140"/>
        </w:rPr>
        <w:t>k_vgkgxgle</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r>
        <w:rPr>
          <w:rFonts w:ascii="Arial" w:cs="Arial" w:eastAsia="Arial" w:hAnsi="Arial"/>
          <w:sz w:val="18"/>
          <w:szCs w:val="18"/>
          <w:color w:val="634140"/>
        </w:rPr>
        <w:t>gkn_ar</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jma_j</w:t>
      </w:r>
      <w:r>
        <w:rPr>
          <w:rFonts w:ascii="PMingLiU" w:cs="PMingLiU" w:eastAsia="PMingLiU" w:hAnsi="PMingLiU"/>
          <w:sz w:val="18"/>
          <w:szCs w:val="18"/>
          <w:color w:val="634140"/>
        </w:rPr>
        <w:t/>
      </w:r>
      <w:r>
        <w:rPr>
          <w:rFonts w:ascii="Arial" w:cs="Arial" w:eastAsia="Arial" w:hAnsi="Arial"/>
          <w:sz w:val="18"/>
          <w:szCs w:val="18"/>
          <w:color w:val="634140"/>
        </w:rPr>
        <w:t>amkkslgrgcq</w:t>
      </w:r>
      <w:r>
        <w:rPr>
          <w:rFonts w:ascii="PMingLiU" w:cs="PMingLiU" w:eastAsia="PMingLiU" w:hAnsi="PMingLiU"/>
          <w:sz w:val="18"/>
          <w:szCs w:val="18"/>
          <w:color w:val="634140"/>
        </w:rPr>
        <w:t/>
      </w:r>
      <w:r>
        <w:rPr>
          <w:rFonts w:ascii="Arial" w:cs="Arial" w:eastAsia="Arial" w:hAnsi="Arial"/>
          <w:sz w:val="18"/>
          <w:szCs w:val="18"/>
          <w:color w:val="634140"/>
        </w:rPr>
        <w:t>_pmslb</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ejm`c</w:t>
      </w:r>
      <w:r>
        <w:rPr>
          <w:rFonts w:ascii="PMingLiU" w:cs="PMingLiU" w:eastAsia="PMingLiU" w:hAnsi="PMingLiU"/>
          <w:sz w:val="18"/>
          <w:szCs w:val="18"/>
          <w:color w:val="634140"/>
        </w:rPr>
        <w:t/>
      </w:r>
      <w:r>
        <w:rPr>
          <w:rFonts w:ascii="Arial" w:cs="Arial" w:eastAsia="Arial" w:hAnsi="Arial"/>
          <w:sz w:val="18"/>
          <w:szCs w:val="18"/>
          <w:color w:val="634140"/>
        </w:rPr>
        <w:t xml:space="preserve"> rm</w:t>
      </w:r>
      <w:r>
        <w:rPr>
          <w:rFonts w:ascii="PMingLiU" w:cs="PMingLiU" w:eastAsia="PMingLiU" w:hAnsi="PMingLiU"/>
          <w:sz w:val="18"/>
          <w:szCs w:val="18"/>
          <w:color w:val="634140"/>
        </w:rPr>
        <w:t/>
      </w:r>
      <w:r>
        <w:rPr>
          <w:rFonts w:ascii="Arial" w:cs="Arial" w:eastAsia="Arial" w:hAnsi="Arial"/>
          <w:sz w:val="18"/>
          <w:szCs w:val="18"/>
          <w:color w:val="634140"/>
        </w:rPr>
        <w:t>`pm_bcl</w:t>
      </w:r>
      <w:r>
        <w:rPr>
          <w:rFonts w:ascii="PMingLiU" w:cs="PMingLiU" w:eastAsia="PMingLiU" w:hAnsi="PMingLiU"/>
          <w:sz w:val="18"/>
          <w:szCs w:val="18"/>
          <w:color w:val="634140"/>
        </w:rPr>
        <w:t/>
      </w:r>
      <w:r>
        <w:rPr>
          <w:rFonts w:ascii="Arial" w:cs="Arial" w:eastAsia="Arial" w:hAnsi="Arial"/>
          <w:sz w:val="18"/>
          <w:szCs w:val="18"/>
          <w:color w:val="634140"/>
        </w:rPr>
        <w:t>_u_pclcqq</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_aacqq</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WXIQ</w:t>
      </w:r>
      <w:r>
        <w:rPr>
          <w:rFonts w:ascii="PMingLiU" w:cs="PMingLiU" w:eastAsia="PMingLiU" w:hAnsi="PMingLiU"/>
          <w:sz w:val="18"/>
          <w:szCs w:val="18"/>
          <w:color w:val="634140"/>
        </w:rPr>
        <w:t/>
      </w:r>
      <w:r>
        <w:rPr>
          <w:rFonts w:ascii="Arial" w:cs="Arial" w:eastAsia="Arial" w:hAnsi="Arial"/>
          <w:sz w:val="18"/>
          <w:szCs w:val="18"/>
          <w:color w:val="634140"/>
        </w:rPr>
        <w:t>qigjjqcr</w:t>
      </w:r>
      <w:r>
        <w:rPr>
          <w:rFonts w:ascii="PMingLiU" w:cs="PMingLiU" w:eastAsia="PMingLiU" w:hAnsi="PMingLiU"/>
          <w:sz w:val="18"/>
          <w:szCs w:val="18"/>
          <w:color w:val="634140"/>
        </w:rPr>
        <w:t/>
      </w:r>
      <w:r>
        <w:rPr>
          <w:rFonts w:ascii="Arial" w:cs="Arial" w:eastAsia="Arial" w:hAnsi="Arial"/>
          <w:sz w:val="18"/>
          <w:szCs w:val="18"/>
          <w:color w:val="634140"/>
        </w:rPr>
        <w:t>cjct_rc</w:t>
      </w:r>
      <w:r>
        <w:rPr>
          <w:rFonts w:ascii="PMingLiU" w:cs="PMingLiU" w:eastAsia="PMingLiU" w:hAnsi="PMingLiU"/>
          <w:sz w:val="18"/>
          <w:szCs w:val="18"/>
          <w:color w:val="634140"/>
        </w:rPr>
        <w:t/>
      </w:r>
      <w:r>
        <w:rPr>
          <w:rFonts w:ascii="Arial" w:cs="Arial" w:eastAsia="Arial" w:hAnsi="Arial"/>
          <w:sz w:val="18"/>
          <w:szCs w:val="18"/>
          <w:color w:val="634140"/>
        </w:rPr>
        <w:t xml:space="preserve"> qgelgfia_lr</w:t>
      </w:r>
      <w:r>
        <w:rPr>
          <w:rFonts w:ascii="PMingLiU" w:cs="PMingLiU" w:eastAsia="PMingLiU" w:hAnsi="PMingLiU"/>
          <w:sz w:val="18"/>
          <w:szCs w:val="18"/>
          <w:color w:val="634140"/>
        </w:rPr>
        <w:t/>
      </w:r>
      <w:r>
        <w:rPr>
          <w:rFonts w:ascii="Arial" w:cs="Arial" w:eastAsia="Arial" w:hAnsi="Arial"/>
          <w:sz w:val="18"/>
          <w:szCs w:val="18"/>
          <w:color w:val="634140"/>
        </w:rPr>
        <w:t>nmprgmlq</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camlmkgcq</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amkkslgrgcq</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ufgaf</w:t>
      </w:r>
      <w:r>
        <w:rPr>
          <w:rFonts w:ascii="PMingLiU" w:cs="PMingLiU" w:eastAsia="PMingLiU" w:hAnsi="PMingLiU"/>
          <w:sz w:val="18"/>
          <w:szCs w:val="18"/>
          <w:color w:val="634140"/>
        </w:rPr>
        <w:t/>
      </w:r>
      <w:r>
        <w:rPr>
          <w:rFonts w:ascii="Arial" w:cs="Arial" w:eastAsia="Arial" w:hAnsi="Arial"/>
          <w:sz w:val="18"/>
          <w:szCs w:val="18"/>
          <w:color w:val="634140"/>
        </w:rPr>
        <w:t>uc</w:t>
      </w:r>
      <w:r>
        <w:rPr>
          <w:rFonts w:ascii="PMingLiU" w:cs="PMingLiU" w:eastAsia="PMingLiU" w:hAnsi="PMingLiU"/>
          <w:sz w:val="18"/>
          <w:szCs w:val="18"/>
          <w:color w:val="634140"/>
        </w:rPr>
        <w:t/>
      </w:r>
      <w:r>
        <w:rPr>
          <w:rFonts w:ascii="Arial" w:cs="Arial" w:eastAsia="Arial" w:hAnsi="Arial"/>
          <w:sz w:val="18"/>
          <w:szCs w:val="18"/>
          <w:color w:val="634140"/>
        </w:rPr>
        <w:t xml:space="preserve"> mncp_rc</w:t>
      </w:r>
      <w:r>
        <w:rPr>
          <w:rFonts w:ascii="PMingLiU" w:cs="PMingLiU" w:eastAsia="PMingLiU" w:hAnsi="PMingLiU"/>
          <w:sz w:val="18"/>
          <w:szCs w:val="18"/>
          <w:color w:val="634140"/>
        </w:rPr>
        <w:t/>
      </w:r>
      <w:r>
        <w:rPr>
          <w:rFonts w:ascii="Arial" w:cs="Arial" w:eastAsia="Arial" w:hAnsi="Arial"/>
          <w:sz w:val="18"/>
          <w:szCs w:val="18"/>
          <w:color w:val="634140"/>
        </w:rPr>
        <w:t>glapc_qc</w:t>
      </w:r>
      <w:r>
        <w:rPr>
          <w:rFonts w:ascii="PMingLiU" w:cs="PMingLiU" w:eastAsia="PMingLiU" w:hAnsi="PMingLiU"/>
          <w:sz w:val="18"/>
          <w:szCs w:val="18"/>
          <w:color w:val="634140"/>
        </w:rPr>
        <w:t/>
      </w:r>
      <w:r>
        <w:rPr>
          <w:rFonts w:ascii="Arial" w:cs="Arial" w:eastAsia="Arial" w:hAnsi="Arial"/>
          <w:sz w:val="18"/>
          <w:szCs w:val="18"/>
          <w:color w:val="634140"/>
        </w:rPr>
        <w:t>qmag_j</w:t>
      </w:r>
      <w:r>
        <w:rPr>
          <w:rFonts w:ascii="PMingLiU" w:cs="PMingLiU" w:eastAsia="PMingLiU" w:hAnsi="PMingLiU"/>
          <w:sz w:val="18"/>
          <w:szCs w:val="18"/>
          <w:color w:val="634140"/>
        </w:rPr>
        <w:t/>
      </w:r>
      <w:r>
        <w:rPr>
          <w:rFonts w:ascii="Arial" w:cs="Arial" w:eastAsia="Arial" w:hAnsi="Arial"/>
          <w:sz w:val="18"/>
          <w:szCs w:val="18"/>
          <w:color w:val="634140"/>
        </w:rPr>
        <w:t>cosgrw</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cosgrw</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amknclq_rgml</w:t>
      </w:r>
      <w:r>
        <w:rPr>
          <w:rFonts w:ascii="PMingLiU" w:cs="PMingLiU" w:eastAsia="PMingLiU" w:hAnsi="PMingLiU"/>
          <w:sz w:val="18"/>
          <w:szCs w:val="18"/>
          <w:color w:val="634140"/>
        </w:rPr>
        <w:t/>
      </w:r>
      <w:r>
        <w:rPr>
          <w:rFonts w:ascii="Arial" w:cs="Arial" w:eastAsia="Arial" w:hAnsi="Arial"/>
          <w:sz w:val="18"/>
          <w:szCs w:val="18"/>
          <w:color w:val="634140"/>
        </w:rPr>
        <w:t>dmp</w:t>
      </w:r>
      <w:r>
        <w:rPr>
          <w:rFonts w:ascii="PMingLiU" w:cs="PMingLiU" w:eastAsia="PMingLiU" w:hAnsi="PMingLiU"/>
          <w:sz w:val="18"/>
          <w:szCs w:val="18"/>
          <w:color w:val="634140"/>
        </w:rPr>
        <w:t/>
      </w:r>
      <w:r>
        <w:rPr>
          <w:rFonts w:ascii="Arial" w:cs="Arial" w:eastAsia="Arial" w:hAnsi="Arial"/>
          <w:sz w:val="18"/>
          <w:szCs w:val="18"/>
          <w:color w:val="634140"/>
        </w:rPr>
        <w:t xml:space="preserve"> ncmnjc</w:t>
      </w:r>
      <w:r>
        <w:rPr>
          <w:rFonts w:ascii="PMingLiU" w:cs="PMingLiU" w:eastAsia="PMingLiU" w:hAnsi="PMingLiU"/>
          <w:sz w:val="18"/>
          <w:szCs w:val="18"/>
          <w:color w:val="634140"/>
        </w:rPr>
        <w:t/>
      </w:r>
      <w:r>
        <w:rPr>
          <w:rFonts w:ascii="Arial" w:cs="Arial" w:eastAsia="Arial" w:hAnsi="Arial"/>
          <w:sz w:val="18"/>
          <w:szCs w:val="18"/>
          <w:color w:val="634140"/>
        </w:rPr>
        <w:t>uc</w:t>
      </w:r>
      <w:r>
        <w:rPr>
          <w:rFonts w:ascii="PMingLiU" w:cs="PMingLiU" w:eastAsia="PMingLiU" w:hAnsi="PMingLiU"/>
          <w:sz w:val="18"/>
          <w:szCs w:val="18"/>
          <w:color w:val="634140"/>
        </w:rPr>
        <w:t/>
      </w:r>
      <w:r>
        <w:rPr>
          <w:rFonts w:ascii="Arial" w:cs="Arial" w:eastAsia="Arial" w:hAnsi="Arial"/>
          <w:sz w:val="18"/>
          <w:szCs w:val="18"/>
          <w:color w:val="634140"/>
        </w:rPr>
        <w:t>gkn_ar</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dsprfcp</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r>
        <w:rPr>
          <w:rFonts w:ascii="Arial" w:cs="Arial" w:eastAsia="Arial" w:hAnsi="Arial"/>
          <w:sz w:val="18"/>
          <w:szCs w:val="18"/>
          <w:color w:val="634140"/>
        </w:rPr>
        <w:t>qsqr_gl_`gjgrw</w:t>
      </w:r>
      <w:r>
        <w:rPr>
          <w:rFonts w:ascii="PMingLiU" w:cs="PMingLiU" w:eastAsia="PMingLiU" w:hAnsi="PMingLiU"/>
          <w:sz w:val="18"/>
          <w:szCs w:val="18"/>
          <w:color w:val="634140"/>
        </w:rPr>
        <w:t/>
      </w:r>
      <w:r>
        <w:rPr>
          <w:rFonts w:ascii="Arial" w:cs="Arial" w:eastAsia="Arial" w:hAnsi="Arial"/>
          <w:sz w:val="18"/>
          <w:szCs w:val="18"/>
          <w:color w:val="634140"/>
        </w:rPr>
        <w:t>em_jq</w:t>
      </w:r>
      <w:r>
        <w:rPr>
          <w:rFonts w:ascii="PMingLiU" w:cs="PMingLiU" w:eastAsia="PMingLiU" w:hAnsi="PMingLiU"/>
          <w:sz w:val="18"/>
          <w:szCs w:val="18"/>
          <w:color w:val="634140"/>
        </w:rPr>
        <w:t/>
      </w:r>
    </w:p>
    <w:p>
      <w:pPr>
        <w:spacing w:after="0" w:line="229" w:lineRule="exact"/>
        <w:rPr>
          <w:sz w:val="20"/>
          <w:szCs w:val="20"/>
          <w:color w:val="auto"/>
        </w:rPr>
      </w:pPr>
    </w:p>
    <w:p>
      <w:pPr>
        <w:ind w:right="560"/>
        <w:spacing w:after="0" w:line="248" w:lineRule="exact"/>
        <w:rPr>
          <w:sz w:val="20"/>
          <w:szCs w:val="20"/>
          <w:color w:val="auto"/>
        </w:rPr>
      </w:pPr>
      <w:r>
        <w:rPr>
          <w:rFonts w:ascii="Arial" w:cs="Arial" w:eastAsia="Arial" w:hAnsi="Arial"/>
          <w:sz w:val="18"/>
          <w:szCs w:val="18"/>
          <w:color w:val="634140"/>
        </w:rPr>
        <w:t>Gclrp_j</w:t>
      </w:r>
      <w:r>
        <w:rPr>
          <w:rFonts w:ascii="PMingLiU" w:cs="PMingLiU" w:eastAsia="PMingLiU" w:hAnsi="PMingLiU"/>
          <w:sz w:val="18"/>
          <w:szCs w:val="18"/>
          <w:color w:val="634140"/>
        </w:rPr>
        <w:t/>
      </w:r>
      <w:r>
        <w:rPr>
          <w:rFonts w:ascii="Arial" w:cs="Arial" w:eastAsia="Arial" w:hAnsi="Arial"/>
          <w:sz w:val="18"/>
          <w:szCs w:val="18"/>
          <w:color w:val="634140"/>
        </w:rPr>
        <w:t>rm</w:t>
      </w:r>
      <w:r>
        <w:rPr>
          <w:rFonts w:ascii="PMingLiU" w:cs="PMingLiU" w:eastAsia="PMingLiU" w:hAnsi="PMingLiU"/>
          <w:sz w:val="18"/>
          <w:szCs w:val="18"/>
          <w:color w:val="634140"/>
        </w:rPr>
        <w:t/>
      </w:r>
      <w:r>
        <w:rPr>
          <w:rFonts w:ascii="Arial" w:cs="Arial" w:eastAsia="Arial" w:hAnsi="Arial"/>
          <w:sz w:val="18"/>
          <w:szCs w:val="18"/>
          <w:color w:val="634140"/>
        </w:rPr>
        <w:t>rfgq</w:t>
      </w:r>
      <w:r>
        <w:rPr>
          <w:rFonts w:ascii="PMingLiU" w:cs="PMingLiU" w:eastAsia="PMingLiU" w:hAnsi="PMingLiU"/>
          <w:sz w:val="18"/>
          <w:szCs w:val="18"/>
          <w:color w:val="634140"/>
        </w:rPr>
        <w:t/>
      </w:r>
      <w:r>
        <w:rPr>
          <w:rFonts w:ascii="Arial" w:cs="Arial" w:eastAsia="Arial" w:hAnsi="Arial"/>
          <w:sz w:val="18"/>
          <w:szCs w:val="18"/>
          <w:color w:val="634140"/>
        </w:rPr>
        <w:t>umpi</w:t>
      </w:r>
      <w:r>
        <w:rPr>
          <w:rFonts w:ascii="PMingLiU" w:cs="PMingLiU" w:eastAsia="PMingLiU" w:hAnsi="PMingLiU"/>
          <w:sz w:val="18"/>
          <w:szCs w:val="18"/>
          <w:color w:val="634140"/>
        </w:rPr>
        <w:t/>
      </w:r>
      <w:r>
        <w:rPr>
          <w:rFonts w:ascii="Arial" w:cs="Arial" w:eastAsia="Arial" w:hAnsi="Arial"/>
          <w:sz w:val="18"/>
          <w:szCs w:val="18"/>
          <w:color w:val="634140"/>
        </w:rPr>
        <w:t>_pc</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pcj_rgmlqfgnq</w:t>
      </w:r>
      <w:r>
        <w:rPr>
          <w:rFonts w:ascii="PMingLiU" w:cs="PMingLiU" w:eastAsia="PMingLiU" w:hAnsi="PMingLiU"/>
          <w:sz w:val="18"/>
          <w:szCs w:val="18"/>
          <w:color w:val="634140"/>
        </w:rPr>
        <w:t/>
      </w:r>
      <w:r>
        <w:rPr>
          <w:rFonts w:ascii="Arial" w:cs="Arial" w:eastAsia="Arial" w:hAnsi="Arial"/>
          <w:sz w:val="18"/>
          <w:szCs w:val="18"/>
          <w:color w:val="634140"/>
        </w:rPr>
        <w:t>uc</w:t>
      </w:r>
      <w:r>
        <w:rPr>
          <w:rFonts w:ascii="PMingLiU" w:cs="PMingLiU" w:eastAsia="PMingLiU" w:hAnsi="PMingLiU"/>
          <w:sz w:val="18"/>
          <w:szCs w:val="18"/>
          <w:color w:val="634140"/>
        </w:rPr>
        <w:t/>
      </w:r>
      <w:r>
        <w:rPr>
          <w:rFonts w:ascii="Arial" w:cs="Arial" w:eastAsia="Arial" w:hAnsi="Arial"/>
          <w:sz w:val="18"/>
          <w:szCs w:val="18"/>
          <w:color w:val="634140"/>
        </w:rPr>
        <w:t>f_tc</w:t>
      </w:r>
      <w:r>
        <w:rPr>
          <w:rFonts w:ascii="PMingLiU" w:cs="PMingLiU" w:eastAsia="PMingLiU" w:hAnsi="PMingLiU"/>
          <w:sz w:val="18"/>
          <w:szCs w:val="18"/>
          <w:color w:val="634140"/>
        </w:rPr>
        <w:t/>
      </w:r>
      <w:r>
        <w:rPr>
          <w:rFonts w:ascii="Arial" w:cs="Arial" w:eastAsia="Arial" w:hAnsi="Arial"/>
          <w:sz w:val="18"/>
          <w:szCs w:val="18"/>
          <w:color w:val="634140"/>
        </w:rPr>
        <w:t>ugrf</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 xml:space="preserve"> mpe_lgx_rgmlq</w:t>
      </w:r>
      <w:r>
        <w:rPr>
          <w:rFonts w:ascii="PMingLiU" w:cs="PMingLiU" w:eastAsia="PMingLiU" w:hAnsi="PMingLiU"/>
          <w:sz w:val="18"/>
          <w:szCs w:val="18"/>
          <w:color w:val="634140"/>
        </w:rPr>
        <w:t/>
      </w:r>
      <w:r>
        <w:rPr>
          <w:rFonts w:ascii="Arial" w:cs="Arial" w:eastAsia="Arial" w:hAnsi="Arial"/>
          <w:sz w:val="18"/>
          <w:szCs w:val="18"/>
          <w:color w:val="634140"/>
        </w:rPr>
        <w:t>gl</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amkkslgrgcq</w:t>
      </w:r>
      <w:r>
        <w:rPr>
          <w:rFonts w:ascii="PMingLiU" w:cs="PMingLiU" w:eastAsia="PMingLiU" w:hAnsi="PMingLiU"/>
          <w:sz w:val="18"/>
          <w:szCs w:val="18"/>
          <w:color w:val="634140"/>
        </w:rPr>
        <w:t/>
      </w:r>
      <w:r>
        <w:rPr>
          <w:rFonts w:ascii="Arial" w:cs="Arial" w:eastAsia="Arial" w:hAnsi="Arial"/>
          <w:sz w:val="18"/>
          <w:szCs w:val="18"/>
          <w:color w:val="634140"/>
        </w:rPr>
        <w:t>ufcpc</w:t>
      </w:r>
      <w:r>
        <w:rPr>
          <w:rFonts w:ascii="PMingLiU" w:cs="PMingLiU" w:eastAsia="PMingLiU" w:hAnsi="PMingLiU"/>
          <w:sz w:val="18"/>
          <w:szCs w:val="18"/>
          <w:color w:val="634140"/>
        </w:rPr>
        <w:t/>
      </w:r>
      <w:r>
        <w:rPr>
          <w:rFonts w:ascii="Arial" w:cs="Arial" w:eastAsia="Arial" w:hAnsi="Arial"/>
          <w:sz w:val="18"/>
          <w:szCs w:val="18"/>
          <w:color w:val="634140"/>
        </w:rPr>
        <w:t>uc</w:t>
      </w:r>
      <w:r>
        <w:rPr>
          <w:rFonts w:ascii="PMingLiU" w:cs="PMingLiU" w:eastAsia="PMingLiU" w:hAnsi="PMingLiU"/>
          <w:sz w:val="18"/>
          <w:szCs w:val="18"/>
          <w:color w:val="634140"/>
        </w:rPr>
        <w:t/>
      </w:r>
      <w:r>
        <w:rPr>
          <w:rFonts w:ascii="Arial" w:cs="Arial" w:eastAsia="Arial" w:hAnsi="Arial"/>
          <w:sz w:val="18"/>
          <w:szCs w:val="18"/>
          <w:color w:val="634140"/>
        </w:rPr>
        <w:t>jgtc</w:t>
      </w:r>
      <w:r>
        <w:rPr>
          <w:rFonts w:ascii="PMingLiU" w:cs="PMingLiU" w:eastAsia="PMingLiU" w:hAnsi="PMingLiU"/>
          <w:sz w:val="18"/>
          <w:szCs w:val="18"/>
          <w:color w:val="634140"/>
        </w:rPr>
        <w:t/>
      </w:r>
      <w:r>
        <w:rPr>
          <w:rFonts w:ascii="Arial" w:cs="Arial" w:eastAsia="Arial" w:hAnsi="Arial"/>
          <w:sz w:val="18"/>
          <w:szCs w:val="18"/>
          <w:color w:val="634140"/>
        </w:rPr>
        <w:t>umpi</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nj_w</w:t>
      </w:r>
      <w:r>
        <w:rPr>
          <w:rFonts w:ascii="PMingLiU" w:cs="PMingLiU" w:eastAsia="PMingLiU" w:hAnsi="PMingLiU"/>
          <w:sz w:val="18"/>
          <w:szCs w:val="18"/>
          <w:color w:val="634140"/>
        </w:rPr>
        <w:t/>
      </w:r>
      <w:r>
        <w:rPr>
          <w:rFonts w:ascii="Arial" w:cs="Arial" w:eastAsia="Arial" w:hAnsi="Arial"/>
          <w:sz w:val="18"/>
          <w:szCs w:val="18"/>
          <w:color w:val="634140"/>
        </w:rPr>
        <w:t xml:space="preserve"> Lcpc</w:t>
      </w:r>
      <w:r>
        <w:rPr>
          <w:rFonts w:ascii="PMingLiU" w:cs="PMingLiU" w:eastAsia="PMingLiU" w:hAnsi="PMingLiU"/>
          <w:sz w:val="18"/>
          <w:szCs w:val="18"/>
          <w:color w:val="634140"/>
        </w:rPr>
        <w:t/>
      </w:r>
      <w:r>
        <w:rPr>
          <w:rFonts w:ascii="Arial" w:cs="Arial" w:eastAsia="Arial" w:hAnsi="Arial"/>
          <w:sz w:val="18"/>
          <w:szCs w:val="18"/>
          <w:color w:val="634140"/>
        </w:rPr>
        <w:t>_pc</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dcu</w:t>
      </w:r>
      <w:r>
        <w:rPr>
          <w:rFonts w:ascii="PMingLiU" w:cs="PMingLiU" w:eastAsia="PMingLiU" w:hAnsi="PMingLiU"/>
          <w:sz w:val="18"/>
          <w:szCs w:val="18"/>
          <w:color w:val="634140"/>
        </w:rPr>
        <w:t/>
      </w:r>
      <w:r>
        <w:rPr>
          <w:rFonts w:ascii="Arial" w:cs="Arial" w:eastAsia="Arial" w:hAnsi="Arial"/>
          <w:sz w:val="18"/>
          <w:szCs w:val="18"/>
          <w:color w:val="634140"/>
        </w:rPr>
        <w:t>fgefjgefrq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66BF9B"/>
        </w:rPr>
        <w:t>ejm`_j</w:t>
      </w:r>
      <w:r>
        <w:rPr>
          <w:rFonts w:ascii="PMingLiU" w:cs="PMingLiU" w:eastAsia="PMingLiU" w:hAnsi="PMingLiU"/>
          <w:sz w:val="16"/>
          <w:szCs w:val="16"/>
          <w:b w:val="1"/>
          <w:bCs w:val="1"/>
          <w:color w:val="66BF9B"/>
        </w:rPr>
        <w:t/>
      </w:r>
      <w:r>
        <w:rPr>
          <w:rFonts w:ascii="Arial" w:cs="Arial" w:eastAsia="Arial" w:hAnsi="Arial"/>
          <w:sz w:val="16"/>
          <w:szCs w:val="16"/>
          <w:b w:val="1"/>
          <w:bCs w:val="1"/>
          <w:color w:val="66BF9B"/>
        </w:rPr>
        <w:t>WXIQ</w:t>
      </w:r>
      <w:r>
        <w:rPr>
          <w:rFonts w:ascii="PMingLiU" w:cs="PMingLiU" w:eastAsia="PMingLiU" w:hAnsi="PMingLiU"/>
          <w:sz w:val="16"/>
          <w:szCs w:val="16"/>
          <w:b w:val="1"/>
          <w:bCs w:val="1"/>
          <w:color w:val="66BF9B"/>
        </w:rPr>
        <w:t/>
      </w:r>
      <w:r>
        <w:rPr>
          <w:rFonts w:ascii="Arial" w:cs="Arial" w:eastAsia="Arial" w:hAnsi="Arial"/>
          <w:sz w:val="16"/>
          <w:szCs w:val="16"/>
          <w:b w:val="1"/>
          <w:bCs w:val="1"/>
          <w:color w:val="66BF9B"/>
        </w:rPr>
        <w:t>npmep_k</w:t>
      </w:r>
      <w:r>
        <w:rPr>
          <w:rFonts w:ascii="PMingLiU" w:cs="PMingLiU" w:eastAsia="PMingLiU" w:hAnsi="PMingLiU"/>
          <w:sz w:val="16"/>
          <w:szCs w:val="16"/>
          <w:b w:val="1"/>
          <w:bCs w:val="1"/>
          <w:color w:val="66BF9B"/>
        </w:rPr>
        <w:t/>
      </w:r>
      <w:r>
        <w:rPr>
          <w:rFonts w:ascii="Arial" w:cs="Arial" w:eastAsia="Arial" w:hAnsi="Arial"/>
          <w:sz w:val="16"/>
          <w:szCs w:val="16"/>
          <w:b w:val="1"/>
          <w:bCs w:val="1"/>
          <w:color w:val="66BF9B"/>
        </w:rPr>
        <w:t>(</w:t>
      </w:r>
      <w:r>
        <w:rPr>
          <w:rFonts w:ascii="PMingLiU" w:cs="PMingLiU" w:eastAsia="PMingLiU" w:hAnsi="PMingLiU"/>
          <w:sz w:val="16"/>
          <w:szCs w:val="16"/>
          <w:b w:val="1"/>
          <w:bCs w:val="1"/>
          <w:color w:val="66BF9B"/>
        </w:rPr>
        <w:t/>
      </w:r>
      <w:r>
        <w:rPr>
          <w:rFonts w:ascii="Arial" w:cs="Arial" w:eastAsia="Arial" w:hAnsi="Arial"/>
          <w:sz w:val="16"/>
          <w:szCs w:val="16"/>
          <w:b w:val="1"/>
          <w:bCs w:val="1"/>
          <w:color w:val="66BF9B"/>
        </w:rPr>
        <w:t>epccljgefr</w:t>
      </w:r>
      <w:r>
        <w:rPr>
          <w:rFonts w:ascii="PMingLiU" w:cs="PMingLiU" w:eastAsia="PMingLiU" w:hAnsi="PMingLiU"/>
          <w:sz w:val="16"/>
          <w:szCs w:val="16"/>
          <w:b w:val="1"/>
          <w:bCs w:val="1"/>
          <w:color w:val="66BF9B"/>
        </w:rPr>
        <w:t/>
      </w:r>
      <w:r>
        <w:rPr>
          <w:rFonts w:ascii="Arial" w:cs="Arial" w:eastAsia="Arial" w:hAnsi="Arial"/>
          <w:sz w:val="16"/>
          <w:szCs w:val="16"/>
          <w:b w:val="1"/>
          <w:bCs w:val="1"/>
          <w:color w:val="66BF9B"/>
        </w:rPr>
        <w:t>dmp</w:t>
      </w:r>
      <w:r>
        <w:rPr>
          <w:rFonts w:ascii="PMingLiU" w:cs="PMingLiU" w:eastAsia="PMingLiU" w:hAnsi="PMingLiU"/>
          <w:sz w:val="16"/>
          <w:szCs w:val="16"/>
          <w:b w:val="1"/>
          <w:bCs w:val="1"/>
          <w:color w:val="66BF9B"/>
        </w:rPr>
        <w:t/>
      </w:r>
      <w:r>
        <w:rPr>
          <w:rFonts w:ascii="Arial" w:cs="Arial" w:eastAsia="Arial" w:hAnsi="Arial"/>
          <w:sz w:val="16"/>
          <w:szCs w:val="16"/>
          <w:b w:val="1"/>
          <w:bCs w:val="1"/>
          <w:color w:val="66BF9B"/>
        </w:rPr>
        <w:t>egpjq</w:t>
      </w:r>
      <w:r>
        <w:rPr>
          <w:rFonts w:ascii="PMingLiU" w:cs="PMingLiU" w:eastAsia="PMingLiU" w:hAnsi="PMingLiU"/>
          <w:sz w:val="16"/>
          <w:szCs w:val="16"/>
          <w:b w:val="1"/>
          <w:bCs w:val="1"/>
          <w:color w:val="66BF9B"/>
        </w:rPr>
        <w:t/>
      </w:r>
      <w:r>
        <w:rPr>
          <w:rFonts w:ascii="Arial" w:cs="Arial" w:eastAsia="Arial" w:hAnsi="Arial"/>
          <w:sz w:val="16"/>
          <w:szCs w:val="16"/>
          <w:b w:val="1"/>
          <w:bCs w:val="1"/>
          <w:color w:val="66BF9B"/>
        </w:rPr>
        <w:t>+e˩e,</w:t>
      </w:r>
    </w:p>
    <w:p>
      <w:pPr>
        <w:spacing w:after="0" w:line="124" w:lineRule="exact"/>
        <w:rPr>
          <w:sz w:val="20"/>
          <w:szCs w:val="20"/>
          <w:color w:val="auto"/>
        </w:rPr>
      </w:pPr>
    </w:p>
    <w:p>
      <w:pPr>
        <w:ind w:right="540"/>
        <w:spacing w:after="0" w:line="216" w:lineRule="exact"/>
        <w:rPr>
          <w:sz w:val="20"/>
          <w:szCs w:val="20"/>
          <w:color w:val="auto"/>
        </w:rPr>
      </w:pPr>
      <w:r>
        <w:rPr>
          <w:rFonts w:ascii="Arial" w:cs="Arial" w:eastAsia="Arial" w:hAnsi="Arial"/>
          <w:sz w:val="16"/>
          <w:szCs w:val="16"/>
          <w:color w:val="634140"/>
        </w:rPr>
        <w:t>Eqfj_lb</w:t>
      </w:r>
      <w:r>
        <w:rPr>
          <w:rFonts w:ascii="PMingLiU" w:cs="PMingLiU" w:eastAsia="PMingLiU" w:hAnsi="PMingLiU"/>
          <w:sz w:val="16"/>
          <w:szCs w:val="16"/>
          <w:color w:val="634140"/>
        </w:rPr>
        <w:t/>
      </w:r>
      <w:r>
        <w:rPr>
          <w:rFonts w:ascii="Arial" w:cs="Arial" w:eastAsia="Arial" w:hAnsi="Arial"/>
          <w:sz w:val="16"/>
          <w:szCs w:val="16"/>
          <w:color w:val="634140"/>
        </w:rPr>
        <w:t>q</w:t>
      </w:r>
      <w:r>
        <w:rPr>
          <w:rFonts w:ascii="PMingLiU" w:cs="PMingLiU" w:eastAsia="PMingLiU" w:hAnsi="PMingLiU"/>
          <w:sz w:val="16"/>
          <w:szCs w:val="16"/>
          <w:color w:val="634140"/>
        </w:rPr>
        <w:t/>
      </w:r>
      <w:r>
        <w:rPr>
          <w:rFonts w:ascii="Arial" w:cs="Arial" w:eastAsia="Arial" w:hAnsi="Arial"/>
          <w:sz w:val="16"/>
          <w:szCs w:val="16"/>
          <w:color w:val="634140"/>
        </w:rPr>
        <w:t>qsnnmpr</w:t>
      </w:r>
      <w:r>
        <w:rPr>
          <w:rFonts w:ascii="PMingLiU" w:cs="PMingLiU" w:eastAsia="PMingLiU" w:hAnsi="PMingLiU"/>
          <w:sz w:val="16"/>
          <w:szCs w:val="16"/>
          <w:color w:val="634140"/>
        </w:rPr>
        <w:t/>
      </w:r>
      <w:r>
        <w:rPr>
          <w:rFonts w:ascii="Arial" w:cs="Arial" w:eastAsia="Arial" w:hAnsi="Arial"/>
          <w:sz w:val="16"/>
          <w:szCs w:val="16"/>
          <w:color w:val="634140"/>
        </w:rPr>
        <w:t>dmp</w:t>
      </w:r>
      <w:r>
        <w:rPr>
          <w:rFonts w:ascii="PMingLiU" w:cs="PMingLiU" w:eastAsia="PMingLiU" w:hAnsi="PMingLiU"/>
          <w:sz w:val="16"/>
          <w:szCs w:val="16"/>
          <w:color w:val="634140"/>
        </w:rPr>
        <w:t/>
      </w:r>
      <w:r>
        <w:rPr>
          <w:rFonts w:ascii="Arial" w:cs="Arial" w:eastAsia="Arial" w:hAnsi="Arial"/>
          <w:sz w:val="16"/>
          <w:szCs w:val="16"/>
          <w:color w:val="634140"/>
        </w:rPr>
        <w:t>epccljgefr</w:t>
      </w:r>
      <w:r>
        <w:rPr>
          <w:rFonts w:ascii="PMingLiU" w:cs="PMingLiU" w:eastAsia="PMingLiU" w:hAnsi="PMingLiU"/>
          <w:sz w:val="16"/>
          <w:szCs w:val="16"/>
          <w:color w:val="634140"/>
        </w:rPr>
        <w:t/>
      </w:r>
      <w:r>
        <w:rPr>
          <w:rFonts w:ascii="Arial" w:cs="Arial" w:eastAsia="Arial" w:hAnsi="Arial"/>
          <w:sz w:val="16"/>
          <w:szCs w:val="16"/>
          <w:color w:val="634140"/>
        </w:rPr>
        <w:t>dmp</w:t>
      </w:r>
      <w:r>
        <w:rPr>
          <w:rFonts w:ascii="PMingLiU" w:cs="PMingLiU" w:eastAsia="PMingLiU" w:hAnsi="PMingLiU"/>
          <w:sz w:val="16"/>
          <w:szCs w:val="16"/>
          <w:color w:val="634140"/>
        </w:rPr>
        <w:t/>
      </w:r>
      <w:r>
        <w:rPr>
          <w:rFonts w:ascii="Arial" w:cs="Arial" w:eastAsia="Arial" w:hAnsi="Arial"/>
          <w:sz w:val="16"/>
          <w:szCs w:val="16"/>
          <w:color w:val="634140"/>
        </w:rPr>
        <w:t>egpjq</w:t>
      </w:r>
      <w:r>
        <w:rPr>
          <w:rFonts w:ascii="PMingLiU" w:cs="PMingLiU" w:eastAsia="PMingLiU" w:hAnsi="PMingLiU"/>
          <w:sz w:val="16"/>
          <w:szCs w:val="16"/>
          <w:color w:val="634140"/>
        </w:rPr>
        <w:t/>
      </w:r>
      <w:r>
        <w:rPr>
          <w:rFonts w:ascii="Arial" w:cs="Arial" w:eastAsia="Arial" w:hAnsi="Arial"/>
          <w:sz w:val="16"/>
          <w:szCs w:val="16"/>
          <w:color w:val="634140"/>
        </w:rPr>
        <w:t>+e˩e,</w:t>
      </w:r>
      <w:r>
        <w:rPr>
          <w:rFonts w:ascii="PMingLiU" w:cs="PMingLiU" w:eastAsia="PMingLiU" w:hAnsi="PMingLiU"/>
          <w:sz w:val="16"/>
          <w:szCs w:val="16"/>
          <w:color w:val="634140"/>
        </w:rPr>
        <w:t/>
      </w:r>
      <w:r>
        <w:rPr>
          <w:rFonts w:ascii="Arial" w:cs="Arial" w:eastAsia="Arial" w:hAnsi="Arial"/>
          <w:sz w:val="16"/>
          <w:szCs w:val="16"/>
          <w:color w:val="634140"/>
        </w:rPr>
        <w:t>gl</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gkn_arcb</w:t>
      </w:r>
      <w:r>
        <w:rPr>
          <w:rFonts w:ascii="PMingLiU" w:cs="PMingLiU" w:eastAsia="PMingLiU" w:hAnsi="PMingLiU"/>
          <w:sz w:val="16"/>
          <w:szCs w:val="16"/>
          <w:color w:val="634140"/>
        </w:rPr>
        <w:t/>
      </w:r>
      <w:r>
        <w:rPr>
          <w:rFonts w:ascii="Arial" w:cs="Arial" w:eastAsia="Arial" w:hAnsi="Arial"/>
          <w:sz w:val="16"/>
          <w:szCs w:val="16"/>
          <w:color w:val="634140"/>
        </w:rPr>
        <w:t>mtcp</w:t>
      </w:r>
      <w:r>
        <w:rPr>
          <w:rFonts w:ascii="PMingLiU" w:cs="PMingLiU" w:eastAsia="PMingLiU" w:hAnsi="PMingLiU"/>
          <w:sz w:val="16"/>
          <w:szCs w:val="16"/>
          <w:color w:val="634140"/>
        </w:rPr>
        <w:t/>
      </w:r>
      <w:r>
        <w:rPr>
          <w:rFonts w:ascii="Arial" w:cs="Arial" w:eastAsia="Arial" w:hAnsi="Arial"/>
          <w:sz w:val="16"/>
          <w:szCs w:val="16"/>
          <w:color w:val="634140"/>
        </w:rPr>
        <w:t xml:space="preserve"> ˮ</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egpjq</w:t>
      </w:r>
      <w:r>
        <w:rPr>
          <w:rFonts w:ascii="PMingLiU" w:cs="PMingLiU" w:eastAsia="PMingLiU" w:hAnsi="PMingLiU"/>
          <w:sz w:val="16"/>
          <w:szCs w:val="16"/>
          <w:color w:val="634140"/>
        </w:rPr>
        <w:t/>
      </w:r>
      <w:r>
        <w:rPr>
          <w:rFonts w:ascii="Arial" w:cs="Arial" w:eastAsia="Arial" w:hAnsi="Arial"/>
          <w:sz w:val="16"/>
          <w:szCs w:val="16"/>
          <w:color w:val="634140"/>
        </w:rPr>
        <w:t>gl</w:t>
      </w:r>
      <w:r>
        <w:rPr>
          <w:rFonts w:ascii="PMingLiU" w:cs="PMingLiU" w:eastAsia="PMingLiU" w:hAnsi="PMingLiU"/>
          <w:sz w:val="16"/>
          <w:szCs w:val="16"/>
          <w:color w:val="634140"/>
        </w:rPr>
        <w:t/>
      </w:r>
      <w:r>
        <w:rPr>
          <w:rFonts w:ascii="Arial" w:cs="Arial" w:eastAsia="Arial" w:hAnsi="Arial"/>
          <w:sz w:val="16"/>
          <w:szCs w:val="16"/>
          <w:color w:val="634140"/>
        </w:rPr>
        <w:t>qctcl</w:t>
      </w:r>
      <w:r>
        <w:rPr>
          <w:rFonts w:ascii="PMingLiU" w:cs="PMingLiU" w:eastAsia="PMingLiU" w:hAnsi="PMingLiU"/>
          <w:sz w:val="16"/>
          <w:szCs w:val="16"/>
          <w:color w:val="634140"/>
        </w:rPr>
        <w:t/>
      </w:r>
      <w:r>
        <w:rPr>
          <w:rFonts w:ascii="Arial" w:cs="Arial" w:eastAsia="Arial" w:hAnsi="Arial"/>
          <w:sz w:val="16"/>
          <w:szCs w:val="16"/>
          <w:color w:val="634140"/>
        </w:rPr>
        <w:t>amslrpgcq</w:t>
      </w:r>
      <w:r>
        <w:rPr>
          <w:rFonts w:ascii="PMingLiU" w:cs="PMingLiU" w:eastAsia="PMingLiU" w:hAnsi="PMingLiU"/>
          <w:sz w:val="16"/>
          <w:szCs w:val="16"/>
          <w:color w:val="634140"/>
        </w:rPr>
        <w:t/>
      </w:r>
      <w:r>
        <w:rPr>
          <w:rFonts w:ascii="Arial" w:cs="Arial" w:eastAsia="Arial" w:hAnsi="Arial"/>
          <w:sz w:val="16"/>
          <w:szCs w:val="16"/>
          <w:color w:val="634140"/>
        </w:rPr>
        <w:t>ugrf</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f_lbq&amp;ml</w:t>
      </w:r>
      <w:r>
        <w:rPr>
          <w:rFonts w:ascii="PMingLiU" w:cs="PMingLiU" w:eastAsia="PMingLiU" w:hAnsi="PMingLiU"/>
          <w:sz w:val="16"/>
          <w:szCs w:val="16"/>
          <w:color w:val="634140"/>
        </w:rPr>
        <w:t/>
      </w:r>
      <w:r>
        <w:rPr>
          <w:rFonts w:ascii="Arial" w:cs="Arial" w:eastAsia="Arial" w:hAnsi="Arial"/>
          <w:sz w:val="16"/>
          <w:szCs w:val="16"/>
          <w:color w:val="634140"/>
        </w:rPr>
        <w:t>jc_plgle</w:t>
      </w:r>
      <w:r>
        <w:rPr>
          <w:rFonts w:ascii="PMingLiU" w:cs="PMingLiU" w:eastAsia="PMingLiU" w:hAnsi="PMingLiU"/>
          <w:sz w:val="16"/>
          <w:szCs w:val="16"/>
          <w:color w:val="634140"/>
        </w:rPr>
        <w:t/>
      </w:r>
      <w:r>
        <w:rPr>
          <w:rFonts w:ascii="Arial" w:cs="Arial" w:eastAsia="Arial" w:hAnsi="Arial"/>
          <w:sz w:val="16"/>
          <w:szCs w:val="16"/>
          <w:color w:val="634140"/>
        </w:rPr>
        <w:t>ctclrq</w:t>
      </w:r>
      <w:r>
        <w:rPr>
          <w:rFonts w:ascii="PMingLiU" w:cs="PMingLiU" w:eastAsia="PMingLiU" w:hAnsi="PMingLiU"/>
          <w:sz w:val="16"/>
          <w:szCs w:val="16"/>
          <w:color w:val="634140"/>
        </w:rPr>
        <w:t/>
      </w:r>
      <w:r>
        <w:rPr>
          <w:rFonts w:ascii="Arial" w:cs="Arial" w:eastAsia="Arial" w:hAnsi="Arial"/>
          <w:sz w:val="16"/>
          <w:szCs w:val="16"/>
          <w:color w:val="634140"/>
        </w:rPr>
        <w:t xml:space="preserve"> Ssp</w:t>
      </w:r>
      <w:r>
        <w:rPr>
          <w:rFonts w:ascii="PMingLiU" w:cs="PMingLiU" w:eastAsia="PMingLiU" w:hAnsi="PMingLiU"/>
          <w:sz w:val="16"/>
          <w:szCs w:val="16"/>
          <w:color w:val="634140"/>
        </w:rPr>
        <w:t/>
      </w:r>
      <w:r>
        <w:rPr>
          <w:rFonts w:ascii="Arial" w:cs="Arial" w:eastAsia="Arial" w:hAnsi="Arial"/>
          <w:sz w:val="16"/>
          <w:szCs w:val="16"/>
          <w:color w:val="634140"/>
        </w:rPr>
        <w:t>amlrpg`srgml</w:t>
      </w:r>
      <w:r>
        <w:rPr>
          <w:rFonts w:ascii="PMingLiU" w:cs="PMingLiU" w:eastAsia="PMingLiU" w:hAnsi="PMingLiU"/>
          <w:sz w:val="16"/>
          <w:szCs w:val="16"/>
          <w:color w:val="634140"/>
        </w:rPr>
        <w:t/>
      </w:r>
      <w:r>
        <w:rPr>
          <w:rFonts w:ascii="Arial" w:cs="Arial" w:eastAsia="Arial" w:hAnsi="Arial"/>
          <w:sz w:val="16"/>
          <w:szCs w:val="16"/>
          <w:color w:val="634140"/>
        </w:rPr>
        <w:t>k_bc</w:t>
      </w:r>
      <w:r>
        <w:rPr>
          <w:rFonts w:ascii="PMingLiU" w:cs="PMingLiU" w:eastAsia="PMingLiU" w:hAnsi="PMingLiU"/>
          <w:sz w:val="16"/>
          <w:szCs w:val="16"/>
          <w:color w:val="634140"/>
        </w:rPr>
        <w:t/>
      </w:r>
      <w:r>
        <w:rPr>
          <w:rFonts w:ascii="Arial" w:cs="Arial" w:eastAsia="Arial" w:hAnsi="Arial"/>
          <w:sz w:val="16"/>
          <w:szCs w:val="16"/>
          <w:color w:val="634140"/>
        </w:rPr>
        <w:t>rfpcc</w:t>
      </w:r>
      <w:r>
        <w:rPr>
          <w:rFonts w:ascii="PMingLiU" w:cs="PMingLiU" w:eastAsia="PMingLiU" w:hAnsi="PMingLiU"/>
          <w:sz w:val="16"/>
          <w:szCs w:val="16"/>
          <w:color w:val="634140"/>
        </w:rPr>
        <w:t/>
      </w:r>
      <w:r>
        <w:rPr>
          <w:rFonts w:ascii="Arial" w:cs="Arial" w:eastAsia="Arial" w:hAnsi="Arial"/>
          <w:sz w:val="16"/>
          <w:szCs w:val="16"/>
          <w:color w:val="634140"/>
        </w:rPr>
        <w:t>lcu</w:t>
      </w:r>
      <w:r>
        <w:rPr>
          <w:rFonts w:ascii="PMingLiU" w:cs="PMingLiU" w:eastAsia="PMingLiU" w:hAnsi="PMingLiU"/>
          <w:sz w:val="16"/>
          <w:szCs w:val="16"/>
          <w:color w:val="634140"/>
        </w:rPr>
        <w:t/>
      </w:r>
      <w:r>
        <w:rPr>
          <w:rFonts w:ascii="Arial" w:cs="Arial" w:eastAsia="Arial" w:hAnsi="Arial"/>
          <w:sz w:val="16"/>
          <w:szCs w:val="16"/>
          <w:color w:val="634140"/>
        </w:rPr>
        <w:t>epccljgefr</w:t>
      </w:r>
      <w:r>
        <w:rPr>
          <w:rFonts w:ascii="PMingLiU" w:cs="PMingLiU" w:eastAsia="PMingLiU" w:hAnsi="PMingLiU"/>
          <w:sz w:val="16"/>
          <w:szCs w:val="16"/>
          <w:color w:val="634140"/>
        </w:rPr>
        <w:t/>
      </w:r>
      <w:r>
        <w:rPr>
          <w:rFonts w:ascii="Arial" w:cs="Arial" w:eastAsia="Arial" w:hAnsi="Arial"/>
          <w:sz w:val="16"/>
          <w:szCs w:val="16"/>
          <w:color w:val="634140"/>
        </w:rPr>
        <w:t>dmp</w:t>
      </w:r>
      <w:r>
        <w:rPr>
          <w:rFonts w:ascii="PMingLiU" w:cs="PMingLiU" w:eastAsia="PMingLiU" w:hAnsi="PMingLiU"/>
          <w:sz w:val="16"/>
          <w:szCs w:val="16"/>
          <w:color w:val="634140"/>
        </w:rPr>
        <w:t/>
      </w:r>
      <w:r>
        <w:rPr>
          <w:rFonts w:ascii="Arial" w:cs="Arial" w:eastAsia="Arial" w:hAnsi="Arial"/>
          <w:sz w:val="16"/>
          <w:szCs w:val="16"/>
          <w:color w:val="634140"/>
        </w:rPr>
        <w:t>egpjq</w:t>
      </w:r>
      <w:r>
        <w:rPr>
          <w:rFonts w:ascii="PMingLiU" w:cs="PMingLiU" w:eastAsia="PMingLiU" w:hAnsi="PMingLiU"/>
          <w:sz w:val="16"/>
          <w:szCs w:val="16"/>
          <w:color w:val="634140"/>
        </w:rPr>
        <w:t/>
      </w:r>
      <w:r>
        <w:rPr>
          <w:rFonts w:ascii="Arial" w:cs="Arial" w:eastAsia="Arial" w:hAnsi="Arial"/>
          <w:sz w:val="16"/>
          <w:szCs w:val="16"/>
          <w:color w:val="634140"/>
        </w:rPr>
        <w:t>Ek`_qq_bmpq</w:t>
      </w:r>
      <w:r>
        <w:rPr>
          <w:rFonts w:ascii="PMingLiU" w:cs="PMingLiU" w:eastAsia="PMingLiU" w:hAnsi="PMingLiU"/>
          <w:sz w:val="16"/>
          <w:szCs w:val="16"/>
          <w:color w:val="634140"/>
        </w:rPr>
        <w:t/>
      </w:r>
      <w:r>
        <w:rPr>
          <w:rFonts w:ascii="Arial" w:cs="Arial" w:eastAsia="Arial" w:hAnsi="Arial"/>
          <w:sz w:val="16"/>
          <w:szCs w:val="16"/>
          <w:color w:val="634140"/>
        </w:rPr>
        <w:t xml:space="preserve"> nmqqg`jc</w:t>
      </w:r>
      <w:r>
        <w:rPr>
          <w:rFonts w:ascii="PMingLiU" w:cs="PMingLiU" w:eastAsia="PMingLiU" w:hAnsi="PMingLiU"/>
          <w:sz w:val="16"/>
          <w:szCs w:val="16"/>
          <w:color w:val="634140"/>
        </w:rPr>
        <w:t/>
      </w:r>
      <w:r>
        <w:rPr>
          <w:rFonts w:ascii="Arial" w:cs="Arial" w:eastAsia="Arial" w:hAnsi="Arial"/>
          <w:sz w:val="16"/>
          <w:szCs w:val="16"/>
          <w:color w:val="634140"/>
        </w:rPr>
        <w:t>qm</w:t>
      </w:r>
      <w:r>
        <w:rPr>
          <w:rFonts w:ascii="PMingLiU" w:cs="PMingLiU" w:eastAsia="PMingLiU" w:hAnsi="PMingLiU"/>
          <w:sz w:val="16"/>
          <w:szCs w:val="16"/>
          <w:color w:val="634140"/>
        </w:rPr>
        <w:t/>
      </w:r>
      <w:r>
        <w:rPr>
          <w:rFonts w:ascii="Arial" w:cs="Arial" w:eastAsia="Arial" w:hAnsi="Arial"/>
          <w:sz w:val="16"/>
          <w:szCs w:val="16"/>
          <w:color w:val="634140"/>
        </w:rPr>
        <w:t>rfcw</w:t>
      </w:r>
      <w:r>
        <w:rPr>
          <w:rFonts w:ascii="PMingLiU" w:cs="PMingLiU" w:eastAsia="PMingLiU" w:hAnsi="PMingLiU"/>
          <w:sz w:val="16"/>
          <w:szCs w:val="16"/>
          <w:color w:val="634140"/>
        </w:rPr>
        <w:t/>
      </w:r>
      <w:r>
        <w:rPr>
          <w:rFonts w:ascii="Arial" w:cs="Arial" w:eastAsia="Arial" w:hAnsi="Arial"/>
          <w:sz w:val="16"/>
          <w:szCs w:val="16"/>
          <w:color w:val="634140"/>
        </w:rPr>
        <w:t>amsjb</w:t>
      </w:r>
      <w:r>
        <w:rPr>
          <w:rFonts w:ascii="PMingLiU" w:cs="PMingLiU" w:eastAsia="PMingLiU" w:hAnsi="PMingLiU"/>
          <w:sz w:val="16"/>
          <w:szCs w:val="16"/>
          <w:color w:val="634140"/>
        </w:rPr>
        <w:t/>
      </w:r>
      <w:r>
        <w:rPr>
          <w:rFonts w:ascii="Arial" w:cs="Arial" w:eastAsia="Arial" w:hAnsi="Arial"/>
          <w:sz w:val="16"/>
          <w:szCs w:val="16"/>
          <w:color w:val="634140"/>
        </w:rPr>
        <w:t>glqngpc</w:t>
      </w:r>
      <w:r>
        <w:rPr>
          <w:rFonts w:ascii="PMingLiU" w:cs="PMingLiU" w:eastAsia="PMingLiU" w:hAnsi="PMingLiU"/>
          <w:sz w:val="16"/>
          <w:szCs w:val="16"/>
          <w:color w:val="634140"/>
        </w:rPr>
        <w:t/>
      </w:r>
      <w:r>
        <w:rPr>
          <w:rFonts w:ascii="Arial" w:cs="Arial" w:eastAsia="Arial" w:hAnsi="Arial"/>
          <w:sz w:val="16"/>
          <w:szCs w:val="16"/>
          <w:color w:val="634140"/>
        </w:rPr>
        <w:t>WXIQ</w:t>
      </w:r>
      <w:r>
        <w:rPr>
          <w:rFonts w:ascii="PMingLiU" w:cs="PMingLiU" w:eastAsia="PMingLiU" w:hAnsi="PMingLiU"/>
          <w:sz w:val="16"/>
          <w:szCs w:val="16"/>
          <w:color w:val="634140"/>
        </w:rPr>
        <w:t/>
      </w:r>
      <w:r>
        <w:rPr>
          <w:rFonts w:ascii="Arial" w:cs="Arial" w:eastAsia="Arial" w:hAnsi="Arial"/>
          <w:sz w:val="16"/>
          <w:szCs w:val="16"/>
          <w:color w:val="634140"/>
        </w:rPr>
        <w:t>jc_plgle</w:t>
      </w:r>
      <w:r>
        <w:rPr>
          <w:rFonts w:ascii="PMingLiU" w:cs="PMingLiU" w:eastAsia="PMingLiU" w:hAnsi="PMingLiU"/>
          <w:sz w:val="16"/>
          <w:szCs w:val="16"/>
          <w:color w:val="634140"/>
        </w:rPr>
        <w:t/>
      </w:r>
      <w:r>
        <w:rPr>
          <w:rFonts w:ascii="Arial" w:cs="Arial" w:eastAsia="Arial" w:hAnsi="Arial"/>
          <w:sz w:val="16"/>
          <w:szCs w:val="16"/>
          <w:color w:val="634140"/>
        </w:rPr>
        <w:t>gl</w:t>
      </w:r>
      <w:r>
        <w:rPr>
          <w:rFonts w:ascii="PMingLiU" w:cs="PMingLiU" w:eastAsia="PMingLiU" w:hAnsi="PMingLiU"/>
          <w:sz w:val="16"/>
          <w:szCs w:val="16"/>
          <w:color w:val="634140"/>
        </w:rPr>
        <w:t/>
      </w:r>
      <w:r>
        <w:rPr>
          <w:rFonts w:ascii="Arial" w:cs="Arial" w:eastAsia="Arial" w:hAnsi="Arial"/>
          <w:sz w:val="16"/>
          <w:szCs w:val="16"/>
          <w:color w:val="634140"/>
        </w:rPr>
        <w:t>rfcgp</w:t>
      </w:r>
      <w:r>
        <w:rPr>
          <w:rFonts w:ascii="PMingLiU" w:cs="PMingLiU" w:eastAsia="PMingLiU" w:hAnsi="PMingLiU"/>
          <w:sz w:val="16"/>
          <w:szCs w:val="16"/>
          <w:color w:val="634140"/>
        </w:rPr>
        <w:t/>
      </w:r>
      <w:r>
        <w:rPr>
          <w:rFonts w:ascii="Arial" w:cs="Arial" w:eastAsia="Arial" w:hAnsi="Arial"/>
          <w:sz w:val="16"/>
          <w:szCs w:val="16"/>
          <w:color w:val="634140"/>
        </w:rPr>
        <w:t>jma_j</w:t>
      </w:r>
      <w:r>
        <w:rPr>
          <w:rFonts w:ascii="PMingLiU" w:cs="PMingLiU" w:eastAsia="PMingLiU" w:hAnsi="PMingLiU"/>
          <w:sz w:val="16"/>
          <w:szCs w:val="16"/>
          <w:color w:val="634140"/>
        </w:rPr>
        <w:t/>
      </w:r>
      <w:r>
        <w:rPr>
          <w:rFonts w:ascii="Arial" w:cs="Arial" w:eastAsia="Arial" w:hAnsi="Arial"/>
          <w:sz w:val="16"/>
          <w:szCs w:val="16"/>
          <w:color w:val="634140"/>
        </w:rPr>
        <w:t>amkkslgrgcq</w:t>
      </w:r>
      <w:r>
        <w:rPr>
          <w:rFonts w:ascii="PMingLiU" w:cs="PMingLiU" w:eastAsia="PMingLiU" w:hAnsi="PMingLiU"/>
          <w:sz w:val="16"/>
          <w:szCs w:val="16"/>
          <w:color w:val="634140"/>
        </w:rPr>
        <w:t/>
      </w:r>
      <w:r>
        <w:rPr>
          <w:rFonts w:ascii="Arial" w:cs="Arial" w:eastAsia="Arial" w:hAnsi="Arial"/>
          <w:sz w:val="16"/>
          <w:szCs w:val="16"/>
          <w:color w:val="634140"/>
        </w:rPr>
        <w:t xml:space="preserve"> qafmmjq</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slgtcpqgrgcq</w:t>
      </w:r>
      <w:r>
        <w:rPr>
          <w:rFonts w:ascii="PMingLiU" w:cs="PMingLiU" w:eastAsia="PMingLiU" w:hAnsi="PMingLiU"/>
          <w:sz w:val="16"/>
          <w:szCs w:val="16"/>
          <w:color w:val="634140"/>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66BF9B"/>
        </w:rPr>
        <w:t>pcegml_j</w:t>
      </w:r>
      <w:r>
        <w:rPr>
          <w:rFonts w:ascii="PMingLiU" w:cs="PMingLiU" w:eastAsia="PMingLiU" w:hAnsi="PMingLiU"/>
          <w:sz w:val="16"/>
          <w:szCs w:val="16"/>
          <w:b w:val="1"/>
          <w:bCs w:val="1"/>
          <w:color w:val="66BF9B"/>
        </w:rPr>
        <w:t/>
      </w:r>
      <w:r>
        <w:rPr>
          <w:rFonts w:ascii="Arial" w:cs="Arial" w:eastAsia="Arial" w:hAnsi="Arial"/>
          <w:sz w:val="16"/>
          <w:szCs w:val="16"/>
          <w:b w:val="1"/>
          <w:bCs w:val="1"/>
          <w:color w:val="66BF9B"/>
        </w:rPr>
        <w:t>WXIQ</w:t>
      </w:r>
      <w:r>
        <w:rPr>
          <w:rFonts w:ascii="PMingLiU" w:cs="PMingLiU" w:eastAsia="PMingLiU" w:hAnsi="PMingLiU"/>
          <w:sz w:val="16"/>
          <w:szCs w:val="16"/>
          <w:b w:val="1"/>
          <w:bCs w:val="1"/>
          <w:color w:val="66BF9B"/>
        </w:rPr>
        <w:t/>
      </w:r>
      <w:r>
        <w:rPr>
          <w:rFonts w:ascii="Arial" w:cs="Arial" w:eastAsia="Arial" w:hAnsi="Arial"/>
          <w:sz w:val="16"/>
          <w:szCs w:val="16"/>
          <w:b w:val="1"/>
          <w:bCs w:val="1"/>
          <w:color w:val="66BF9B"/>
        </w:rPr>
        <w:t>npmep_kq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-1464945</wp:posOffset>
            </wp:positionV>
            <wp:extent cx="361315" cy="1962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0">
                      <a:extLst>
                        <a:ext uri="{28A0092B-C50C-407E-A947-70E740481C1C}"/>
                      </a:extLst>
                    </a:blip>
                    <a:srcRect/>
                    <a:stretch>
                      <a:fillRect/>
                    </a:stretch>
                  </pic:blipFill>
                  <pic:spPr bwMode="auto">
                    <a:xfrm>
                      <a:off x="0" y="0"/>
                      <a:ext cx="361315" cy="196215"/>
                    </a:xfrm>
                    <a:prstGeom prst="rect">
                      <a:avLst/>
                    </a:prstGeom>
                    <a:noFill/>
                  </pic:spPr>
                </pic:pic>
              </a:graphicData>
            </a:graphic>
          </wp:anchor>
        </w:drawing>
      </w:r>
    </w:p>
    <w:p>
      <w:pPr>
        <w:spacing w:after="0" w:line="101"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glajsbc</w:t>
      </w:r>
      <w:r>
        <w:rPr>
          <w:rFonts w:ascii="PMingLiU" w:cs="PMingLiU" w:eastAsia="PMingLiU" w:hAnsi="PMingLiU"/>
          <w:sz w:val="16"/>
          <w:szCs w:val="16"/>
          <w:color w:val="634140"/>
        </w:rPr>
        <w:t/>
      </w:r>
      <w:r>
        <w:rPr>
          <w:rFonts w:ascii="Arial" w:cs="Arial" w:eastAsia="Arial" w:hAnsi="Arial"/>
          <w:sz w:val="16"/>
          <w:szCs w:val="16"/>
          <w:color w:val="634140"/>
        </w:rPr>
        <w:t>glrcplqfgnq</w:t>
      </w:r>
      <w:r>
        <w:rPr>
          <w:rFonts w:ascii="PMingLiU" w:cs="PMingLiU" w:eastAsia="PMingLiU" w:hAnsi="PMingLiU"/>
          <w:sz w:val="16"/>
          <w:szCs w:val="16"/>
          <w:color w:val="634140"/>
        </w:rPr>
        <w:t/>
      </w:r>
      <w:r>
        <w:rPr>
          <w:rFonts w:ascii="Arial" w:cs="Arial" w:eastAsia="Arial" w:hAnsi="Arial"/>
          <w:sz w:val="16"/>
          <w:szCs w:val="16"/>
          <w:color w:val="634140"/>
        </w:rPr>
        <w:t>am&amp;mnq</w:t>
      </w:r>
      <w:r>
        <w:rPr>
          <w:rFonts w:ascii="PMingLiU" w:cs="PMingLiU" w:eastAsia="PMingLiU" w:hAnsi="PMingLiU"/>
          <w:sz w:val="16"/>
          <w:szCs w:val="16"/>
          <w:color w:val="634140"/>
        </w:rPr>
        <w:t/>
      </w:r>
      <w:r>
        <w:rPr>
          <w:rFonts w:ascii="Arial" w:cs="Arial" w:eastAsia="Arial" w:hAnsi="Arial"/>
          <w:sz w:val="16"/>
          <w:szCs w:val="16"/>
          <w:color w:val="634140"/>
        </w:rPr>
        <w:t>qnmlqmpqfgnq</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j_`</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nj_lr</w:t>
      </w:r>
      <w:r>
        <w:rPr>
          <w:rFonts w:ascii="PMingLiU" w:cs="PMingLiU" w:eastAsia="PMingLiU" w:hAnsi="PMingLiU"/>
          <w:sz w:val="16"/>
          <w:szCs w:val="16"/>
          <w:color w:val="634140"/>
        </w:rPr>
        <w:t/>
      </w:r>
      <w:r>
        <w:rPr>
          <w:rFonts w:ascii="Arial" w:cs="Arial" w:eastAsia="Arial" w:hAnsi="Arial"/>
          <w:sz w:val="16"/>
          <w:szCs w:val="16"/>
          <w:color w:val="634140"/>
        </w:rPr>
        <w:t>rmspq</w:t>
      </w:r>
      <w:r>
        <w:rPr>
          <w:rFonts w:ascii="PMingLiU" w:cs="PMingLiU" w:eastAsia="PMingLiU" w:hAnsi="PMingLiU"/>
          <w:sz w:val="16"/>
          <w:szCs w:val="16"/>
          <w:color w:val="634140"/>
        </w:rPr>
        <w:t/>
      </w:r>
      <w:r>
        <w:rPr>
          <w:rFonts w:ascii="Arial" w:cs="Arial" w:eastAsia="Arial" w:hAnsi="Arial"/>
          <w:sz w:val="16"/>
          <w:szCs w:val="16"/>
          <w:color w:val="634140"/>
        </w:rPr>
        <w:t>cbsa_rgml_j</w:t>
      </w:r>
      <w:r>
        <w:rPr>
          <w:rFonts w:ascii="PMingLiU" w:cs="PMingLiU" w:eastAsia="PMingLiU" w:hAnsi="PMingLiU"/>
          <w:sz w:val="16"/>
          <w:szCs w:val="16"/>
          <w:color w:val="634140"/>
        </w:rPr>
        <w:t/>
      </w:r>
      <w:r>
        <w:rPr>
          <w:rFonts w:ascii="Arial" w:cs="Arial" w:eastAsia="Arial" w:hAnsi="Arial"/>
          <w:sz w:val="16"/>
          <w:szCs w:val="16"/>
          <w:color w:val="634140"/>
        </w:rPr>
        <w:t>jc_plgle</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kmpc</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634140"/>
        </w:rPr>
        <w:t>Gfgl_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634140"/>
        </w:rPr>
        <w:t>Mlbg_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634140"/>
        </w:rPr>
        <w:t>Ispmnc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
        <w:spacing w:after="0" w:line="340" w:lineRule="exact"/>
        <w:rPr>
          <w:sz w:val="20"/>
          <w:szCs w:val="20"/>
          <w:color w:val="auto"/>
        </w:rPr>
      </w:pPr>
      <w:r>
        <w:rPr>
          <w:rFonts w:ascii="Arial" w:cs="Arial" w:eastAsia="Arial" w:hAnsi="Arial"/>
          <w:sz w:val="28"/>
          <w:szCs w:val="28"/>
          <w:b w:val="1"/>
          <w:bCs w:val="1"/>
          <w:color w:val="634140"/>
        </w:rPr>
        <w:t>P_rgl</w:t>
      </w:r>
      <w:r>
        <w:rPr>
          <w:rFonts w:ascii="PMingLiU" w:cs="PMingLiU" w:eastAsia="PMingLiU" w:hAnsi="PMingLiU"/>
          <w:sz w:val="28"/>
          <w:szCs w:val="28"/>
          <w:b w:val="1"/>
          <w:bCs w:val="1"/>
          <w:color w:val="634140"/>
        </w:rPr>
        <w:t/>
      </w:r>
      <w:r>
        <w:rPr>
          <w:rFonts w:ascii="Arial" w:cs="Arial" w:eastAsia="Arial" w:hAnsi="Arial"/>
          <w:sz w:val="28"/>
          <w:szCs w:val="28"/>
          <w:b w:val="1"/>
          <w:bCs w:val="1"/>
          <w:color w:val="634140"/>
        </w:rPr>
        <w:t>Ekcpga_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40"/>
        <w:spacing w:after="0" w:line="340" w:lineRule="exact"/>
        <w:rPr>
          <w:sz w:val="20"/>
          <w:szCs w:val="20"/>
          <w:color w:val="auto"/>
        </w:rPr>
      </w:pPr>
      <w:r>
        <w:rPr>
          <w:rFonts w:ascii="Arial" w:cs="Arial" w:eastAsia="Arial" w:hAnsi="Arial"/>
          <w:sz w:val="28"/>
          <w:szCs w:val="28"/>
          <w:b w:val="1"/>
          <w:bCs w:val="1"/>
          <w:color w:val="634140"/>
        </w:rPr>
        <w:t>Rmprf</w:t>
      </w:r>
      <w:r>
        <w:rPr>
          <w:rFonts w:ascii="PMingLiU" w:cs="PMingLiU" w:eastAsia="PMingLiU" w:hAnsi="PMingLiU"/>
          <w:sz w:val="28"/>
          <w:szCs w:val="28"/>
          <w:b w:val="1"/>
          <w:bCs w:val="1"/>
          <w:color w:val="634140"/>
        </w:rPr>
        <w:t/>
      </w:r>
      <w:r>
        <w:rPr>
          <w:rFonts w:ascii="Arial" w:cs="Arial" w:eastAsia="Arial" w:hAnsi="Arial"/>
          <w:sz w:val="28"/>
          <w:szCs w:val="28"/>
          <w:b w:val="1"/>
          <w:bCs w:val="1"/>
          <w:color w:val="634140"/>
        </w:rPr>
        <w:t>Ekcpga_</w:t>
      </w:r>
    </w:p>
    <w:p>
      <w:pPr>
        <w:spacing w:after="0" w:line="826" w:lineRule="exact"/>
        <w:rPr>
          <w:sz w:val="20"/>
          <w:szCs w:val="20"/>
          <w:color w:val="auto"/>
        </w:rPr>
      </w:pPr>
    </w:p>
    <w:p>
      <w:pPr>
        <w:sectPr>
          <w:pgSz w:w="12240" w:h="15840" w:orient="portrait"/>
          <w:cols w:equalWidth="0" w:num="2">
            <w:col w:w="5560" w:space="720"/>
            <w:col w:w="3620"/>
          </w:cols>
          <w:pgMar w:left="1120" w:top="1440" w:right="1220" w:bottom="0" w:gutter="0" w:footer="0" w:header="0"/>
        </w:sectPr>
      </w:pPr>
    </w:p>
    <w:p>
      <w:pPr>
        <w:spacing w:after="0" w:line="200" w:lineRule="exact"/>
        <w:rPr>
          <w:sz w:val="20"/>
          <w:szCs w:val="20"/>
          <w:color w:val="auto"/>
        </w:rPr>
      </w:pPr>
    </w:p>
    <w:p>
      <w:pPr>
        <w:spacing w:after="0" w:line="363" w:lineRule="exact"/>
        <w:rPr>
          <w:sz w:val="20"/>
          <w:szCs w:val="20"/>
          <w:color w:val="auto"/>
        </w:rPr>
      </w:pPr>
    </w:p>
    <w:p>
      <w:pPr>
        <w:ind w:left="980"/>
        <w:spacing w:after="0"/>
        <w:rPr>
          <w:sz w:val="20"/>
          <w:szCs w:val="20"/>
          <w:color w:val="auto"/>
        </w:rPr>
      </w:pPr>
      <w:r>
        <w:rPr>
          <w:sz w:val="1"/>
          <w:szCs w:val="1"/>
          <w:color w:val="auto"/>
        </w:rPr>
        <w:drawing>
          <wp:inline distT="0" distB="0" distL="0" distR="0">
            <wp:extent cx="93345" cy="19113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1">
                      <a:extLst>
                        <a:ext uri="{28A0092B-C50C-407E-A947-70E740481C1C}"/>
                      </a:extLst>
                    </a:blip>
                    <a:srcRect/>
                    <a:stretch>
                      <a:fillRect/>
                    </a:stretch>
                  </pic:blipFill>
                  <pic:spPr bwMode="auto">
                    <a:xfrm>
                      <a:off x="0" y="0"/>
                      <a:ext cx="93345" cy="191135"/>
                    </a:xfrm>
                    <a:prstGeom prst="rect">
                      <a:avLst/>
                    </a:prstGeom>
                    <a:noFill/>
                    <a:ln>
                      <a:noFill/>
                    </a:ln>
                  </pic:spPr>
                </pic:pic>
              </a:graphicData>
            </a:graphic>
          </wp:inline>
        </w:drawing>
      </w:r>
      <w:r>
        <w:rPr>
          <w:rFonts w:ascii="Arial" w:cs="Arial" w:eastAsia="Arial" w:hAnsi="Arial"/>
          <w:sz w:val="17"/>
          <w:szCs w:val="17"/>
          <w:b w:val="1"/>
          <w:bCs w:val="1"/>
          <w:color w:val="66BF9B"/>
        </w:rPr>
        <w:t xml:space="preserve"> ˦˫</w:t>
      </w:r>
    </w:p>
    <w:p>
      <w:pPr>
        <w:sectPr>
          <w:pgSz w:w="12240" w:h="15840" w:orient="portrait"/>
          <w:cols w:equalWidth="0" w:num="1">
            <w:col w:w="9900"/>
          </w:cols>
          <w:pgMar w:left="1120" w:top="1440" w:right="1220" w:bottom="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1499870</wp:posOffset>
            </wp:positionH>
            <wp:positionV relativeFrom="page">
              <wp:posOffset>122555</wp:posOffset>
            </wp:positionV>
            <wp:extent cx="589915" cy="6305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2">
                      <a:extLst>
                        <a:ext uri="{28A0092B-C50C-407E-A947-70E740481C1C}"/>
                      </a:extLst>
                    </a:blip>
                    <a:srcRect/>
                    <a:stretch>
                      <a:fillRect/>
                    </a:stretch>
                  </pic:blipFill>
                  <pic:spPr bwMode="auto">
                    <a:xfrm>
                      <a:off x="0" y="0"/>
                      <a:ext cx="589915" cy="630555"/>
                    </a:xfrm>
                    <a:prstGeom prst="rect">
                      <a:avLst/>
                    </a:prstGeom>
                    <a:noFill/>
                  </pic:spPr>
                </pic:pic>
              </a:graphicData>
            </a:graphic>
          </wp:anchor>
        </w:drawing>
        <w:drawing>
          <wp:anchor simplePos="0" relativeHeight="251657728" behindDoc="1" locked="0" layoutInCell="0" allowOverlap="1">
            <wp:simplePos x="0" y="0"/>
            <wp:positionH relativeFrom="page">
              <wp:posOffset>4095115</wp:posOffset>
            </wp:positionH>
            <wp:positionV relativeFrom="page">
              <wp:posOffset>393700</wp:posOffset>
            </wp:positionV>
            <wp:extent cx="361315" cy="3575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3">
                      <a:extLst>
                        <a:ext uri="{28A0092B-C50C-407E-A947-70E740481C1C}"/>
                      </a:extLst>
                    </a:blip>
                    <a:srcRect/>
                    <a:stretch>
                      <a:fillRect/>
                    </a:stretch>
                  </pic:blipFill>
                  <pic:spPr bwMode="auto">
                    <a:xfrm>
                      <a:off x="0" y="0"/>
                      <a:ext cx="361315" cy="357505"/>
                    </a:xfrm>
                    <a:prstGeom prst="rect">
                      <a:avLst/>
                    </a:prstGeom>
                    <a:noFill/>
                  </pic:spPr>
                </pic:pic>
              </a:graphicData>
            </a:graphic>
          </wp:anchor>
        </w:drawing>
        <w:drawing>
          <wp:anchor simplePos="0" relativeHeight="251657728" behindDoc="1" locked="0" layoutInCell="0" allowOverlap="1">
            <wp:simplePos x="0" y="0"/>
            <wp:positionH relativeFrom="page">
              <wp:posOffset>147955</wp:posOffset>
            </wp:positionH>
            <wp:positionV relativeFrom="page">
              <wp:posOffset>393065</wp:posOffset>
            </wp:positionV>
            <wp:extent cx="361315" cy="3575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4">
                      <a:extLst>
                        <a:ext uri="{28A0092B-C50C-407E-A947-70E740481C1C}"/>
                      </a:extLst>
                    </a:blip>
                    <a:srcRect/>
                    <a:stretch>
                      <a:fillRect/>
                    </a:stretch>
                  </pic:blipFill>
                  <pic:spPr bwMode="auto">
                    <a:xfrm>
                      <a:off x="0" y="0"/>
                      <a:ext cx="361315" cy="357505"/>
                    </a:xfrm>
                    <a:prstGeom prst="rect">
                      <a:avLst/>
                    </a:prstGeom>
                    <a:noFill/>
                  </pic:spPr>
                </pic:pic>
              </a:graphicData>
            </a:graphic>
          </wp:anchor>
        </w:drawing>
        <w:drawing>
          <wp:anchor simplePos="0" relativeHeight="251657728" behindDoc="1" locked="0" layoutInCell="0" allowOverlap="1">
            <wp:simplePos x="0" y="0"/>
            <wp:positionH relativeFrom="page">
              <wp:posOffset>2823210</wp:posOffset>
            </wp:positionH>
            <wp:positionV relativeFrom="page">
              <wp:posOffset>0</wp:posOffset>
            </wp:positionV>
            <wp:extent cx="361315" cy="183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5">
                      <a:extLst>
                        <a:ext uri="{28A0092B-C50C-407E-A947-70E740481C1C}"/>
                      </a:extLst>
                    </a:blip>
                    <a:srcRect/>
                    <a:stretch>
                      <a:fillRect/>
                    </a:stretch>
                  </pic:blipFill>
                  <pic:spPr bwMode="auto">
                    <a:xfrm>
                      <a:off x="0" y="0"/>
                      <a:ext cx="361315" cy="18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8"/>
          <w:szCs w:val="28"/>
          <w:b w:val="1"/>
          <w:bCs w:val="1"/>
          <w:color w:val="66BF9B"/>
        </w:rPr>
        <w:t>M;H</w:t>
      </w:r>
    </w:p>
    <w:p>
      <w:pPr>
        <w:spacing w:after="0" w:line="161" w:lineRule="exact"/>
        <w:rPr>
          <w:sz w:val="20"/>
          <w:szCs w:val="20"/>
          <w:color w:val="auto"/>
        </w:rPr>
      </w:pPr>
    </w:p>
    <w:p>
      <w:pPr>
        <w:spacing w:after="0" w:line="291" w:lineRule="exact"/>
        <w:rPr>
          <w:sz w:val="20"/>
          <w:szCs w:val="20"/>
          <w:color w:val="auto"/>
        </w:rPr>
      </w:pPr>
      <w:r>
        <w:rPr>
          <w:rFonts w:ascii="Arial" w:cs="Arial" w:eastAsia="Arial" w:hAnsi="Arial"/>
          <w:sz w:val="24"/>
          <w:szCs w:val="24"/>
          <w:b w:val="1"/>
          <w:bCs w:val="1"/>
          <w:color w:val="634140"/>
        </w:rPr>
        <w:t>cknjmwcc</w:t>
      </w:r>
      <w:r>
        <w:rPr>
          <w:rFonts w:ascii="PMingLiU" w:cs="PMingLiU" w:eastAsia="PMingLiU" w:hAnsi="PMingLiU"/>
          <w:sz w:val="24"/>
          <w:szCs w:val="24"/>
          <w:b w:val="1"/>
          <w:bCs w:val="1"/>
          <w:color w:val="634140"/>
        </w:rPr>
        <w:t/>
      </w:r>
      <w:r>
        <w:rPr>
          <w:rFonts w:ascii="Arial" w:cs="Arial" w:eastAsia="Arial" w:hAnsi="Arial"/>
          <w:sz w:val="24"/>
          <w:szCs w:val="24"/>
          <w:b w:val="1"/>
          <w:bCs w:val="1"/>
          <w:color w:val="634140"/>
        </w:rPr>
        <w:t>pcqmspac</w:t>
      </w:r>
      <w:r>
        <w:rPr>
          <w:rFonts w:ascii="PMingLiU" w:cs="PMingLiU" w:eastAsia="PMingLiU" w:hAnsi="PMingLiU"/>
          <w:sz w:val="24"/>
          <w:szCs w:val="24"/>
          <w:b w:val="1"/>
          <w:bCs w:val="1"/>
          <w:color w:val="634140"/>
        </w:rPr>
        <w:t/>
      </w:r>
      <w:r>
        <w:rPr>
          <w:rFonts w:ascii="Arial" w:cs="Arial" w:eastAsia="Arial" w:hAnsi="Arial"/>
          <w:sz w:val="24"/>
          <w:szCs w:val="24"/>
          <w:b w:val="1"/>
          <w:bCs w:val="1"/>
          <w:color w:val="634140"/>
        </w:rPr>
        <w:t>epmsnq</w:t>
      </w:r>
    </w:p>
    <w:p>
      <w:pPr>
        <w:spacing w:after="0" w:line="212" w:lineRule="exact"/>
        <w:rPr>
          <w:sz w:val="20"/>
          <w:szCs w:val="20"/>
          <w:color w:val="auto"/>
        </w:rPr>
      </w:pPr>
    </w:p>
    <w:p>
      <w:pPr>
        <w:spacing w:after="0" w:line="219" w:lineRule="exact"/>
        <w:rPr>
          <w:sz w:val="20"/>
          <w:szCs w:val="20"/>
          <w:color w:val="auto"/>
        </w:rPr>
      </w:pPr>
      <w:r>
        <w:rPr>
          <w:rFonts w:ascii="Arial" w:cs="Arial" w:eastAsia="Arial" w:hAnsi="Arial"/>
          <w:sz w:val="18"/>
          <w:szCs w:val="18"/>
          <w:b w:val="1"/>
          <w:bCs w:val="1"/>
          <w:color w:val="66BF9B"/>
        </w:rPr>
        <w:t>Ml</w:t>
      </w:r>
      <w:r>
        <w:rPr>
          <w:rFonts w:ascii="PMingLiU" w:cs="PMingLiU" w:eastAsia="PMingLiU" w:hAnsi="PMingLiU"/>
          <w:sz w:val="18"/>
          <w:szCs w:val="18"/>
          <w:b w:val="1"/>
          <w:bCs w:val="1"/>
          <w:color w:val="66BF9B"/>
        </w:rPr>
        <w:t/>
      </w:r>
      <w:r>
        <w:rPr>
          <w:rFonts w:ascii="Arial" w:cs="Arial" w:eastAsia="Arial" w:hAnsi="Arial"/>
          <w:sz w:val="18"/>
          <w:szCs w:val="18"/>
          <w:b w:val="1"/>
          <w:bCs w:val="1"/>
          <w:color w:val="66BF9B"/>
        </w:rPr>
        <w:t>˧˥˧˪</w:t>
      </w:r>
      <w:r>
        <w:rPr>
          <w:rFonts w:ascii="PMingLiU" w:cs="PMingLiU" w:eastAsia="PMingLiU" w:hAnsi="PMingLiU"/>
          <w:sz w:val="18"/>
          <w:szCs w:val="18"/>
          <w:b w:val="1"/>
          <w:bCs w:val="1"/>
          <w:color w:val="66BF9B"/>
        </w:rPr>
        <w:t/>
      </w:r>
      <w:r>
        <w:rPr>
          <w:rFonts w:ascii="Arial" w:cs="Arial" w:eastAsia="Arial" w:hAnsi="Arial"/>
          <w:sz w:val="18"/>
          <w:szCs w:val="18"/>
          <w:b w:val="1"/>
          <w:bCs w:val="1"/>
          <w:color w:val="66BF9B"/>
        </w:rPr>
        <w:t>uc</w:t>
      </w:r>
      <w:r>
        <w:rPr>
          <w:rFonts w:ascii="PMingLiU" w:cs="PMingLiU" w:eastAsia="PMingLiU" w:hAnsi="PMingLiU"/>
          <w:sz w:val="18"/>
          <w:szCs w:val="18"/>
          <w:b w:val="1"/>
          <w:bCs w:val="1"/>
          <w:color w:val="66BF9B"/>
        </w:rPr>
        <w:t/>
      </w:r>
      <w:r>
        <w:rPr>
          <w:rFonts w:ascii="Arial" w:cs="Arial" w:eastAsia="Arial" w:hAnsi="Arial"/>
          <w:sz w:val="18"/>
          <w:szCs w:val="18"/>
          <w:b w:val="1"/>
          <w:bCs w:val="1"/>
          <w:color w:val="66BF9B"/>
        </w:rPr>
        <w:t>cvn_lbcb</w:t>
      </w:r>
      <w:r>
        <w:rPr>
          <w:rFonts w:ascii="PMingLiU" w:cs="PMingLiU" w:eastAsia="PMingLiU" w:hAnsi="PMingLiU"/>
          <w:sz w:val="18"/>
          <w:szCs w:val="18"/>
          <w:b w:val="1"/>
          <w:bCs w:val="1"/>
          <w:color w:val="66BF9B"/>
        </w:rPr>
        <w:t/>
      </w:r>
      <w:r>
        <w:rPr>
          <w:rFonts w:ascii="Arial" w:cs="Arial" w:eastAsia="Arial" w:hAnsi="Arial"/>
          <w:sz w:val="18"/>
          <w:szCs w:val="18"/>
          <w:b w:val="1"/>
          <w:bCs w:val="1"/>
          <w:color w:val="66BF9B"/>
        </w:rPr>
        <w:t>msp</w:t>
      </w:r>
      <w:r>
        <w:rPr>
          <w:rFonts w:ascii="PMingLiU" w:cs="PMingLiU" w:eastAsia="PMingLiU" w:hAnsi="PMingLiU"/>
          <w:sz w:val="18"/>
          <w:szCs w:val="18"/>
          <w:b w:val="1"/>
          <w:bCs w:val="1"/>
          <w:color w:val="66BF9B"/>
        </w:rPr>
        <w:t/>
      </w:r>
      <w:r>
        <w:rPr>
          <w:rFonts w:ascii="Arial" w:cs="Arial" w:eastAsia="Arial" w:hAnsi="Arial"/>
          <w:sz w:val="18"/>
          <w:szCs w:val="18"/>
          <w:b w:val="1"/>
          <w:bCs w:val="1"/>
          <w:color w:val="66BF9B"/>
        </w:rPr>
        <w:t>cknjmwcc</w:t>
      </w:r>
      <w:r>
        <w:rPr>
          <w:rFonts w:ascii="PMingLiU" w:cs="PMingLiU" w:eastAsia="PMingLiU" w:hAnsi="PMingLiU"/>
          <w:sz w:val="18"/>
          <w:szCs w:val="18"/>
          <w:b w:val="1"/>
          <w:bCs w:val="1"/>
          <w:color w:val="66BF9B"/>
        </w:rPr>
        <w:t/>
      </w:r>
      <w:r>
        <w:rPr>
          <w:rFonts w:ascii="Arial" w:cs="Arial" w:eastAsia="Arial" w:hAnsi="Arial"/>
          <w:sz w:val="18"/>
          <w:szCs w:val="18"/>
          <w:b w:val="1"/>
          <w:bCs w:val="1"/>
          <w:color w:val="66BF9B"/>
        </w:rPr>
        <w:t>pcqmspac</w:t>
      </w:r>
      <w:r>
        <w:rPr>
          <w:rFonts w:ascii="PMingLiU" w:cs="PMingLiU" w:eastAsia="PMingLiU" w:hAnsi="PMingLiU"/>
          <w:sz w:val="18"/>
          <w:szCs w:val="18"/>
          <w:b w:val="1"/>
          <w:bCs w:val="1"/>
          <w:color w:val="66BF9B"/>
        </w:rPr>
        <w:t/>
      </w:r>
      <w:r>
        <w:rPr>
          <w:rFonts w:ascii="Arial" w:cs="Arial" w:eastAsia="Arial" w:hAnsi="Arial"/>
          <w:sz w:val="18"/>
          <w:szCs w:val="18"/>
          <w:b w:val="1"/>
          <w:bCs w:val="1"/>
          <w:color w:val="66BF9B"/>
        </w:rPr>
        <w:t>epmsnq</w:t>
      </w:r>
      <w:r>
        <w:rPr>
          <w:rFonts w:ascii="PMingLiU" w:cs="PMingLiU" w:eastAsia="PMingLiU" w:hAnsi="PMingLiU"/>
          <w:sz w:val="18"/>
          <w:szCs w:val="18"/>
          <w:b w:val="1"/>
          <w:bCs w:val="1"/>
          <w:color w:val="66BF9B"/>
        </w:rPr>
        <w:t/>
      </w:r>
      <w:r>
        <w:rPr>
          <w:rFonts w:ascii="Arial" w:cs="Arial" w:eastAsia="Arial" w:hAnsi="Arial"/>
          <w:sz w:val="18"/>
          <w:szCs w:val="18"/>
          <w:b w:val="1"/>
          <w:bCs w:val="1"/>
          <w:color w:val="66BF9B"/>
        </w:rPr>
        <w:t>+IVKq,</w:t>
      </w:r>
      <w:r>
        <w:rPr>
          <w:rFonts w:ascii="PMingLiU" w:cs="PMingLiU" w:eastAsia="PMingLiU" w:hAnsi="PMingLiU"/>
          <w:sz w:val="18"/>
          <w:szCs w:val="18"/>
          <w:b w:val="1"/>
          <w:bCs w:val="1"/>
          <w:color w:val="66BF9B"/>
        </w:rPr>
        <w:t/>
      </w:r>
      <w:r>
        <w:rPr>
          <w:rFonts w:ascii="PMingLiU" w:cs="PMingLiU" w:eastAsia="PMingLiU" w:hAnsi="PMingLiU"/>
          <w:sz w:val="18"/>
          <w:szCs w:val="18"/>
          <w:color w:val="634140"/>
        </w:rPr>
        <w:t/>
      </w:r>
      <w:r>
        <w:rPr>
          <w:rFonts w:ascii="Arial" w:cs="Arial" w:eastAsia="Arial" w:hAnsi="Arial"/>
          <w:sz w:val="18"/>
          <w:szCs w:val="18"/>
          <w:color w:val="634140"/>
        </w:rPr>
        <w:t>Xfcqc</w:t>
      </w:r>
      <w:r>
        <w:rPr>
          <w:rFonts w:ascii="PMingLiU" w:cs="PMingLiU" w:eastAsia="PMingLiU" w:hAnsi="PMingLiU"/>
          <w:sz w:val="18"/>
          <w:szCs w:val="18"/>
          <w:color w:val="634140"/>
        </w:rPr>
        <w:t/>
      </w:r>
      <w:r>
        <w:rPr>
          <w:rFonts w:ascii="Arial" w:cs="Arial" w:eastAsia="Arial" w:hAnsi="Arial"/>
          <w:sz w:val="18"/>
          <w:szCs w:val="18"/>
          <w:color w:val="634140"/>
        </w:rPr>
        <w:t>cknjmwcc&amp;jcb</w:t>
      </w:r>
      <w:r>
        <w:rPr>
          <w:rFonts w:ascii="PMingLiU" w:cs="PMingLiU" w:eastAsia="PMingLiU" w:hAnsi="PMingLiU"/>
          <w:sz w:val="18"/>
          <w:szCs w:val="18"/>
          <w:color w:val="634140"/>
        </w:rPr>
        <w:t/>
      </w:r>
      <w:r>
        <w:rPr>
          <w:rFonts w:ascii="Arial" w:cs="Arial" w:eastAsia="Arial" w:hAnsi="Arial"/>
          <w:sz w:val="18"/>
          <w:szCs w:val="18"/>
          <w:color w:val="634140"/>
        </w:rPr>
        <w:t>ejm`_j</w:t>
      </w:r>
      <w:r>
        <w:rPr>
          <w:rFonts w:ascii="PMingLiU" w:cs="PMingLiU" w:eastAsia="PMingLiU" w:hAnsi="PMingLiU"/>
          <w:sz w:val="18"/>
          <w:szCs w:val="18"/>
          <w:color w:val="634140"/>
        </w:rPr>
        <w:t/>
      </w:r>
      <w:r>
        <w:rPr>
          <w:rFonts w:ascii="Arial" w:cs="Arial" w:eastAsia="Arial" w:hAnsi="Arial"/>
          <w:sz w:val="18"/>
          <w:szCs w:val="18"/>
          <w:color w:val="634140"/>
        </w:rPr>
        <w:t>rc_kq</w:t>
      </w:r>
      <w:r>
        <w:rPr>
          <w:rFonts w:ascii="PMingLiU" w:cs="PMingLiU" w:eastAsia="PMingLiU" w:hAnsi="PMingLiU"/>
          <w:sz w:val="18"/>
          <w:szCs w:val="18"/>
          <w:color w:val="634140"/>
        </w:rPr>
        <w:t/>
      </w:r>
    </w:p>
    <w:p>
      <w:pPr>
        <w:spacing w:after="0" w:line="20" w:lineRule="exact"/>
        <w:rPr>
          <w:sz w:val="20"/>
          <w:szCs w:val="20"/>
          <w:color w:val="auto"/>
        </w:rPr>
      </w:pPr>
    </w:p>
    <w:p>
      <w:pPr>
        <w:spacing w:after="0" w:line="28"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cbsa_rc</w:t>
      </w:r>
      <w:r>
        <w:rPr>
          <w:rFonts w:ascii="PMingLiU" w:cs="PMingLiU" w:eastAsia="PMingLiU" w:hAnsi="PMingLiU"/>
          <w:sz w:val="18"/>
          <w:szCs w:val="18"/>
          <w:color w:val="634140"/>
        </w:rPr>
        <w:t/>
      </w:r>
      <w:r>
        <w:rPr>
          <w:rFonts w:ascii="Arial" w:cs="Arial" w:eastAsia="Arial" w:hAnsi="Arial"/>
          <w:sz w:val="18"/>
          <w:szCs w:val="18"/>
          <w:color w:val="634140"/>
        </w:rPr>
        <w:t>amllcar</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nmqgrgtcjw</w:t>
      </w:r>
      <w:r>
        <w:rPr>
          <w:rFonts w:ascii="PMingLiU" w:cs="PMingLiU" w:eastAsia="PMingLiU" w:hAnsi="PMingLiU"/>
          <w:sz w:val="18"/>
          <w:szCs w:val="18"/>
          <w:color w:val="634140"/>
        </w:rPr>
        <w:t/>
      </w:r>
      <w:r>
        <w:rPr>
          <w:rFonts w:ascii="Arial" w:cs="Arial" w:eastAsia="Arial" w:hAnsi="Arial"/>
          <w:sz w:val="18"/>
          <w:szCs w:val="18"/>
          <w:color w:val="634140"/>
        </w:rPr>
        <w:t>gkn_ar</w:t>
      </w:r>
      <w:r>
        <w:rPr>
          <w:rFonts w:ascii="PMingLiU" w:cs="PMingLiU" w:eastAsia="PMingLiU" w:hAnsi="PMingLiU"/>
          <w:sz w:val="18"/>
          <w:szCs w:val="18"/>
          <w:color w:val="634140"/>
        </w:rPr>
        <w:t/>
      </w:r>
      <w:r>
        <w:rPr>
          <w:rFonts w:ascii="Arial" w:cs="Arial" w:eastAsia="Arial" w:hAnsi="Arial"/>
          <w:sz w:val="18"/>
          <w:szCs w:val="18"/>
          <w:color w:val="634140"/>
        </w:rPr>
        <w:t>rfc</w:t>
      </w:r>
      <w:r>
        <w:rPr>
          <w:rFonts w:ascii="PMingLiU" w:cs="PMingLiU" w:eastAsia="PMingLiU" w:hAnsi="PMingLiU"/>
          <w:sz w:val="18"/>
          <w:szCs w:val="18"/>
          <w:color w:val="634140"/>
        </w:rPr>
        <w:t/>
      </w:r>
      <w:r>
        <w:rPr>
          <w:rFonts w:ascii="Arial" w:cs="Arial" w:eastAsia="Arial" w:hAnsi="Arial"/>
          <w:sz w:val="18"/>
          <w:szCs w:val="18"/>
          <w:color w:val="634140"/>
        </w:rPr>
        <w:t>umpidmpac</w:t>
      </w:r>
      <w:r>
        <w:rPr>
          <w:rFonts w:ascii="PMingLiU" w:cs="PMingLiU" w:eastAsia="PMingLiU" w:hAnsi="PMingLiU"/>
          <w:sz w:val="18"/>
          <w:szCs w:val="18"/>
          <w:color w:val="634140"/>
        </w:rPr>
        <w:t/>
      </w:r>
      <w:r>
        <w:rPr>
          <w:rFonts w:ascii="Arial" w:cs="Arial" w:eastAsia="Arial" w:hAnsi="Arial"/>
          <w:sz w:val="18"/>
          <w:szCs w:val="18"/>
          <w:color w:val="634140"/>
        </w:rPr>
        <w:t>asjrgt_rgle</w:t>
      </w:r>
      <w:r>
        <w:rPr>
          <w:rFonts w:ascii="PMingLiU" w:cs="PMingLiU" w:eastAsia="PMingLiU" w:hAnsi="PMingLiU"/>
          <w:sz w:val="18"/>
          <w:szCs w:val="18"/>
          <w:color w:val="634140"/>
        </w:rPr>
        <w:t/>
      </w:r>
      <w:r>
        <w:rPr>
          <w:rFonts w:ascii="Arial" w:cs="Arial" w:eastAsia="Arial" w:hAnsi="Arial"/>
          <w:sz w:val="18"/>
          <w:szCs w:val="18"/>
          <w:color w:val="634140"/>
        </w:rPr>
        <w:t>_</w:t>
      </w:r>
      <w:r>
        <w:rPr>
          <w:rFonts w:ascii="PMingLiU" w:cs="PMingLiU" w:eastAsia="PMingLiU" w:hAnsi="PMingLiU"/>
          <w:sz w:val="18"/>
          <w:szCs w:val="18"/>
          <w:color w:val="634140"/>
        </w:rPr>
        <w:t/>
      </w:r>
      <w:r>
        <w:rPr>
          <w:rFonts w:ascii="Arial" w:cs="Arial" w:eastAsia="Arial" w:hAnsi="Arial"/>
          <w:sz w:val="18"/>
          <w:szCs w:val="18"/>
          <w:color w:val="634140"/>
        </w:rPr>
        <w:t>bgtcpqc</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glajsqgtc</w:t>
      </w:r>
      <w:r>
        <w:rPr>
          <w:rFonts w:ascii="PMingLiU" w:cs="PMingLiU" w:eastAsia="PMingLiU" w:hAnsi="PMingLiU"/>
          <w:sz w:val="18"/>
          <w:szCs w:val="18"/>
          <w:color w:val="634140"/>
        </w:rPr>
        <w:t/>
      </w:r>
      <w:r>
        <w:rPr>
          <w:rFonts w:ascii="Arial" w:cs="Arial" w:eastAsia="Arial" w:hAnsi="Arial"/>
          <w:sz w:val="18"/>
          <w:szCs w:val="18"/>
          <w:color w:val="634140"/>
        </w:rPr>
        <w:t>cltgpmlkclr</w:t>
      </w:r>
      <w:r>
        <w:rPr>
          <w:rFonts w:ascii="PMingLiU" w:cs="PMingLiU" w:eastAsia="PMingLiU" w:hAnsi="PMingLiU"/>
          <w:sz w:val="18"/>
          <w:szCs w:val="18"/>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6367145" cy="930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6">
                      <a:extLst>
                        <a:ext uri="{28A0092B-C50C-407E-A947-70E740481C1C}"/>
                      </a:extLst>
                    </a:blip>
                    <a:srcRect/>
                    <a:stretch>
                      <a:fillRect/>
                    </a:stretch>
                  </pic:blipFill>
                  <pic:spPr bwMode="auto">
                    <a:xfrm>
                      <a:off x="0" y="0"/>
                      <a:ext cx="6367145" cy="930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34"/>
          <w:szCs w:val="34"/>
          <w:color w:val="FFFFFF"/>
        </w:rPr>
        <w:t>IVKq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-2018665</wp:posOffset>
            </wp:positionV>
            <wp:extent cx="1943735" cy="2438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7">
                      <a:extLst>
                        <a:ext uri="{28A0092B-C50C-407E-A947-70E740481C1C}"/>
                      </a:extLst>
                    </a:blip>
                    <a:srcRect/>
                    <a:stretch>
                      <a:fillRect/>
                    </a:stretch>
                  </pic:blipFill>
                  <pic:spPr bwMode="auto">
                    <a:xfrm>
                      <a:off x="0" y="0"/>
                      <a:ext cx="1943735" cy="2438400"/>
                    </a:xfrm>
                    <a:prstGeom prst="rect">
                      <a:avLst/>
                    </a:prstGeom>
                    <a:noFill/>
                  </pic:spPr>
                </pic:pic>
              </a:graphicData>
            </a:graphic>
          </wp:anchor>
        </w:drawing>
      </w:r>
    </w:p>
    <w:p>
      <w:pPr>
        <w:spacing w:after="0" w:line="868" w:lineRule="exact"/>
        <w:rPr>
          <w:sz w:val="20"/>
          <w:szCs w:val="20"/>
          <w:color w:val="auto"/>
        </w:rPr>
      </w:pPr>
    </w:p>
    <w:p>
      <w:pPr>
        <w:sectPr>
          <w:pgSz w:w="12240" w:h="15840" w:orient="portrait"/>
          <w:cols w:equalWidth="0" w:num="2">
            <w:col w:w="8080" w:space="720"/>
            <w:col w:w="880"/>
          </w:cols>
          <w:pgMar w:left="1120" w:top="1440" w:right="1440" w:bottom="992" w:gutter="0" w:footer="0" w:header="0"/>
        </w:sectPr>
      </w:pPr>
    </w:p>
    <w:p>
      <w:pPr>
        <w:spacing w:after="0" w:line="200" w:lineRule="exact"/>
        <w:rPr>
          <w:sz w:val="20"/>
          <w:szCs w:val="20"/>
          <w:color w:val="auto"/>
        </w:rPr>
      </w:pPr>
    </w:p>
    <w:p>
      <w:pPr>
        <w:spacing w:after="0" w:line="218" w:lineRule="exact"/>
        <w:rPr>
          <w:sz w:val="20"/>
          <w:szCs w:val="20"/>
          <w:color w:val="auto"/>
        </w:rPr>
      </w:pPr>
    </w:p>
    <w:p>
      <w:pPr>
        <w:ind w:left="1600"/>
        <w:spacing w:after="0" w:line="186" w:lineRule="exact"/>
        <w:rPr>
          <w:sz w:val="20"/>
          <w:szCs w:val="20"/>
          <w:color w:val="auto"/>
        </w:rPr>
      </w:pPr>
      <w:r>
        <w:rPr>
          <w:rFonts w:ascii="Arial" w:cs="Arial" w:eastAsia="Arial" w:hAnsi="Arial"/>
          <w:sz w:val="16"/>
          <w:szCs w:val="16"/>
          <w:b w:val="1"/>
          <w:bCs w:val="1"/>
          <w:color w:val="634140"/>
        </w:rPr>
        <w:t>Eqfj_lb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[mkcl</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q</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Mlrcpl_rgml_j</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Rcrumpi</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 xml:space="preserve"> +E[MR,</w:t>
      </w:r>
      <w:r>
        <w:rPr>
          <w:rFonts w:ascii="PMingLiU" w:cs="PMingLiU" w:eastAsia="PMingLiU" w:hAnsi="PMingLiU"/>
          <w:sz w:val="16"/>
          <w:szCs w:val="16"/>
          <w:color w:val="634140"/>
        </w:rPr>
        <w:t/>
      </w:r>
      <w:r>
        <w:rPr>
          <w:rFonts w:ascii="Arial" w:cs="Arial" w:eastAsia="Arial" w:hAnsi="Arial"/>
          <w:sz w:val="16"/>
          <w:szCs w:val="16"/>
          <w:color w:val="634140"/>
        </w:rPr>
        <w:t>qcciq</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r>
        <w:rPr>
          <w:rFonts w:ascii="Arial" w:cs="Arial" w:eastAsia="Arial" w:hAnsi="Arial"/>
          <w:sz w:val="16"/>
          <w:szCs w:val="16"/>
          <w:color w:val="634140"/>
        </w:rPr>
        <w:t>asjrgt_rc</w:t>
      </w:r>
      <w:r>
        <w:rPr>
          <w:rFonts w:ascii="PMingLiU" w:cs="PMingLiU" w:eastAsia="PMingLiU" w:hAnsi="PMingLiU"/>
          <w:sz w:val="16"/>
          <w:szCs w:val="16"/>
          <w:color w:val="634140"/>
        </w:rPr>
        <w:t/>
      </w:r>
      <w:r>
        <w:rPr>
          <w:rFonts w:ascii="Arial" w:cs="Arial" w:eastAsia="Arial" w:hAnsi="Arial"/>
          <w:sz w:val="16"/>
          <w:szCs w:val="16"/>
          <w:color w:val="634140"/>
        </w:rPr>
        <w:t>qsaacqq</w:t>
      </w:r>
      <w:r>
        <w:rPr>
          <w:rFonts w:ascii="PMingLiU" w:cs="PMingLiU" w:eastAsia="PMingLiU" w:hAnsi="PMingLiU"/>
          <w:sz w:val="16"/>
          <w:szCs w:val="16"/>
          <w:color w:val="634140"/>
        </w:rPr>
        <w:t/>
      </w:r>
      <w:r>
        <w:rPr>
          <w:rFonts w:ascii="Arial" w:cs="Arial" w:eastAsia="Arial" w:hAnsi="Arial"/>
          <w:sz w:val="16"/>
          <w:szCs w:val="16"/>
          <w:color w:val="634140"/>
        </w:rPr>
        <w:t>dmp</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Arial" w:cs="Arial" w:eastAsia="Arial" w:hAnsi="Arial"/>
          <w:sz w:val="16"/>
          <w:szCs w:val="16"/>
          <w:color w:val="634140"/>
        </w:rPr>
        <w:t>umkcl</w:t>
      </w:r>
      <w:r>
        <w:rPr>
          <w:rFonts w:ascii="PMingLiU" w:cs="PMingLiU" w:eastAsia="PMingLiU" w:hAnsi="PMingLiU"/>
          <w:sz w:val="16"/>
          <w:szCs w:val="16"/>
          <w:color w:val="634140"/>
        </w:rPr>
        <w:t/>
      </w:r>
      <w:r>
        <w:rPr>
          <w:rFonts w:ascii="Arial" w:cs="Arial" w:eastAsia="Arial" w:hAnsi="Arial"/>
          <w:sz w:val="16"/>
          <w:szCs w:val="16"/>
          <w:color w:val="634140"/>
        </w:rPr>
        <w:t>_apmqq</w:t>
      </w:r>
      <w:r>
        <w:rPr>
          <w:rFonts w:ascii="PMingLiU" w:cs="PMingLiU" w:eastAsia="PMingLiU" w:hAnsi="PMingLiU"/>
          <w:sz w:val="16"/>
          <w:szCs w:val="16"/>
          <w:color w:val="634140"/>
        </w:rPr>
        <w:t/>
      </w:r>
      <w:r>
        <w:rPr>
          <w:rFonts w:ascii="Arial" w:cs="Arial" w:eastAsia="Arial" w:hAnsi="Arial"/>
          <w:sz w:val="16"/>
          <w:szCs w:val="16"/>
          <w:color w:val="634140"/>
        </w:rPr>
        <w:t>_jj</w:t>
      </w:r>
      <w:r>
        <w:rPr>
          <w:rFonts w:ascii="PMingLiU" w:cs="PMingLiU" w:eastAsia="PMingLiU" w:hAnsi="PMingLiU"/>
          <w:sz w:val="16"/>
          <w:szCs w:val="16"/>
          <w:color w:val="634140"/>
        </w:rPr>
        <w:t/>
      </w:r>
      <w:r>
        <w:rPr>
          <w:rFonts w:ascii="Arial" w:cs="Arial" w:eastAsia="Arial" w:hAnsi="Arial"/>
          <w:sz w:val="16"/>
          <w:szCs w:val="16"/>
          <w:color w:val="634140"/>
        </w:rPr>
        <w:t>jctcjq</w:t>
      </w:r>
      <w:r>
        <w:rPr>
          <w:rFonts w:ascii="PMingLiU" w:cs="PMingLiU" w:eastAsia="PMingLiU" w:hAnsi="PMingLiU"/>
          <w:sz w:val="16"/>
          <w:szCs w:val="16"/>
          <w:color w:val="634140"/>
        </w:rPr>
        <w:t/>
      </w: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mpe_lgx_rgml</w:t>
      </w:r>
      <w:r>
        <w:rPr>
          <w:rFonts w:ascii="PMingLiU" w:cs="PMingLiU" w:eastAsia="PMingLiU" w:hAnsi="PMingLiU"/>
          <w:sz w:val="16"/>
          <w:szCs w:val="16"/>
          <w:color w:val="634140"/>
        </w:rPr>
        <w:t/>
      </w:r>
      <w:r>
        <w:rPr>
          <w:rFonts w:ascii="Arial" w:cs="Arial" w:eastAsia="Arial" w:hAnsi="Arial"/>
          <w:sz w:val="16"/>
          <w:szCs w:val="16"/>
          <w:color w:val="634140"/>
        </w:rPr>
        <w:t xml:space="preserve"> gl</w:t>
      </w:r>
      <w:r>
        <w:rPr>
          <w:rFonts w:ascii="PMingLiU" w:cs="PMingLiU" w:eastAsia="PMingLiU" w:hAnsi="PMingLiU"/>
          <w:sz w:val="16"/>
          <w:szCs w:val="16"/>
          <w:color w:val="634140"/>
        </w:rPr>
        <w:t/>
      </w:r>
      <w:r>
        <w:rPr>
          <w:rFonts w:ascii="Arial" w:cs="Arial" w:eastAsia="Arial" w:hAnsi="Arial"/>
          <w:sz w:val="16"/>
          <w:szCs w:val="16"/>
          <w:color w:val="634140"/>
        </w:rPr>
        <w:t>nspqsgr</w:t>
      </w:r>
      <w:r>
        <w:rPr>
          <w:rFonts w:ascii="PMingLiU" w:cs="PMingLiU" w:eastAsia="PMingLiU" w:hAnsi="PMingLiU"/>
          <w:sz w:val="16"/>
          <w:szCs w:val="16"/>
          <w:color w:val="634140"/>
        </w:rPr>
        <w:t/>
      </w: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epc_rcp</w:t>
      </w:r>
      <w:r>
        <w:rPr>
          <w:rFonts w:ascii="PMingLiU" w:cs="PMingLiU" w:eastAsia="PMingLiU" w:hAnsi="PMingLiU"/>
          <w:sz w:val="16"/>
          <w:szCs w:val="16"/>
          <w:color w:val="634140"/>
        </w:rPr>
        <w:t/>
      </w:r>
      <w:r>
        <w:rPr>
          <w:rFonts w:ascii="Arial" w:cs="Arial" w:eastAsia="Arial" w:hAnsi="Arial"/>
          <w:sz w:val="16"/>
          <w:szCs w:val="16"/>
          <w:color w:val="634140"/>
        </w:rPr>
        <w:t>glajsqgml</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bgtcpqgrw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338455</wp:posOffset>
            </wp:positionV>
            <wp:extent cx="3126740" cy="933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08">
                      <a:extLst>
                        <a:ext uri="{28A0092B-C50C-407E-A947-70E740481C1C}"/>
                      </a:extLst>
                    </a:blip>
                    <a:srcRect/>
                    <a:stretch>
                      <a:fillRect/>
                    </a:stretch>
                  </pic:blipFill>
                  <pic:spPr bwMode="auto">
                    <a:xfrm>
                      <a:off x="0" y="0"/>
                      <a:ext cx="3126740" cy="93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0" w:right="80"/>
        <w:spacing w:after="0" w:line="186" w:lineRule="exact"/>
        <w:rPr>
          <w:sz w:val="20"/>
          <w:szCs w:val="20"/>
          <w:color w:val="auto"/>
        </w:rPr>
      </w:pPr>
      <w:r>
        <w:rPr>
          <w:rFonts w:ascii="Arial" w:cs="Arial" w:eastAsia="Arial" w:hAnsi="Arial"/>
          <w:sz w:val="16"/>
          <w:szCs w:val="16"/>
          <w:b w:val="1"/>
          <w:bCs w:val="1"/>
          <w:color w:val="634140"/>
        </w:rPr>
        <w:t>Eqfj_lb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Tpgbc</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Ejjgcq</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Rcrumpi</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 xml:space="preserve">+ETER, </w:t>
      </w:r>
      <w:r>
        <w:rPr>
          <w:rFonts w:ascii="Arial" w:cs="Arial" w:eastAsia="Arial" w:hAnsi="Arial"/>
          <w:sz w:val="16"/>
          <w:szCs w:val="16"/>
          <w:color w:val="634140"/>
        </w:rPr>
        <w:t>qrpgtcq</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r>
        <w:rPr>
          <w:rFonts w:ascii="Arial" w:cs="Arial" w:eastAsia="Arial" w:hAnsi="Arial"/>
          <w:sz w:val="16"/>
          <w:szCs w:val="16"/>
          <w:color w:val="634140"/>
        </w:rPr>
        <w:t>_rrp_ar</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pcr_gl</w:t>
      </w:r>
      <w:r>
        <w:rPr>
          <w:rFonts w:ascii="PMingLiU" w:cs="PMingLiU" w:eastAsia="PMingLiU" w:hAnsi="PMingLiU"/>
          <w:sz w:val="16"/>
          <w:szCs w:val="16"/>
          <w:color w:val="634140"/>
        </w:rPr>
        <w:t/>
      </w:r>
      <w:r>
        <w:rPr>
          <w:rFonts w:ascii="Arial" w:cs="Arial" w:eastAsia="Arial" w:hAnsi="Arial"/>
          <w:sz w:val="16"/>
          <w:szCs w:val="16"/>
          <w:color w:val="634140"/>
        </w:rPr>
        <w:t>_l</w:t>
      </w:r>
      <w:r>
        <w:rPr>
          <w:rFonts w:ascii="PMingLiU" w:cs="PMingLiU" w:eastAsia="PMingLiU" w:hAnsi="PMingLiU"/>
          <w:sz w:val="16"/>
          <w:szCs w:val="16"/>
          <w:color w:val="634140"/>
        </w:rPr>
        <w:t/>
      </w:r>
      <w:r>
        <w:rPr>
          <w:rFonts w:ascii="Arial" w:cs="Arial" w:eastAsia="Arial" w:hAnsi="Arial"/>
          <w:sz w:val="16"/>
          <w:szCs w:val="16"/>
          <w:color w:val="634140"/>
        </w:rPr>
        <w:t>glajsqgtc</w:t>
      </w:r>
      <w:r>
        <w:rPr>
          <w:rFonts w:ascii="PMingLiU" w:cs="PMingLiU" w:eastAsia="PMingLiU" w:hAnsi="PMingLiU"/>
          <w:sz w:val="16"/>
          <w:szCs w:val="16"/>
          <w:color w:val="634140"/>
        </w:rPr>
        <w:t/>
      </w:r>
      <w:r>
        <w:rPr>
          <w:rFonts w:ascii="Arial" w:cs="Arial" w:eastAsia="Arial" w:hAnsi="Arial"/>
          <w:sz w:val="16"/>
          <w:szCs w:val="16"/>
          <w:color w:val="634140"/>
        </w:rPr>
        <w:t xml:space="preserve"> umpidmpac</w:t>
      </w:r>
      <w:r>
        <w:rPr>
          <w:rFonts w:ascii="PMingLiU" w:cs="PMingLiU" w:eastAsia="PMingLiU" w:hAnsi="PMingLiU"/>
          <w:sz w:val="16"/>
          <w:szCs w:val="16"/>
          <w:color w:val="634140"/>
        </w:rPr>
        <w:t/>
      </w:r>
      <w:r>
        <w:rPr>
          <w:rFonts w:ascii="Arial" w:cs="Arial" w:eastAsia="Arial" w:hAnsi="Arial"/>
          <w:sz w:val="16"/>
          <w:szCs w:val="16"/>
          <w:color w:val="634140"/>
        </w:rPr>
        <w:t>`w</w:t>
      </w:r>
      <w:r>
        <w:rPr>
          <w:rFonts w:ascii="PMingLiU" w:cs="PMingLiU" w:eastAsia="PMingLiU" w:hAnsi="PMingLiU"/>
          <w:sz w:val="16"/>
          <w:szCs w:val="16"/>
          <w:color w:val="634140"/>
        </w:rPr>
        <w:t/>
      </w:r>
      <w:r>
        <w:rPr>
          <w:rFonts w:ascii="Arial" w:cs="Arial" w:eastAsia="Arial" w:hAnsi="Arial"/>
          <w:sz w:val="16"/>
          <w:szCs w:val="16"/>
          <w:color w:val="634140"/>
        </w:rPr>
        <w:t>cle_egle</w:t>
      </w:r>
      <w:r>
        <w:rPr>
          <w:rFonts w:ascii="PMingLiU" w:cs="PMingLiU" w:eastAsia="PMingLiU" w:hAnsi="PMingLiU"/>
          <w:sz w:val="16"/>
          <w:szCs w:val="16"/>
          <w:color w:val="634140"/>
        </w:rPr>
        <w:t/>
      </w:r>
      <w:r>
        <w:rPr>
          <w:rFonts w:ascii="Arial" w:cs="Arial" w:eastAsia="Arial" w:hAnsi="Arial"/>
          <w:sz w:val="16"/>
          <w:szCs w:val="16"/>
          <w:color w:val="634140"/>
        </w:rPr>
        <w:t>Eqfj_lb</w:t>
      </w:r>
      <w:r>
        <w:rPr>
          <w:rFonts w:ascii="PMingLiU" w:cs="PMingLiU" w:eastAsia="PMingLiU" w:hAnsi="PMingLiU"/>
          <w:sz w:val="16"/>
          <w:szCs w:val="16"/>
          <w:color w:val="634140"/>
        </w:rPr>
        <w:t/>
      </w:r>
      <w:r>
        <w:rPr>
          <w:rFonts w:ascii="Arial" w:cs="Arial" w:eastAsia="Arial" w:hAnsi="Arial"/>
          <w:sz w:val="16"/>
          <w:szCs w:val="16"/>
          <w:color w:val="634140"/>
        </w:rPr>
        <w:t>cknjmwccq</w:t>
      </w:r>
      <w:r>
        <w:rPr>
          <w:rFonts w:ascii="PMingLiU" w:cs="PMingLiU" w:eastAsia="PMingLiU" w:hAnsi="PMingLiU"/>
          <w:sz w:val="16"/>
          <w:szCs w:val="16"/>
          <w:color w:val="634140"/>
        </w:rPr>
        <w:t/>
      </w:r>
      <w:r>
        <w:rPr>
          <w:rFonts w:ascii="Arial" w:cs="Arial" w:eastAsia="Arial" w:hAnsi="Arial"/>
          <w:sz w:val="16"/>
          <w:szCs w:val="16"/>
          <w:color w:val="634140"/>
        </w:rPr>
        <w:t xml:space="preserve"> rm</w:t>
      </w:r>
      <w:r>
        <w:rPr>
          <w:rFonts w:ascii="PMingLiU" w:cs="PMingLiU" w:eastAsia="PMingLiU" w:hAnsi="PMingLiU"/>
          <w:sz w:val="16"/>
          <w:szCs w:val="16"/>
          <w:color w:val="634140"/>
        </w:rPr>
        <w:t/>
      </w:r>
      <w:r>
        <w:rPr>
          <w:rFonts w:ascii="Arial" w:cs="Arial" w:eastAsia="Arial" w:hAnsi="Arial"/>
          <w:sz w:val="16"/>
          <w:szCs w:val="16"/>
          <w:color w:val="634140"/>
        </w:rPr>
        <w:t>_jjw</w:t>
      </w:r>
      <w:r>
        <w:rPr>
          <w:rFonts w:ascii="PMingLiU" w:cs="PMingLiU" w:eastAsia="PMingLiU" w:hAnsi="PMingLiU"/>
          <w:sz w:val="16"/>
          <w:szCs w:val="16"/>
          <w:color w:val="634140"/>
        </w:rPr>
        <w:t/>
      </w:r>
      <w:r>
        <w:rPr>
          <w:rFonts w:ascii="Arial" w:cs="Arial" w:eastAsia="Arial" w:hAnsi="Arial"/>
          <w:sz w:val="16"/>
          <w:szCs w:val="16"/>
          <w:color w:val="634140"/>
        </w:rPr>
        <w:t>ugrf</w:t>
      </w:r>
      <w:r>
        <w:rPr>
          <w:rFonts w:ascii="PMingLiU" w:cs="PMingLiU" w:eastAsia="PMingLiU" w:hAnsi="PMingLiU"/>
          <w:sz w:val="16"/>
          <w:szCs w:val="16"/>
          <w:color w:val="634140"/>
        </w:rPr>
        <w:t/>
      </w:r>
      <w:r>
        <w:rPr>
          <w:rFonts w:ascii="Arial" w:cs="Arial" w:eastAsia="Arial" w:hAnsi="Arial"/>
          <w:sz w:val="16"/>
          <w:szCs w:val="16"/>
          <w:color w:val="634140"/>
        </w:rPr>
        <w:t>rfcgp</w:t>
      </w:r>
      <w:r>
        <w:rPr>
          <w:rFonts w:ascii="PMingLiU" w:cs="PMingLiU" w:eastAsia="PMingLiU" w:hAnsi="PMingLiU"/>
          <w:sz w:val="16"/>
          <w:szCs w:val="16"/>
          <w:color w:val="634140"/>
        </w:rPr>
        <w:t/>
      </w:r>
      <w:r>
        <w:rPr>
          <w:rFonts w:ascii="Arial" w:cs="Arial" w:eastAsia="Arial" w:hAnsi="Arial"/>
          <w:sz w:val="16"/>
          <w:szCs w:val="16"/>
          <w:color w:val="634140"/>
        </w:rPr>
        <w:t>PKFXUη</w:t>
      </w:r>
      <w:r>
        <w:rPr>
          <w:rFonts w:ascii="PMingLiU" w:cs="PMingLiU" w:eastAsia="PMingLiU" w:hAnsi="PMingLiU"/>
          <w:sz w:val="16"/>
          <w:szCs w:val="16"/>
          <w:color w:val="634140"/>
        </w:rPr>
        <w:t/>
      </w:r>
      <w:r>
        <w:rPr>
          <w:rFonts w:ascii="Arial" w:cs="Arial" w:eastAsia="Arial" w:hAnsi="Arial"/>
          <w:sz w:val="16"/>
          <w:szCs w:val="16"/>
          <w:color w:val="634140"/>
        </w:rPr>
        <w:t>amjjc_escq</w:t>
      </w:r>
      <w:r>
        <w:rPr>
          <w:rFonts w:ascii="PMingLiU" w:cs="PMingLiU" w:eastAsia="PMingLiU" w:hAnsi="PMingLiU"/>
          <w:sz w:val="16"/>
          <w:szCs w:val="16"/>
          <w:color w:val="63414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-462915</wp:posOffset>
            </wp:positionV>
            <wp:extent cx="3815080" cy="17310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9">
                      <a:extLst>
                        <a:ext uri="{28A0092B-C50C-407E-A947-70E740481C1C}"/>
                      </a:extLst>
                    </a:blip>
                    <a:srcRect/>
                    <a:stretch>
                      <a:fillRect/>
                    </a:stretch>
                  </pic:blipFill>
                  <pic:spPr bwMode="auto">
                    <a:xfrm>
                      <a:off x="0" y="0"/>
                      <a:ext cx="3815080" cy="173101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-462915</wp:posOffset>
            </wp:positionV>
            <wp:extent cx="3815080" cy="17310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0">
                      <a:extLst>
                        <a:ext uri="{28A0092B-C50C-407E-A947-70E740481C1C}"/>
                      </a:extLst>
                    </a:blip>
                    <a:srcRect/>
                    <a:stretch>
                      <a:fillRect/>
                    </a:stretch>
                  </pic:blipFill>
                  <pic:spPr bwMode="auto">
                    <a:xfrm>
                      <a:off x="0" y="0"/>
                      <a:ext cx="3815080" cy="173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0" w:right="280"/>
        <w:spacing w:after="0" w:line="186" w:lineRule="exact"/>
        <w:rPr>
          <w:sz w:val="20"/>
          <w:szCs w:val="20"/>
          <w:color w:val="auto"/>
        </w:rPr>
      </w:pPr>
      <w:r>
        <w:rPr>
          <w:rFonts w:ascii="Arial" w:cs="Arial" w:eastAsia="Arial" w:hAnsi="Arial"/>
          <w:sz w:val="16"/>
          <w:szCs w:val="16"/>
          <w:b w:val="1"/>
          <w:bCs w:val="1"/>
          <w:color w:val="634140"/>
        </w:rPr>
        <w:t>Eqfj_lb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[cjj&amp;`cgle</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Rcrumpi</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+E[FR,</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 xml:space="preserve"> </w:t>
      </w:r>
      <w:r>
        <w:rPr>
          <w:rFonts w:ascii="Arial" w:cs="Arial" w:eastAsia="Arial" w:hAnsi="Arial"/>
          <w:sz w:val="16"/>
          <w:szCs w:val="16"/>
          <w:color w:val="634140"/>
        </w:rPr>
        <w:t>qcciq</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r>
        <w:rPr>
          <w:rFonts w:ascii="Arial" w:cs="Arial" w:eastAsia="Arial" w:hAnsi="Arial"/>
          <w:sz w:val="16"/>
          <w:szCs w:val="16"/>
          <w:color w:val="634140"/>
        </w:rPr>
        <w:t>k_l_ec</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npmkmrc</w:t>
      </w:r>
      <w:r>
        <w:rPr>
          <w:rFonts w:ascii="PMingLiU" w:cs="PMingLiU" w:eastAsia="PMingLiU" w:hAnsi="PMingLiU"/>
          <w:sz w:val="16"/>
          <w:szCs w:val="16"/>
          <w:color w:val="634140"/>
        </w:rPr>
        <w:t/>
      </w:r>
      <w:r>
        <w:rPr>
          <w:rFonts w:ascii="Arial" w:cs="Arial" w:eastAsia="Arial" w:hAnsi="Arial"/>
          <w:sz w:val="16"/>
          <w:szCs w:val="16"/>
          <w:color w:val="634140"/>
        </w:rPr>
        <w:t>fc_jrf</w:t>
      </w:r>
      <w:r>
        <w:rPr>
          <w:rFonts w:ascii="PMingLiU" w:cs="PMingLiU" w:eastAsia="PMingLiU" w:hAnsi="PMingLiU"/>
          <w:sz w:val="16"/>
          <w:szCs w:val="16"/>
          <w:color w:val="634140"/>
        </w:rPr>
        <w:t/>
      </w:r>
      <w:r>
        <w:rPr>
          <w:rFonts w:ascii="Arial" w:cs="Arial" w:eastAsia="Arial" w:hAnsi="Arial"/>
          <w:sz w:val="16"/>
          <w:szCs w:val="16"/>
          <w:color w:val="634140"/>
        </w:rPr>
        <w:t xml:space="preserve"> umpi5jgdc</w:t>
      </w:r>
      <w:r>
        <w:rPr>
          <w:rFonts w:ascii="PMingLiU" w:cs="PMingLiU" w:eastAsia="PMingLiU" w:hAnsi="PMingLiU"/>
          <w:sz w:val="16"/>
          <w:szCs w:val="16"/>
          <w:color w:val="634140"/>
        </w:rPr>
        <w:t/>
      </w:r>
      <w:r>
        <w:rPr>
          <w:rFonts w:ascii="Arial" w:cs="Arial" w:eastAsia="Arial" w:hAnsi="Arial"/>
          <w:sz w:val="16"/>
          <w:szCs w:val="16"/>
          <w:color w:val="634140"/>
        </w:rPr>
        <w:t>`_j_lac</w:t>
      </w:r>
      <w:r>
        <w:rPr>
          <w:rFonts w:ascii="PMingLiU" w:cs="PMingLiU" w:eastAsia="PMingLiU" w:hAnsi="PMingLiU"/>
          <w:sz w:val="16"/>
          <w:szCs w:val="16"/>
          <w:color w:val="634140"/>
        </w:rPr>
        <w:t/>
      </w:r>
      <w:r>
        <w:rPr>
          <w:rFonts w:ascii="Arial" w:cs="Arial" w:eastAsia="Arial" w:hAnsi="Arial"/>
          <w:sz w:val="16"/>
          <w:szCs w:val="16"/>
          <w:color w:val="634140"/>
        </w:rPr>
        <w:t>nfwqga_</w:t>
      </w:r>
      <w:r>
        <w:rPr>
          <w:rFonts w:ascii="Arial" w:cs="Arial" w:eastAsia="Arial" w:hAnsi="Arial"/>
          <w:sz w:val="16"/>
          <w:szCs w:val="16"/>
          <w:color w:val="634140"/>
        </w:rPr>
        <w:t>l fi</w:t>
      </w:r>
      <w:r>
        <w:rPr>
          <w:rFonts w:ascii="Arial" w:cs="Arial" w:eastAsia="Arial" w:hAnsi="Arial"/>
          <w:sz w:val="16"/>
          <w:szCs w:val="16"/>
          <w:color w:val="634140"/>
        </w:rPr>
        <w:t>rlcqq</w:t>
      </w:r>
      <w:r>
        <w:rPr>
          <w:rFonts w:ascii="PMingLiU" w:cs="PMingLiU" w:eastAsia="PMingLiU" w:hAnsi="PMingLiU"/>
          <w:sz w:val="16"/>
          <w:szCs w:val="16"/>
          <w:color w:val="634140"/>
        </w:rPr>
        <w:t/>
      </w:r>
      <w:r>
        <w:rPr>
          <w:rFonts w:ascii="Arial" w:cs="Arial" w:eastAsia="Arial" w:hAnsi="Arial"/>
          <w:sz w:val="16"/>
          <w:szCs w:val="16"/>
          <w:color w:val="634140"/>
        </w:rPr>
        <w:t xml:space="preserve"> _lb</w:t>
      </w:r>
      <w:r>
        <w:rPr>
          <w:rFonts w:ascii="PMingLiU" w:cs="PMingLiU" w:eastAsia="PMingLiU" w:hAnsi="PMingLiU"/>
          <w:sz w:val="16"/>
          <w:szCs w:val="16"/>
          <w:color w:val="634140"/>
        </w:rPr>
        <w:t/>
      </w:r>
      <w:r>
        <w:rPr>
          <w:rFonts w:ascii="Arial" w:cs="Arial" w:eastAsia="Arial" w:hAnsi="Arial"/>
          <w:sz w:val="16"/>
          <w:szCs w:val="16"/>
          <w:color w:val="634140"/>
        </w:rPr>
        <w:t>fi</w:t>
      </w:r>
      <w:r>
        <w:rPr>
          <w:rFonts w:ascii="Arial" w:cs="Arial" w:eastAsia="Arial" w:hAnsi="Arial"/>
          <w:sz w:val="16"/>
          <w:szCs w:val="16"/>
          <w:color w:val="634140"/>
        </w:rPr>
        <w:t>l_lag_j</w:t>
      </w:r>
      <w:r>
        <w:rPr>
          <w:rFonts w:ascii="PMingLiU" w:cs="PMingLiU" w:eastAsia="PMingLiU" w:hAnsi="PMingLiU"/>
          <w:sz w:val="16"/>
          <w:szCs w:val="16"/>
          <w:color w:val="634140"/>
        </w:rPr>
        <w:t/>
      </w:r>
      <w:r>
        <w:rPr>
          <w:rFonts w:ascii="Arial" w:cs="Arial" w:eastAsia="Arial" w:hAnsi="Arial"/>
          <w:sz w:val="16"/>
          <w:szCs w:val="16"/>
          <w:color w:val="634140"/>
        </w:rPr>
        <w:t>qr_`gjgrw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116840</wp:posOffset>
            </wp:positionV>
            <wp:extent cx="9525" cy="128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1">
                      <a:clrChange>
                        <a:clrFrom>
                          <a:srgbClr val="000000"/>
                        </a:clrFrom>
                        <a:clrTo>
                          <a:srgbClr val="000000">
                            <a:alpha val="0"/>
                          </a:srgbClr>
                        </a:clrTo>
                      </a:clrChange>
                      <a:extLst>
                        <a:ext uri="{28A0092B-C50C-407E-A947-70E740481C1C}"/>
                      </a:extLst>
                    </a:blip>
                    <a:srcRect/>
                    <a:stretch>
                      <a:fillRect/>
                    </a:stretch>
                  </pic:blipFill>
                  <pic:spPr bwMode="auto">
                    <a:xfrm>
                      <a:off x="0" y="0"/>
                      <a:ext cx="9525" cy="128968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116840</wp:posOffset>
            </wp:positionV>
            <wp:extent cx="9525" cy="128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9525" cy="128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right="1300"/>
        <w:spacing w:after="0" w:line="185" w:lineRule="exact"/>
        <w:rPr>
          <w:sz w:val="20"/>
          <w:szCs w:val="20"/>
          <w:color w:val="auto"/>
        </w:rPr>
      </w:pPr>
      <w:r>
        <w:rPr>
          <w:rFonts w:ascii="Arial" w:cs="Arial" w:eastAsia="Arial" w:hAnsi="Arial"/>
          <w:sz w:val="16"/>
          <w:szCs w:val="16"/>
          <w:b w:val="1"/>
          <w:bCs w:val="1"/>
          <w:color w:val="634140"/>
        </w:rPr>
        <w:t>Eqfj_lb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[mkcl</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q</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Mlrcpl_rgml_j</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Rcrumpi</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 xml:space="preserve"> Q_lsd_arspgle</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+E[MRQ,</w:t>
      </w:r>
      <w:r>
        <w:rPr>
          <w:rFonts w:ascii="PMingLiU" w:cs="PMingLiU" w:eastAsia="PMingLiU" w:hAnsi="PMingLiU"/>
          <w:sz w:val="16"/>
          <w:szCs w:val="16"/>
          <w:b w:val="1"/>
          <w:bCs w:val="1"/>
          <w:color w:val="634140"/>
        </w:rPr>
        <w:t/>
      </w:r>
      <w:r>
        <w:rPr>
          <w:rFonts w:ascii="Arial" w:cs="Arial" w:eastAsia="Arial" w:hAnsi="Arial"/>
          <w:sz w:val="16"/>
          <w:szCs w:val="16"/>
          <w:color w:val="634140"/>
        </w:rPr>
        <w:t>qcciq</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r>
        <w:rPr>
          <w:rFonts w:ascii="Arial" w:cs="Arial" w:eastAsia="Arial" w:hAnsi="Arial"/>
          <w:sz w:val="16"/>
          <w:szCs w:val="16"/>
          <w:color w:val="634140"/>
        </w:rPr>
        <w:t>asjrgt_rc</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Arial" w:cs="Arial" w:eastAsia="Arial" w:hAnsi="Arial"/>
          <w:sz w:val="16"/>
          <w:szCs w:val="16"/>
          <w:color w:val="634140"/>
        </w:rPr>
        <w:t>qsaacq</w:t>
      </w:r>
      <w:r>
        <w:rPr>
          <w:rFonts w:ascii="Arial" w:cs="Arial" w:eastAsia="Arial" w:hAnsi="Arial"/>
          <w:sz w:val="16"/>
          <w:szCs w:val="16"/>
          <w:color w:val="634140"/>
        </w:rPr>
        <w:t>s f</w:t>
      </w:r>
      <w:r>
        <w:rPr>
          <w:rFonts w:ascii="Arial" w:cs="Arial" w:eastAsia="Arial" w:hAnsi="Arial"/>
          <w:sz w:val="16"/>
          <w:szCs w:val="16"/>
          <w:color w:val="634140"/>
        </w:rPr>
        <w:t>mp</w:t>
      </w:r>
      <w:r>
        <w:rPr>
          <w:rFonts w:ascii="PMingLiU" w:cs="PMingLiU" w:eastAsia="PMingLiU" w:hAnsi="PMingLiU"/>
          <w:sz w:val="16"/>
          <w:szCs w:val="16"/>
          <w:color w:val="634140"/>
        </w:rPr>
        <w:t/>
      </w:r>
      <w:r>
        <w:rPr>
          <w:rFonts w:ascii="Arial" w:cs="Arial" w:eastAsia="Arial" w:hAnsi="Arial"/>
          <w:sz w:val="16"/>
          <w:szCs w:val="16"/>
          <w:color w:val="634140"/>
        </w:rPr>
        <w:t>umkcl</w:t>
      </w:r>
      <w:r>
        <w:rPr>
          <w:rFonts w:ascii="PMingLiU" w:cs="PMingLiU" w:eastAsia="PMingLiU" w:hAnsi="PMingLiU"/>
          <w:sz w:val="16"/>
          <w:szCs w:val="16"/>
          <w:color w:val="634140"/>
        </w:rPr>
        <w:t/>
      </w:r>
      <w:r>
        <w:rPr>
          <w:rFonts w:ascii="Arial" w:cs="Arial" w:eastAsia="Arial" w:hAnsi="Arial"/>
          <w:sz w:val="16"/>
          <w:szCs w:val="16"/>
          <w:color w:val="634140"/>
        </w:rPr>
        <w:t>gl</w:t>
      </w:r>
      <w:r>
        <w:rPr>
          <w:rFonts w:ascii="PMingLiU" w:cs="PMingLiU" w:eastAsia="PMingLiU" w:hAnsi="PMingLiU"/>
          <w:sz w:val="16"/>
          <w:szCs w:val="16"/>
          <w:color w:val="634140"/>
        </w:rPr>
        <w:t/>
      </w:r>
      <w:r>
        <w:rPr>
          <w:rFonts w:ascii="Arial" w:cs="Arial" w:eastAsia="Arial" w:hAnsi="Arial"/>
          <w:sz w:val="16"/>
          <w:szCs w:val="16"/>
          <w:color w:val="634140"/>
        </w:rPr>
        <w:t>k_lsd_arspgle</w:t>
      </w:r>
      <w:r>
        <w:rPr>
          <w:rFonts w:ascii="PMingLiU" w:cs="PMingLiU" w:eastAsia="PMingLiU" w:hAnsi="PMingLiU"/>
          <w:sz w:val="16"/>
          <w:szCs w:val="16"/>
          <w:color w:val="634140"/>
        </w:rPr>
        <w:t/>
      </w:r>
      <w:r>
        <w:rPr>
          <w:rFonts w:ascii="Arial" w:cs="Arial" w:eastAsia="Arial" w:hAnsi="Arial"/>
          <w:sz w:val="16"/>
          <w:szCs w:val="16"/>
          <w:color w:val="634140"/>
        </w:rPr>
        <w:t>_apmqq</w:t>
      </w:r>
      <w:r>
        <w:rPr>
          <w:rFonts w:ascii="PMingLiU" w:cs="PMingLiU" w:eastAsia="PMingLiU" w:hAnsi="PMingLiU"/>
          <w:sz w:val="16"/>
          <w:szCs w:val="16"/>
          <w:color w:val="634140"/>
        </w:rPr>
        <w:t/>
      </w:r>
      <w:r>
        <w:rPr>
          <w:rFonts w:ascii="Arial" w:cs="Arial" w:eastAsia="Arial" w:hAnsi="Arial"/>
          <w:sz w:val="16"/>
          <w:szCs w:val="16"/>
          <w:color w:val="634140"/>
        </w:rPr>
        <w:t xml:space="preserve"> _jj</w:t>
      </w:r>
      <w:r>
        <w:rPr>
          <w:rFonts w:ascii="PMingLiU" w:cs="PMingLiU" w:eastAsia="PMingLiU" w:hAnsi="PMingLiU"/>
          <w:sz w:val="16"/>
          <w:szCs w:val="16"/>
          <w:color w:val="634140"/>
        </w:rPr>
        <w:t/>
      </w:r>
      <w:r>
        <w:rPr>
          <w:rFonts w:ascii="Arial" w:cs="Arial" w:eastAsia="Arial" w:hAnsi="Arial"/>
          <w:sz w:val="16"/>
          <w:szCs w:val="16"/>
          <w:color w:val="634140"/>
        </w:rPr>
        <w:t>jctcjq</w:t>
      </w:r>
      <w:r>
        <w:rPr>
          <w:rFonts w:ascii="PMingLiU" w:cs="PMingLiU" w:eastAsia="PMingLiU" w:hAnsi="PMingLiU"/>
          <w:sz w:val="16"/>
          <w:szCs w:val="16"/>
          <w:color w:val="634140"/>
        </w:rPr>
        <w:t/>
      </w: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mpe_lgx_rgml</w:t>
      </w:r>
      <w:r>
        <w:rPr>
          <w:rFonts w:ascii="PMingLiU" w:cs="PMingLiU" w:eastAsia="PMingLiU" w:hAnsi="PMingLiU"/>
          <w:sz w:val="16"/>
          <w:szCs w:val="16"/>
          <w:color w:val="634140"/>
        </w:rPr>
        <w:t/>
      </w:r>
      <w:r>
        <w:rPr>
          <w:rFonts w:ascii="Arial" w:cs="Arial" w:eastAsia="Arial" w:hAnsi="Arial"/>
          <w:sz w:val="16"/>
          <w:szCs w:val="16"/>
          <w:color w:val="634140"/>
        </w:rPr>
        <w:t>gl</w:t>
      </w:r>
      <w:r>
        <w:rPr>
          <w:rFonts w:ascii="PMingLiU" w:cs="PMingLiU" w:eastAsia="PMingLiU" w:hAnsi="PMingLiU"/>
          <w:sz w:val="16"/>
          <w:szCs w:val="16"/>
          <w:color w:val="634140"/>
        </w:rPr>
        <w:t/>
      </w:r>
      <w:r>
        <w:rPr>
          <w:rFonts w:ascii="Arial" w:cs="Arial" w:eastAsia="Arial" w:hAnsi="Arial"/>
          <w:sz w:val="16"/>
          <w:szCs w:val="16"/>
          <w:color w:val="634140"/>
        </w:rPr>
        <w:t>nspqsgr</w:t>
      </w:r>
      <w:r>
        <w:rPr>
          <w:rFonts w:ascii="PMingLiU" w:cs="PMingLiU" w:eastAsia="PMingLiU" w:hAnsi="PMingLiU"/>
          <w:sz w:val="16"/>
          <w:szCs w:val="16"/>
          <w:color w:val="634140"/>
        </w:rPr>
        <w:t/>
      </w: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 xml:space="preserve"> epc_rcp</w:t>
      </w:r>
      <w:r>
        <w:rPr>
          <w:rFonts w:ascii="PMingLiU" w:cs="PMingLiU" w:eastAsia="PMingLiU" w:hAnsi="PMingLiU"/>
          <w:sz w:val="16"/>
          <w:szCs w:val="16"/>
          <w:color w:val="634140"/>
        </w:rPr>
        <w:t/>
      </w:r>
      <w:r>
        <w:rPr>
          <w:rFonts w:ascii="Arial" w:cs="Arial" w:eastAsia="Arial" w:hAnsi="Arial"/>
          <w:sz w:val="16"/>
          <w:szCs w:val="16"/>
          <w:color w:val="634140"/>
        </w:rPr>
        <w:t>glajsqgml</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bgtcpqgrw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283845</wp:posOffset>
            </wp:positionV>
            <wp:extent cx="3142615" cy="929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3">
                      <a:extLst>
                        <a:ext uri="{28A0092B-C50C-407E-A947-70E740481C1C}"/>
                      </a:extLst>
                    </a:blip>
                    <a:srcRect/>
                    <a:stretch>
                      <a:fillRect/>
                    </a:stretch>
                  </pic:blipFill>
                  <pic:spPr bwMode="auto">
                    <a:xfrm>
                      <a:off x="0" y="0"/>
                      <a:ext cx="3142615" cy="92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634140"/>
        </w:rPr>
        <w:t>Eqfj_lb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Edpga_l</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Hcqaclb_lrq</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Rcrumpi</w:t>
      </w:r>
      <w:r>
        <w:rPr>
          <w:rFonts w:ascii="PMingLiU" w:cs="PMingLiU" w:eastAsia="PMingLiU" w:hAnsi="PMingLiU"/>
          <w:sz w:val="16"/>
          <w:szCs w:val="16"/>
          <w:b w:val="1"/>
          <w:bCs w:val="1"/>
          <w:color w:val="634140"/>
        </w:rPr>
        <w:t/>
      </w:r>
    </w:p>
    <w:p>
      <w:pPr>
        <w:spacing w:after="0" w:line="184" w:lineRule="exact"/>
        <w:rPr>
          <w:sz w:val="20"/>
          <w:szCs w:val="20"/>
          <w:color w:val="auto"/>
        </w:rPr>
      </w:pPr>
      <w:r>
        <w:rPr>
          <w:rFonts w:ascii="Arial" w:cs="Arial" w:eastAsia="Arial" w:hAnsi="Arial"/>
          <w:sz w:val="16"/>
          <w:szCs w:val="16"/>
          <w:b w:val="1"/>
          <w:bCs w:val="1"/>
          <w:color w:val="634140"/>
        </w:rPr>
        <w:t>+EEHR,</w:t>
      </w:r>
      <w:r>
        <w:rPr>
          <w:rFonts w:ascii="PMingLiU" w:cs="PMingLiU" w:eastAsia="PMingLiU" w:hAnsi="PMingLiU"/>
          <w:sz w:val="16"/>
          <w:szCs w:val="16"/>
          <w:color w:val="634140"/>
        </w:rPr>
        <w:t/>
      </w:r>
      <w:r>
        <w:rPr>
          <w:rFonts w:ascii="Arial" w:cs="Arial" w:eastAsia="Arial" w:hAnsi="Arial"/>
          <w:sz w:val="16"/>
          <w:szCs w:val="16"/>
          <w:color w:val="634140"/>
        </w:rPr>
        <w:t>`cjgctcq</w:t>
      </w:r>
      <w:r>
        <w:rPr>
          <w:rFonts w:ascii="PMingLiU" w:cs="PMingLiU" w:eastAsia="PMingLiU" w:hAnsi="PMingLiU"/>
          <w:sz w:val="16"/>
          <w:szCs w:val="16"/>
          <w:color w:val="634140"/>
        </w:rPr>
        <w:t/>
      </w:r>
      <w:r>
        <w:rPr>
          <w:rFonts w:ascii="Arial" w:cs="Arial" w:eastAsia="Arial" w:hAnsi="Arial"/>
          <w:sz w:val="16"/>
          <w:szCs w:val="16"/>
          <w:color w:val="634140"/>
        </w:rPr>
        <w:t>rf_r</w:t>
      </w:r>
      <w:r>
        <w:rPr>
          <w:rFonts w:ascii="PMingLiU" w:cs="PMingLiU" w:eastAsia="PMingLiU" w:hAnsi="PMingLiU"/>
          <w:sz w:val="16"/>
          <w:szCs w:val="16"/>
          <w:color w:val="634140"/>
        </w:rPr>
        <w:t/>
      </w:r>
      <w:r>
        <w:rPr>
          <w:rFonts w:ascii="Arial" w:cs="Arial" w:eastAsia="Arial" w:hAnsi="Arial"/>
          <w:sz w:val="16"/>
          <w:szCs w:val="16"/>
          <w:color w:val="634140"/>
        </w:rPr>
        <w:t>`w</w:t>
      </w:r>
      <w:r>
        <w:rPr>
          <w:rFonts w:ascii="PMingLiU" w:cs="PMingLiU" w:eastAsia="PMingLiU" w:hAnsi="PMingLiU"/>
          <w:sz w:val="16"/>
          <w:szCs w:val="16"/>
          <w:color w:val="634140"/>
        </w:rPr>
        <w:t/>
      </w:r>
      <w:r>
        <w:rPr>
          <w:rFonts w:ascii="Arial" w:cs="Arial" w:eastAsia="Arial" w:hAnsi="Arial"/>
          <w:sz w:val="16"/>
          <w:szCs w:val="16"/>
          <w:color w:val="634140"/>
        </w:rPr>
        <w:t>npmtgbgle</w:t>
      </w:r>
      <w:r>
        <w:rPr>
          <w:rFonts w:ascii="PMingLiU" w:cs="PMingLiU" w:eastAsia="PMingLiU" w:hAnsi="PMingLiU"/>
          <w:sz w:val="16"/>
          <w:szCs w:val="16"/>
          <w:color w:val="634140"/>
        </w:rPr>
        <w:t/>
      </w:r>
      <w:r>
        <w:rPr>
          <w:rFonts w:ascii="Arial" w:cs="Arial" w:eastAsia="Arial" w:hAnsi="Arial"/>
          <w:sz w:val="16"/>
          <w:szCs w:val="16"/>
          <w:color w:val="634140"/>
        </w:rPr>
        <w:t>apc_rgtc</w:t>
      </w:r>
      <w:r>
        <w:rPr>
          <w:rFonts w:ascii="PMingLiU" w:cs="PMingLiU" w:eastAsia="PMingLiU" w:hAnsi="PMingLiU"/>
          <w:sz w:val="16"/>
          <w:szCs w:val="16"/>
          <w:color w:val="634140"/>
        </w:rPr>
        <w:t/>
      </w:r>
    </w:p>
    <w:p>
      <w:pPr>
        <w:spacing w:after="0" w:line="182" w:lineRule="exact"/>
        <w:rPr>
          <w:sz w:val="20"/>
          <w:szCs w:val="20"/>
          <w:color w:val="auto"/>
        </w:rPr>
      </w:pPr>
      <w:r>
        <w:rPr>
          <w:rFonts w:ascii="Arial" w:cs="Arial" w:eastAsia="Arial" w:hAnsi="Arial"/>
          <w:sz w:val="16"/>
          <w:szCs w:val="16"/>
          <w:color w:val="634140"/>
        </w:rPr>
        <w:t>cbsa_rgml</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gllmt_rgtc</w:t>
      </w:r>
      <w:r>
        <w:rPr>
          <w:rFonts w:ascii="PMingLiU" w:cs="PMingLiU" w:eastAsia="PMingLiU" w:hAnsi="PMingLiU"/>
          <w:sz w:val="16"/>
          <w:szCs w:val="16"/>
          <w:color w:val="634140"/>
        </w:rPr>
        <w:t/>
      </w:r>
      <w:r>
        <w:rPr>
          <w:rFonts w:ascii="Arial" w:cs="Arial" w:eastAsia="Arial" w:hAnsi="Arial"/>
          <w:sz w:val="16"/>
          <w:szCs w:val="16"/>
          <w:color w:val="634140"/>
        </w:rPr>
        <w:t>glrcp_argml</w:t>
      </w:r>
      <w:r>
        <w:rPr>
          <w:rFonts w:ascii="PMingLiU" w:cs="PMingLiU" w:eastAsia="PMingLiU" w:hAnsi="PMingLiU"/>
          <w:sz w:val="16"/>
          <w:szCs w:val="16"/>
          <w:color w:val="634140"/>
        </w:rPr>
        <w:t/>
      </w:r>
      <w:r>
        <w:rPr>
          <w:rFonts w:ascii="Arial" w:cs="Arial" w:eastAsia="Arial" w:hAnsi="Arial"/>
          <w:sz w:val="16"/>
          <w:szCs w:val="16"/>
          <w:color w:val="634140"/>
        </w:rPr>
        <w:t>uc</w:t>
      </w:r>
      <w:r>
        <w:rPr>
          <w:rFonts w:ascii="PMingLiU" w:cs="PMingLiU" w:eastAsia="PMingLiU" w:hAnsi="PMingLiU"/>
          <w:sz w:val="16"/>
          <w:szCs w:val="16"/>
          <w:color w:val="634140"/>
        </w:rPr>
        <w:t/>
      </w:r>
    </w:p>
    <w:p>
      <w:pPr>
        <w:spacing w:after="0" w:line="183" w:lineRule="exact"/>
        <w:rPr>
          <w:sz w:val="20"/>
          <w:szCs w:val="20"/>
          <w:color w:val="auto"/>
        </w:rPr>
      </w:pPr>
      <w:r>
        <w:rPr>
          <w:rFonts w:ascii="Arial" w:cs="Arial" w:eastAsia="Arial" w:hAnsi="Arial"/>
          <w:sz w:val="16"/>
          <w:szCs w:val="16"/>
          <w:color w:val="634140"/>
        </w:rPr>
        <w:t>a_l</w:t>
      </w:r>
      <w:r>
        <w:rPr>
          <w:rFonts w:ascii="PMingLiU" w:cs="PMingLiU" w:eastAsia="PMingLiU" w:hAnsi="PMingLiU"/>
          <w:sz w:val="16"/>
          <w:szCs w:val="16"/>
          <w:color w:val="634140"/>
        </w:rPr>
        <w:t/>
      </w:r>
      <w:r>
        <w:rPr>
          <w:rFonts w:ascii="Arial" w:cs="Arial" w:eastAsia="Arial" w:hAnsi="Arial"/>
          <w:sz w:val="16"/>
          <w:szCs w:val="16"/>
          <w:color w:val="634140"/>
        </w:rPr>
        <w:t>glapc_qc</w:t>
      </w:r>
      <w:r>
        <w:rPr>
          <w:rFonts w:ascii="PMingLiU" w:cs="PMingLiU" w:eastAsia="PMingLiU" w:hAnsi="PMingLiU"/>
          <w:sz w:val="16"/>
          <w:szCs w:val="16"/>
          <w:color w:val="634140"/>
        </w:rPr>
        <w:t/>
      </w:r>
      <w:r>
        <w:rPr>
          <w:rFonts w:ascii="Arial" w:cs="Arial" w:eastAsia="Arial" w:hAnsi="Arial"/>
          <w:sz w:val="16"/>
          <w:szCs w:val="16"/>
          <w:color w:val="634140"/>
        </w:rPr>
        <w:t>ilmujcbec</w:t>
      </w:r>
      <w:r>
        <w:rPr>
          <w:rFonts w:ascii="PMingLiU" w:cs="PMingLiU" w:eastAsia="PMingLiU" w:hAnsi="PMingLiU"/>
          <w:sz w:val="16"/>
          <w:szCs w:val="16"/>
          <w:color w:val="634140"/>
        </w:rPr>
        <w:t/>
      </w:r>
      <w:r>
        <w:rPr>
          <w:rFonts w:ascii="Arial" w:cs="Arial" w:eastAsia="Arial" w:hAnsi="Arial"/>
          <w:sz w:val="16"/>
          <w:szCs w:val="16"/>
          <w:color w:val="634140"/>
        </w:rPr>
        <w:t>ufcpc</w:t>
      </w:r>
      <w:r>
        <w:rPr>
          <w:rFonts w:ascii="PMingLiU" w:cs="PMingLiU" w:eastAsia="PMingLiU" w:hAnsi="PMingLiU"/>
          <w:sz w:val="16"/>
          <w:szCs w:val="16"/>
          <w:color w:val="634140"/>
        </w:rPr>
        <w:t/>
      </w:r>
      <w:r>
        <w:rPr>
          <w:rFonts w:ascii="Arial" w:cs="Arial" w:eastAsia="Arial" w:hAnsi="Arial"/>
          <w:sz w:val="16"/>
          <w:szCs w:val="16"/>
          <w:color w:val="634140"/>
        </w:rPr>
        <w:t>ncpacnrgml</w:t>
      </w:r>
      <w:r>
        <w:rPr>
          <w:rFonts w:ascii="PMingLiU" w:cs="PMingLiU" w:eastAsia="PMingLiU" w:hAnsi="PMingLiU"/>
          <w:sz w:val="16"/>
          <w:szCs w:val="16"/>
          <w:color w:val="634140"/>
        </w:rPr>
        <w:t/>
      </w:r>
      <w:r>
        <w:rPr>
          <w:rFonts w:ascii="Arial" w:cs="Arial" w:eastAsia="Arial" w:hAnsi="Arial"/>
          <w:sz w:val="16"/>
          <w:szCs w:val="16"/>
          <w:color w:val="634140"/>
        </w:rPr>
        <w:t>gq</w:t>
      </w:r>
      <w:r>
        <w:rPr>
          <w:rFonts w:ascii="PMingLiU" w:cs="PMingLiU" w:eastAsia="PMingLiU" w:hAnsi="PMingLiU"/>
          <w:sz w:val="16"/>
          <w:szCs w:val="16"/>
          <w:color w:val="634140"/>
        </w:rPr>
        <w:t/>
      </w:r>
    </w:p>
    <w:p>
      <w:pPr>
        <w:spacing w:after="0" w:line="182" w:lineRule="exact"/>
        <w:rPr>
          <w:sz w:val="20"/>
          <w:szCs w:val="20"/>
          <w:color w:val="auto"/>
        </w:rPr>
      </w:pPr>
      <w:r>
        <w:rPr>
          <w:rFonts w:ascii="Arial" w:cs="Arial" w:eastAsia="Arial" w:hAnsi="Arial"/>
          <w:sz w:val="16"/>
          <w:szCs w:val="16"/>
          <w:color w:val="634140"/>
        </w:rPr>
        <w:t>cvaf_lecb</w:t>
      </w:r>
      <w:r>
        <w:rPr>
          <w:rFonts w:ascii="PMingLiU" w:cs="PMingLiU" w:eastAsia="PMingLiU" w:hAnsi="PMingLiU"/>
          <w:sz w:val="16"/>
          <w:szCs w:val="16"/>
          <w:color w:val="634140"/>
        </w:rPr>
        <w:t/>
      </w:r>
      <w:r>
        <w:rPr>
          <w:rFonts w:ascii="Arial" w:cs="Arial" w:eastAsia="Arial" w:hAnsi="Arial"/>
          <w:sz w:val="16"/>
          <w:szCs w:val="16"/>
          <w:color w:val="634140"/>
        </w:rPr>
        <w:t>dmp</w:t>
      </w:r>
      <w:r>
        <w:rPr>
          <w:rFonts w:ascii="PMingLiU" w:cs="PMingLiU" w:eastAsia="PMingLiU" w:hAnsi="PMingLiU"/>
          <w:sz w:val="16"/>
          <w:szCs w:val="16"/>
          <w:color w:val="634140"/>
        </w:rPr>
        <w:t/>
      </w:r>
      <w:r>
        <w:rPr>
          <w:rFonts w:ascii="Arial" w:cs="Arial" w:eastAsia="Arial" w:hAnsi="Arial"/>
          <w:sz w:val="16"/>
          <w:szCs w:val="16"/>
          <w:color w:val="634140"/>
        </w:rPr>
        <w:t>ncpqncargtc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283845</wp:posOffset>
            </wp:positionV>
            <wp:extent cx="3140075" cy="929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4">
                      <a:extLst>
                        <a:ext uri="{28A0092B-C50C-407E-A947-70E740481C1C}"/>
                      </a:extLst>
                    </a:blip>
                    <a:srcRect/>
                    <a:stretch>
                      <a:fillRect/>
                    </a:stretch>
                  </pic:blipFill>
                  <pic:spPr bwMode="auto">
                    <a:xfrm>
                      <a:off x="0" y="0"/>
                      <a:ext cx="3140075" cy="92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340"/>
        <w:spacing w:after="0" w:line="186" w:lineRule="exact"/>
        <w:rPr>
          <w:sz w:val="20"/>
          <w:szCs w:val="20"/>
          <w:color w:val="auto"/>
        </w:rPr>
      </w:pPr>
      <w:r>
        <w:rPr>
          <w:rFonts w:ascii="Arial" w:cs="Arial" w:eastAsia="Arial" w:hAnsi="Arial"/>
          <w:sz w:val="16"/>
          <w:szCs w:val="16"/>
          <w:b w:val="1"/>
          <w:bCs w:val="1"/>
          <w:color w:val="634140"/>
        </w:rPr>
        <w:t>Eqfj_lb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 xml:space="preserve">G_pcegtcpq </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Eargml</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Vcqgjgclac</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 xml:space="preserve"> ;</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Ikn_rfw</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+EGEVI,</w:t>
      </w:r>
      <w:r>
        <w:rPr>
          <w:rFonts w:ascii="PMingLiU" w:cs="PMingLiU" w:eastAsia="PMingLiU" w:hAnsi="PMingLiU"/>
          <w:sz w:val="16"/>
          <w:szCs w:val="16"/>
          <w:b w:val="1"/>
          <w:bCs w:val="1"/>
          <w:color w:val="634140"/>
        </w:rPr>
        <w:t/>
      </w:r>
      <w:r>
        <w:rPr>
          <w:rFonts w:ascii="Arial" w:cs="Arial" w:eastAsia="Arial" w:hAnsi="Arial"/>
          <w:sz w:val="16"/>
          <w:szCs w:val="16"/>
          <w:color w:val="634140"/>
        </w:rPr>
        <w:t>qcciq</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r>
        <w:rPr>
          <w:rFonts w:ascii="Arial" w:cs="Arial" w:eastAsia="Arial" w:hAnsi="Arial"/>
          <w:sz w:val="16"/>
          <w:szCs w:val="16"/>
          <w:color w:val="634140"/>
        </w:rPr>
        <w:t>apc_rc</w:t>
      </w:r>
      <w:r>
        <w:rPr>
          <w:rFonts w:ascii="PMingLiU" w:cs="PMingLiU" w:eastAsia="PMingLiU" w:hAnsi="PMingLiU"/>
          <w:sz w:val="16"/>
          <w:szCs w:val="16"/>
          <w:color w:val="634140"/>
        </w:rPr>
        <w:t/>
      </w:r>
      <w:r>
        <w:rPr>
          <w:rFonts w:ascii="Arial" w:cs="Arial" w:eastAsia="Arial" w:hAnsi="Arial"/>
          <w:sz w:val="16"/>
          <w:szCs w:val="16"/>
          <w:color w:val="634140"/>
        </w:rPr>
        <w:t>_</w:t>
      </w:r>
      <w:r>
        <w:rPr>
          <w:rFonts w:ascii="PMingLiU" w:cs="PMingLiU" w:eastAsia="PMingLiU" w:hAnsi="PMingLiU"/>
          <w:sz w:val="16"/>
          <w:szCs w:val="16"/>
          <w:color w:val="634140"/>
        </w:rPr>
        <w:t/>
      </w:r>
      <w:r>
        <w:rPr>
          <w:rFonts w:ascii="Arial" w:cs="Arial" w:eastAsia="Arial" w:hAnsi="Arial"/>
          <w:sz w:val="16"/>
          <w:szCs w:val="16"/>
          <w:color w:val="634140"/>
        </w:rPr>
        <w:t>q_dc</w:t>
      </w:r>
      <w:r>
        <w:rPr>
          <w:rFonts w:ascii="PMingLiU" w:cs="PMingLiU" w:eastAsia="PMingLiU" w:hAnsi="PMingLiU"/>
          <w:sz w:val="16"/>
          <w:szCs w:val="16"/>
          <w:color w:val="634140"/>
        </w:rPr>
        <w:t/>
      </w:r>
      <w:r>
        <w:rPr>
          <w:rFonts w:ascii="Arial" w:cs="Arial" w:eastAsia="Arial" w:hAnsi="Arial"/>
          <w:sz w:val="16"/>
          <w:szCs w:val="16"/>
          <w:b w:val="1"/>
          <w:bCs w:val="1"/>
          <w:color w:val="634140"/>
        </w:rPr>
        <w:t xml:space="preserve">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qsnnmprgtc</w:t>
      </w:r>
      <w:r>
        <w:rPr>
          <w:rFonts w:ascii="PMingLiU" w:cs="PMingLiU" w:eastAsia="PMingLiU" w:hAnsi="PMingLiU"/>
          <w:sz w:val="16"/>
          <w:szCs w:val="16"/>
          <w:color w:val="634140"/>
        </w:rPr>
        <w:t/>
      </w:r>
      <w:r>
        <w:rPr>
          <w:rFonts w:ascii="Arial" w:cs="Arial" w:eastAsia="Arial" w:hAnsi="Arial"/>
          <w:sz w:val="16"/>
          <w:szCs w:val="16"/>
          <w:color w:val="634140"/>
        </w:rPr>
        <w:t>amkkslgrw</w:t>
      </w:r>
      <w:r>
        <w:rPr>
          <w:rFonts w:ascii="PMingLiU" w:cs="PMingLiU" w:eastAsia="PMingLiU" w:hAnsi="PMingLiU"/>
          <w:sz w:val="16"/>
          <w:szCs w:val="16"/>
          <w:color w:val="634140"/>
        </w:rPr>
        <w:t/>
      </w:r>
      <w:r>
        <w:rPr>
          <w:rFonts w:ascii="Arial" w:cs="Arial" w:eastAsia="Arial" w:hAnsi="Arial"/>
          <w:sz w:val="16"/>
          <w:szCs w:val="16"/>
          <w:color w:val="634140"/>
        </w:rPr>
        <w:t>dmp</w:t>
      </w:r>
      <w:r>
        <w:rPr>
          <w:rFonts w:ascii="PMingLiU" w:cs="PMingLiU" w:eastAsia="PMingLiU" w:hAnsi="PMingLiU"/>
          <w:sz w:val="16"/>
          <w:szCs w:val="16"/>
          <w:color w:val="634140"/>
        </w:rPr>
        <w:t/>
      </w:r>
      <w:r>
        <w:rPr>
          <w:rFonts w:ascii="Arial" w:cs="Arial" w:eastAsia="Arial" w:hAnsi="Arial"/>
          <w:sz w:val="16"/>
          <w:szCs w:val="16"/>
          <w:color w:val="634140"/>
        </w:rPr>
        <w:t>a_pcegtcpq</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r>
        <w:rPr>
          <w:rFonts w:ascii="Arial" w:cs="Arial" w:eastAsia="Arial" w:hAnsi="Arial"/>
          <w:sz w:val="16"/>
          <w:szCs w:val="16"/>
          <w:color w:val="634140"/>
        </w:rPr>
        <w:t xml:space="preserve"> qf_pc</w:t>
      </w:r>
      <w:r>
        <w:rPr>
          <w:rFonts w:ascii="PMingLiU" w:cs="PMingLiU" w:eastAsia="PMingLiU" w:hAnsi="PMingLiU"/>
          <w:sz w:val="16"/>
          <w:szCs w:val="16"/>
          <w:color w:val="634140"/>
        </w:rPr>
        <w:t/>
      </w:r>
      <w:r>
        <w:rPr>
          <w:rFonts w:ascii="Arial" w:cs="Arial" w:eastAsia="Arial" w:hAnsi="Arial"/>
          <w:sz w:val="16"/>
          <w:szCs w:val="16"/>
          <w:color w:val="634140"/>
        </w:rPr>
        <w:t>jgqrcl</w:t>
      </w:r>
      <w:r>
        <w:rPr>
          <w:rFonts w:ascii="PMingLiU" w:cs="PMingLiU" w:eastAsia="PMingLiU" w:hAnsi="PMingLiU"/>
          <w:sz w:val="16"/>
          <w:szCs w:val="16"/>
          <w:color w:val="634140"/>
        </w:rPr>
        <w:t/>
      </w:r>
      <w:r>
        <w:rPr>
          <w:rFonts w:ascii="Arial" w:cs="Arial" w:eastAsia="Arial" w:hAnsi="Arial"/>
          <w:sz w:val="16"/>
          <w:szCs w:val="16"/>
          <w:color w:val="634140"/>
        </w:rPr>
        <w:t>jc_pl</w:t>
      </w:r>
      <w:r>
        <w:rPr>
          <w:rFonts w:ascii="PMingLiU" w:cs="PMingLiU" w:eastAsia="PMingLiU" w:hAnsi="PMingLiU"/>
          <w:sz w:val="16"/>
          <w:szCs w:val="16"/>
          <w:color w:val="634140"/>
        </w:rPr>
        <w:t/>
      </w:r>
      <w:r>
        <w:rPr>
          <w:rFonts w:ascii="Arial" w:cs="Arial" w:eastAsia="Arial" w:hAnsi="Arial"/>
          <w:sz w:val="16"/>
          <w:szCs w:val="16"/>
          <w:color w:val="634140"/>
        </w:rPr>
        <w:t>ckn_rfgxc</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cbsa_rc</w:t>
      </w:r>
    </w:p>
    <w:p>
      <w:pPr>
        <w:spacing w:after="0" w:line="200" w:lineRule="exact"/>
        <w:rPr>
          <w:sz w:val="20"/>
          <w:szCs w:val="20"/>
          <w:color w:val="auto"/>
        </w:rPr>
      </w:pPr>
    </w:p>
    <w:p>
      <w:pPr>
        <w:sectPr>
          <w:pgSz w:w="12240" w:h="15840" w:orient="portrait"/>
          <w:cols w:equalWidth="0" w:num="2">
            <w:col w:w="4780" w:space="400"/>
            <w:col w:w="4500"/>
          </w:cols>
          <w:pgMar w:left="1120" w:top="1440" w:right="1440" w:bottom="9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91" w:lineRule="exact"/>
        <w:rPr>
          <w:sz w:val="20"/>
          <w:szCs w:val="20"/>
          <w:color w:val="auto"/>
        </w:rPr>
      </w:pPr>
      <w:r>
        <w:rPr>
          <w:rFonts w:ascii="Arial" w:cs="Arial" w:eastAsia="Arial" w:hAnsi="Arial"/>
          <w:sz w:val="24"/>
          <w:szCs w:val="24"/>
          <w:b w:val="1"/>
          <w:bCs w:val="1"/>
          <w:color w:val="634140"/>
        </w:rPr>
        <w:t>cknjmwcc</w:t>
      </w:r>
      <w:r>
        <w:rPr>
          <w:rFonts w:ascii="PMingLiU" w:cs="PMingLiU" w:eastAsia="PMingLiU" w:hAnsi="PMingLiU"/>
          <w:sz w:val="24"/>
          <w:szCs w:val="24"/>
          <w:b w:val="1"/>
          <w:bCs w:val="1"/>
          <w:color w:val="634140"/>
        </w:rPr>
        <w:t/>
      </w:r>
      <w:r>
        <w:rPr>
          <w:rFonts w:ascii="Arial" w:cs="Arial" w:eastAsia="Arial" w:hAnsi="Arial"/>
          <w:sz w:val="24"/>
          <w:szCs w:val="24"/>
          <w:b w:val="1"/>
          <w:bCs w:val="1"/>
          <w:color w:val="634140"/>
        </w:rPr>
        <w:t>msrpc_af</w:t>
      </w:r>
    </w:p>
    <w:p>
      <w:pPr>
        <w:spacing w:after="0" w:line="215" w:lineRule="exact"/>
        <w:rPr>
          <w:sz w:val="20"/>
          <w:szCs w:val="20"/>
          <w:color w:val="auto"/>
        </w:rPr>
      </w:pPr>
    </w:p>
    <w:p>
      <w:pPr>
        <w:spacing w:after="0" w:line="219" w:lineRule="exact"/>
        <w:rPr>
          <w:sz w:val="20"/>
          <w:szCs w:val="20"/>
          <w:color w:val="auto"/>
        </w:rPr>
      </w:pPr>
      <w:r>
        <w:rPr>
          <w:rFonts w:ascii="Arial" w:cs="Arial" w:eastAsia="Arial" w:hAnsi="Arial"/>
          <w:sz w:val="18"/>
          <w:szCs w:val="18"/>
          <w:color w:val="634140"/>
        </w:rPr>
        <w:t>Xfc</w:t>
      </w:r>
      <w:r>
        <w:rPr>
          <w:rFonts w:ascii="PMingLiU" w:cs="PMingLiU" w:eastAsia="PMingLiU" w:hAnsi="PMingLiU"/>
          <w:sz w:val="18"/>
          <w:szCs w:val="18"/>
          <w:color w:val="634140"/>
        </w:rPr>
        <w:t/>
      </w:r>
      <w:r>
        <w:rPr>
          <w:rFonts w:ascii="Arial" w:cs="Arial" w:eastAsia="Arial" w:hAnsi="Arial"/>
          <w:sz w:val="18"/>
          <w:szCs w:val="18"/>
          <w:color w:val="634140"/>
        </w:rPr>
        <w:t>dmjjmugle</w:t>
      </w:r>
      <w:r>
        <w:rPr>
          <w:rFonts w:ascii="PMingLiU" w:cs="PMingLiU" w:eastAsia="PMingLiU" w:hAnsi="PMingLiU"/>
          <w:sz w:val="18"/>
          <w:szCs w:val="18"/>
          <w:color w:val="634140"/>
        </w:rPr>
        <w:t/>
      </w:r>
      <w:r>
        <w:rPr>
          <w:rFonts w:ascii="Arial" w:cs="Arial" w:eastAsia="Arial" w:hAnsi="Arial"/>
          <w:sz w:val="18"/>
          <w:szCs w:val="18"/>
          <w:color w:val="634140"/>
        </w:rPr>
        <w:t>fgefjgefr</w:t>
      </w:r>
      <w:r>
        <w:rPr>
          <w:rFonts w:ascii="PMingLiU" w:cs="PMingLiU" w:eastAsia="PMingLiU" w:hAnsi="PMingLiU"/>
          <w:sz w:val="18"/>
          <w:szCs w:val="18"/>
          <w:color w:val="634140"/>
        </w:rPr>
        <w:t/>
      </w:r>
      <w:r>
        <w:rPr>
          <w:rFonts w:ascii="Arial" w:cs="Arial" w:eastAsia="Arial" w:hAnsi="Arial"/>
          <w:sz w:val="18"/>
          <w:szCs w:val="18"/>
          <w:color w:val="634140"/>
        </w:rPr>
        <w:t>qmkc</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msp</w:t>
      </w:r>
      <w:r>
        <w:rPr>
          <w:rFonts w:ascii="PMingLiU" w:cs="PMingLiU" w:eastAsia="PMingLiU" w:hAnsi="PMingLiU"/>
          <w:sz w:val="18"/>
          <w:szCs w:val="18"/>
          <w:color w:val="634140"/>
        </w:rPr>
        <w:t/>
      </w:r>
      <w:r>
        <w:rPr>
          <w:rFonts w:ascii="Arial" w:cs="Arial" w:eastAsia="Arial" w:hAnsi="Arial"/>
          <w:sz w:val="18"/>
          <w:szCs w:val="18"/>
          <w:color w:val="634140"/>
        </w:rPr>
        <w:t>asjrsp_j</w:t>
      </w:r>
      <w:r>
        <w:rPr>
          <w:rFonts w:ascii="PMingLiU" w:cs="PMingLiU" w:eastAsia="PMingLiU" w:hAnsi="PMingLiU"/>
          <w:sz w:val="18"/>
          <w:szCs w:val="18"/>
          <w:color w:val="634140"/>
        </w:rPr>
        <w:t/>
      </w:r>
      <w:r>
        <w:rPr>
          <w:rFonts w:ascii="Arial" w:cs="Arial" w:eastAsia="Arial" w:hAnsi="Arial"/>
          <w:sz w:val="18"/>
          <w:szCs w:val="18"/>
          <w:color w:val="634140"/>
        </w:rPr>
        <w:t>_lb</w:t>
      </w:r>
      <w:r>
        <w:rPr>
          <w:rFonts w:ascii="PMingLiU" w:cs="PMingLiU" w:eastAsia="PMingLiU" w:hAnsi="PMingLiU"/>
          <w:sz w:val="18"/>
          <w:szCs w:val="18"/>
          <w:color w:val="634140"/>
        </w:rPr>
        <w:t/>
      </w:r>
      <w:r>
        <w:rPr>
          <w:rFonts w:ascii="Arial" w:cs="Arial" w:eastAsia="Arial" w:hAnsi="Arial"/>
          <w:sz w:val="18"/>
          <w:szCs w:val="18"/>
          <w:color w:val="634140"/>
        </w:rPr>
        <w:t>qmag_j</w:t>
      </w:r>
      <w:r>
        <w:rPr>
          <w:rFonts w:ascii="PMingLiU" w:cs="PMingLiU" w:eastAsia="PMingLiU" w:hAnsi="PMingLiU"/>
          <w:sz w:val="18"/>
          <w:szCs w:val="18"/>
          <w:color w:val="634140"/>
        </w:rPr>
        <w:t/>
      </w:r>
      <w:r>
        <w:rPr>
          <w:rFonts w:ascii="Arial" w:cs="Arial" w:eastAsia="Arial" w:hAnsi="Arial"/>
          <w:sz w:val="18"/>
          <w:szCs w:val="18"/>
          <w:color w:val="634140"/>
        </w:rPr>
        <w:t>ctclrq</w:t>
      </w:r>
      <w:r>
        <w:rPr>
          <w:rFonts w:ascii="PMingLiU" w:cs="PMingLiU" w:eastAsia="PMingLiU" w:hAnsi="PMingLiU"/>
          <w:sz w:val="18"/>
          <w:szCs w:val="18"/>
          <w:color w:val="634140"/>
        </w:rPr>
        <w:t/>
      </w:r>
      <w:r>
        <w:rPr>
          <w:rFonts w:ascii="Arial" w:cs="Arial" w:eastAsia="Arial" w:hAnsi="Arial"/>
          <w:sz w:val="18"/>
          <w:szCs w:val="18"/>
          <w:color w:val="634140"/>
        </w:rPr>
        <w:t>rfgq</w:t>
      </w:r>
      <w:r>
        <w:rPr>
          <w:rFonts w:ascii="PMingLiU" w:cs="PMingLiU" w:eastAsia="PMingLiU" w:hAnsi="PMingLiU"/>
          <w:sz w:val="18"/>
          <w:szCs w:val="18"/>
          <w:color w:val="634140"/>
        </w:rPr>
        <w:t/>
      </w:r>
      <w:r>
        <w:rPr>
          <w:rFonts w:ascii="Arial" w:cs="Arial" w:eastAsia="Arial" w:hAnsi="Arial"/>
          <w:sz w:val="18"/>
          <w:szCs w:val="18"/>
          <w:color w:val="634140"/>
        </w:rPr>
        <w:t>wc_p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6368415" cy="9563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5">
                      <a:extLst>
                        <a:ext uri="{28A0092B-C50C-407E-A947-70E740481C1C}"/>
                      </a:extLst>
                    </a:blip>
                    <a:srcRect/>
                    <a:stretch>
                      <a:fillRect/>
                    </a:stretch>
                  </pic:blipFill>
                  <pic:spPr bwMode="auto">
                    <a:xfrm>
                      <a:off x="0" y="0"/>
                      <a:ext cx="6368415" cy="95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19" w:lineRule="exact"/>
        <w:tabs>
          <w:tab w:leader="none" w:pos="3420" w:val="left"/>
          <w:tab w:leader="none" w:pos="6860" w:val="left"/>
        </w:tabs>
        <w:rPr>
          <w:sz w:val="20"/>
          <w:szCs w:val="20"/>
          <w:color w:val="auto"/>
        </w:rPr>
      </w:pPr>
      <w:r>
        <w:rPr>
          <w:rFonts w:ascii="Arial" w:cs="Arial" w:eastAsia="Arial" w:hAnsi="Arial"/>
          <w:sz w:val="18"/>
          <w:szCs w:val="18"/>
          <w:color w:val="634140"/>
        </w:rPr>
        <w:t>R_rgml_j</w:t>
      </w:r>
      <w:r>
        <w:rPr>
          <w:rFonts w:ascii="PMingLiU" w:cs="PMingLiU" w:eastAsia="PMingLiU" w:hAnsi="PMingLiU"/>
          <w:sz w:val="18"/>
          <w:szCs w:val="18"/>
          <w:color w:val="634140"/>
        </w:rPr>
        <w:t/>
      </w:r>
      <w:r>
        <w:rPr>
          <w:rFonts w:ascii="Arial" w:cs="Arial" w:eastAsia="Arial" w:hAnsi="Arial"/>
          <w:sz w:val="18"/>
          <w:szCs w:val="18"/>
          <w:color w:val="634140"/>
        </w:rPr>
        <w:t>H_w</w:t>
      </w:r>
      <w:r>
        <w:rPr>
          <w:rFonts w:ascii="PMingLiU" w:cs="PMingLiU" w:eastAsia="PMingLiU" w:hAnsi="PMingLiU"/>
          <w:sz w:val="18"/>
          <w:szCs w:val="18"/>
          <w:color w:val="634140"/>
        </w:rPr>
        <w:t/>
      </w:r>
      <w:r>
        <w:rPr>
          <w:rFonts w:ascii="Arial" w:cs="Arial" w:eastAsia="Arial" w:hAnsi="Arial"/>
          <w:sz w:val="18"/>
          <w:szCs w:val="18"/>
          <w:color w:val="634140"/>
        </w:rPr>
        <w:t>md</w:t>
      </w:r>
      <w:r>
        <w:rPr>
          <w:rFonts w:ascii="PMingLiU" w:cs="PMingLiU" w:eastAsia="PMingLiU" w:hAnsi="PMingLiU"/>
          <w:sz w:val="18"/>
          <w:szCs w:val="18"/>
          <w:color w:val="634140"/>
        </w:rPr>
        <w:t/>
      </w:r>
      <w:r>
        <w:rPr>
          <w:rFonts w:ascii="Arial" w:cs="Arial" w:eastAsia="Arial" w:hAnsi="Arial"/>
          <w:sz w:val="18"/>
          <w:szCs w:val="18"/>
          <w:color w:val="634140"/>
        </w:rPr>
        <w:t>Wcptgac</w:t>
      </w:r>
      <w:r>
        <w:rPr>
          <w:sz w:val="20"/>
          <w:szCs w:val="20"/>
          <w:color w:val="auto"/>
        </w:rPr>
        <w:tab/>
      </w:r>
      <w:r>
        <w:rPr>
          <w:rFonts w:ascii="Arial" w:cs="Arial" w:eastAsia="Arial" w:hAnsi="Arial"/>
          <w:sz w:val="18"/>
          <w:szCs w:val="18"/>
          <w:color w:val="634140"/>
        </w:rPr>
        <w:t>Mlqngp_rgml_j</w:t>
      </w:r>
      <w:r>
        <w:rPr>
          <w:rFonts w:ascii="PMingLiU" w:cs="PMingLiU" w:eastAsia="PMingLiU" w:hAnsi="PMingLiU"/>
          <w:sz w:val="18"/>
          <w:szCs w:val="18"/>
          <w:color w:val="634140"/>
        </w:rPr>
        <w:t/>
      </w:r>
      <w:r>
        <w:rPr>
          <w:rFonts w:ascii="Arial" w:cs="Arial" w:eastAsia="Arial" w:hAnsi="Arial"/>
          <w:sz w:val="18"/>
          <w:szCs w:val="18"/>
          <w:color w:val="634140"/>
        </w:rPr>
        <w:t>[mkcl</w:t>
      </w:r>
      <w:r>
        <w:rPr>
          <w:rFonts w:ascii="PMingLiU" w:cs="PMingLiU" w:eastAsia="PMingLiU" w:hAnsi="PMingLiU"/>
          <w:sz w:val="18"/>
          <w:szCs w:val="18"/>
          <w:color w:val="634140"/>
        </w:rPr>
        <w:t/>
      </w:r>
      <w:r>
        <w:rPr>
          <w:rFonts w:ascii="Arial" w:cs="Arial" w:eastAsia="Arial" w:hAnsi="Arial"/>
          <w:sz w:val="18"/>
          <w:szCs w:val="18"/>
          <w:color w:val="634140"/>
        </w:rPr>
        <w:t>q</w:t>
      </w:r>
      <w:r>
        <w:rPr>
          <w:rFonts w:ascii="PMingLiU" w:cs="PMingLiU" w:eastAsia="PMingLiU" w:hAnsi="PMingLiU"/>
          <w:sz w:val="18"/>
          <w:szCs w:val="18"/>
          <w:color w:val="634140"/>
        </w:rPr>
        <w:t/>
      </w:r>
      <w:r>
        <w:rPr>
          <w:rFonts w:ascii="Arial" w:cs="Arial" w:eastAsia="Arial" w:hAnsi="Arial"/>
          <w:sz w:val="18"/>
          <w:szCs w:val="18"/>
          <w:color w:val="634140"/>
        </w:rPr>
        <w:t>Eu_pbq</w:t>
      </w:r>
      <w:r>
        <w:rPr>
          <w:sz w:val="20"/>
          <w:szCs w:val="20"/>
          <w:color w:val="auto"/>
        </w:rPr>
        <w:tab/>
      </w:r>
      <w:r>
        <w:rPr>
          <w:rFonts w:ascii="Arial" w:cs="Arial" w:eastAsia="Arial" w:hAnsi="Arial"/>
          <w:sz w:val="16"/>
          <w:szCs w:val="16"/>
          <w:color w:val="634140"/>
        </w:rPr>
        <w:t>Vmai</w:t>
      </w:r>
      <w:r>
        <w:rPr>
          <w:rFonts w:ascii="PMingLiU" w:cs="PMingLiU" w:eastAsia="PMingLiU" w:hAnsi="PMingLiU"/>
          <w:sz w:val="16"/>
          <w:szCs w:val="16"/>
          <w:color w:val="634140"/>
        </w:rPr>
        <w:t/>
      </w:r>
      <w:r>
        <w:rPr>
          <w:rFonts w:ascii="Arial" w:cs="Arial" w:eastAsia="Arial" w:hAnsi="Arial"/>
          <w:sz w:val="16"/>
          <w:szCs w:val="16"/>
          <w:color w:val="634140"/>
        </w:rPr>
        <w:t>]msp</w:t>
      </w:r>
      <w:r>
        <w:rPr>
          <w:rFonts w:ascii="PMingLiU" w:cs="PMingLiU" w:eastAsia="PMingLiU" w:hAnsi="PMingLiU"/>
          <w:sz w:val="16"/>
          <w:szCs w:val="16"/>
          <w:color w:val="634140"/>
        </w:rPr>
        <w:t/>
      </w:r>
      <w:r>
        <w:rPr>
          <w:rFonts w:ascii="Arial" w:cs="Arial" w:eastAsia="Arial" w:hAnsi="Arial"/>
          <w:sz w:val="16"/>
          <w:szCs w:val="16"/>
          <w:color w:val="634140"/>
        </w:rPr>
        <w:t>Wmaiq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178435</wp:posOffset>
            </wp:positionV>
            <wp:extent cx="7055485" cy="2174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16">
                      <a:extLst>
                        <a:ext uri="{28A0092B-C50C-407E-A947-70E740481C1C}"/>
                      </a:extLst>
                    </a:blip>
                    <a:srcRect/>
                    <a:stretch>
                      <a:fillRect/>
                    </a:stretch>
                  </pic:blipFill>
                  <pic:spPr bwMode="auto">
                    <a:xfrm>
                      <a:off x="0" y="0"/>
                      <a:ext cx="7055485" cy="2174875"/>
                    </a:xfrm>
                    <a:prstGeom prst="rect">
                      <a:avLst/>
                    </a:prstGeom>
                    <a:noFill/>
                  </pic:spPr>
                </pic:pic>
              </a:graphicData>
            </a:graphic>
          </wp:anchor>
        </w:drawing>
      </w:r>
    </w:p>
    <w:p>
      <w:pPr>
        <w:sectPr>
          <w:pgSz w:w="12240" w:h="15840" w:orient="portrait"/>
          <w:cols w:equalWidth="0" w:num="1">
            <w:col w:w="9680"/>
          </w:cols>
          <w:pgMar w:left="1120" w:top="1440" w:right="1440" w:bottom="9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19" w:lineRule="exact"/>
        <w:tabs>
          <w:tab w:leader="none" w:pos="3420" w:val="left"/>
          <w:tab w:leader="none" w:pos="6860" w:val="left"/>
        </w:tabs>
        <w:rPr>
          <w:sz w:val="20"/>
          <w:szCs w:val="20"/>
          <w:color w:val="auto"/>
        </w:rPr>
      </w:pPr>
      <w:r>
        <w:rPr>
          <w:rFonts w:ascii="Arial" w:cs="Arial" w:eastAsia="Arial" w:hAnsi="Arial"/>
          <w:sz w:val="18"/>
          <w:szCs w:val="18"/>
          <w:color w:val="634140"/>
        </w:rPr>
        <w:t>Qclr_j</w:t>
      </w:r>
      <w:r>
        <w:rPr>
          <w:rFonts w:ascii="PMingLiU" w:cs="PMingLiU" w:eastAsia="PMingLiU" w:hAnsi="PMingLiU"/>
          <w:sz w:val="18"/>
          <w:szCs w:val="18"/>
          <w:color w:val="634140"/>
        </w:rPr>
        <w:t/>
      </w:r>
      <w:r>
        <w:rPr>
          <w:rFonts w:ascii="Arial" w:cs="Arial" w:eastAsia="Arial" w:hAnsi="Arial"/>
          <w:sz w:val="18"/>
          <w:szCs w:val="18"/>
          <w:color w:val="634140"/>
        </w:rPr>
        <w:t>Lc_jrf</w:t>
      </w:r>
      <w:r>
        <w:rPr>
          <w:rFonts w:ascii="PMingLiU" w:cs="PMingLiU" w:eastAsia="PMingLiU" w:hAnsi="PMingLiU"/>
          <w:sz w:val="18"/>
          <w:szCs w:val="18"/>
          <w:color w:val="634140"/>
        </w:rPr>
        <w:t/>
      </w:r>
      <w:r>
        <w:rPr>
          <w:rFonts w:ascii="Arial" w:cs="Arial" w:eastAsia="Arial" w:hAnsi="Arial"/>
          <w:sz w:val="18"/>
          <w:szCs w:val="18"/>
          <w:color w:val="634140"/>
        </w:rPr>
        <w:t>Qmlrf</w:t>
      </w:r>
      <w:r>
        <w:rPr>
          <w:sz w:val="20"/>
          <w:szCs w:val="20"/>
          <w:color w:val="auto"/>
        </w:rPr>
        <w:tab/>
      </w:r>
      <w:r>
        <w:rPr>
          <w:rFonts w:ascii="Arial" w:cs="Arial" w:eastAsia="Arial" w:hAnsi="Arial"/>
          <w:sz w:val="18"/>
          <w:szCs w:val="18"/>
          <w:color w:val="634140"/>
        </w:rPr>
        <w:t>Tpgbc</w:t>
      </w:r>
      <w:r>
        <w:rPr>
          <w:rFonts w:ascii="PMingLiU" w:cs="PMingLiU" w:eastAsia="PMingLiU" w:hAnsi="PMingLiU"/>
          <w:sz w:val="18"/>
          <w:szCs w:val="18"/>
          <w:color w:val="634140"/>
        </w:rPr>
        <w:t/>
      </w:r>
      <w:r>
        <w:rPr>
          <w:rFonts w:ascii="Arial" w:cs="Arial" w:eastAsia="Arial" w:hAnsi="Arial"/>
          <w:sz w:val="18"/>
          <w:szCs w:val="18"/>
          <w:color w:val="634140"/>
        </w:rPr>
        <w:t>Gcjc`p_rgml</w:t>
      </w:r>
      <w:r>
        <w:rPr>
          <w:sz w:val="20"/>
          <w:szCs w:val="20"/>
          <w:color w:val="auto"/>
        </w:rPr>
        <w:tab/>
      </w:r>
      <w:r>
        <w:rPr>
          <w:rFonts w:ascii="Arial" w:cs="Arial" w:eastAsia="Arial" w:hAnsi="Arial"/>
          <w:sz w:val="18"/>
          <w:szCs w:val="18"/>
          <w:color w:val="634140"/>
        </w:rPr>
        <w:t>Lgqn_lga</w:t>
      </w:r>
      <w:r>
        <w:rPr>
          <w:rFonts w:ascii="PMingLiU" w:cs="PMingLiU" w:eastAsia="PMingLiU" w:hAnsi="PMingLiU"/>
          <w:sz w:val="18"/>
          <w:szCs w:val="18"/>
          <w:color w:val="634140"/>
        </w:rPr>
        <w:t/>
      </w:r>
      <w:r>
        <w:rPr>
          <w:rFonts w:ascii="Arial" w:cs="Arial" w:eastAsia="Arial" w:hAnsi="Arial"/>
          <w:sz w:val="18"/>
          <w:szCs w:val="18"/>
          <w:color w:val="634140"/>
        </w:rPr>
        <w:t>Lcpgr_ec</w:t>
      </w:r>
      <w:r>
        <w:rPr>
          <w:rFonts w:ascii="PMingLiU" w:cs="PMingLiU" w:eastAsia="PMingLiU" w:hAnsi="PMingLiU"/>
          <w:sz w:val="18"/>
          <w:szCs w:val="18"/>
          <w:color w:val="634140"/>
        </w:rPr>
        <w:t/>
      </w:r>
      <w:r>
        <w:rPr>
          <w:rFonts w:ascii="Arial" w:cs="Arial" w:eastAsia="Arial" w:hAnsi="Arial"/>
          <w:sz w:val="18"/>
          <w:szCs w:val="18"/>
          <w:color w:val="634140"/>
        </w:rPr>
        <w:t>Qmlrf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180975</wp:posOffset>
            </wp:positionV>
            <wp:extent cx="630872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7">
                      <a:extLst>
                        <a:ext uri="{28A0092B-C50C-407E-A947-70E740481C1C}"/>
                      </a:extLst>
                    </a:blip>
                    <a:srcRect/>
                    <a:stretch>
                      <a:fillRect/>
                    </a:stretch>
                  </pic:blipFill>
                  <pic:spPr bwMode="auto">
                    <a:xfrm>
                      <a:off x="0" y="0"/>
                      <a:ext cx="6308725" cy="1270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281940</wp:posOffset>
            </wp:positionV>
            <wp:extent cx="1198245" cy="4076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8">
                      <a:extLst>
                        <a:ext uri="{28A0092B-C50C-407E-A947-70E740481C1C}"/>
                      </a:extLst>
                    </a:blip>
                    <a:srcRect/>
                    <a:stretch>
                      <a:fillRect/>
                    </a:stretch>
                  </pic:blipFill>
                  <pic:spPr bwMode="auto">
                    <a:xfrm>
                      <a:off x="0" y="0"/>
                      <a:ext cx="1198245" cy="40767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281940</wp:posOffset>
            </wp:positionV>
            <wp:extent cx="1198245" cy="4076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9">
                      <a:extLst>
                        <a:ext uri="{28A0092B-C50C-407E-A947-70E740481C1C}"/>
                      </a:extLst>
                    </a:blip>
                    <a:srcRect/>
                    <a:stretch>
                      <a:fillRect/>
                    </a:stretch>
                  </pic:blipFill>
                  <pic:spPr bwMode="auto">
                    <a:xfrm>
                      <a:off x="0" y="0"/>
                      <a:ext cx="1198245" cy="407670"/>
                    </a:xfrm>
                    <a:prstGeom prst="rect">
                      <a:avLst/>
                    </a:prstGeom>
                    <a:noFill/>
                  </pic:spPr>
                </pic:pic>
              </a:graphicData>
            </a:graphic>
          </wp:anchor>
        </w:drawing>
      </w:r>
    </w:p>
    <w:p>
      <w:pPr>
        <w:sectPr>
          <w:pgSz w:w="12240" w:h="15840" w:orient="portrait"/>
          <w:cols w:equalWidth="0" w:num="1">
            <w:col w:w="9680"/>
          </w:cols>
          <w:pgMar w:left="1120" w:top="1440" w:right="1440" w:bottom="992"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55"/>
          <w:szCs w:val="55"/>
          <w:color w:val="FFFFFF"/>
        </w:rPr>
        <w:t>emtcpl_lac</w:t>
      </w:r>
    </w:p>
    <w:p>
      <w:pPr>
        <w:spacing w:after="0" w:line="262" w:lineRule="exact"/>
        <w:rPr>
          <w:sz w:val="20"/>
          <w:szCs w:val="20"/>
          <w:color w:val="auto"/>
        </w:rPr>
      </w:pPr>
    </w:p>
    <w:p>
      <w:pPr>
        <w:spacing w:after="0" w:line="251" w:lineRule="exact"/>
        <w:rPr>
          <w:sz w:val="20"/>
          <w:szCs w:val="20"/>
          <w:color w:val="auto"/>
        </w:rPr>
      </w:pPr>
      <w:r>
        <w:rPr>
          <w:rFonts w:ascii="Arial" w:cs="Arial" w:eastAsia="Arial" w:hAnsi="Arial"/>
          <w:sz w:val="18"/>
          <w:szCs w:val="18"/>
          <w:color w:val="FFFFFF"/>
        </w:rPr>
        <w:t>Fw</w:t>
      </w:r>
      <w:r>
        <w:rPr>
          <w:rFonts w:ascii="PMingLiU" w:cs="PMingLiU" w:eastAsia="PMingLiU" w:hAnsi="PMingLiU"/>
          <w:sz w:val="18"/>
          <w:szCs w:val="18"/>
          <w:color w:val="FFFFFF"/>
        </w:rPr>
        <w:t/>
      </w:r>
      <w:r>
        <w:rPr>
          <w:rFonts w:ascii="Arial" w:cs="Arial" w:eastAsia="Arial" w:hAnsi="Arial"/>
          <w:sz w:val="18"/>
          <w:szCs w:val="18"/>
          <w:color w:val="FFFFFF"/>
        </w:rPr>
        <w:t>dmqrcpgle</w:t>
      </w:r>
      <w:r>
        <w:rPr>
          <w:rFonts w:ascii="PMingLiU" w:cs="PMingLiU" w:eastAsia="PMingLiU" w:hAnsi="PMingLiU"/>
          <w:sz w:val="18"/>
          <w:szCs w:val="18"/>
          <w:color w:val="FFFFFF"/>
        </w:rPr>
        <w:t/>
      </w:r>
      <w:r>
        <w:rPr>
          <w:rFonts w:ascii="Arial" w:cs="Arial" w:eastAsia="Arial" w:hAnsi="Arial"/>
          <w:sz w:val="18"/>
          <w:szCs w:val="18"/>
          <w:color w:val="FFFFFF"/>
        </w:rPr>
        <w:t>_</w:t>
      </w:r>
      <w:r>
        <w:rPr>
          <w:rFonts w:ascii="PMingLiU" w:cs="PMingLiU" w:eastAsia="PMingLiU" w:hAnsi="PMingLiU"/>
          <w:sz w:val="18"/>
          <w:szCs w:val="18"/>
          <w:color w:val="FFFFFF"/>
        </w:rPr>
        <w:t/>
      </w:r>
      <w:r>
        <w:rPr>
          <w:rFonts w:ascii="Arial" w:cs="Arial" w:eastAsia="Arial" w:hAnsi="Arial"/>
          <w:sz w:val="18"/>
          <w:szCs w:val="18"/>
          <w:color w:val="FFFFFF"/>
        </w:rPr>
        <w:t>asjrspc</w:t>
      </w:r>
      <w:r>
        <w:rPr>
          <w:rFonts w:ascii="PMingLiU" w:cs="PMingLiU" w:eastAsia="PMingLiU" w:hAnsi="PMingLiU"/>
          <w:sz w:val="18"/>
          <w:szCs w:val="18"/>
          <w:color w:val="FFFFFF"/>
        </w:rPr>
        <w:t/>
      </w:r>
      <w:r>
        <w:rPr>
          <w:rFonts w:ascii="Arial" w:cs="Arial" w:eastAsia="Arial" w:hAnsi="Arial"/>
          <w:sz w:val="18"/>
          <w:szCs w:val="18"/>
          <w:color w:val="FFFFFF"/>
        </w:rPr>
        <w:t>rf_r</w:t>
      </w:r>
      <w:r>
        <w:rPr>
          <w:rFonts w:ascii="PMingLiU" w:cs="PMingLiU" w:eastAsia="PMingLiU" w:hAnsi="PMingLiU"/>
          <w:sz w:val="18"/>
          <w:szCs w:val="18"/>
          <w:color w:val="FFFFFF"/>
        </w:rPr>
        <w:t/>
      </w:r>
      <w:r>
        <w:rPr>
          <w:rFonts w:ascii="Arial" w:cs="Arial" w:eastAsia="Arial" w:hAnsi="Arial"/>
          <w:sz w:val="18"/>
          <w:szCs w:val="18"/>
          <w:color w:val="FFFFFF"/>
        </w:rPr>
        <w:t>cknf_qgxcq</w:t>
      </w:r>
      <w:r>
        <w:rPr>
          <w:rFonts w:ascii="PMingLiU" w:cs="PMingLiU" w:eastAsia="PMingLiU" w:hAnsi="PMingLiU"/>
          <w:sz w:val="18"/>
          <w:szCs w:val="18"/>
          <w:color w:val="FFFFFF"/>
        </w:rPr>
        <w:t/>
      </w:r>
      <w:r>
        <w:rPr>
          <w:rFonts w:ascii="Arial" w:cs="Arial" w:eastAsia="Arial" w:hAnsi="Arial"/>
          <w:sz w:val="18"/>
          <w:szCs w:val="18"/>
          <w:color w:val="FFFFFF"/>
        </w:rPr>
        <w:t>amknjg_lac</w:t>
      </w:r>
      <w:r>
        <w:rPr>
          <w:rFonts w:ascii="PMingLiU" w:cs="PMingLiU" w:eastAsia="PMingLiU" w:hAnsi="PMingLiU"/>
          <w:sz w:val="18"/>
          <w:szCs w:val="18"/>
          <w:color w:val="FFFFFF"/>
        </w:rPr>
        <w:t/>
      </w:r>
      <w:r>
        <w:rPr>
          <w:rFonts w:ascii="Arial" w:cs="Arial" w:eastAsia="Arial" w:hAnsi="Arial"/>
          <w:sz w:val="18"/>
          <w:szCs w:val="18"/>
          <w:color w:val="FFFFFF"/>
        </w:rPr>
        <w:t>ugrf</w:t>
      </w:r>
      <w:r>
        <w:rPr>
          <w:rFonts w:ascii="PMingLiU" w:cs="PMingLiU" w:eastAsia="PMingLiU" w:hAnsi="PMingLiU"/>
          <w:sz w:val="18"/>
          <w:szCs w:val="18"/>
          <w:color w:val="FFFFFF"/>
        </w:rPr>
        <w:t/>
      </w:r>
      <w:r>
        <w:rPr>
          <w:rFonts w:ascii="Arial" w:cs="Arial" w:eastAsia="Arial" w:hAnsi="Arial"/>
          <w:sz w:val="18"/>
          <w:szCs w:val="18"/>
          <w:color w:val="FFFFFF"/>
        </w:rPr>
        <w:t>rfc</w:t>
      </w:r>
      <w:r>
        <w:rPr>
          <w:rFonts w:ascii="PMingLiU" w:cs="PMingLiU" w:eastAsia="PMingLiU" w:hAnsi="PMingLiU"/>
          <w:sz w:val="18"/>
          <w:szCs w:val="18"/>
          <w:color w:val="FFFFFF"/>
        </w:rPr>
        <w:t/>
      </w:r>
      <w:r>
        <w:rPr>
          <w:rFonts w:ascii="Arial" w:cs="Arial" w:eastAsia="Arial" w:hAnsi="Arial"/>
          <w:sz w:val="18"/>
          <w:szCs w:val="18"/>
          <w:color w:val="FFFFFF"/>
        </w:rPr>
        <w:t xml:space="preserve"> j_u</w:t>
      </w:r>
      <w:r>
        <w:rPr>
          <w:rFonts w:ascii="PMingLiU" w:cs="PMingLiU" w:eastAsia="PMingLiU" w:hAnsi="PMingLiU"/>
          <w:sz w:val="18"/>
          <w:szCs w:val="18"/>
          <w:color w:val="FFFFFF"/>
        </w:rPr>
        <w:t/>
      </w:r>
      <w:r>
        <w:rPr>
          <w:rFonts w:ascii="Arial" w:cs="Arial" w:eastAsia="Arial" w:hAnsi="Arial"/>
          <w:sz w:val="18"/>
          <w:szCs w:val="18"/>
          <w:color w:val="FFFFFF"/>
        </w:rPr>
        <w:t>_lb</w:t>
      </w:r>
      <w:r>
        <w:rPr>
          <w:rFonts w:ascii="PMingLiU" w:cs="PMingLiU" w:eastAsia="PMingLiU" w:hAnsi="PMingLiU"/>
          <w:sz w:val="18"/>
          <w:szCs w:val="18"/>
          <w:color w:val="FFFFFF"/>
        </w:rPr>
        <w:t/>
      </w:r>
      <w:r>
        <w:rPr>
          <w:rFonts w:ascii="Arial" w:cs="Arial" w:eastAsia="Arial" w:hAnsi="Arial"/>
          <w:sz w:val="18"/>
          <w:szCs w:val="18"/>
          <w:color w:val="FFFFFF"/>
        </w:rPr>
        <w:t>crfga_j</w:t>
      </w:r>
      <w:r>
        <w:rPr>
          <w:rFonts w:ascii="PMingLiU" w:cs="PMingLiU" w:eastAsia="PMingLiU" w:hAnsi="PMingLiU"/>
          <w:sz w:val="18"/>
          <w:szCs w:val="18"/>
          <w:color w:val="FFFFFF"/>
        </w:rPr>
        <w:t/>
      </w:r>
      <w:r>
        <w:rPr>
          <w:rFonts w:ascii="Arial" w:cs="Arial" w:eastAsia="Arial" w:hAnsi="Arial"/>
          <w:sz w:val="18"/>
          <w:szCs w:val="18"/>
          <w:color w:val="FFFFFF"/>
        </w:rPr>
        <w:t>`sqglcqq</w:t>
      </w:r>
      <w:r>
        <w:rPr>
          <w:rFonts w:ascii="PMingLiU" w:cs="PMingLiU" w:eastAsia="PMingLiU" w:hAnsi="PMingLiU"/>
          <w:sz w:val="18"/>
          <w:szCs w:val="18"/>
          <w:color w:val="FFFFFF"/>
        </w:rPr>
        <w:t/>
      </w:r>
      <w:r>
        <w:rPr>
          <w:rFonts w:ascii="Arial" w:cs="Arial" w:eastAsia="Arial" w:hAnsi="Arial"/>
          <w:sz w:val="18"/>
          <w:szCs w:val="18"/>
          <w:color w:val="FFFFFF"/>
        </w:rPr>
        <w:t>`cf_tgmp</w:t>
      </w:r>
      <w:r>
        <w:rPr>
          <w:rFonts w:ascii="PMingLiU" w:cs="PMingLiU" w:eastAsia="PMingLiU" w:hAnsi="PMingLiU"/>
          <w:sz w:val="18"/>
          <w:szCs w:val="18"/>
          <w:color w:val="FFFFFF"/>
        </w:rPr>
        <w:t/>
      </w:r>
      <w:r>
        <w:rPr>
          <w:rFonts w:ascii="Arial" w:cs="Arial" w:eastAsia="Arial" w:hAnsi="Arial"/>
          <w:sz w:val="18"/>
          <w:szCs w:val="18"/>
          <w:color w:val="FFFFFF"/>
        </w:rPr>
        <w:t>_lb</w:t>
      </w:r>
      <w:r>
        <w:rPr>
          <w:rFonts w:ascii="PMingLiU" w:cs="PMingLiU" w:eastAsia="PMingLiU" w:hAnsi="PMingLiU"/>
          <w:sz w:val="18"/>
          <w:szCs w:val="18"/>
          <w:color w:val="FFFFFF"/>
        </w:rPr>
        <w:t/>
      </w:r>
      <w:r>
        <w:rPr>
          <w:rFonts w:ascii="Arial" w:cs="Arial" w:eastAsia="Arial" w:hAnsi="Arial"/>
          <w:sz w:val="18"/>
          <w:szCs w:val="18"/>
          <w:color w:val="FFFFFF"/>
        </w:rPr>
        <w:t>`w</w:t>
      </w:r>
      <w:r>
        <w:rPr>
          <w:rFonts w:ascii="PMingLiU" w:cs="PMingLiU" w:eastAsia="PMingLiU" w:hAnsi="PMingLiU"/>
          <w:sz w:val="18"/>
          <w:szCs w:val="18"/>
          <w:color w:val="FFFFFF"/>
        </w:rPr>
        <w:t/>
      </w:r>
      <w:r>
        <w:rPr>
          <w:rFonts w:ascii="Arial" w:cs="Arial" w:eastAsia="Arial" w:hAnsi="Arial"/>
          <w:sz w:val="18"/>
          <w:szCs w:val="18"/>
          <w:color w:val="FFFFFF"/>
        </w:rPr>
        <w:t>_bmnrgle</w:t>
      </w:r>
      <w:r>
        <w:rPr>
          <w:rFonts w:ascii="PMingLiU" w:cs="PMingLiU" w:eastAsia="PMingLiU" w:hAnsi="PMingLiU"/>
          <w:sz w:val="18"/>
          <w:szCs w:val="18"/>
          <w:color w:val="FFFFFF"/>
        </w:rPr>
        <w:t/>
      </w:r>
      <w:r>
        <w:rPr>
          <w:rFonts w:ascii="Arial" w:cs="Arial" w:eastAsia="Arial" w:hAnsi="Arial"/>
          <w:sz w:val="18"/>
          <w:szCs w:val="18"/>
          <w:color w:val="FFFFFF"/>
        </w:rPr>
        <w:t>qrpmle</w:t>
      </w:r>
      <w:r>
        <w:rPr>
          <w:rFonts w:ascii="PMingLiU" w:cs="PMingLiU" w:eastAsia="PMingLiU" w:hAnsi="PMingLiU"/>
          <w:sz w:val="18"/>
          <w:szCs w:val="18"/>
          <w:color w:val="FFFFFF"/>
        </w:rPr>
        <w:t/>
      </w:r>
      <w:r>
        <w:rPr>
          <w:rFonts w:ascii="Arial" w:cs="Arial" w:eastAsia="Arial" w:hAnsi="Arial"/>
          <w:sz w:val="18"/>
          <w:szCs w:val="18"/>
          <w:color w:val="FFFFFF"/>
        </w:rPr>
        <w:t xml:space="preserve"> npglagnjcq</w:t>
      </w:r>
      <w:r>
        <w:rPr>
          <w:rFonts w:ascii="PMingLiU" w:cs="PMingLiU" w:eastAsia="PMingLiU" w:hAnsi="PMingLiU"/>
          <w:sz w:val="18"/>
          <w:szCs w:val="18"/>
          <w:color w:val="FFFFFF"/>
        </w:rPr>
        <w:t/>
      </w:r>
      <w:r>
        <w:rPr>
          <w:rFonts w:ascii="Arial" w:cs="Arial" w:eastAsia="Arial" w:hAnsi="Arial"/>
          <w:sz w:val="18"/>
          <w:szCs w:val="18"/>
          <w:color w:val="FFFFFF"/>
        </w:rPr>
        <w:t>md</w:t>
      </w:r>
      <w:r>
        <w:rPr>
          <w:rFonts w:ascii="PMingLiU" w:cs="PMingLiU" w:eastAsia="PMingLiU" w:hAnsi="PMingLiU"/>
          <w:sz w:val="18"/>
          <w:szCs w:val="18"/>
          <w:color w:val="FFFFFF"/>
        </w:rPr>
        <w:t/>
      </w:r>
      <w:r>
        <w:rPr>
          <w:rFonts w:ascii="Arial" w:cs="Arial" w:eastAsia="Arial" w:hAnsi="Arial"/>
          <w:sz w:val="18"/>
          <w:szCs w:val="18"/>
          <w:color w:val="FFFFFF"/>
        </w:rPr>
        <w:t>ampnmp_rc</w:t>
      </w:r>
      <w:r>
        <w:rPr>
          <w:rFonts w:ascii="PMingLiU" w:cs="PMingLiU" w:eastAsia="PMingLiU" w:hAnsi="PMingLiU"/>
          <w:sz w:val="18"/>
          <w:szCs w:val="18"/>
          <w:color w:val="FFFFFF"/>
        </w:rPr>
        <w:t/>
      </w:r>
      <w:r>
        <w:rPr>
          <w:rFonts w:ascii="Arial" w:cs="Arial" w:eastAsia="Arial" w:hAnsi="Arial"/>
          <w:sz w:val="18"/>
          <w:szCs w:val="18"/>
          <w:color w:val="FFFFFF"/>
        </w:rPr>
        <w:t>emtcpl_lac</w:t>
      </w:r>
      <w:r>
        <w:rPr>
          <w:rFonts w:ascii="PMingLiU" w:cs="PMingLiU" w:eastAsia="PMingLiU" w:hAnsi="PMingLiU"/>
          <w:sz w:val="18"/>
          <w:szCs w:val="18"/>
          <w:color w:val="FFFFFF"/>
        </w:rPr>
        <w:t/>
      </w:r>
      <w:r>
        <w:rPr>
          <w:rFonts w:ascii="Arial" w:cs="Arial" w:eastAsia="Arial" w:hAnsi="Arial"/>
          <w:sz w:val="18"/>
          <w:szCs w:val="18"/>
          <w:color w:val="FFFFFF"/>
        </w:rPr>
        <w:t>msp</w:t>
      </w:r>
      <w:r>
        <w:rPr>
          <w:rFonts w:ascii="PMingLiU" w:cs="PMingLiU" w:eastAsia="PMingLiU" w:hAnsi="PMingLiU"/>
          <w:sz w:val="18"/>
          <w:szCs w:val="18"/>
          <w:color w:val="FFFFFF"/>
        </w:rPr>
        <w:t/>
      </w:r>
      <w:r>
        <w:rPr>
          <w:rFonts w:ascii="Arial" w:cs="Arial" w:eastAsia="Arial" w:hAnsi="Arial"/>
          <w:sz w:val="18"/>
          <w:szCs w:val="18"/>
          <w:color w:val="FFFFFF"/>
        </w:rPr>
        <w:t>amlqrgrsclrq</w:t>
      </w:r>
      <w:r>
        <w:rPr>
          <w:rFonts w:ascii="PMingLiU" w:cs="PMingLiU" w:eastAsia="PMingLiU" w:hAnsi="PMingLiU"/>
          <w:sz w:val="18"/>
          <w:szCs w:val="18"/>
          <w:color w:val="FFFFFF"/>
        </w:rPr>
        <w:t/>
      </w:r>
      <w:r>
        <w:rPr>
          <w:rFonts w:ascii="Arial" w:cs="Arial" w:eastAsia="Arial" w:hAnsi="Arial"/>
          <w:sz w:val="18"/>
          <w:szCs w:val="18"/>
          <w:color w:val="FFFFFF"/>
        </w:rPr>
        <w:t>a_l</w:t>
      </w:r>
      <w:r>
        <w:rPr>
          <w:rFonts w:ascii="PMingLiU" w:cs="PMingLiU" w:eastAsia="PMingLiU" w:hAnsi="PMingLiU"/>
          <w:sz w:val="18"/>
          <w:szCs w:val="18"/>
          <w:color w:val="FFFFFF"/>
        </w:rPr>
        <w:t/>
      </w:r>
      <w:r>
        <w:rPr>
          <w:rFonts w:ascii="Arial" w:cs="Arial" w:eastAsia="Arial" w:hAnsi="Arial"/>
          <w:sz w:val="18"/>
          <w:szCs w:val="18"/>
          <w:color w:val="FFFFFF"/>
        </w:rPr>
        <w:t xml:space="preserve"> dccj</w:t>
      </w:r>
      <w:r>
        <w:rPr>
          <w:rFonts w:ascii="PMingLiU" w:cs="PMingLiU" w:eastAsia="PMingLiU" w:hAnsi="PMingLiU"/>
          <w:sz w:val="18"/>
          <w:szCs w:val="18"/>
          <w:color w:val="FFFFFF"/>
        </w:rPr>
        <w:t/>
      </w:r>
      <w:r>
        <w:rPr>
          <w:rFonts w:ascii="Arial" w:cs="Arial" w:eastAsia="Arial" w:hAnsi="Arial"/>
          <w:sz w:val="18"/>
          <w:szCs w:val="18"/>
          <w:color w:val="FFFFFF"/>
        </w:rPr>
        <w:t>amlfibclr</w:t>
      </w:r>
      <w:r>
        <w:rPr>
          <w:rFonts w:ascii="PMingLiU" w:cs="PMingLiU" w:eastAsia="PMingLiU" w:hAnsi="PMingLiU"/>
          <w:sz w:val="18"/>
          <w:szCs w:val="18"/>
          <w:color w:val="FFFFFF"/>
        </w:rPr>
        <w:t/>
      </w:r>
      <w:r>
        <w:rPr>
          <w:rFonts w:ascii="Arial" w:cs="Arial" w:eastAsia="Arial" w:hAnsi="Arial"/>
          <w:sz w:val="18"/>
          <w:szCs w:val="18"/>
          <w:color w:val="FFFFFF"/>
        </w:rPr>
        <w:t>_`msr</w:t>
      </w:r>
      <w:r>
        <w:rPr>
          <w:rFonts w:ascii="PMingLiU" w:cs="PMingLiU" w:eastAsia="PMingLiU" w:hAnsi="PMingLiU"/>
          <w:sz w:val="18"/>
          <w:szCs w:val="18"/>
          <w:color w:val="FFFFFF"/>
        </w:rPr>
        <w:t/>
      </w:r>
      <w:r>
        <w:rPr>
          <w:rFonts w:ascii="Arial" w:cs="Arial" w:eastAsia="Arial" w:hAnsi="Arial"/>
          <w:sz w:val="18"/>
          <w:szCs w:val="18"/>
          <w:color w:val="FFFFFF"/>
        </w:rPr>
        <w:t>rfcgp</w:t>
      </w:r>
      <w:r>
        <w:rPr>
          <w:rFonts w:ascii="PMingLiU" w:cs="PMingLiU" w:eastAsia="PMingLiU" w:hAnsi="PMingLiU"/>
          <w:sz w:val="18"/>
          <w:szCs w:val="18"/>
          <w:color w:val="FFFFFF"/>
        </w:rPr>
        <w:t/>
      </w:r>
      <w:r>
        <w:rPr>
          <w:rFonts w:ascii="Arial" w:cs="Arial" w:eastAsia="Arial" w:hAnsi="Arial"/>
          <w:sz w:val="18"/>
          <w:szCs w:val="18"/>
          <w:color w:val="FFFFFF"/>
        </w:rPr>
        <w:t>_qqmag_rgml</w:t>
      </w:r>
      <w:r>
        <w:rPr>
          <w:rFonts w:ascii="PMingLiU" w:cs="PMingLiU" w:eastAsia="PMingLiU" w:hAnsi="PMingLiU"/>
          <w:sz w:val="18"/>
          <w:szCs w:val="18"/>
          <w:color w:val="FFFFFF"/>
        </w:rPr>
        <w:t/>
      </w:r>
      <w:r>
        <w:rPr>
          <w:rFonts w:ascii="Arial" w:cs="Arial" w:eastAsia="Arial" w:hAnsi="Arial"/>
          <w:sz w:val="18"/>
          <w:szCs w:val="18"/>
          <w:color w:val="FFFFFF"/>
        </w:rPr>
        <w:t>ugrf</w:t>
      </w:r>
      <w:r>
        <w:rPr>
          <w:rFonts w:ascii="PMingLiU" w:cs="PMingLiU" w:eastAsia="PMingLiU" w:hAnsi="PMingLiU"/>
          <w:sz w:val="18"/>
          <w:szCs w:val="18"/>
          <w:color w:val="FFFFFF"/>
        </w:rPr>
        <w:t/>
      </w:r>
      <w:r>
        <w:rPr>
          <w:rFonts w:ascii="Arial" w:cs="Arial" w:eastAsia="Arial" w:hAnsi="Arial"/>
          <w:sz w:val="18"/>
          <w:szCs w:val="18"/>
          <w:color w:val="FFFFFF"/>
        </w:rPr>
        <w:t>Eqfj_lb</w:t>
      </w:r>
      <w:r>
        <w:rPr>
          <w:rFonts w:ascii="PMingLiU" w:cs="PMingLiU" w:eastAsia="PMingLiU" w:hAnsi="PMingLiU"/>
          <w:sz w:val="18"/>
          <w:szCs w:val="18"/>
          <w:color w:val="FFFFFF"/>
        </w:rPr>
        <w:t/>
      </w:r>
    </w:p>
    <w:p>
      <w:pPr>
        <w:spacing w:after="0" w:line="230" w:lineRule="exact"/>
        <w:rPr>
          <w:sz w:val="20"/>
          <w:szCs w:val="20"/>
          <w:color w:val="auto"/>
        </w:rPr>
      </w:pPr>
    </w:p>
    <w:p>
      <w:pPr>
        <w:ind w:right="220"/>
        <w:spacing w:after="0" w:line="251" w:lineRule="exact"/>
        <w:rPr>
          <w:sz w:val="20"/>
          <w:szCs w:val="20"/>
          <w:color w:val="auto"/>
        </w:rPr>
      </w:pPr>
      <w:r>
        <w:rPr>
          <w:rFonts w:ascii="Arial" w:cs="Arial" w:eastAsia="Arial" w:hAnsi="Arial"/>
          <w:sz w:val="18"/>
          <w:szCs w:val="18"/>
          <w:color w:val="FFFFFF"/>
        </w:rPr>
        <w:t>Xfc</w:t>
      </w:r>
      <w:r>
        <w:rPr>
          <w:rFonts w:ascii="PMingLiU" w:cs="PMingLiU" w:eastAsia="PMingLiU" w:hAnsi="PMingLiU"/>
          <w:sz w:val="18"/>
          <w:szCs w:val="18"/>
          <w:color w:val="FFFFFF"/>
        </w:rPr>
        <w:t/>
      </w:r>
      <w:r>
        <w:rPr>
          <w:rFonts w:ascii="Arial" w:cs="Arial" w:eastAsia="Arial" w:hAnsi="Arial"/>
          <w:sz w:val="18"/>
          <w:szCs w:val="18"/>
          <w:color w:val="FFFFFF"/>
        </w:rPr>
        <w:t>amplcpqrmlc</w:t>
      </w:r>
      <w:r>
        <w:rPr>
          <w:rFonts w:ascii="PMingLiU" w:cs="PMingLiU" w:eastAsia="PMingLiU" w:hAnsi="PMingLiU"/>
          <w:sz w:val="18"/>
          <w:szCs w:val="18"/>
          <w:color w:val="FFFFFF"/>
        </w:rPr>
        <w:t/>
      </w:r>
      <w:r>
        <w:rPr>
          <w:rFonts w:ascii="Arial" w:cs="Arial" w:eastAsia="Arial" w:hAnsi="Arial"/>
          <w:sz w:val="18"/>
          <w:szCs w:val="18"/>
          <w:color w:val="FFFFFF"/>
        </w:rPr>
        <w:t>md</w:t>
      </w:r>
      <w:r>
        <w:rPr>
          <w:rFonts w:ascii="PMingLiU" w:cs="PMingLiU" w:eastAsia="PMingLiU" w:hAnsi="PMingLiU"/>
          <w:sz w:val="18"/>
          <w:szCs w:val="18"/>
          <w:color w:val="FFFFFF"/>
        </w:rPr>
        <w:t/>
      </w:r>
      <w:r>
        <w:rPr>
          <w:rFonts w:ascii="Arial" w:cs="Arial" w:eastAsia="Arial" w:hAnsi="Arial"/>
          <w:sz w:val="18"/>
          <w:szCs w:val="18"/>
          <w:color w:val="FFFFFF"/>
        </w:rPr>
        <w:t>Eqfj_lb</w:t>
      </w:r>
      <w:r>
        <w:rPr>
          <w:rFonts w:ascii="PMingLiU" w:cs="PMingLiU" w:eastAsia="PMingLiU" w:hAnsi="PMingLiU"/>
          <w:sz w:val="18"/>
          <w:szCs w:val="18"/>
          <w:color w:val="FFFFFF"/>
        </w:rPr>
        <w:t/>
      </w:r>
      <w:r>
        <w:rPr>
          <w:rFonts w:ascii="Arial" w:cs="Arial" w:eastAsia="Arial" w:hAnsi="Arial"/>
          <w:sz w:val="18"/>
          <w:szCs w:val="18"/>
          <w:color w:val="FFFFFF"/>
        </w:rPr>
        <w:t>q</w:t>
      </w:r>
      <w:r>
        <w:rPr>
          <w:rFonts w:ascii="PMingLiU" w:cs="PMingLiU" w:eastAsia="PMingLiU" w:hAnsi="PMingLiU"/>
          <w:sz w:val="18"/>
          <w:szCs w:val="18"/>
          <w:color w:val="FFFFFF"/>
        </w:rPr>
        <w:t/>
      </w:r>
      <w:r>
        <w:rPr>
          <w:rFonts w:ascii="Arial" w:cs="Arial" w:eastAsia="Arial" w:hAnsi="Arial"/>
          <w:sz w:val="18"/>
          <w:szCs w:val="18"/>
          <w:color w:val="FFFFFF"/>
        </w:rPr>
        <w:t>amknjg_lac</w:t>
      </w:r>
      <w:r>
        <w:rPr>
          <w:rFonts w:ascii="PMingLiU" w:cs="PMingLiU" w:eastAsia="PMingLiU" w:hAnsi="PMingLiU"/>
          <w:sz w:val="18"/>
          <w:szCs w:val="18"/>
          <w:color w:val="FFFFFF"/>
        </w:rPr>
        <w:t/>
      </w:r>
      <w:r>
        <w:rPr>
          <w:rFonts w:ascii="Arial" w:cs="Arial" w:eastAsia="Arial" w:hAnsi="Arial"/>
          <w:sz w:val="18"/>
          <w:szCs w:val="18"/>
          <w:color w:val="FFFFFF"/>
        </w:rPr>
        <w:t>npmep_k</w:t>
      </w:r>
      <w:r>
        <w:rPr>
          <w:rFonts w:ascii="PMingLiU" w:cs="PMingLiU" w:eastAsia="PMingLiU" w:hAnsi="PMingLiU"/>
          <w:sz w:val="18"/>
          <w:szCs w:val="18"/>
          <w:color w:val="FFFFFF"/>
        </w:rPr>
        <w:t/>
      </w:r>
      <w:r>
        <w:rPr>
          <w:rFonts w:ascii="Arial" w:cs="Arial" w:eastAsia="Arial" w:hAnsi="Arial"/>
          <w:sz w:val="18"/>
          <w:szCs w:val="18"/>
          <w:color w:val="FFFFFF"/>
        </w:rPr>
        <w:t>gq</w:t>
      </w:r>
      <w:r>
        <w:rPr>
          <w:rFonts w:ascii="PMingLiU" w:cs="PMingLiU" w:eastAsia="PMingLiU" w:hAnsi="PMingLiU"/>
          <w:sz w:val="18"/>
          <w:szCs w:val="18"/>
          <w:color w:val="FFFFFF"/>
        </w:rPr>
        <w:t/>
      </w:r>
      <w:r>
        <w:rPr>
          <w:rFonts w:ascii="Arial" w:cs="Arial" w:eastAsia="Arial" w:hAnsi="Arial"/>
          <w:sz w:val="18"/>
          <w:szCs w:val="18"/>
          <w:color w:val="FFFFFF"/>
        </w:rPr>
        <w:t>msp</w:t>
      </w:r>
      <w:r>
        <w:rPr>
          <w:rFonts w:ascii="PMingLiU" w:cs="PMingLiU" w:eastAsia="PMingLiU" w:hAnsi="PMingLiU"/>
          <w:sz w:val="18"/>
          <w:szCs w:val="18"/>
          <w:color w:val="FFFFFF"/>
        </w:rPr>
        <w:t/>
      </w:r>
      <w:r>
        <w:rPr>
          <w:rFonts w:ascii="Arial" w:cs="Arial" w:eastAsia="Arial" w:hAnsi="Arial"/>
          <w:sz w:val="18"/>
          <w:szCs w:val="18"/>
          <w:color w:val="FFFFFF"/>
        </w:rPr>
        <w:t xml:space="preserve"> Kjm`_j</w:t>
      </w:r>
      <w:r>
        <w:rPr>
          <w:rFonts w:ascii="PMingLiU" w:cs="PMingLiU" w:eastAsia="PMingLiU" w:hAnsi="PMingLiU"/>
          <w:sz w:val="18"/>
          <w:szCs w:val="18"/>
          <w:color w:val="FFFFFF"/>
        </w:rPr>
        <w:t/>
      </w:r>
      <w:r>
        <w:rPr>
          <w:rFonts w:ascii="Arial" w:cs="Arial" w:eastAsia="Arial" w:hAnsi="Arial"/>
          <w:sz w:val="18"/>
          <w:szCs w:val="18"/>
          <w:color w:val="FFFFFF"/>
        </w:rPr>
        <w:t>Gmbc</w:t>
      </w:r>
      <w:r>
        <w:rPr>
          <w:rFonts w:ascii="PMingLiU" w:cs="PMingLiU" w:eastAsia="PMingLiU" w:hAnsi="PMingLiU"/>
          <w:sz w:val="18"/>
          <w:szCs w:val="18"/>
          <w:color w:val="FFFFFF"/>
        </w:rPr>
        <w:t/>
      </w:r>
      <w:r>
        <w:rPr>
          <w:rFonts w:ascii="Arial" w:cs="Arial" w:eastAsia="Arial" w:hAnsi="Arial"/>
          <w:sz w:val="18"/>
          <w:szCs w:val="18"/>
          <w:color w:val="FFFFFF"/>
        </w:rPr>
        <w:t>md</w:t>
      </w:r>
      <w:r>
        <w:rPr>
          <w:rFonts w:ascii="PMingLiU" w:cs="PMingLiU" w:eastAsia="PMingLiU" w:hAnsi="PMingLiU"/>
          <w:sz w:val="18"/>
          <w:szCs w:val="18"/>
          <w:color w:val="FFFFFF"/>
        </w:rPr>
        <w:t/>
      </w:r>
      <w:r>
        <w:rPr>
          <w:rFonts w:ascii="Arial" w:cs="Arial" w:eastAsia="Arial" w:hAnsi="Arial"/>
          <w:sz w:val="18"/>
          <w:szCs w:val="18"/>
          <w:color w:val="FFFFFF"/>
        </w:rPr>
        <w:t>Gmlbsar</w:t>
      </w:r>
      <w:r>
        <w:rPr>
          <w:rFonts w:ascii="PMingLiU" w:cs="PMingLiU" w:eastAsia="PMingLiU" w:hAnsi="PMingLiU"/>
          <w:sz w:val="18"/>
          <w:szCs w:val="18"/>
          <w:color w:val="FFFFFF"/>
        </w:rPr>
        <w:t/>
      </w:r>
      <w:r>
        <w:rPr>
          <w:rFonts w:ascii="Arial" w:cs="Arial" w:eastAsia="Arial" w:hAnsi="Arial"/>
          <w:sz w:val="18"/>
          <w:szCs w:val="18"/>
          <w:color w:val="FFFFFF"/>
        </w:rPr>
        <w:t>[c</w:t>
      </w:r>
      <w:r>
        <w:rPr>
          <w:rFonts w:ascii="PMingLiU" w:cs="PMingLiU" w:eastAsia="PMingLiU" w:hAnsi="PMingLiU"/>
          <w:sz w:val="18"/>
          <w:szCs w:val="18"/>
          <w:color w:val="FFFFFF"/>
        </w:rPr>
        <w:t/>
      </w:r>
      <w:r>
        <w:rPr>
          <w:rFonts w:ascii="Arial" w:cs="Arial" w:eastAsia="Arial" w:hAnsi="Arial"/>
          <w:sz w:val="18"/>
          <w:szCs w:val="18"/>
          <w:color w:val="FFFFFF"/>
        </w:rPr>
        <w:t>_jqm</w:t>
      </w:r>
      <w:r>
        <w:rPr>
          <w:rFonts w:ascii="PMingLiU" w:cs="PMingLiU" w:eastAsia="PMingLiU" w:hAnsi="PMingLiU"/>
          <w:sz w:val="18"/>
          <w:szCs w:val="18"/>
          <w:color w:val="FFFFFF"/>
        </w:rPr>
        <w:t/>
      </w:r>
      <w:r>
        <w:rPr>
          <w:rFonts w:ascii="Arial" w:cs="Arial" w:eastAsia="Arial" w:hAnsi="Arial"/>
          <w:sz w:val="18"/>
          <w:szCs w:val="18"/>
          <w:color w:val="FFFFFF"/>
        </w:rPr>
        <w:t>f_tc</w:t>
      </w:r>
      <w:r>
        <w:rPr>
          <w:rFonts w:ascii="PMingLiU" w:cs="PMingLiU" w:eastAsia="PMingLiU" w:hAnsi="PMingLiU"/>
          <w:sz w:val="18"/>
          <w:szCs w:val="18"/>
          <w:color w:val="FFFFFF"/>
        </w:rPr>
        <w:t/>
      </w:r>
      <w:r>
        <w:rPr>
          <w:rFonts w:ascii="Arial" w:cs="Arial" w:eastAsia="Arial" w:hAnsi="Arial"/>
          <w:sz w:val="18"/>
          <w:szCs w:val="18"/>
          <w:color w:val="FFFFFF"/>
        </w:rPr>
        <w:t>_</w:t>
      </w:r>
      <w:r>
        <w:rPr>
          <w:rFonts w:ascii="PMingLiU" w:cs="PMingLiU" w:eastAsia="PMingLiU" w:hAnsi="PMingLiU"/>
          <w:sz w:val="18"/>
          <w:szCs w:val="18"/>
          <w:color w:val="FFFFFF"/>
        </w:rPr>
        <w:t/>
      </w:r>
      <w:r>
        <w:rPr>
          <w:rFonts w:ascii="Arial" w:cs="Arial" w:eastAsia="Arial" w:hAnsi="Arial"/>
          <w:sz w:val="18"/>
          <w:szCs w:val="18"/>
          <w:color w:val="FFFFFF"/>
        </w:rPr>
        <w:t>qrpmle</w:t>
      </w:r>
      <w:r>
        <w:rPr>
          <w:rFonts w:ascii="PMingLiU" w:cs="PMingLiU" w:eastAsia="PMingLiU" w:hAnsi="PMingLiU"/>
          <w:sz w:val="18"/>
          <w:szCs w:val="18"/>
          <w:color w:val="FFFFFF"/>
        </w:rPr>
        <w:t/>
      </w:r>
      <w:r>
        <w:rPr>
          <w:rFonts w:ascii="Arial" w:cs="Arial" w:eastAsia="Arial" w:hAnsi="Arial"/>
          <w:sz w:val="18"/>
          <w:szCs w:val="18"/>
          <w:color w:val="FFFFFF"/>
        </w:rPr>
        <w:t>_lb</w:t>
      </w:r>
      <w:r>
        <w:rPr>
          <w:rFonts w:ascii="PMingLiU" w:cs="PMingLiU" w:eastAsia="PMingLiU" w:hAnsi="PMingLiU"/>
          <w:sz w:val="18"/>
          <w:szCs w:val="18"/>
          <w:color w:val="FFFFFF"/>
        </w:rPr>
        <w:t/>
      </w:r>
      <w:r>
        <w:rPr>
          <w:rFonts w:ascii="Arial" w:cs="Arial" w:eastAsia="Arial" w:hAnsi="Arial"/>
          <w:sz w:val="18"/>
          <w:szCs w:val="18"/>
          <w:color w:val="FFFFFF"/>
        </w:rPr>
        <w:t xml:space="preserve"> _argtc</w:t>
      </w:r>
      <w:r>
        <w:rPr>
          <w:rFonts w:ascii="PMingLiU" w:cs="PMingLiU" w:eastAsia="PMingLiU" w:hAnsi="PMingLiU"/>
          <w:sz w:val="18"/>
          <w:szCs w:val="18"/>
          <w:color w:val="FFFFFF"/>
        </w:rPr>
        <w:t/>
      </w:r>
      <w:r>
        <w:rPr>
          <w:rFonts w:ascii="Arial" w:cs="Arial" w:eastAsia="Arial" w:hAnsi="Arial"/>
          <w:sz w:val="18"/>
          <w:szCs w:val="18"/>
          <w:color w:val="FFFFFF"/>
        </w:rPr>
        <w:t>npctclrgtc</w:t>
      </w:r>
      <w:r>
        <w:rPr>
          <w:rFonts w:ascii="PMingLiU" w:cs="PMingLiU" w:eastAsia="PMingLiU" w:hAnsi="PMingLiU"/>
          <w:sz w:val="18"/>
          <w:szCs w:val="18"/>
          <w:color w:val="FFFFFF"/>
        </w:rPr>
        <w:t/>
      </w:r>
      <w:r>
        <w:rPr>
          <w:rFonts w:ascii="Arial" w:cs="Arial" w:eastAsia="Arial" w:hAnsi="Arial"/>
          <w:sz w:val="18"/>
          <w:szCs w:val="18"/>
          <w:color w:val="FFFFFF"/>
        </w:rPr>
        <w:t>j_u</w:t>
      </w:r>
      <w:r>
        <w:rPr>
          <w:rFonts w:ascii="PMingLiU" w:cs="PMingLiU" w:eastAsia="PMingLiU" w:hAnsi="PMingLiU"/>
          <w:sz w:val="18"/>
          <w:szCs w:val="18"/>
          <w:color w:val="FFFFFF"/>
        </w:rPr>
        <w:t/>
      </w:r>
      <w:r>
        <w:rPr>
          <w:rFonts w:ascii="Arial" w:cs="Arial" w:eastAsia="Arial" w:hAnsi="Arial"/>
          <w:sz w:val="18"/>
          <w:szCs w:val="18"/>
          <w:color w:val="FFFFFF"/>
        </w:rPr>
        <w:t>npmep_k</w:t>
      </w:r>
      <w:r>
        <w:rPr>
          <w:rFonts w:ascii="PMingLiU" w:cs="PMingLiU" w:eastAsia="PMingLiU" w:hAnsi="PMingLiU"/>
          <w:sz w:val="18"/>
          <w:szCs w:val="18"/>
          <w:color w:val="FFFFFF"/>
        </w:rPr>
        <w:t/>
      </w:r>
      <w:r>
        <w:rPr>
          <w:rFonts w:ascii="Arial" w:cs="Arial" w:eastAsia="Arial" w:hAnsi="Arial"/>
          <w:sz w:val="18"/>
          <w:szCs w:val="18"/>
          <w:color w:val="FFFFFF"/>
        </w:rPr>
        <w:t>_lb</w:t>
      </w:r>
      <w:r>
        <w:rPr>
          <w:rFonts w:ascii="PMingLiU" w:cs="PMingLiU" w:eastAsia="PMingLiU" w:hAnsi="PMingLiU"/>
          <w:sz w:val="18"/>
          <w:szCs w:val="18"/>
          <w:color w:val="FFFFFF"/>
        </w:rPr>
        <w:t/>
      </w:r>
      <w:r>
        <w:rPr>
          <w:rFonts w:ascii="Arial" w:cs="Arial" w:eastAsia="Arial" w:hAnsi="Arial"/>
          <w:sz w:val="18"/>
          <w:szCs w:val="18"/>
          <w:color w:val="FFFFFF"/>
        </w:rPr>
        <w:t>_nnjw</w:t>
      </w:r>
      <w:r>
        <w:rPr>
          <w:rFonts w:ascii="PMingLiU" w:cs="PMingLiU" w:eastAsia="PMingLiU" w:hAnsi="PMingLiU"/>
          <w:sz w:val="18"/>
          <w:szCs w:val="18"/>
          <w:color w:val="FFFFFF"/>
        </w:rPr>
        <w:t/>
      </w:r>
      <w:r>
        <w:rPr>
          <w:rFonts w:ascii="Arial" w:cs="Arial" w:eastAsia="Arial" w:hAnsi="Arial"/>
          <w:sz w:val="18"/>
          <w:szCs w:val="18"/>
          <w:color w:val="FFFFFF"/>
        </w:rPr>
        <w:t>qrpgar</w:t>
      </w:r>
      <w:r>
        <w:rPr>
          <w:rFonts w:ascii="PMingLiU" w:cs="PMingLiU" w:eastAsia="PMingLiU" w:hAnsi="PMingLiU"/>
          <w:sz w:val="18"/>
          <w:szCs w:val="18"/>
          <w:color w:val="FFFFFF"/>
        </w:rPr>
        <w:t/>
      </w:r>
      <w:r>
        <w:rPr>
          <w:rFonts w:ascii="Arial" w:cs="Arial" w:eastAsia="Arial" w:hAnsi="Arial"/>
          <w:sz w:val="18"/>
          <w:szCs w:val="18"/>
          <w:color w:val="FFFFFF"/>
        </w:rPr>
        <w:t>crfga_j</w:t>
      </w:r>
      <w:r>
        <w:rPr>
          <w:rFonts w:ascii="PMingLiU" w:cs="PMingLiU" w:eastAsia="PMingLiU" w:hAnsi="PMingLiU"/>
          <w:sz w:val="18"/>
          <w:szCs w:val="18"/>
          <w:color w:val="FFFFFF"/>
        </w:rPr>
        <w:t/>
      </w:r>
      <w:r>
        <w:rPr>
          <w:rFonts w:ascii="Arial" w:cs="Arial" w:eastAsia="Arial" w:hAnsi="Arial"/>
          <w:sz w:val="18"/>
          <w:szCs w:val="18"/>
          <w:color w:val="FFFFFF"/>
        </w:rPr>
        <w:t xml:space="preserve"> qr_lb_pbq</w:t>
      </w:r>
      <w:r>
        <w:rPr>
          <w:rFonts w:ascii="PMingLiU" w:cs="PMingLiU" w:eastAsia="PMingLiU" w:hAnsi="PMingLiU"/>
          <w:sz w:val="18"/>
          <w:szCs w:val="18"/>
          <w:color w:val="FFFFFF"/>
        </w:rPr>
        <w:t/>
      </w:r>
      <w:r>
        <w:rPr>
          <w:rFonts w:ascii="Arial" w:cs="Arial" w:eastAsia="Arial" w:hAnsi="Arial"/>
          <w:sz w:val="18"/>
          <w:szCs w:val="18"/>
          <w:color w:val="FFFFFF"/>
        </w:rPr>
        <w:t>rm</w:t>
      </w:r>
      <w:r>
        <w:rPr>
          <w:rFonts w:ascii="PMingLiU" w:cs="PMingLiU" w:eastAsia="PMingLiU" w:hAnsi="PMingLiU"/>
          <w:sz w:val="18"/>
          <w:szCs w:val="18"/>
          <w:color w:val="FFFFFF"/>
        </w:rPr>
        <w:t/>
      </w:r>
      <w:r>
        <w:rPr>
          <w:rFonts w:ascii="Arial" w:cs="Arial" w:eastAsia="Arial" w:hAnsi="Arial"/>
          <w:sz w:val="18"/>
          <w:szCs w:val="18"/>
          <w:color w:val="FFFFFF"/>
        </w:rPr>
        <w:t>msr fil_lag_j</w:t>
      </w:r>
      <w:r>
        <w:rPr>
          <w:rFonts w:ascii="PMingLiU" w:cs="PMingLiU" w:eastAsia="PMingLiU" w:hAnsi="PMingLiU"/>
          <w:sz w:val="18"/>
          <w:szCs w:val="18"/>
          <w:color w:val="FFFFFF"/>
        </w:rPr>
        <w:t/>
      </w:r>
      <w:r>
        <w:rPr>
          <w:rFonts w:ascii="Arial" w:cs="Arial" w:eastAsia="Arial" w:hAnsi="Arial"/>
          <w:sz w:val="18"/>
          <w:szCs w:val="18"/>
          <w:color w:val="FFFFFF"/>
        </w:rPr>
        <w:t>_sbgr</w:t>
      </w:r>
      <w:r>
        <w:rPr>
          <w:rFonts w:ascii="PMingLiU" w:cs="PMingLiU" w:eastAsia="PMingLiU" w:hAnsi="PMingLiU"/>
          <w:sz w:val="18"/>
          <w:szCs w:val="18"/>
          <w:color w:val="FFFFFF"/>
        </w:rPr>
        <w:t/>
      </w:r>
      <w:r>
        <w:rPr>
          <w:rFonts w:ascii="Arial" w:cs="Arial" w:eastAsia="Arial" w:hAnsi="Arial"/>
          <w:sz w:val="18"/>
          <w:szCs w:val="18"/>
          <w:color w:val="FFFFFF"/>
        </w:rPr>
        <w:t>np_argacq</w:t>
      </w:r>
      <w:r>
        <w:rPr>
          <w:rFonts w:ascii="PMingLiU" w:cs="PMingLiU" w:eastAsia="PMingLiU" w:hAnsi="PMingLiU"/>
          <w:sz w:val="18"/>
          <w:szCs w:val="18"/>
          <w:color w:val="FFFFFF"/>
        </w:rPr>
        <w:t/>
      </w:r>
    </w:p>
    <w:p>
      <w:pPr>
        <w:spacing w:after="0" w:line="230" w:lineRule="exact"/>
        <w:rPr>
          <w:sz w:val="20"/>
          <w:szCs w:val="20"/>
          <w:color w:val="auto"/>
        </w:rPr>
      </w:pPr>
    </w:p>
    <w:p>
      <w:pPr>
        <w:ind w:right="300"/>
        <w:spacing w:after="0" w:line="251" w:lineRule="exact"/>
        <w:rPr>
          <w:sz w:val="20"/>
          <w:szCs w:val="20"/>
          <w:color w:val="auto"/>
        </w:rPr>
      </w:pPr>
      <w:r>
        <w:rPr>
          <w:rFonts w:ascii="Arial" w:cs="Arial" w:eastAsia="Arial" w:hAnsi="Arial"/>
          <w:sz w:val="18"/>
          <w:szCs w:val="18"/>
          <w:color w:val="FFFFFF"/>
        </w:rPr>
        <w:t>Ssp</w:t>
      </w:r>
      <w:r>
        <w:rPr>
          <w:rFonts w:ascii="PMingLiU" w:cs="PMingLiU" w:eastAsia="PMingLiU" w:hAnsi="PMingLiU"/>
          <w:sz w:val="18"/>
          <w:szCs w:val="18"/>
          <w:color w:val="FFFFFF"/>
        </w:rPr>
        <w:t/>
      </w:r>
      <w:r>
        <w:rPr>
          <w:rFonts w:ascii="Arial" w:cs="Arial" w:eastAsia="Arial" w:hAnsi="Arial"/>
          <w:sz w:val="18"/>
          <w:szCs w:val="18"/>
          <w:color w:val="FFFFFF"/>
        </w:rPr>
        <w:t>qwqrck</w:t>
      </w:r>
      <w:r>
        <w:rPr>
          <w:rFonts w:ascii="PMingLiU" w:cs="PMingLiU" w:eastAsia="PMingLiU" w:hAnsi="PMingLiU"/>
          <w:sz w:val="18"/>
          <w:szCs w:val="18"/>
          <w:color w:val="FFFFFF"/>
        </w:rPr>
        <w:t/>
      </w:r>
      <w:r>
        <w:rPr>
          <w:rFonts w:ascii="Arial" w:cs="Arial" w:eastAsia="Arial" w:hAnsi="Arial"/>
          <w:sz w:val="18"/>
          <w:szCs w:val="18"/>
          <w:color w:val="FFFFFF"/>
        </w:rPr>
        <w:t>md</w:t>
      </w:r>
      <w:r>
        <w:rPr>
          <w:rFonts w:ascii="PMingLiU" w:cs="PMingLiU" w:eastAsia="PMingLiU" w:hAnsi="PMingLiU"/>
          <w:sz w:val="18"/>
          <w:szCs w:val="18"/>
          <w:color w:val="FFFFFF"/>
        </w:rPr>
        <w:t/>
      </w:r>
      <w:r>
        <w:rPr>
          <w:rFonts w:ascii="Arial" w:cs="Arial" w:eastAsia="Arial" w:hAnsi="Arial"/>
          <w:sz w:val="18"/>
          <w:szCs w:val="18"/>
          <w:color w:val="FFFFFF"/>
        </w:rPr>
        <w:t>ampnmp_rc</w:t>
      </w:r>
      <w:r>
        <w:rPr>
          <w:rFonts w:ascii="PMingLiU" w:cs="PMingLiU" w:eastAsia="PMingLiU" w:hAnsi="PMingLiU"/>
          <w:sz w:val="18"/>
          <w:szCs w:val="18"/>
          <w:color w:val="FFFFFF"/>
        </w:rPr>
        <w:t/>
      </w:r>
      <w:r>
        <w:rPr>
          <w:rFonts w:ascii="Arial" w:cs="Arial" w:eastAsia="Arial" w:hAnsi="Arial"/>
          <w:sz w:val="18"/>
          <w:szCs w:val="18"/>
          <w:color w:val="FFFFFF"/>
        </w:rPr>
        <w:t>emtcpl_lac</w:t>
      </w:r>
      <w:r>
        <w:rPr>
          <w:rFonts w:ascii="PMingLiU" w:cs="PMingLiU" w:eastAsia="PMingLiU" w:hAnsi="PMingLiU"/>
          <w:sz w:val="18"/>
          <w:szCs w:val="18"/>
          <w:color w:val="FFFFFF"/>
        </w:rPr>
        <w:t/>
      </w:r>
      <w:r>
        <w:rPr>
          <w:rFonts w:ascii="Arial" w:cs="Arial" w:eastAsia="Arial" w:hAnsi="Arial"/>
          <w:sz w:val="18"/>
          <w:szCs w:val="18"/>
          <w:color w:val="FFFFFF"/>
        </w:rPr>
        <w:t>glajsbcq</w:t>
      </w:r>
      <w:r>
        <w:rPr>
          <w:rFonts w:ascii="PMingLiU" w:cs="PMingLiU" w:eastAsia="PMingLiU" w:hAnsi="PMingLiU"/>
          <w:sz w:val="18"/>
          <w:szCs w:val="18"/>
          <w:color w:val="FFFFFF"/>
        </w:rPr>
        <w:t/>
      </w:r>
      <w:r>
        <w:rPr>
          <w:rFonts w:ascii="Arial" w:cs="Arial" w:eastAsia="Arial" w:hAnsi="Arial"/>
          <w:sz w:val="18"/>
          <w:szCs w:val="18"/>
          <w:color w:val="FFFFFF"/>
        </w:rPr>
        <w:t>_l</w:t>
      </w:r>
      <w:r>
        <w:rPr>
          <w:rFonts w:ascii="PMingLiU" w:cs="PMingLiU" w:eastAsia="PMingLiU" w:hAnsi="PMingLiU"/>
          <w:sz w:val="18"/>
          <w:szCs w:val="18"/>
          <w:color w:val="FFFFFF"/>
        </w:rPr>
        <w:t/>
      </w:r>
      <w:r>
        <w:rPr>
          <w:rFonts w:ascii="Arial" w:cs="Arial" w:eastAsia="Arial" w:hAnsi="Arial"/>
          <w:sz w:val="18"/>
          <w:szCs w:val="18"/>
          <w:color w:val="FFFFFF"/>
        </w:rPr>
        <w:t xml:space="preserve"> glbcnclbclr</w:t>
      </w:r>
      <w:r>
        <w:rPr>
          <w:rFonts w:ascii="PMingLiU" w:cs="PMingLiU" w:eastAsia="PMingLiU" w:hAnsi="PMingLiU"/>
          <w:sz w:val="18"/>
          <w:szCs w:val="18"/>
          <w:color w:val="FFFFFF"/>
        </w:rPr>
        <w:t/>
      </w:r>
      <w:r>
        <w:rPr>
          <w:rFonts w:ascii="Arial" w:cs="Arial" w:eastAsia="Arial" w:hAnsi="Arial"/>
          <w:sz w:val="18"/>
          <w:szCs w:val="18"/>
          <w:color w:val="FFFFFF"/>
        </w:rPr>
        <w:t>`m_pb</w:t>
      </w:r>
      <w:r>
        <w:rPr>
          <w:rFonts w:ascii="PMingLiU" w:cs="PMingLiU" w:eastAsia="PMingLiU" w:hAnsi="PMingLiU"/>
          <w:sz w:val="18"/>
          <w:szCs w:val="18"/>
          <w:color w:val="FFFFFF"/>
        </w:rPr>
        <w:t/>
      </w:r>
      <w:r>
        <w:rPr>
          <w:rFonts w:ascii="Arial" w:cs="Arial" w:eastAsia="Arial" w:hAnsi="Arial"/>
          <w:sz w:val="18"/>
          <w:szCs w:val="18"/>
          <w:color w:val="FFFFFF"/>
        </w:rPr>
        <w:t>md</w:t>
      </w:r>
      <w:r>
        <w:rPr>
          <w:rFonts w:ascii="PMingLiU" w:cs="PMingLiU" w:eastAsia="PMingLiU" w:hAnsi="PMingLiU"/>
          <w:sz w:val="18"/>
          <w:szCs w:val="18"/>
          <w:color w:val="FFFFFF"/>
        </w:rPr>
        <w:t/>
      </w:r>
      <w:r>
        <w:rPr>
          <w:rFonts w:ascii="Arial" w:cs="Arial" w:eastAsia="Arial" w:hAnsi="Arial"/>
          <w:sz w:val="18"/>
          <w:szCs w:val="18"/>
          <w:color w:val="FFFFFF"/>
        </w:rPr>
        <w:t>bgpcarmpq</w:t>
      </w:r>
      <w:r>
        <w:rPr>
          <w:rFonts w:ascii="PMingLiU" w:cs="PMingLiU" w:eastAsia="PMingLiU" w:hAnsi="PMingLiU"/>
          <w:sz w:val="18"/>
          <w:szCs w:val="18"/>
          <w:color w:val="FFFFFF"/>
        </w:rPr>
        <w:t/>
      </w:r>
      <w:r>
        <w:rPr>
          <w:rFonts w:ascii="Arial" w:cs="Arial" w:eastAsia="Arial" w:hAnsi="Arial"/>
          <w:sz w:val="18"/>
          <w:szCs w:val="18"/>
          <w:color w:val="FFFFFF"/>
        </w:rPr>
        <w:t>_lb</w:t>
      </w:r>
      <w:r>
        <w:rPr>
          <w:rFonts w:ascii="PMingLiU" w:cs="PMingLiU" w:eastAsia="PMingLiU" w:hAnsi="PMingLiU"/>
          <w:sz w:val="18"/>
          <w:szCs w:val="18"/>
          <w:color w:val="FFFFFF"/>
        </w:rPr>
        <w:t/>
      </w:r>
      <w:r>
        <w:rPr>
          <w:rFonts w:ascii="Arial" w:cs="Arial" w:eastAsia="Arial" w:hAnsi="Arial"/>
          <w:sz w:val="18"/>
          <w:szCs w:val="18"/>
          <w:color w:val="FFFFFF"/>
        </w:rPr>
        <w:t>`m_pb</w:t>
      </w:r>
      <w:r>
        <w:rPr>
          <w:rFonts w:ascii="PMingLiU" w:cs="PMingLiU" w:eastAsia="PMingLiU" w:hAnsi="PMingLiU"/>
          <w:sz w:val="18"/>
          <w:szCs w:val="18"/>
          <w:color w:val="FFFFFF"/>
        </w:rPr>
        <w:t/>
      </w:r>
      <w:r>
        <w:rPr>
          <w:rFonts w:ascii="Arial" w:cs="Arial" w:eastAsia="Arial" w:hAnsi="Arial"/>
          <w:sz w:val="18"/>
          <w:szCs w:val="18"/>
          <w:color w:val="FFFFFF"/>
        </w:rPr>
        <w:t>amkkgrrccq</w:t>
      </w:r>
      <w:r>
        <w:rPr>
          <w:rFonts w:ascii="PMingLiU" w:cs="PMingLiU" w:eastAsia="PMingLiU" w:hAnsi="PMingLiU"/>
          <w:sz w:val="18"/>
          <w:szCs w:val="18"/>
          <w:color w:val="FFFFFF"/>
        </w:rPr>
        <w:t/>
      </w:r>
      <w:r>
        <w:rPr>
          <w:rFonts w:ascii="Arial" w:cs="Arial" w:eastAsia="Arial" w:hAnsi="Arial"/>
          <w:sz w:val="18"/>
          <w:szCs w:val="18"/>
          <w:color w:val="FFFFFF"/>
        </w:rPr>
        <w:t xml:space="preserve"> amknmqcb</w:t>
      </w:r>
      <w:r>
        <w:rPr>
          <w:rFonts w:ascii="PMingLiU" w:cs="PMingLiU" w:eastAsia="PMingLiU" w:hAnsi="PMingLiU"/>
          <w:sz w:val="18"/>
          <w:szCs w:val="18"/>
          <w:color w:val="FFFFFF"/>
        </w:rPr>
        <w:t/>
      </w:r>
      <w:r>
        <w:rPr>
          <w:rFonts w:ascii="Arial" w:cs="Arial" w:eastAsia="Arial" w:hAnsi="Arial"/>
          <w:sz w:val="18"/>
          <w:szCs w:val="18"/>
          <w:color w:val="FFFFFF"/>
        </w:rPr>
        <w:t>clrgpcjw</w:t>
      </w:r>
      <w:r>
        <w:rPr>
          <w:rFonts w:ascii="PMingLiU" w:cs="PMingLiU" w:eastAsia="PMingLiU" w:hAnsi="PMingLiU"/>
          <w:sz w:val="18"/>
          <w:szCs w:val="18"/>
          <w:color w:val="FFFFFF"/>
        </w:rPr>
        <w:t/>
      </w:r>
      <w:r>
        <w:rPr>
          <w:rFonts w:ascii="Arial" w:cs="Arial" w:eastAsia="Arial" w:hAnsi="Arial"/>
          <w:sz w:val="18"/>
          <w:szCs w:val="18"/>
          <w:color w:val="FFFFFF"/>
        </w:rPr>
        <w:t>md</w:t>
      </w:r>
      <w:r>
        <w:rPr>
          <w:rFonts w:ascii="PMingLiU" w:cs="PMingLiU" w:eastAsia="PMingLiU" w:hAnsi="PMingLiU"/>
          <w:sz w:val="18"/>
          <w:szCs w:val="18"/>
          <w:color w:val="FFFFFF"/>
        </w:rPr>
        <w:t/>
      </w:r>
      <w:r>
        <w:rPr>
          <w:rFonts w:ascii="Arial" w:cs="Arial" w:eastAsia="Arial" w:hAnsi="Arial"/>
          <w:sz w:val="18"/>
          <w:szCs w:val="18"/>
          <w:color w:val="FFFFFF"/>
        </w:rPr>
        <w:t>glbcnclbclr</w:t>
      </w:r>
      <w:r>
        <w:rPr>
          <w:rFonts w:ascii="PMingLiU" w:cs="PMingLiU" w:eastAsia="PMingLiU" w:hAnsi="PMingLiU"/>
          <w:sz w:val="18"/>
          <w:szCs w:val="18"/>
          <w:color w:val="FFFFFF"/>
        </w:rPr>
        <w:t/>
      </w:r>
      <w:r>
        <w:rPr>
          <w:rFonts w:ascii="Arial" w:cs="Arial" w:eastAsia="Arial" w:hAnsi="Arial"/>
          <w:sz w:val="18"/>
          <w:szCs w:val="18"/>
          <w:color w:val="FFFFFF"/>
        </w:rPr>
        <w:t>bgpcarmpq</w:t>
      </w:r>
      <w:r>
        <w:rPr>
          <w:rFonts w:ascii="PMingLiU" w:cs="PMingLiU" w:eastAsia="PMingLiU" w:hAnsi="PMingLiU"/>
          <w:sz w:val="18"/>
          <w:szCs w:val="18"/>
          <w:color w:val="FFFFFF"/>
        </w:rPr>
        <w:t/>
      </w:r>
      <w:r>
        <w:rPr>
          <w:rFonts w:ascii="Arial" w:cs="Arial" w:eastAsia="Arial" w:hAnsi="Arial"/>
          <w:sz w:val="18"/>
          <w:szCs w:val="18"/>
          <w:color w:val="FFFFFF"/>
        </w:rPr>
        <w:t>_q</w:t>
      </w:r>
      <w:r>
        <w:rPr>
          <w:rFonts w:ascii="PMingLiU" w:cs="PMingLiU" w:eastAsia="PMingLiU" w:hAnsi="PMingLiU"/>
          <w:sz w:val="18"/>
          <w:szCs w:val="18"/>
          <w:color w:val="FFFFFF"/>
        </w:rPr>
        <w:t/>
      </w:r>
      <w:r>
        <w:rPr>
          <w:rFonts w:ascii="Arial" w:cs="Arial" w:eastAsia="Arial" w:hAnsi="Arial"/>
          <w:sz w:val="18"/>
          <w:szCs w:val="18"/>
          <w:color w:val="FFFFFF"/>
        </w:rPr>
        <w:t>ucjj</w:t>
      </w:r>
      <w:r>
        <w:rPr>
          <w:rFonts w:ascii="PMingLiU" w:cs="PMingLiU" w:eastAsia="PMingLiU" w:hAnsi="PMingLiU"/>
          <w:sz w:val="18"/>
          <w:szCs w:val="18"/>
          <w:color w:val="FFFFFF"/>
        </w:rPr>
        <w:t/>
      </w:r>
      <w:r>
        <w:rPr>
          <w:rFonts w:ascii="Arial" w:cs="Arial" w:eastAsia="Arial" w:hAnsi="Arial"/>
          <w:sz w:val="18"/>
          <w:szCs w:val="18"/>
          <w:color w:val="FFFFFF"/>
        </w:rPr>
        <w:t>_q</w:t>
      </w:r>
      <w:r>
        <w:rPr>
          <w:rFonts w:ascii="PMingLiU" w:cs="PMingLiU" w:eastAsia="PMingLiU" w:hAnsi="PMingLiU"/>
          <w:sz w:val="18"/>
          <w:szCs w:val="18"/>
          <w:color w:val="FFFFFF"/>
        </w:rPr>
        <w:t/>
      </w:r>
      <w:r>
        <w:rPr>
          <w:rFonts w:ascii="Arial" w:cs="Arial" w:eastAsia="Arial" w:hAnsi="Arial"/>
          <w:sz w:val="18"/>
          <w:szCs w:val="18"/>
          <w:color w:val="FFFFFF"/>
        </w:rPr>
        <w:t xml:space="preserve"> qrmai</w:t>
      </w:r>
      <w:r>
        <w:rPr>
          <w:rFonts w:ascii="PMingLiU" w:cs="PMingLiU" w:eastAsia="PMingLiU" w:hAnsi="PMingLiU"/>
          <w:sz w:val="18"/>
          <w:szCs w:val="18"/>
          <w:color w:val="FFFFFF"/>
        </w:rPr>
        <w:t/>
      </w:r>
      <w:r>
        <w:rPr>
          <w:rFonts w:ascii="Arial" w:cs="Arial" w:eastAsia="Arial" w:hAnsi="Arial"/>
          <w:sz w:val="18"/>
          <w:szCs w:val="18"/>
          <w:color w:val="FFFFFF"/>
        </w:rPr>
        <w:t>mulcpqfgn</w:t>
      </w:r>
      <w:r>
        <w:rPr>
          <w:rFonts w:ascii="PMingLiU" w:cs="PMingLiU" w:eastAsia="PMingLiU" w:hAnsi="PMingLiU"/>
          <w:sz w:val="18"/>
          <w:szCs w:val="18"/>
          <w:color w:val="FFFFFF"/>
        </w:rPr>
        <w:t/>
      </w:r>
      <w:r>
        <w:rPr>
          <w:rFonts w:ascii="Arial" w:cs="Arial" w:eastAsia="Arial" w:hAnsi="Arial"/>
          <w:sz w:val="18"/>
          <w:szCs w:val="18"/>
          <w:color w:val="FFFFFF"/>
        </w:rPr>
        <w:t>esgbcjglcq</w:t>
      </w:r>
      <w:r>
        <w:rPr>
          <w:rFonts w:ascii="PMingLiU" w:cs="PMingLiU" w:eastAsia="PMingLiU" w:hAnsi="PMingLiU"/>
          <w:sz w:val="18"/>
          <w:szCs w:val="18"/>
          <w:color w:val="FFFFFF"/>
        </w:rPr>
        <w:t/>
      </w:r>
      <w:r>
        <w:rPr>
          <w:rFonts w:ascii="Arial" w:cs="Arial" w:eastAsia="Arial" w:hAnsi="Arial"/>
          <w:sz w:val="18"/>
          <w:szCs w:val="18"/>
          <w:color w:val="FFFFFF"/>
        </w:rPr>
        <w:t>dmp</w:t>
      </w:r>
      <w:r>
        <w:rPr>
          <w:rFonts w:ascii="PMingLiU" w:cs="PMingLiU" w:eastAsia="PMingLiU" w:hAnsi="PMingLiU"/>
          <w:sz w:val="18"/>
          <w:szCs w:val="18"/>
          <w:color w:val="FFFFFF"/>
        </w:rPr>
        <w:t/>
      </w:r>
      <w:r>
        <w:rPr>
          <w:rFonts w:ascii="Arial" w:cs="Arial" w:eastAsia="Arial" w:hAnsi="Arial"/>
          <w:sz w:val="18"/>
          <w:szCs w:val="18"/>
          <w:color w:val="FFFFFF"/>
        </w:rPr>
        <w:t>icw</w:t>
      </w:r>
      <w:r>
        <w:rPr>
          <w:rFonts w:ascii="PMingLiU" w:cs="PMingLiU" w:eastAsia="PMingLiU" w:hAnsi="PMingLiU"/>
          <w:sz w:val="18"/>
          <w:szCs w:val="18"/>
          <w:color w:val="FFFFFF"/>
        </w:rPr>
        <w:t/>
      </w:r>
      <w:r>
        <w:rPr>
          <w:rFonts w:ascii="Arial" w:cs="Arial" w:eastAsia="Arial" w:hAnsi="Arial"/>
          <w:sz w:val="18"/>
          <w:szCs w:val="18"/>
          <w:color w:val="FFFFFF"/>
        </w:rPr>
        <w:t>cknjmwccq</w:t>
      </w:r>
      <w:r>
        <w:rPr>
          <w:rFonts w:ascii="PMingLiU" w:cs="PMingLiU" w:eastAsia="PMingLiU" w:hAnsi="PMingLiU"/>
          <w:sz w:val="18"/>
          <w:szCs w:val="18"/>
          <w:color w:val="FFFFFF"/>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8"/>
        </w:trPr>
        <w:tc>
          <w:tcPr>
            <w:tcW w:w="1180" w:type="dxa"/>
            <w:vAlign w:val="bottom"/>
            <w:shd w:val="clear" w:color="auto" w:fill="BFE119"/>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jc w:val="center"/>
              <w:spacing w:after="0" w:line="194" w:lineRule="exact"/>
              <w:rPr>
                <w:sz w:val="20"/>
                <w:szCs w:val="20"/>
                <w:color w:val="auto"/>
              </w:rPr>
            </w:pPr>
            <w:r>
              <w:rPr>
                <w:rFonts w:ascii="Arial" w:cs="Arial" w:eastAsia="Arial" w:hAnsi="Arial"/>
                <w:sz w:val="16"/>
                <w:szCs w:val="16"/>
                <w:color w:val="FFFFFF"/>
              </w:rPr>
              <w:t>ck`cbbcb</w:t>
            </w:r>
            <w:r>
              <w:rPr>
                <w:rFonts w:ascii="PMingLiU" w:cs="PMingLiU" w:eastAsia="PMingLiU" w:hAnsi="PMingLiU"/>
                <w:sz w:val="16"/>
                <w:szCs w:val="16"/>
                <w:color w:val="FFFFFF"/>
              </w:rPr>
              <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BFE119"/>
          </w:tcPr>
          <w:p>
            <w:pPr>
              <w:jc w:val="center"/>
              <w:spacing w:after="0" w:line="194" w:lineRule="exact"/>
              <w:rPr>
                <w:sz w:val="20"/>
                <w:szCs w:val="20"/>
                <w:color w:val="auto"/>
              </w:rPr>
            </w:pPr>
            <w:r>
              <w:rPr>
                <w:rFonts w:ascii="Arial" w:cs="Arial" w:eastAsia="Arial" w:hAnsi="Arial"/>
                <w:sz w:val="16"/>
                <w:szCs w:val="16"/>
                <w:color w:val="634140"/>
              </w:rPr>
              <w:t>glapc_qcb</w:t>
            </w:r>
            <w:r>
              <w:rPr>
                <w:rFonts w:ascii="PMingLiU" w:cs="PMingLiU" w:eastAsia="PMingLiU" w:hAnsi="PMingLiU"/>
                <w:sz w:val="16"/>
                <w:szCs w:val="16"/>
                <w:color w:val="634140"/>
              </w:rPr>
              <w:t/>
            </w:r>
          </w:p>
        </w:tc>
        <w:tc>
          <w:tcPr>
            <w:tcW w:w="134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rPr>
              <w:t>eclbcp</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p>
        </w:tc>
        <w:tc>
          <w:tcPr>
            <w:tcW w:w="1280" w:type="dxa"/>
            <w:vAlign w:val="bottom"/>
          </w:tcPr>
          <w:p>
            <w:pPr>
              <w:jc w:val="center"/>
              <w:spacing w:after="0" w:line="194" w:lineRule="exact"/>
              <w:rPr>
                <w:sz w:val="20"/>
                <w:szCs w:val="20"/>
                <w:color w:val="auto"/>
              </w:rPr>
            </w:pPr>
            <w:r>
              <w:rPr>
                <w:rFonts w:ascii="Arial" w:cs="Arial" w:eastAsia="Arial" w:hAnsi="Arial"/>
                <w:sz w:val="16"/>
                <w:szCs w:val="16"/>
                <w:color w:val="FFFFFF"/>
                <w:w w:val="97"/>
              </w:rPr>
              <w:t>IWK</w:t>
            </w:r>
            <w:r>
              <w:rPr>
                <w:rFonts w:ascii="PMingLiU" w:cs="PMingLiU" w:eastAsia="PMingLiU" w:hAnsi="PMingLiU"/>
                <w:sz w:val="16"/>
                <w:szCs w:val="16"/>
                <w:color w:val="FFFFFF"/>
                <w:w w:val="97"/>
              </w:rPr>
              <w:t/>
            </w:r>
            <w:r>
              <w:rPr>
                <w:rFonts w:ascii="Arial" w:cs="Arial" w:eastAsia="Arial" w:hAnsi="Arial"/>
                <w:sz w:val="16"/>
                <w:szCs w:val="16"/>
                <w:color w:val="FFFFFF"/>
                <w:w w:val="97"/>
              </w:rPr>
              <w:t>rmngaq</w:t>
            </w:r>
            <w:r>
              <w:rPr>
                <w:rFonts w:ascii="PMingLiU" w:cs="PMingLiU" w:eastAsia="PMingLiU" w:hAnsi="PMingLiU"/>
                <w:sz w:val="16"/>
                <w:szCs w:val="16"/>
                <w:color w:val="FFFFFF"/>
                <w:w w:val="97"/>
              </w:rPr>
              <w:t/>
            </w:r>
          </w:p>
        </w:tc>
        <w:tc>
          <w:tcPr>
            <w:tcW w:w="1180" w:type="dxa"/>
            <w:vAlign w:val="bottom"/>
          </w:tcPr>
          <w:p>
            <w:pPr>
              <w:jc w:val="center"/>
              <w:spacing w:after="0" w:line="194" w:lineRule="exact"/>
              <w:rPr>
                <w:sz w:val="20"/>
                <w:szCs w:val="20"/>
                <w:color w:val="auto"/>
              </w:rPr>
            </w:pPr>
            <w:r>
              <w:rPr>
                <w:rFonts w:ascii="Arial" w:cs="Arial" w:eastAsia="Arial" w:hAnsi="Arial"/>
                <w:sz w:val="16"/>
                <w:szCs w:val="16"/>
                <w:color w:val="FFFFFF"/>
              </w:rPr>
              <w:t>k_l_eckclr</w:t>
            </w:r>
            <w:r>
              <w:rPr>
                <w:rFonts w:ascii="PMingLiU" w:cs="PMingLiU" w:eastAsia="PMingLiU" w:hAnsi="PMingLiU"/>
                <w:sz w:val="16"/>
                <w:szCs w:val="16"/>
                <w:color w:val="FFFFFF"/>
              </w:rPr>
              <w:t/>
            </w:r>
          </w:p>
        </w:tc>
        <w:tc>
          <w:tcPr>
            <w:tcW w:w="0" w:type="dxa"/>
            <w:vAlign w:val="bottom"/>
          </w:tcPr>
          <w:p>
            <w:pPr>
              <w:spacing w:after="0"/>
              <w:rPr>
                <w:sz w:val="1"/>
                <w:szCs w:val="1"/>
                <w:color w:val="auto"/>
              </w:rPr>
            </w:pPr>
          </w:p>
        </w:tc>
      </w:tr>
      <w:tr>
        <w:trPr>
          <w:trHeight w:val="101"/>
        </w:trPr>
        <w:tc>
          <w:tcPr>
            <w:tcW w:w="1180" w:type="dxa"/>
            <w:vAlign w:val="bottom"/>
            <w:vMerge w:val="restart"/>
            <w:shd w:val="clear" w:color="auto" w:fill="BFE119"/>
          </w:tcPr>
          <w:p>
            <w:pPr>
              <w:jc w:val="center"/>
              <w:spacing w:after="0" w:line="194" w:lineRule="exact"/>
              <w:rPr>
                <w:sz w:val="20"/>
                <w:szCs w:val="20"/>
                <w:color w:val="auto"/>
              </w:rPr>
            </w:pPr>
            <w:r>
              <w:rPr>
                <w:rFonts w:ascii="Arial" w:cs="Arial" w:eastAsia="Arial" w:hAnsi="Arial"/>
                <w:sz w:val="16"/>
                <w:szCs w:val="16"/>
                <w:color w:val="634140"/>
              </w:rPr>
              <w:t>k_l_eckclr</w:t>
            </w:r>
            <w:r>
              <w:rPr>
                <w:rFonts w:ascii="PMingLiU" w:cs="PMingLiU" w:eastAsia="PMingLiU" w:hAnsi="PMingLiU"/>
                <w:sz w:val="16"/>
                <w:szCs w:val="16"/>
                <w:color w:val="634140"/>
              </w:rPr>
              <w:t/>
            </w:r>
          </w:p>
        </w:tc>
        <w:tc>
          <w:tcPr>
            <w:tcW w:w="1340" w:type="dxa"/>
            <w:vAlign w:val="bottom"/>
            <w:vMerge w:val="continue"/>
          </w:tcPr>
          <w:p>
            <w:pPr>
              <w:spacing w:after="0"/>
              <w:rPr>
                <w:sz w:val="8"/>
                <w:szCs w:val="8"/>
                <w:color w:val="auto"/>
              </w:rPr>
            </w:pPr>
          </w:p>
        </w:tc>
        <w:tc>
          <w:tcPr>
            <w:tcW w:w="1280" w:type="dxa"/>
            <w:vAlign w:val="bottom"/>
            <w:vMerge w:val="restart"/>
          </w:tcPr>
          <w:p>
            <w:pPr>
              <w:jc w:val="center"/>
              <w:spacing w:after="0" w:line="194" w:lineRule="exact"/>
              <w:rPr>
                <w:sz w:val="20"/>
                <w:szCs w:val="20"/>
                <w:color w:val="auto"/>
              </w:rPr>
            </w:pPr>
            <w:r>
              <w:rPr>
                <w:rFonts w:ascii="Arial" w:cs="Arial" w:eastAsia="Arial" w:hAnsi="Arial"/>
                <w:sz w:val="16"/>
                <w:szCs w:val="16"/>
                <w:color w:val="FFFFFF"/>
                <w:w w:val="95"/>
              </w:rPr>
              <w:t>gl</w:t>
            </w:r>
            <w:r>
              <w:rPr>
                <w:rFonts w:ascii="PMingLiU" w:cs="PMingLiU" w:eastAsia="PMingLiU" w:hAnsi="PMingLiU"/>
                <w:sz w:val="16"/>
                <w:szCs w:val="16"/>
                <w:color w:val="FFFFFF"/>
                <w:w w:val="95"/>
              </w:rPr>
              <w:t/>
            </w:r>
            <w:r>
              <w:rPr>
                <w:rFonts w:ascii="Arial" w:cs="Arial" w:eastAsia="Arial" w:hAnsi="Arial"/>
                <w:sz w:val="16"/>
                <w:szCs w:val="16"/>
                <w:color w:val="FFFFFF"/>
                <w:w w:val="95"/>
              </w:rPr>
              <w:t>`m_pb5</w:t>
            </w:r>
          </w:p>
        </w:tc>
        <w:tc>
          <w:tcPr>
            <w:tcW w:w="1180" w:type="dxa"/>
            <w:vAlign w:val="bottom"/>
            <w:vMerge w:val="restart"/>
          </w:tcPr>
          <w:p>
            <w:pPr>
              <w:jc w:val="center"/>
              <w:ind w:left="19"/>
              <w:spacing w:after="0" w:line="194" w:lineRule="exact"/>
              <w:rPr>
                <w:sz w:val="20"/>
                <w:szCs w:val="20"/>
                <w:color w:val="auto"/>
              </w:rPr>
            </w:pPr>
            <w:r>
              <w:rPr>
                <w:rFonts w:ascii="Arial" w:cs="Arial" w:eastAsia="Arial" w:hAnsi="Arial"/>
                <w:sz w:val="16"/>
                <w:szCs w:val="16"/>
                <w:color w:val="FFFFFF"/>
              </w:rPr>
              <w:t>bcfilcb</w:t>
            </w:r>
            <w:r>
              <w:rPr>
                <w:rFonts w:ascii="PMingLiU" w:cs="PMingLiU" w:eastAsia="PMingLiU" w:hAnsi="PMingLiU"/>
                <w:sz w:val="16"/>
                <w:szCs w:val="16"/>
                <w:color w:val="FFFFFF"/>
              </w:rPr>
              <w:t/>
            </w:r>
            <w:r>
              <w:rPr>
                <w:rFonts w:ascii="Arial" w:cs="Arial" w:eastAsia="Arial" w:hAnsi="Arial"/>
                <w:sz w:val="16"/>
                <w:szCs w:val="16"/>
                <w:color w:val="FFFFFF"/>
              </w:rPr>
              <w:t>kmqr</w:t>
            </w:r>
            <w:r>
              <w:rPr>
                <w:rFonts w:ascii="PMingLiU" w:cs="PMingLiU" w:eastAsia="PMingLiU" w:hAnsi="PMingLiU"/>
                <w:sz w:val="16"/>
                <w:szCs w:val="16"/>
                <w:color w:val="FFFFFF"/>
              </w:rPr>
              <w:t/>
            </w:r>
          </w:p>
        </w:tc>
        <w:tc>
          <w:tcPr>
            <w:tcW w:w="0" w:type="dxa"/>
            <w:vAlign w:val="bottom"/>
          </w:tcPr>
          <w:p>
            <w:pPr>
              <w:spacing w:after="0"/>
              <w:rPr>
                <w:sz w:val="1"/>
                <w:szCs w:val="1"/>
                <w:color w:val="auto"/>
              </w:rPr>
            </w:pPr>
          </w:p>
        </w:tc>
      </w:tr>
      <w:tr>
        <w:trPr>
          <w:trHeight w:val="101"/>
        </w:trPr>
        <w:tc>
          <w:tcPr>
            <w:tcW w:w="1180" w:type="dxa"/>
            <w:vAlign w:val="bottom"/>
            <w:vMerge w:val="continue"/>
            <w:shd w:val="clear" w:color="auto" w:fill="BFE119"/>
          </w:tcPr>
          <w:p>
            <w:pPr>
              <w:spacing w:after="0"/>
              <w:rPr>
                <w:sz w:val="8"/>
                <w:szCs w:val="8"/>
                <w:color w:val="auto"/>
              </w:rPr>
            </w:pPr>
          </w:p>
        </w:tc>
        <w:tc>
          <w:tcPr>
            <w:tcW w:w="134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rPr>
              <w:t>crflga_jjw</w:t>
            </w:r>
            <w:r>
              <w:rPr>
                <w:rFonts w:ascii="PMingLiU" w:cs="PMingLiU" w:eastAsia="PMingLiU" w:hAnsi="PMingLiU"/>
                <w:sz w:val="16"/>
                <w:szCs w:val="16"/>
                <w:color w:val="634140"/>
              </w:rPr>
              <w:t/>
            </w:r>
          </w:p>
        </w:tc>
        <w:tc>
          <w:tcPr>
            <w:tcW w:w="12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restart"/>
            <w:shd w:val="clear" w:color="auto" w:fill="BFE119"/>
          </w:tcPr>
          <w:p>
            <w:pPr>
              <w:jc w:val="center"/>
              <w:spacing w:after="0" w:line="194" w:lineRule="exact"/>
              <w:rPr>
                <w:sz w:val="20"/>
                <w:szCs w:val="20"/>
                <w:color w:val="auto"/>
              </w:rPr>
            </w:pP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`m_pb</w:t>
            </w:r>
            <w:r>
              <w:rPr>
                <w:rFonts w:ascii="PMingLiU" w:cs="PMingLiU" w:eastAsia="PMingLiU" w:hAnsi="PMingLiU"/>
                <w:sz w:val="16"/>
                <w:szCs w:val="16"/>
                <w:color w:val="634140"/>
              </w:rPr>
              <w:t/>
            </w:r>
          </w:p>
        </w:tc>
        <w:tc>
          <w:tcPr>
            <w:tcW w:w="1340" w:type="dxa"/>
            <w:vAlign w:val="bottom"/>
            <w:vMerge w:val="continue"/>
          </w:tcPr>
          <w:p>
            <w:pPr>
              <w:spacing w:after="0"/>
              <w:rPr>
                <w:sz w:val="8"/>
                <w:szCs w:val="8"/>
                <w:color w:val="auto"/>
              </w:rPr>
            </w:pPr>
          </w:p>
        </w:tc>
        <w:tc>
          <w:tcPr>
            <w:tcW w:w="1280" w:type="dxa"/>
            <w:vAlign w:val="bottom"/>
            <w:vMerge w:val="restart"/>
          </w:tcPr>
          <w:p>
            <w:pPr>
              <w:jc w:val="center"/>
              <w:spacing w:after="0" w:line="194" w:lineRule="exact"/>
              <w:rPr>
                <w:sz w:val="20"/>
                <w:szCs w:val="20"/>
                <w:color w:val="auto"/>
              </w:rPr>
            </w:pPr>
            <w:r>
              <w:rPr>
                <w:rFonts w:ascii="Arial" w:cs="Arial" w:eastAsia="Arial" w:hAnsi="Arial"/>
                <w:sz w:val="16"/>
                <w:szCs w:val="16"/>
                <w:color w:val="FFFFFF"/>
              </w:rPr>
              <w:t>amkkgrrcc</w:t>
            </w:r>
            <w:r>
              <w:rPr>
                <w:rFonts w:ascii="PMingLiU" w:cs="PMingLiU" w:eastAsia="PMingLiU" w:hAnsi="PMingLiU"/>
                <w:sz w:val="16"/>
                <w:szCs w:val="16"/>
                <w:color w:val="FFFFFF"/>
              </w:rPr>
              <w:t/>
            </w:r>
          </w:p>
        </w:tc>
        <w:tc>
          <w:tcPr>
            <w:tcW w:w="1180" w:type="dxa"/>
            <w:vAlign w:val="bottom"/>
            <w:vMerge w:val="restart"/>
          </w:tcPr>
          <w:p>
            <w:pPr>
              <w:jc w:val="center"/>
              <w:ind w:left="19"/>
              <w:spacing w:after="0" w:line="194" w:lineRule="exact"/>
              <w:rPr>
                <w:sz w:val="20"/>
                <w:szCs w:val="20"/>
                <w:color w:val="auto"/>
              </w:rPr>
            </w:pPr>
            <w:r>
              <w:rPr>
                <w:rFonts w:ascii="Arial" w:cs="Arial" w:eastAsia="Arial" w:hAnsi="Arial"/>
                <w:sz w:val="16"/>
                <w:szCs w:val="16"/>
                <w:color w:val="FFFFFF"/>
              </w:rPr>
              <w:t>k_rcpg_j</w:t>
            </w:r>
            <w:r>
              <w:rPr>
                <w:rFonts w:ascii="PMingLiU" w:cs="PMingLiU" w:eastAsia="PMingLiU" w:hAnsi="PMingLiU"/>
                <w:sz w:val="16"/>
                <w:szCs w:val="16"/>
                <w:color w:val="FFFFFF"/>
              </w:rPr>
              <w:t/>
            </w:r>
            <w:r>
              <w:rPr>
                <w:rFonts w:ascii="Arial" w:cs="Arial" w:eastAsia="Arial" w:hAnsi="Arial"/>
                <w:sz w:val="16"/>
                <w:szCs w:val="16"/>
                <w:color w:val="FFFFFF"/>
              </w:rPr>
              <w:t>IWK</w:t>
            </w:r>
            <w:r>
              <w:rPr>
                <w:rFonts w:ascii="PMingLiU" w:cs="PMingLiU" w:eastAsia="PMingLiU" w:hAnsi="PMingLiU"/>
                <w:sz w:val="16"/>
                <w:szCs w:val="16"/>
                <w:color w:val="FFFFFF"/>
              </w:rPr>
              <w:t/>
            </w:r>
          </w:p>
        </w:tc>
        <w:tc>
          <w:tcPr>
            <w:tcW w:w="0" w:type="dxa"/>
            <w:vAlign w:val="bottom"/>
          </w:tcPr>
          <w:p>
            <w:pPr>
              <w:spacing w:after="0"/>
              <w:rPr>
                <w:sz w:val="1"/>
                <w:szCs w:val="1"/>
                <w:color w:val="auto"/>
              </w:rPr>
            </w:pPr>
          </w:p>
        </w:tc>
      </w:tr>
      <w:tr>
        <w:trPr>
          <w:trHeight w:val="101"/>
        </w:trPr>
        <w:tc>
          <w:tcPr>
            <w:tcW w:w="1180" w:type="dxa"/>
            <w:vAlign w:val="bottom"/>
            <w:vMerge w:val="continue"/>
            <w:shd w:val="clear" w:color="auto" w:fill="BFE119"/>
          </w:tcPr>
          <w:p>
            <w:pPr>
              <w:spacing w:after="0"/>
              <w:rPr>
                <w:sz w:val="8"/>
                <w:szCs w:val="8"/>
                <w:color w:val="auto"/>
              </w:rPr>
            </w:pPr>
          </w:p>
        </w:tc>
        <w:tc>
          <w:tcPr>
            <w:tcW w:w="134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w w:val="96"/>
              </w:rPr>
              <w:t>bgtcpqc</w:t>
            </w:r>
            <w:r>
              <w:rPr>
                <w:rFonts w:ascii="PMingLiU" w:cs="PMingLiU" w:eastAsia="PMingLiU" w:hAnsi="PMingLiU"/>
                <w:sz w:val="16"/>
                <w:szCs w:val="16"/>
                <w:color w:val="634140"/>
                <w:w w:val="96"/>
              </w:rPr>
              <w:t/>
            </w:r>
            <w:r>
              <w:rPr>
                <w:rFonts w:ascii="Arial" w:cs="Arial" w:eastAsia="Arial" w:hAnsi="Arial"/>
                <w:sz w:val="16"/>
                <w:szCs w:val="16"/>
                <w:color w:val="634140"/>
                <w:w w:val="96"/>
              </w:rPr>
              <w:t>`m_pb</w:t>
            </w:r>
          </w:p>
        </w:tc>
        <w:tc>
          <w:tcPr>
            <w:tcW w:w="12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restart"/>
            <w:shd w:val="clear" w:color="auto" w:fill="BFE119"/>
          </w:tcPr>
          <w:p>
            <w:pPr>
              <w:jc w:val="center"/>
              <w:spacing w:after="0" w:line="194" w:lineRule="exact"/>
              <w:rPr>
                <w:sz w:val="20"/>
                <w:szCs w:val="20"/>
                <w:color w:val="auto"/>
              </w:rPr>
            </w:pPr>
            <w:r>
              <w:rPr>
                <w:rFonts w:ascii="Arial" w:cs="Arial" w:eastAsia="Arial" w:hAnsi="Arial"/>
                <w:sz w:val="16"/>
                <w:szCs w:val="16"/>
                <w:color w:val="634140"/>
                <w:w w:val="91"/>
              </w:rPr>
              <w:t>IWK</w:t>
            </w:r>
            <w:r>
              <w:rPr>
                <w:rFonts w:ascii="PMingLiU" w:cs="PMingLiU" w:eastAsia="PMingLiU" w:hAnsi="PMingLiU"/>
                <w:sz w:val="16"/>
                <w:szCs w:val="16"/>
                <w:color w:val="634140"/>
                <w:w w:val="91"/>
              </w:rPr>
              <w:t/>
            </w:r>
            <w:r>
              <w:rPr>
                <w:rFonts w:ascii="Arial" w:cs="Arial" w:eastAsia="Arial" w:hAnsi="Arial"/>
                <w:sz w:val="16"/>
                <w:szCs w:val="16"/>
                <w:color w:val="634140"/>
                <w:w w:val="91"/>
              </w:rPr>
              <w:t>jgrcp_aw</w:t>
            </w:r>
          </w:p>
        </w:tc>
        <w:tc>
          <w:tcPr>
            <w:tcW w:w="1340" w:type="dxa"/>
            <w:vAlign w:val="bottom"/>
            <w:vMerge w:val="continue"/>
          </w:tcPr>
          <w:p>
            <w:pPr>
              <w:spacing w:after="0"/>
              <w:rPr>
                <w:sz w:val="8"/>
                <w:szCs w:val="8"/>
                <w:color w:val="auto"/>
              </w:rPr>
            </w:pPr>
          </w:p>
        </w:tc>
        <w:tc>
          <w:tcPr>
            <w:tcW w:w="1280" w:type="dxa"/>
            <w:vAlign w:val="bottom"/>
            <w:vMerge w:val="restart"/>
          </w:tcPr>
          <w:p>
            <w:pPr>
              <w:jc w:val="center"/>
              <w:spacing w:after="0" w:line="194" w:lineRule="exact"/>
              <w:rPr>
                <w:sz w:val="20"/>
                <w:szCs w:val="20"/>
                <w:color w:val="auto"/>
              </w:rPr>
            </w:pPr>
            <w:r>
              <w:rPr>
                <w:rFonts w:ascii="Arial" w:cs="Arial" w:eastAsia="Arial" w:hAnsi="Arial"/>
                <w:sz w:val="16"/>
                <w:szCs w:val="16"/>
                <w:color w:val="FFFFFF"/>
              </w:rPr>
              <w:t>_eclb_q</w:t>
            </w:r>
            <w:r>
              <w:rPr>
                <w:rFonts w:ascii="PMingLiU" w:cs="PMingLiU" w:eastAsia="PMingLiU" w:hAnsi="PMingLiU"/>
                <w:sz w:val="16"/>
                <w:szCs w:val="16"/>
                <w:color w:val="FFFFFF"/>
              </w:rPr>
              <w:t/>
            </w:r>
            <w:r>
              <w:rPr>
                <w:rFonts w:ascii="Arial" w:cs="Arial" w:eastAsia="Arial" w:hAnsi="Arial"/>
                <w:sz w:val="16"/>
                <w:szCs w:val="16"/>
                <w:color w:val="FFFFFF"/>
              </w:rPr>
              <w:t>_lb</w:t>
            </w:r>
            <w:r>
              <w:rPr>
                <w:rFonts w:ascii="PMingLiU" w:cs="PMingLiU" w:eastAsia="PMingLiU" w:hAnsi="PMingLiU"/>
                <w:sz w:val="16"/>
                <w:szCs w:val="16"/>
                <w:color w:val="FFFFFF"/>
              </w:rPr>
              <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FFFFFF"/>
                <w:w w:val="81"/>
              </w:rPr>
              <w:t>rmngaq</w:t>
            </w:r>
          </w:p>
        </w:tc>
        <w:tc>
          <w:tcPr>
            <w:tcW w:w="0" w:type="dxa"/>
            <w:vAlign w:val="bottom"/>
          </w:tcPr>
          <w:p>
            <w:pPr>
              <w:spacing w:after="0"/>
              <w:rPr>
                <w:sz w:val="1"/>
                <w:szCs w:val="1"/>
                <w:color w:val="auto"/>
              </w:rPr>
            </w:pPr>
          </w:p>
        </w:tc>
      </w:tr>
      <w:tr>
        <w:trPr>
          <w:trHeight w:val="101"/>
        </w:trPr>
        <w:tc>
          <w:tcPr>
            <w:tcW w:w="1180" w:type="dxa"/>
            <w:vAlign w:val="bottom"/>
            <w:vMerge w:val="continue"/>
            <w:shd w:val="clear" w:color="auto" w:fill="BFE119"/>
          </w:tcPr>
          <w:p>
            <w:pPr>
              <w:spacing w:after="0"/>
              <w:rPr>
                <w:sz w:val="8"/>
                <w:szCs w:val="8"/>
                <w:color w:val="auto"/>
              </w:rPr>
            </w:pPr>
          </w:p>
        </w:tc>
        <w:tc>
          <w:tcPr>
            <w:tcW w:w="13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BFE119"/>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FFFFFF"/>
                <w:w w:val="96"/>
              </w:rPr>
              <w:t>af_prcpq</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180" w:type="dxa"/>
            <w:vAlign w:val="bottom"/>
            <w:shd w:val="clear" w:color="auto" w:fill="BFE119"/>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rPr>
              <w:t>qrpclerfclgle</w:t>
            </w:r>
            <w:r>
              <w:rPr>
                <w:rFonts w:ascii="PMingLiU" w:cs="PMingLiU" w:eastAsia="PMingLiU" w:hAnsi="PMingLiU"/>
                <w:sz w:val="16"/>
                <w:szCs w:val="16"/>
                <w:color w:val="634140"/>
              </w:rPr>
              <w:t/>
            </w:r>
          </w:p>
        </w:tc>
        <w:tc>
          <w:tcPr>
            <w:tcW w:w="1180" w:type="dxa"/>
            <w:vAlign w:val="bottom"/>
            <w:vMerge w:val="restart"/>
          </w:tcPr>
          <w:p>
            <w:pPr>
              <w:jc w:val="center"/>
              <w:ind w:left="19"/>
              <w:spacing w:after="0" w:line="194" w:lineRule="exact"/>
              <w:rPr>
                <w:sz w:val="20"/>
                <w:szCs w:val="20"/>
                <w:color w:val="auto"/>
              </w:rPr>
            </w:pPr>
            <w:r>
              <w:rPr>
                <w:rFonts w:ascii="Arial" w:cs="Arial" w:eastAsia="Arial" w:hAnsi="Arial"/>
                <w:sz w:val="16"/>
                <w:szCs w:val="16"/>
                <w:color w:val="634140"/>
              </w:rPr>
              <w:t>cvcasrgtc</w:t>
            </w:r>
            <w:r>
              <w:rPr>
                <w:rFonts w:ascii="PMingLiU" w:cs="PMingLiU" w:eastAsia="PMingLiU" w:hAnsi="PMingLiU"/>
                <w:sz w:val="16"/>
                <w:szCs w:val="16"/>
                <w:color w:val="634140"/>
              </w:rPr>
              <w:t/>
            </w:r>
          </w:p>
        </w:tc>
        <w:tc>
          <w:tcPr>
            <w:tcW w:w="0" w:type="dxa"/>
            <w:vAlign w:val="bottom"/>
          </w:tcPr>
          <w:p>
            <w:pPr>
              <w:spacing w:after="0"/>
              <w:rPr>
                <w:sz w:val="1"/>
                <w:szCs w:val="1"/>
                <w:color w:val="auto"/>
              </w:rPr>
            </w:pPr>
          </w:p>
        </w:tc>
      </w:tr>
      <w:tr>
        <w:trPr>
          <w:trHeight w:val="614"/>
        </w:trPr>
        <w:tc>
          <w:tcPr>
            <w:tcW w:w="1180" w:type="dxa"/>
            <w:vAlign w:val="bottom"/>
            <w:vMerge w:val="restart"/>
          </w:tcPr>
          <w:p>
            <w:pPr>
              <w:jc w:val="center"/>
              <w:spacing w:after="0" w:line="194" w:lineRule="exact"/>
              <w:rPr>
                <w:sz w:val="20"/>
                <w:szCs w:val="20"/>
                <w:color w:val="auto"/>
              </w:rPr>
            </w:pPr>
            <w:r>
              <w:rPr>
                <w:rFonts w:ascii="Arial" w:cs="Arial" w:eastAsia="Arial" w:hAnsi="Arial"/>
                <w:sz w:val="16"/>
                <w:szCs w:val="16"/>
                <w:color w:val="FFFFFF"/>
              </w:rPr>
              <w:t>IWK</w:t>
            </w:r>
            <w:r>
              <w:rPr>
                <w:rFonts w:ascii="PMingLiU" w:cs="PMingLiU" w:eastAsia="PMingLiU" w:hAnsi="PMingLiU"/>
                <w:sz w:val="16"/>
                <w:szCs w:val="16"/>
                <w:color w:val="FFFFFF"/>
              </w:rPr>
              <w:t/>
            </w:r>
          </w:p>
        </w:tc>
        <w:tc>
          <w:tcPr>
            <w:tcW w:w="1340" w:type="dxa"/>
            <w:vAlign w:val="bottom"/>
            <w:vMerge w:val="restart"/>
          </w:tcPr>
          <w:p>
            <w:pPr>
              <w:jc w:val="center"/>
              <w:spacing w:after="0" w:line="194" w:lineRule="exact"/>
              <w:rPr>
                <w:sz w:val="20"/>
                <w:szCs w:val="20"/>
                <w:color w:val="auto"/>
              </w:rPr>
            </w:pPr>
            <w:r>
              <w:rPr>
                <w:rFonts w:ascii="Arial" w:cs="Arial" w:eastAsia="Arial" w:hAnsi="Arial"/>
                <w:sz w:val="16"/>
                <w:szCs w:val="16"/>
                <w:color w:val="FFFFFF"/>
              </w:rPr>
              <w:t>qrpclerfclgle</w:t>
            </w:r>
            <w:r>
              <w:rPr>
                <w:rFonts w:ascii="PMingLiU" w:cs="PMingLiU" w:eastAsia="PMingLiU" w:hAnsi="PMingLiU"/>
                <w:sz w:val="16"/>
                <w:szCs w:val="16"/>
                <w:color w:val="FFFFFF"/>
              </w:rPr>
              <w:t/>
            </w:r>
          </w:p>
        </w:tc>
        <w:tc>
          <w:tcPr>
            <w:tcW w:w="128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8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rPr>
              <w:t>cle_eckclr</w:t>
            </w:r>
            <w:r>
              <w:rPr>
                <w:rFonts w:ascii="PMingLiU" w:cs="PMingLiU" w:eastAsia="PMingLiU" w:hAnsi="PMingLiU"/>
                <w:sz w:val="16"/>
                <w:szCs w:val="16"/>
                <w:color w:val="634140"/>
              </w:rPr>
              <w:t/>
            </w:r>
          </w:p>
        </w:tc>
        <w:tc>
          <w:tcPr>
            <w:tcW w:w="1180" w:type="dxa"/>
            <w:vAlign w:val="bottom"/>
            <w:vMerge w:val="restart"/>
          </w:tcPr>
          <w:p>
            <w:pPr>
              <w:jc w:val="center"/>
              <w:ind w:left="19"/>
              <w:spacing w:after="0" w:line="194" w:lineRule="exact"/>
              <w:rPr>
                <w:sz w:val="20"/>
                <w:szCs w:val="20"/>
                <w:color w:val="auto"/>
              </w:rPr>
            </w:pPr>
            <w:r>
              <w:rPr>
                <w:rFonts w:ascii="Arial" w:cs="Arial" w:eastAsia="Arial" w:hAnsi="Arial"/>
                <w:sz w:val="16"/>
                <w:szCs w:val="16"/>
                <w:color w:val="634140"/>
              </w:rPr>
              <w:t>amknclq_rgml</w:t>
            </w:r>
            <w:r>
              <w:rPr>
                <w:rFonts w:ascii="PMingLiU" w:cs="PMingLiU" w:eastAsia="PMingLiU" w:hAnsi="PMingLiU"/>
                <w:sz w:val="16"/>
                <w:szCs w:val="16"/>
                <w:color w:val="634140"/>
              </w:rPr>
              <w:t/>
            </w:r>
          </w:p>
        </w:tc>
        <w:tc>
          <w:tcPr>
            <w:tcW w:w="0" w:type="dxa"/>
            <w:vAlign w:val="bottom"/>
          </w:tcPr>
          <w:p>
            <w:pPr>
              <w:spacing w:after="0"/>
              <w:rPr>
                <w:sz w:val="1"/>
                <w:szCs w:val="1"/>
                <w:color w:val="auto"/>
              </w:rPr>
            </w:pPr>
          </w:p>
        </w:tc>
      </w:tr>
      <w:tr>
        <w:trPr>
          <w:trHeight w:val="101"/>
        </w:trPr>
        <w:tc>
          <w:tcPr>
            <w:tcW w:w="1180" w:type="dxa"/>
            <w:vAlign w:val="bottom"/>
            <w:vMerge w:val="restart"/>
          </w:tcPr>
          <w:p>
            <w:pPr>
              <w:jc w:val="center"/>
              <w:spacing w:after="0" w:line="194" w:lineRule="exact"/>
              <w:rPr>
                <w:sz w:val="20"/>
                <w:szCs w:val="20"/>
                <w:color w:val="auto"/>
              </w:rPr>
            </w:pPr>
            <w:r>
              <w:rPr>
                <w:rFonts w:ascii="Arial" w:cs="Arial" w:eastAsia="Arial" w:hAnsi="Arial"/>
                <w:sz w:val="16"/>
                <w:szCs w:val="16"/>
                <w:color w:val="FFFFFF"/>
              </w:rPr>
              <w:t>rp_lqn_pclr</w:t>
            </w:r>
            <w:r>
              <w:rPr>
                <w:rFonts w:ascii="PMingLiU" w:cs="PMingLiU" w:eastAsia="PMingLiU" w:hAnsi="PMingLiU"/>
                <w:sz w:val="16"/>
                <w:szCs w:val="16"/>
                <w:color w:val="FFFFFF"/>
              </w:rPr>
              <w:t/>
            </w:r>
          </w:p>
        </w:tc>
        <w:tc>
          <w:tcPr>
            <w:tcW w:w="1340" w:type="dxa"/>
            <w:vAlign w:val="bottom"/>
            <w:vMerge w:val="restart"/>
          </w:tcPr>
          <w:p>
            <w:pPr>
              <w:jc w:val="center"/>
              <w:spacing w:after="0" w:line="194" w:lineRule="exact"/>
              <w:rPr>
                <w:sz w:val="20"/>
                <w:szCs w:val="20"/>
                <w:color w:val="auto"/>
              </w:rPr>
            </w:pPr>
            <w:r>
              <w:rPr>
                <w:rFonts w:ascii="Arial" w:cs="Arial" w:eastAsia="Arial" w:hAnsi="Arial"/>
                <w:sz w:val="16"/>
                <w:szCs w:val="16"/>
                <w:color w:val="FFFFFF"/>
              </w:rPr>
              <w:t>amknjg_lac</w:t>
            </w:r>
            <w:r>
              <w:rPr>
                <w:rFonts w:ascii="PMingLiU" w:cs="PMingLiU" w:eastAsia="PMingLiU" w:hAnsi="PMingLiU"/>
                <w:sz w:val="16"/>
                <w:szCs w:val="16"/>
                <w:color w:val="FFFFFF"/>
              </w:rPr>
              <w:t/>
            </w:r>
          </w:p>
        </w:tc>
        <w:tc>
          <w:tcPr>
            <w:tcW w:w="12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8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rPr>
              <w:t>ugrf</w:t>
            </w:r>
            <w:r>
              <w:rPr>
                <w:rFonts w:ascii="PMingLiU" w:cs="PMingLiU" w:eastAsia="PMingLiU" w:hAnsi="PMingLiU"/>
                <w:sz w:val="16"/>
                <w:szCs w:val="16"/>
                <w:color w:val="634140"/>
              </w:rPr>
              <w:t/>
            </w:r>
            <w:r>
              <w:rPr>
                <w:rFonts w:ascii="Arial" w:cs="Arial" w:eastAsia="Arial" w:hAnsi="Arial"/>
                <w:sz w:val="16"/>
                <w:szCs w:val="16"/>
                <w:color w:val="634140"/>
              </w:rPr>
              <w:t>glbsqrpw</w:t>
            </w:r>
            <w:r>
              <w:rPr>
                <w:rFonts w:ascii="PMingLiU" w:cs="PMingLiU" w:eastAsia="PMingLiU" w:hAnsi="PMingLiU"/>
                <w:sz w:val="16"/>
                <w:szCs w:val="16"/>
                <w:color w:val="634140"/>
              </w:rPr>
              <w:t/>
            </w:r>
          </w:p>
        </w:tc>
        <w:tc>
          <w:tcPr>
            <w:tcW w:w="1180" w:type="dxa"/>
            <w:vAlign w:val="bottom"/>
            <w:vMerge w:val="restart"/>
          </w:tcPr>
          <w:p>
            <w:pPr>
              <w:jc w:val="center"/>
              <w:ind w:left="19"/>
              <w:spacing w:after="0" w:line="194" w:lineRule="exact"/>
              <w:rPr>
                <w:sz w:val="20"/>
                <w:szCs w:val="20"/>
                <w:color w:val="auto"/>
              </w:rPr>
            </w:pPr>
            <w:r>
              <w:rPr>
                <w:rFonts w:ascii="Arial" w:cs="Arial" w:eastAsia="Arial" w:hAnsi="Arial"/>
                <w:sz w:val="16"/>
                <w:szCs w:val="16"/>
                <w:color w:val="634140"/>
              </w:rPr>
              <w:t>rgcb</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p>
        </w:tc>
        <w:tc>
          <w:tcPr>
            <w:tcW w:w="0" w:type="dxa"/>
            <w:vAlign w:val="bottom"/>
          </w:tcPr>
          <w:p>
            <w:pPr>
              <w:spacing w:after="0"/>
              <w:rPr>
                <w:sz w:val="1"/>
                <w:szCs w:val="1"/>
                <w:color w:val="auto"/>
              </w:rPr>
            </w:pPr>
          </w:p>
        </w:tc>
      </w:tr>
      <w:tr>
        <w:trPr>
          <w:trHeight w:val="101"/>
        </w:trPr>
        <w:tc>
          <w:tcPr>
            <w:tcW w:w="1180" w:type="dxa"/>
            <w:vAlign w:val="bottom"/>
            <w:vMerge w:val="restart"/>
          </w:tcPr>
          <w:p>
            <w:pPr>
              <w:jc w:val="center"/>
              <w:spacing w:after="0" w:line="194" w:lineRule="exact"/>
              <w:rPr>
                <w:sz w:val="20"/>
                <w:szCs w:val="20"/>
                <w:color w:val="auto"/>
              </w:rPr>
            </w:pPr>
            <w:r>
              <w:rPr>
                <w:rFonts w:ascii="Arial" w:cs="Arial" w:eastAsia="Arial" w:hAnsi="Arial"/>
                <w:sz w:val="16"/>
                <w:szCs w:val="16"/>
                <w:color w:val="FFFFFF"/>
              </w:rPr>
              <w:t>k_l_eckclr</w:t>
            </w:r>
            <w:r>
              <w:rPr>
                <w:rFonts w:ascii="PMingLiU" w:cs="PMingLiU" w:eastAsia="PMingLiU" w:hAnsi="PMingLiU"/>
                <w:sz w:val="16"/>
                <w:szCs w:val="16"/>
                <w:color w:val="FFFFFF"/>
              </w:rPr>
              <w:t/>
            </w:r>
          </w:p>
        </w:tc>
        <w:tc>
          <w:tcPr>
            <w:tcW w:w="1340" w:type="dxa"/>
            <w:vAlign w:val="bottom"/>
            <w:vMerge w:val="restart"/>
          </w:tcPr>
          <w:p>
            <w:pPr>
              <w:jc w:val="center"/>
              <w:spacing w:after="0" w:line="194" w:lineRule="exact"/>
              <w:rPr>
                <w:sz w:val="20"/>
                <w:szCs w:val="20"/>
                <w:color w:val="auto"/>
              </w:rPr>
            </w:pPr>
            <w:r>
              <w:rPr>
                <w:rFonts w:ascii="Arial" w:cs="Arial" w:eastAsia="Arial" w:hAnsi="Arial"/>
                <w:sz w:val="16"/>
                <w:szCs w:val="16"/>
                <w:color w:val="FFFFFF"/>
              </w:rPr>
              <w:t>_lb</w:t>
            </w:r>
            <w:r>
              <w:rPr>
                <w:rFonts w:ascii="PMingLiU" w:cs="PMingLiU" w:eastAsia="PMingLiU" w:hAnsi="PMingLiU"/>
                <w:sz w:val="16"/>
                <w:szCs w:val="16"/>
                <w:color w:val="FFFFFF"/>
              </w:rPr>
              <w:t/>
            </w:r>
            <w:r>
              <w:rPr>
                <w:rFonts w:ascii="Arial" w:cs="Arial" w:eastAsia="Arial" w:hAnsi="Arial"/>
                <w:sz w:val="16"/>
                <w:szCs w:val="16"/>
                <w:color w:val="FFFFFF"/>
              </w:rPr>
              <w:t>_sbgrgle</w:t>
            </w:r>
            <w:r>
              <w:rPr>
                <w:rFonts w:ascii="PMingLiU" w:cs="PMingLiU" w:eastAsia="PMingLiU" w:hAnsi="PMingLiU"/>
                <w:sz w:val="16"/>
                <w:szCs w:val="16"/>
                <w:color w:val="FFFFFF"/>
              </w:rPr>
              <w:t/>
            </w:r>
          </w:p>
        </w:tc>
        <w:tc>
          <w:tcPr>
            <w:tcW w:w="12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8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rPr>
              <w:t>_btma_aw</w:t>
            </w:r>
            <w:r>
              <w:rPr>
                <w:rFonts w:ascii="PMingLiU" w:cs="PMingLiU" w:eastAsia="PMingLiU" w:hAnsi="PMingLiU"/>
                <w:sz w:val="16"/>
                <w:szCs w:val="16"/>
                <w:color w:val="634140"/>
              </w:rPr>
              <w:t/>
            </w:r>
          </w:p>
        </w:tc>
        <w:tc>
          <w:tcPr>
            <w:tcW w:w="1180" w:type="dxa"/>
            <w:vAlign w:val="bottom"/>
            <w:vMerge w:val="restart"/>
          </w:tcPr>
          <w:p>
            <w:pPr>
              <w:jc w:val="center"/>
              <w:spacing w:after="0" w:line="194" w:lineRule="exact"/>
              <w:rPr>
                <w:sz w:val="20"/>
                <w:szCs w:val="20"/>
                <w:color w:val="auto"/>
              </w:rPr>
            </w:pPr>
            <w:r>
              <w:rPr>
                <w:rFonts w:ascii="Arial" w:cs="Arial" w:eastAsia="Arial" w:hAnsi="Arial"/>
                <w:sz w:val="16"/>
                <w:szCs w:val="16"/>
                <w:color w:val="634140"/>
              </w:rPr>
              <w:t>ncpdmpk_lac</w:t>
            </w:r>
            <w:r>
              <w:rPr>
                <w:rFonts w:ascii="PMingLiU" w:cs="PMingLiU" w:eastAsia="PMingLiU" w:hAnsi="PMingLiU"/>
                <w:sz w:val="16"/>
                <w:szCs w:val="16"/>
                <w:color w:val="634140"/>
              </w:rPr>
              <w:t/>
            </w:r>
          </w:p>
        </w:tc>
        <w:tc>
          <w:tcPr>
            <w:tcW w:w="0" w:type="dxa"/>
            <w:vAlign w:val="bottom"/>
          </w:tcPr>
          <w:p>
            <w:pPr>
              <w:spacing w:after="0"/>
              <w:rPr>
                <w:sz w:val="1"/>
                <w:szCs w:val="1"/>
                <w:color w:val="auto"/>
              </w:rPr>
            </w:pPr>
          </w:p>
        </w:tc>
      </w:tr>
      <w:tr>
        <w:trPr>
          <w:trHeight w:val="101"/>
        </w:trPr>
        <w:tc>
          <w:tcPr>
            <w:tcW w:w="1180" w:type="dxa"/>
            <w:vAlign w:val="bottom"/>
            <w:vMerge w:val="restart"/>
          </w:tcPr>
          <w:p>
            <w:pPr>
              <w:jc w:val="center"/>
              <w:spacing w:after="0"/>
              <w:rPr>
                <w:sz w:val="20"/>
                <w:szCs w:val="20"/>
                <w:color w:val="auto"/>
              </w:rPr>
            </w:pPr>
            <w:r>
              <w:rPr>
                <w:rFonts w:ascii="Arial" w:cs="Arial" w:eastAsia="Arial" w:hAnsi="Arial"/>
                <w:sz w:val="16"/>
                <w:szCs w:val="16"/>
                <w:color w:val="FFFFFF"/>
                <w:w w:val="97"/>
              </w:rPr>
              <w:t>qwqrckq</w:t>
            </w:r>
          </w:p>
        </w:tc>
        <w:tc>
          <w:tcPr>
            <w:tcW w:w="1340" w:type="dxa"/>
            <w:vAlign w:val="bottom"/>
            <w:vMerge w:val="restart"/>
          </w:tcPr>
          <w:p>
            <w:pPr>
              <w:jc w:val="center"/>
              <w:spacing w:after="0"/>
              <w:rPr>
                <w:sz w:val="20"/>
                <w:szCs w:val="20"/>
                <w:color w:val="auto"/>
              </w:rPr>
            </w:pPr>
            <w:r>
              <w:rPr>
                <w:rFonts w:ascii="Arial" w:cs="Arial" w:eastAsia="Arial" w:hAnsi="Arial"/>
                <w:sz w:val="16"/>
                <w:szCs w:val="16"/>
                <w:color w:val="FFFFFF"/>
                <w:w w:val="88"/>
              </w:rPr>
              <w:t>pcnmprgle</w:t>
            </w:r>
          </w:p>
        </w:tc>
        <w:tc>
          <w:tcPr>
            <w:tcW w:w="12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634140"/>
                <w:w w:val="91"/>
              </w:rPr>
              <w:t>epmsn</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634140"/>
                <w:w w:val="91"/>
              </w:rPr>
              <w:t>kcrpgaq</w:t>
            </w: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-8684260</wp:posOffset>
            </wp:positionV>
            <wp:extent cx="7771765" cy="100577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0">
                      <a:extLst>
                        <a:ext uri="{28A0092B-C50C-407E-A947-70E740481C1C}"/>
                      </a:extLst>
                    </a:blip>
                    <a:srcRect/>
                    <a:stretch>
                      <a:fillRect/>
                    </a:stretch>
                  </pic:blipFill>
                  <pic:spPr bwMode="auto">
                    <a:xfrm>
                      <a:off x="0" y="0"/>
                      <a:ext cx="7771765" cy="10057765"/>
                    </a:xfrm>
                    <a:prstGeom prst="rect">
                      <a:avLst/>
                    </a:prstGeom>
                    <a:noFill/>
                  </pic:spPr>
                </pic:pic>
              </a:graphicData>
            </a:graphic>
          </wp:anchor>
        </w:drawing>
      </w:r>
    </w:p>
    <w:p>
      <w:pPr>
        <w:spacing w:after="0" w:line="485" w:lineRule="exact"/>
        <w:rPr>
          <w:sz w:val="20"/>
          <w:szCs w:val="20"/>
          <w:color w:val="auto"/>
        </w:rPr>
      </w:pPr>
    </w:p>
    <w:p>
      <w:pPr>
        <w:sectPr>
          <w:pgSz w:w="12240" w:h="15840" w:orient="portrait"/>
          <w:cols w:equalWidth="0" w:num="2">
            <w:col w:w="4720" w:space="280"/>
            <w:col w:w="4980"/>
          </w:cols>
          <w:pgMar w:left="1120" w:top="144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FFFFFF"/>
        </w:rPr>
        <w:t xml:space="preserve"> ˦˭</w:t>
      </w:r>
    </w:p>
    <w:p>
      <w:pPr>
        <w:sectPr>
          <w:pgSz w:w="12240" w:h="15840" w:orient="portrait"/>
          <w:cols w:equalWidth="0" w:num="1">
            <w:col w:w="9980"/>
          </w:cols>
          <w:pgMar w:left="1120" w:top="1440" w:right="1140" w:bottom="0" w:gutter="0" w:footer="0" w:header="0"/>
          <w:type w:val="continuous"/>
        </w:sectPr>
      </w:pPr>
    </w:p>
    <w:bookmarkStart w:id="18" w:name="page19"/>
    <w:bookmarkEnd w:id="18"/>
    <w:p>
      <w:pPr>
        <w:jc w:val="center"/>
        <w:ind w:right="-5"/>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630555</wp:posOffset>
                </wp:positionH>
                <wp:positionV relativeFrom="page">
                  <wp:posOffset>692150</wp:posOffset>
                </wp:positionV>
                <wp:extent cx="651065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5pt,54.5pt" to="562.3pt,54.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630555</wp:posOffset>
                </wp:positionH>
                <wp:positionV relativeFrom="page">
                  <wp:posOffset>711200</wp:posOffset>
                </wp:positionV>
                <wp:extent cx="651065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5pt,56pt" to="562.3pt,56pt" o:allowincell="f" strokecolor="#000000" strokeweight="0.75pt">
                <w10:wrap anchorx="page" anchory="page"/>
              </v:line>
            </w:pict>
          </mc:Fallback>
        </mc:AlternateContent>
        <w:t>UNITED STATES</w:t>
      </w:r>
    </w:p>
    <w:p>
      <w:pPr>
        <w:spacing w:after="0" w:line="4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2768600</wp:posOffset>
                </wp:positionH>
                <wp:positionV relativeFrom="paragraph">
                  <wp:posOffset>59690</wp:posOffset>
                </wp:positionV>
                <wp:extent cx="97282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28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pt,4.7pt" to="294.6pt,4.7pt" o:allowincell="f" strokecolor="#000000" strokeweight="0.5pt"/>
            </w:pict>
          </mc:Fallback>
        </mc:AlternateContent>
      </w:r>
    </w:p>
    <w:p>
      <w:pPr>
        <w:spacing w:after="0" w:line="1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78" w:lineRule="exact"/>
        <w:rPr>
          <w:sz w:val="20"/>
          <w:szCs w:val="20"/>
          <w:color w:val="auto"/>
        </w:rPr>
      </w:pPr>
    </w:p>
    <w:p>
      <w:pPr>
        <w:ind w:left="3406" w:right="1040" w:hanging="2991"/>
        <w:spacing w:after="0" w:line="340" w:lineRule="auto"/>
        <w:rPr>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September 30, 2025</w:t>
      </w: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OR</w:t>
      </w:r>
    </w:p>
    <w:p>
      <w:pPr>
        <w:ind w:left="406" w:hanging="406"/>
        <w:spacing w:after="0" w:line="183" w:lineRule="auto"/>
        <w:tabs>
          <w:tab w:leader="none" w:pos="406" w:val="left"/>
        </w:tabs>
        <w:numPr>
          <w:ilvl w:val="0"/>
          <w:numId w:val="11"/>
        </w:numPr>
        <w:rPr>
          <w:rFonts w:ascii="Segoe UI" w:cs="Segoe UI" w:eastAsia="Segoe UI" w:hAnsi="Segoe UI"/>
          <w:sz w:val="31"/>
          <w:szCs w:val="31"/>
          <w:color w:val="auto"/>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92" w:lineRule="exact"/>
        <w:rPr>
          <w:sz w:val="20"/>
          <w:szCs w:val="20"/>
          <w:color w:val="auto"/>
        </w:rPr>
      </w:pPr>
    </w:p>
    <w:p>
      <w:pPr>
        <w:ind w:left="3026"/>
        <w:spacing w:after="0"/>
        <w:rPr>
          <w:sz w:val="20"/>
          <w:szCs w:val="20"/>
          <w:color w:val="auto"/>
        </w:rPr>
      </w:pPr>
      <w:r>
        <w:rPr>
          <w:rFonts w:ascii="Times New Roman" w:cs="Times New Roman" w:eastAsia="Times New Roman" w:hAnsi="Times New Roman"/>
          <w:sz w:val="18"/>
          <w:szCs w:val="18"/>
          <w:color w:val="auto"/>
        </w:rPr>
        <w:t>For the transition period from _________ to ___________</w:t>
      </w:r>
    </w:p>
    <w:p>
      <w:pPr>
        <w:spacing w:after="0" w:line="6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Commission file number 333-211719</w:t>
      </w:r>
    </w:p>
    <w:p>
      <w:pPr>
        <w:spacing w:after="0" w:line="3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40"/>
          <w:szCs w:val="40"/>
          <w:b w:val="1"/>
          <w:bCs w:val="1"/>
          <w:color w:val="auto"/>
        </w:rPr>
        <w:t>ASHLAND INC.</w:t>
      </w:r>
    </w:p>
    <w:p>
      <w:pPr>
        <w:sectPr>
          <w:pgSz w:w="12240" w:h="15840" w:orient="portrait"/>
          <w:cols w:equalWidth="0" w:num="1">
            <w:col w:w="10246"/>
          </w:cols>
          <w:pgMar w:left="994" w:top="1129" w:right="1000" w:bottom="854" w:gutter="0" w:footer="0" w:header="0"/>
        </w:sectPr>
      </w:pPr>
    </w:p>
    <w:p>
      <w:pPr>
        <w:spacing w:after="0" w:line="95" w:lineRule="exact"/>
        <w:rPr>
          <w:sz w:val="20"/>
          <w:szCs w:val="20"/>
          <w:color w:val="auto"/>
        </w:rPr>
      </w:pPr>
    </w:p>
    <w:p>
      <w:pPr>
        <w:ind w:left="2206"/>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81-2587835</w:t>
      </w:r>
    </w:p>
    <w:p>
      <w:pPr>
        <w:spacing w:after="0" w:line="33" w:lineRule="exact"/>
        <w:rPr>
          <w:sz w:val="20"/>
          <w:szCs w:val="20"/>
          <w:color w:val="auto"/>
        </w:rPr>
      </w:pPr>
    </w:p>
    <w:p>
      <w:pPr>
        <w:sectPr>
          <w:pgSz w:w="12240" w:h="15840" w:orient="portrait"/>
          <w:cols w:equalWidth="0" w:num="2">
            <w:col w:w="6526" w:space="720"/>
            <w:col w:w="3000"/>
          </w:cols>
          <w:pgMar w:left="994" w:top="1129" w:right="1000" w:bottom="854" w:gutter="0" w:footer="0" w:header="0"/>
          <w:type w:val="continuous"/>
        </w:sectPr>
      </w:pPr>
    </w:p>
    <w:p>
      <w:pPr>
        <w:ind w:left="406"/>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67" w:lineRule="exact"/>
        <w:rPr>
          <w:sz w:val="20"/>
          <w:szCs w:val="20"/>
          <w:color w:val="auto"/>
        </w:rPr>
      </w:pPr>
    </w:p>
    <w:p>
      <w:pPr>
        <w:sectPr>
          <w:pgSz w:w="12240" w:h="15840" w:orient="portrait"/>
          <w:cols w:equalWidth="0" w:num="2">
            <w:col w:w="5666" w:space="720"/>
            <w:col w:w="3860"/>
          </w:cols>
          <w:pgMar w:left="994" w:top="1129" w:right="1000" w:bottom="854" w:gutter="0" w:footer="0" w:header="0"/>
          <w:type w:val="continuous"/>
        </w:sectPr>
      </w:pPr>
    </w:p>
    <w:p>
      <w:pPr>
        <w:jc w:val="center"/>
        <w:ind w:right="-5"/>
        <w:spacing w:after="0"/>
        <w:rPr>
          <w:sz w:val="20"/>
          <w:szCs w:val="20"/>
          <w:color w:val="auto"/>
        </w:rPr>
      </w:pPr>
      <w:r>
        <w:rPr>
          <w:rFonts w:ascii="Times New Roman" w:cs="Times New Roman" w:eastAsia="Times New Roman" w:hAnsi="Times New Roman"/>
          <w:sz w:val="18"/>
          <w:szCs w:val="18"/>
          <w:color w:val="auto"/>
        </w:rPr>
        <w:t>8145 Blazer Drive</w:t>
      </w:r>
    </w:p>
    <w:p>
      <w:pPr>
        <w:spacing w:after="0" w:line="2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Wilmington, Delaware 19808</w:t>
      </w:r>
    </w:p>
    <w:p>
      <w:pPr>
        <w:jc w:val="center"/>
        <w:ind w:right="-5"/>
        <w:spacing w:after="0"/>
        <w:rPr>
          <w:sz w:val="20"/>
          <w:szCs w:val="20"/>
          <w:color w:val="auto"/>
        </w:rPr>
      </w:pPr>
      <w:r>
        <w:rPr>
          <w:rFonts w:ascii="Times New Roman" w:cs="Times New Roman" w:eastAsia="Times New Roman" w:hAnsi="Times New Roman"/>
          <w:sz w:val="18"/>
          <w:szCs w:val="18"/>
          <w:color w:val="auto"/>
        </w:rPr>
        <w:t>Telephone Number (302) 995-3000</w:t>
      </w:r>
    </w:p>
    <w:p>
      <w:pPr>
        <w:spacing w:after="0" w:line="3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2" w:lineRule="exact"/>
        <w:rPr>
          <w:sz w:val="20"/>
          <w:szCs w:val="20"/>
          <w:color w:val="auto"/>
        </w:rPr>
      </w:pPr>
    </w:p>
    <w:tbl>
      <w:tblPr>
        <w:tblLayout w:type="fixed"/>
        <w:tblInd w:w="6"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2640" w:type="dxa"/>
            <w:vAlign w:val="bottom"/>
            <w:gridSpan w:val="2"/>
          </w:tcPr>
          <w:p>
            <w:pPr>
              <w:jc w:val="center"/>
              <w:ind w:right="139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840" w:type="dxa"/>
            <w:vAlign w:val="bottom"/>
          </w:tcPr>
          <w:p>
            <w:pPr>
              <w:spacing w:after="0"/>
              <w:rPr>
                <w:sz w:val="16"/>
                <w:szCs w:val="16"/>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color w:val="auto"/>
                <w:w w:val="99"/>
              </w:rPr>
              <w:t>Trading Symbol</w:t>
            </w:r>
          </w:p>
        </w:tc>
        <w:tc>
          <w:tcPr>
            <w:tcW w:w="820" w:type="dxa"/>
            <w:vAlign w:val="bottom"/>
          </w:tcPr>
          <w:p>
            <w:pPr>
              <w:spacing w:after="0"/>
              <w:rPr>
                <w:sz w:val="16"/>
                <w:szCs w:val="16"/>
                <w:color w:val="auto"/>
              </w:rPr>
            </w:pPr>
          </w:p>
        </w:tc>
        <w:tc>
          <w:tcPr>
            <w:tcW w:w="29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22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0"/>
        </w:trPr>
        <w:tc>
          <w:tcPr>
            <w:tcW w:w="3760" w:type="dxa"/>
            <w:vAlign w:val="bottom"/>
            <w:gridSpan w:val="3"/>
          </w:tcPr>
          <w:p>
            <w:pPr>
              <w:jc w:val="center"/>
              <w:ind w:right="270"/>
              <w:spacing w:after="0"/>
              <w:rPr>
                <w:sz w:val="20"/>
                <w:szCs w:val="20"/>
                <w:color w:val="auto"/>
              </w:rPr>
            </w:pPr>
            <w:r>
              <w:rPr>
                <w:rFonts w:ascii="Times New Roman" w:cs="Times New Roman" w:eastAsia="Times New Roman" w:hAnsi="Times New Roman"/>
                <w:sz w:val="20"/>
                <w:szCs w:val="20"/>
                <w:color w:val="auto"/>
              </w:rPr>
              <w:t>Common Stock, par value $.01 per share</w:t>
            </w:r>
          </w:p>
        </w:tc>
        <w:tc>
          <w:tcPr>
            <w:tcW w:w="840" w:type="dxa"/>
            <w:vAlign w:val="bottom"/>
          </w:tcPr>
          <w:p>
            <w:pPr>
              <w:spacing w:after="0"/>
              <w:rPr>
                <w:sz w:val="24"/>
                <w:szCs w:val="24"/>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20"/>
                <w:szCs w:val="20"/>
                <w:color w:val="auto"/>
                <w:w w:val="99"/>
              </w:rPr>
              <w:t>ASH</w:t>
            </w:r>
          </w:p>
        </w:tc>
        <w:tc>
          <w:tcPr>
            <w:tcW w:w="820" w:type="dxa"/>
            <w:vAlign w:val="bottom"/>
          </w:tcPr>
          <w:p>
            <w:pPr>
              <w:spacing w:after="0"/>
              <w:rPr>
                <w:sz w:val="24"/>
                <w:szCs w:val="24"/>
                <w:color w:val="auto"/>
              </w:rPr>
            </w:pPr>
          </w:p>
        </w:tc>
        <w:tc>
          <w:tcPr>
            <w:tcW w:w="2580" w:type="dxa"/>
            <w:vAlign w:val="bottom"/>
          </w:tcPr>
          <w:p>
            <w:pPr>
              <w:jc w:val="center"/>
              <w:ind w:left="150"/>
              <w:spacing w:after="0"/>
              <w:rPr>
                <w:sz w:val="20"/>
                <w:szCs w:val="20"/>
                <w:color w:val="auto"/>
              </w:rPr>
            </w:pPr>
            <w:r>
              <w:rPr>
                <w:rFonts w:ascii="Times New Roman" w:cs="Times New Roman" w:eastAsia="Times New Roman" w:hAnsi="Times New Roman"/>
                <w:sz w:val="20"/>
                <w:szCs w:val="20"/>
                <w:color w:val="auto"/>
                <w:w w:val="99"/>
              </w:rPr>
              <w:t>New York Stock Exchange</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4"/>
        </w:trPr>
        <w:tc>
          <w:tcPr>
            <w:tcW w:w="1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420" w:type="dxa"/>
            <w:vAlign w:val="bottom"/>
            <w:gridSpan w:val="6"/>
          </w:tcPr>
          <w:p>
            <w:pPr>
              <w:jc w:val="center"/>
              <w:ind w:right="163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17"/>
        </w:trPr>
        <w:tc>
          <w:tcPr>
            <w:tcW w:w="970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No</w:t>
            </w:r>
          </w:p>
        </w:tc>
        <w:tc>
          <w:tcPr>
            <w:tcW w:w="220" w:type="dxa"/>
            <w:vAlign w:val="bottom"/>
          </w:tcPr>
          <w:p>
            <w:pPr>
              <w:jc w:val="right"/>
              <w:spacing w:after="0"/>
              <w:rPr>
                <w:sz w:val="20"/>
                <w:szCs w:val="20"/>
                <w:color w:val="auto"/>
              </w:rPr>
            </w:pPr>
            <w:r>
              <w:rPr>
                <w:rFonts w:ascii="Segoe UI" w:cs="Segoe UI" w:eastAsia="Segoe UI" w:hAnsi="Segoe UI"/>
                <w:sz w:val="18"/>
                <w:szCs w:val="18"/>
                <w:color w:val="auto"/>
              </w:rPr>
              <w:t>ն</w:t>
            </w:r>
          </w:p>
        </w:tc>
      </w:tr>
      <w:tr>
        <w:trPr>
          <w:trHeight w:val="221"/>
        </w:trPr>
        <w:tc>
          <w:tcPr>
            <w:tcW w:w="37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Indicate  by  check  mark  if  the  Registrant</w:t>
            </w:r>
          </w:p>
        </w:tc>
        <w:tc>
          <w:tcPr>
            <w:tcW w:w="2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is  not  required  to  file  reports</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pursuant  to  Section  13  or  Section  15(d)</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the</w:t>
            </w:r>
          </w:p>
        </w:tc>
      </w:tr>
      <w:tr>
        <w:trPr>
          <w:trHeight w:val="292"/>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Act.  Yes </w:t>
            </w:r>
            <w:r>
              <w:rPr>
                <w:rFonts w:ascii="Segoe UI" w:cs="Segoe UI" w:eastAsia="Segoe UI" w:hAnsi="Segoe UI"/>
                <w:sz w:val="18"/>
                <w:szCs w:val="18"/>
                <w:color w:val="auto"/>
              </w:rPr>
              <w:t>ն</w:t>
            </w:r>
            <w:r>
              <w:rPr>
                <w:rFonts w:ascii="Times New Roman" w:cs="Times New Roman" w:eastAsia="Times New Roman" w:hAnsi="Times New Roman"/>
                <w:sz w:val="18"/>
                <w:szCs w:val="18"/>
                <w:color w:val="auto"/>
              </w:rPr>
              <w:t xml:space="preserve"> No</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6" w:lineRule="exact"/>
        <w:rPr>
          <w:sz w:val="20"/>
          <w:szCs w:val="20"/>
          <w:color w:val="auto"/>
        </w:rPr>
      </w:pPr>
    </w:p>
    <w:p>
      <w:pPr>
        <w:jc w:val="both"/>
        <w:ind w:left="6" w:firstLine="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0"/>
          <w:szCs w:val="20"/>
          <w:color w:val="auto"/>
        </w:rPr>
      </w:pPr>
    </w:p>
    <w:p>
      <w:pPr>
        <w:ind w:left="6"/>
        <w:spacing w:after="0"/>
        <w:tabs>
          <w:tab w:leader="none" w:pos="5066" w:val="left"/>
          <w:tab w:leader="none" w:pos="5806" w:val="left"/>
        </w:tabs>
        <w:rPr>
          <w:sz w:val="20"/>
          <w:szCs w:val="20"/>
          <w:color w:val="auto"/>
        </w:rPr>
      </w:pPr>
      <w:r>
        <w:rPr>
          <w:rFonts w:ascii="Times New Roman" w:cs="Times New Roman" w:eastAsia="Times New Roman" w:hAnsi="Times New Roman"/>
          <w:sz w:val="18"/>
          <w:szCs w:val="18"/>
          <w:color w:val="auto"/>
        </w:rPr>
        <w:t>(2) has been subject to such filing requirements for the past 90 days.</w:t>
        <w:tab/>
        <w:t>Yes</w:t>
      </w:r>
      <w:r>
        <w:rPr>
          <w:sz w:val="20"/>
          <w:szCs w:val="20"/>
          <w:color w:val="auto"/>
        </w:rPr>
        <w:tab/>
      </w:r>
      <w:r>
        <w:rPr>
          <w:rFonts w:ascii="Times New Roman" w:cs="Times New Roman" w:eastAsia="Times New Roman" w:hAnsi="Times New Roman"/>
          <w:sz w:val="18"/>
          <w:szCs w:val="18"/>
          <w:color w:val="auto"/>
        </w:rPr>
        <w:t xml:space="preserve">No </w:t>
      </w:r>
      <w:r>
        <w:rPr>
          <w:rFonts w:ascii="Segoe UI" w:cs="Segoe UI" w:eastAsia="Segoe UI" w:hAnsi="Segoe UI"/>
          <w:sz w:val="18"/>
          <w:szCs w:val="18"/>
          <w:color w:val="auto"/>
        </w:rPr>
        <w:t>ն</w:t>
      </w:r>
    </w:p>
    <w:p>
      <w:pPr>
        <w:spacing w:after="0" w:line="49" w:lineRule="exact"/>
        <w:rPr>
          <w:sz w:val="20"/>
          <w:szCs w:val="20"/>
          <w:color w:val="auto"/>
        </w:rPr>
      </w:pPr>
    </w:p>
    <w:p>
      <w:pPr>
        <w:jc w:val="both"/>
        <w:ind w:left="6" w:firstLine="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0"/>
          <w:szCs w:val="20"/>
          <w:color w:val="auto"/>
        </w:rPr>
      </w:pPr>
    </w:p>
    <w:p>
      <w:pPr>
        <w:ind w:left="6"/>
        <w:spacing w:after="0"/>
        <w:tabs>
          <w:tab w:leader="none" w:pos="2306" w:val="left"/>
          <w:tab w:leader="none" w:pos="3046" w:val="left"/>
        </w:tabs>
        <w:rPr>
          <w:sz w:val="20"/>
          <w:szCs w:val="20"/>
          <w:color w:val="auto"/>
        </w:rPr>
      </w:pPr>
      <w:r>
        <w:rPr>
          <w:rFonts w:ascii="Times New Roman" w:cs="Times New Roman" w:eastAsia="Times New Roman" w:hAnsi="Times New Roman"/>
          <w:sz w:val="18"/>
          <w:szCs w:val="18"/>
          <w:color w:val="auto"/>
        </w:rPr>
        <w:t>required to submit such files).</w:t>
        <w:tab/>
        <w:t>Yes</w:t>
      </w:r>
      <w:r>
        <w:rPr>
          <w:sz w:val="20"/>
          <w:szCs w:val="20"/>
          <w:color w:val="auto"/>
        </w:rPr>
        <w:tab/>
      </w:r>
      <w:r>
        <w:rPr>
          <w:rFonts w:ascii="Times New Roman" w:cs="Times New Roman" w:eastAsia="Times New Roman" w:hAnsi="Times New Roman"/>
          <w:sz w:val="18"/>
          <w:szCs w:val="18"/>
          <w:color w:val="auto"/>
        </w:rPr>
        <w:t xml:space="preserve">No </w:t>
      </w:r>
      <w:r>
        <w:rPr>
          <w:rFonts w:ascii="Segoe UI" w:cs="Segoe UI" w:eastAsia="Segoe UI" w:hAnsi="Segoe UI"/>
          <w:sz w:val="18"/>
          <w:szCs w:val="18"/>
          <w:color w:val="auto"/>
        </w:rPr>
        <w:t>ն</w:t>
      </w:r>
    </w:p>
    <w:p>
      <w:pPr>
        <w:spacing w:after="0" w:line="49" w:lineRule="exact"/>
        <w:rPr>
          <w:sz w:val="20"/>
          <w:szCs w:val="20"/>
          <w:color w:val="auto"/>
        </w:rPr>
      </w:pPr>
    </w:p>
    <w:p>
      <w:pPr>
        <w:jc w:val="both"/>
        <w:ind w:left="6" w:firstLine="3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246"/>
          </w:cols>
          <w:pgMar w:left="994" w:top="1129" w:right="1000" w:bottom="854" w:gutter="0" w:footer="0" w:header="0"/>
          <w:type w:val="continuous"/>
        </w:sectPr>
      </w:pPr>
    </w:p>
    <w:p>
      <w:pPr>
        <w:spacing w:after="0" w:line="39" w:lineRule="exact"/>
        <w:rPr>
          <w:sz w:val="20"/>
          <w:szCs w:val="20"/>
          <w:color w:val="auto"/>
        </w:rPr>
      </w:pPr>
    </w:p>
    <w:p>
      <w:pPr>
        <w:ind w:left="1586"/>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Segoe UI" w:cs="Segoe UI" w:eastAsia="Segoe UI" w:hAnsi="Segoe UI"/>
          <w:sz w:val="18"/>
          <w:szCs w:val="18"/>
          <w:color w:val="auto"/>
        </w:rPr>
        <w:t>ն</w:t>
      </w:r>
    </w:p>
    <w:p>
      <w:pPr>
        <w:spacing w:after="0" w:line="80" w:lineRule="exact"/>
        <w:rPr>
          <w:sz w:val="20"/>
          <w:szCs w:val="20"/>
          <w:color w:val="auto"/>
        </w:rPr>
      </w:pPr>
    </w:p>
    <w:p>
      <w:pPr>
        <w:sectPr>
          <w:pgSz w:w="12240" w:h="15840" w:orient="portrait"/>
          <w:cols w:equalWidth="0" w:num="2">
            <w:col w:w="6226" w:space="720"/>
            <w:col w:w="3300"/>
          </w:cols>
          <w:pgMar w:left="994" w:top="1129" w:right="1000" w:bottom="854" w:gutter="0" w:footer="0" w:header="0"/>
          <w:type w:val="continuous"/>
        </w:sectPr>
      </w:pPr>
    </w:p>
    <w:p>
      <w:pPr>
        <w:ind w:left="1626"/>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Segoe UI" w:cs="Segoe UI" w:eastAsia="Segoe UI" w:hAnsi="Segoe UI"/>
          <w:sz w:val="18"/>
          <w:szCs w:val="18"/>
          <w:color w:val="auto"/>
        </w:rPr>
        <w:t>ն</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Segoe UI" w:cs="Segoe UI" w:eastAsia="Segoe UI" w:hAnsi="Segoe UI"/>
          <w:sz w:val="18"/>
          <w:szCs w:val="18"/>
          <w:color w:val="auto"/>
        </w:rPr>
        <w:t>ն</w:t>
      </w:r>
    </w:p>
    <w:p>
      <w:pPr>
        <w:spacing w:after="0" w:line="80" w:lineRule="exact"/>
        <w:rPr>
          <w:sz w:val="20"/>
          <w:szCs w:val="20"/>
          <w:color w:val="auto"/>
        </w:rPr>
      </w:pPr>
    </w:p>
    <w:p>
      <w:pPr>
        <w:sectPr>
          <w:pgSz w:w="12240" w:h="15840" w:orient="portrait"/>
          <w:cols w:equalWidth="0" w:num="2">
            <w:col w:w="5806" w:space="720"/>
            <w:col w:w="3720"/>
          </w:cols>
          <w:pgMar w:left="994" w:top="1129" w:right="1000" w:bottom="854" w:gutter="0" w:footer="0" w:header="0"/>
          <w:type w:val="continuous"/>
        </w:sectPr>
      </w:pPr>
    </w:p>
    <w:p>
      <w:pPr>
        <w:ind w:left="1406"/>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Segoe UI" w:cs="Segoe UI" w:eastAsia="Segoe UI" w:hAnsi="Segoe UI"/>
          <w:sz w:val="18"/>
          <w:szCs w:val="18"/>
          <w:color w:val="auto"/>
        </w:rPr>
        <w:t>ն</w:t>
      </w:r>
    </w:p>
    <w:p>
      <w:pPr>
        <w:sectPr>
          <w:pgSz w:w="12240" w:h="15840" w:orient="portrait"/>
          <w:cols w:equalWidth="0" w:num="1">
            <w:col w:w="10246"/>
          </w:cols>
          <w:pgMar w:left="994" w:top="1129" w:right="1000" w:bottom="854" w:gutter="0" w:footer="0" w:header="0"/>
          <w:type w:val="continuous"/>
        </w:sectPr>
      </w:pPr>
    </w:p>
    <w:p>
      <w:pPr>
        <w:spacing w:after="0" w:line="71" w:lineRule="exact"/>
        <w:rPr>
          <w:sz w:val="20"/>
          <w:szCs w:val="20"/>
          <w:color w:val="auto"/>
        </w:rPr>
      </w:pPr>
    </w:p>
    <w:p>
      <w:pPr>
        <w:ind w:left="6" w:firstLine="360"/>
        <w:spacing w:after="0" w:line="27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8"/>
          <w:szCs w:val="18"/>
          <w:color w:val="auto"/>
        </w:rPr>
        <w:t>ն</w:t>
      </w:r>
    </w:p>
    <w:p>
      <w:pPr>
        <w:ind w:left="6" w:firstLine="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attestation to its management’s assessment of the effectiveness of its internal control over financial reporting under section 404(b) of the Sarbanes-Oxley Act (15 U.S.C 7262 (b)) by the registered public</w:t>
      </w:r>
    </w:p>
    <w:p>
      <w:pPr>
        <w:spacing w:after="0" w:line="1" w:lineRule="exact"/>
        <w:rPr>
          <w:sz w:val="20"/>
          <w:szCs w:val="20"/>
          <w:color w:val="auto"/>
        </w:rPr>
      </w:pPr>
    </w:p>
    <w:p>
      <w:pPr>
        <w:ind w:left="6"/>
        <w:spacing w:after="0"/>
        <w:tabs>
          <w:tab w:leader="none" w:pos="4806" w:val="left"/>
        </w:tabs>
        <w:rPr>
          <w:sz w:val="20"/>
          <w:szCs w:val="20"/>
          <w:color w:val="auto"/>
        </w:rPr>
      </w:pPr>
      <w:r>
        <w:rPr>
          <w:rFonts w:ascii="Times New Roman" w:cs="Times New Roman" w:eastAsia="Times New Roman" w:hAnsi="Times New Roman"/>
          <w:sz w:val="18"/>
          <w:szCs w:val="18"/>
          <w:color w:val="auto"/>
        </w:rPr>
        <w:t>accounting firm that prepared or issued its audit report.  Yes</w:t>
      </w:r>
      <w:r>
        <w:rPr>
          <w:sz w:val="20"/>
          <w:szCs w:val="20"/>
          <w:color w:val="auto"/>
        </w:rPr>
        <w:tab/>
      </w:r>
      <w:r>
        <w:rPr>
          <w:rFonts w:ascii="Times New Roman" w:cs="Times New Roman" w:eastAsia="Times New Roman" w:hAnsi="Times New Roman"/>
          <w:sz w:val="18"/>
          <w:szCs w:val="18"/>
          <w:color w:val="auto"/>
        </w:rPr>
        <w:t xml:space="preserve">No </w:t>
      </w:r>
      <w:r>
        <w:rPr>
          <w:rFonts w:ascii="Segoe UI" w:cs="Segoe UI" w:eastAsia="Segoe UI" w:hAnsi="Segoe UI"/>
          <w:sz w:val="18"/>
          <w:szCs w:val="18"/>
          <w:color w:val="auto"/>
        </w:rPr>
        <w:t>ն</w:t>
      </w:r>
    </w:p>
    <w:p>
      <w:pPr>
        <w:spacing w:after="0" w:line="49" w:lineRule="exact"/>
        <w:rPr>
          <w:sz w:val="20"/>
          <w:szCs w:val="20"/>
          <w:color w:val="auto"/>
        </w:rPr>
      </w:pPr>
    </w:p>
    <w:p>
      <w:pPr>
        <w:ind w:left="6" w:firstLine="360"/>
        <w:spacing w:after="0" w:line="27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8"/>
          <w:szCs w:val="18"/>
          <w:color w:val="auto"/>
        </w:rPr>
        <w:t>ն</w:t>
      </w:r>
    </w:p>
    <w:p>
      <w:pPr>
        <w:ind w:left="6" w:firstLine="360"/>
        <w:spacing w:after="0" w:line="271"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8"/>
          <w:szCs w:val="18"/>
          <w:color w:val="auto"/>
        </w:rPr>
        <w:t>ն</w:t>
      </w:r>
    </w:p>
    <w:p>
      <w:pPr>
        <w:spacing w:after="0" w:line="1" w:lineRule="exact"/>
        <w:rPr>
          <w:sz w:val="20"/>
          <w:szCs w:val="20"/>
          <w:color w:val="auto"/>
        </w:rPr>
      </w:pPr>
    </w:p>
    <w:p>
      <w:pPr>
        <w:ind w:left="366"/>
        <w:spacing w:after="0"/>
        <w:tabs>
          <w:tab w:leader="none" w:pos="8006" w:val="left"/>
          <w:tab w:leader="none" w:pos="8706"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Segoe UI" w:cs="Segoe UI" w:eastAsia="Segoe UI" w:hAnsi="Segoe UI"/>
          <w:sz w:val="18"/>
          <w:szCs w:val="18"/>
          <w:color w:val="auto"/>
        </w:rPr>
        <w:t>ն</w:t>
      </w:r>
      <w:r>
        <w:rPr>
          <w:rFonts w:ascii="Times New Roman" w:cs="Times New Roman" w:eastAsia="Times New Roman" w:hAnsi="Times New Roman"/>
          <w:sz w:val="18"/>
          <w:szCs w:val="18"/>
          <w:color w:val="auto"/>
        </w:rPr>
        <w:tab/>
        <w:t>No</w:t>
      </w:r>
    </w:p>
    <w:p>
      <w:pPr>
        <w:spacing w:after="0" w:line="69" w:lineRule="exact"/>
        <w:rPr>
          <w:sz w:val="20"/>
          <w:szCs w:val="20"/>
          <w:color w:val="auto"/>
        </w:rPr>
      </w:pPr>
    </w:p>
    <w:p>
      <w:pPr>
        <w:ind w:left="6" w:firstLine="360"/>
        <w:spacing w:after="0" w:line="274" w:lineRule="auto"/>
        <w:rPr>
          <w:sz w:val="20"/>
          <w:szCs w:val="20"/>
          <w:color w:val="auto"/>
        </w:rPr>
      </w:pPr>
      <w:r>
        <w:rPr>
          <w:rFonts w:ascii="Times New Roman" w:cs="Times New Roman" w:eastAsia="Times New Roman" w:hAnsi="Times New Roman"/>
          <w:sz w:val="18"/>
          <w:szCs w:val="18"/>
          <w:color w:val="auto"/>
        </w:rPr>
        <w:t>As of March 31, 2025, the aggregate market value of the registrant’s common stock held by non-affiliates of the registrant was approximately $2.7 billion based on the closing price as reported on the New York Stock Exchange.</w:t>
      </w:r>
    </w:p>
    <w:p>
      <w:pPr>
        <w:spacing w:after="0" w:line="1"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18"/>
          <w:szCs w:val="18"/>
          <w:color w:val="auto"/>
        </w:rPr>
        <w:t>As of October 31, 2025, there were 45,718,113 shares of Common Stock outstanding.</w:t>
      </w:r>
    </w:p>
    <w:p>
      <w:pPr>
        <w:sectPr>
          <w:pgSz w:w="12240" w:h="15840" w:orient="portrait"/>
          <w:cols w:equalWidth="0" w:num="1">
            <w:col w:w="10246"/>
          </w:cols>
          <w:pgMar w:left="994" w:top="1129" w:right="1000" w:bottom="854"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2"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18"/>
          <w:szCs w:val="18"/>
          <w:color w:val="auto"/>
        </w:rPr>
        <w:t>Portions of Registrant’s proxy statement for its 2026 Annual Meeting of Stockholders are incorporated by reference into Part III of this Form 10-K to the extent described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31115</wp:posOffset>
                </wp:positionV>
                <wp:extent cx="651002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45pt" to="512.3pt,2.4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50165</wp:posOffset>
                </wp:positionV>
                <wp:extent cx="651002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95pt" to="512.3pt,3.95pt" o:allowincell="f" strokecolor="#000000" strokeweight="0.75pt"/>
            </w:pict>
          </mc:Fallback>
        </mc:AlternateContent>
      </w:r>
    </w:p>
    <w:p>
      <w:pPr>
        <w:sectPr>
          <w:pgSz w:w="12240" w:h="15840" w:orient="portrait"/>
          <w:cols w:equalWidth="0" w:num="1">
            <w:col w:w="10240"/>
          </w:cols>
          <w:pgMar w:left="1000" w:top="973" w:right="1000" w:bottom="1440" w:gutter="0" w:footer="0" w:header="0"/>
        </w:sectPr>
      </w:pPr>
    </w:p>
    <w:bookmarkStart w:id="20" w:name="page21"/>
    <w:bookmarkEnd w:id="20"/>
    <w:p>
      <w:pPr>
        <w:ind w:left="40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6180455</wp:posOffset>
                </wp:positionH>
                <wp:positionV relativeFrom="paragraph">
                  <wp:posOffset>-133985</wp:posOffset>
                </wp:positionV>
                <wp:extent cx="32575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57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65pt,-10.5499pt" to="512.3pt,-10.5499pt" o:allowincell="f" strokecolor="#000000" strokeweight="0.5pt"/>
            </w:pict>
          </mc:Fallback>
        </mc:AlternateContent>
      </w:r>
    </w:p>
    <w:p>
      <w:pPr>
        <w:spacing w:after="0" w:line="30" w:lineRule="exact"/>
        <w:rPr>
          <w:sz w:val="20"/>
          <w:szCs w:val="20"/>
          <w:color w:val="auto"/>
        </w:rPr>
      </w:pPr>
    </w:p>
    <w:p>
      <w:pPr>
        <w:ind w:left="920"/>
        <w:spacing w:after="0"/>
        <w:tabs>
          <w:tab w:leader="none" w:pos="1720" w:val="left"/>
          <w:tab w:leader="dot" w:pos="10120" w:val="left"/>
        </w:tabs>
        <w:rPr>
          <w:sz w:val="20"/>
          <w:szCs w:val="20"/>
          <w:color w:val="auto"/>
        </w:rPr>
      </w:pPr>
      <w:r>
        <w:rPr>
          <w:rFonts w:ascii="Times New Roman" w:cs="Times New Roman" w:eastAsia="Times New Roman" w:hAnsi="Times New Roman"/>
          <w:sz w:val="20"/>
          <w:szCs w:val="20"/>
          <w:color w:val="auto"/>
        </w:rPr>
        <w:t>Item 1.</w:t>
        <w:tab/>
        <w:t>Business</w:t>
      </w:r>
      <w:r>
        <w:rPr>
          <w:sz w:val="20"/>
          <w:szCs w:val="20"/>
          <w:color w:val="auto"/>
        </w:rPr>
        <w:tab/>
      </w:r>
      <w:r>
        <w:rPr>
          <w:rFonts w:ascii="Times New Roman" w:cs="Times New Roman" w:eastAsia="Times New Roman" w:hAnsi="Times New Roman"/>
          <w:sz w:val="20"/>
          <w:szCs w:val="20"/>
          <w:color w:val="auto"/>
        </w:rPr>
        <w:t>4</w:t>
      </w:r>
    </w:p>
    <w:p>
      <w:pPr>
        <w:spacing w:after="0" w:line="46" w:lineRule="exact"/>
        <w:rPr>
          <w:sz w:val="20"/>
          <w:szCs w:val="20"/>
          <w:color w:val="auto"/>
        </w:rPr>
      </w:pPr>
    </w:p>
    <w:p>
      <w:pPr>
        <w:jc w:val="right"/>
        <w:spacing w:after="0"/>
        <w:tabs>
          <w:tab w:leader="dot" w:pos="80" w:val="left"/>
        </w:tabs>
        <w:rPr>
          <w:sz w:val="20"/>
          <w:szCs w:val="20"/>
          <w:color w:val="auto"/>
        </w:rPr>
      </w:pPr>
      <w:r>
        <w:rPr>
          <w:rFonts w:ascii="Times New Roman" w:cs="Times New Roman" w:eastAsia="Times New Roman" w:hAnsi="Times New Roman"/>
          <w:sz w:val="20"/>
          <w:szCs w:val="20"/>
          <w:color w:val="auto"/>
        </w:rPr>
        <w:t>General</w:t>
      </w:r>
      <w:r>
        <w:rPr>
          <w:sz w:val="20"/>
          <w:szCs w:val="20"/>
          <w:color w:val="auto"/>
        </w:rPr>
        <w:tab/>
      </w:r>
      <w:r>
        <w:rPr>
          <w:rFonts w:ascii="Times New Roman" w:cs="Times New Roman" w:eastAsia="Times New Roman" w:hAnsi="Times New Roman"/>
          <w:sz w:val="20"/>
          <w:szCs w:val="20"/>
          <w:color w:val="auto"/>
        </w:rPr>
        <w:t>4</w:t>
      </w:r>
    </w:p>
    <w:p>
      <w:pPr>
        <w:spacing w:after="0" w:line="46" w:lineRule="exact"/>
        <w:rPr>
          <w:sz w:val="20"/>
          <w:szCs w:val="20"/>
          <w:color w:val="auto"/>
        </w:rPr>
      </w:pPr>
    </w:p>
    <w:p>
      <w:pPr>
        <w:jc w:val="right"/>
        <w:spacing w:after="0"/>
        <w:tabs>
          <w:tab w:leader="dot" w:pos="80" w:val="left"/>
        </w:tabs>
        <w:rPr>
          <w:sz w:val="20"/>
          <w:szCs w:val="20"/>
          <w:color w:val="auto"/>
        </w:rPr>
      </w:pPr>
      <w:r>
        <w:rPr>
          <w:rFonts w:ascii="Times New Roman" w:cs="Times New Roman" w:eastAsia="Times New Roman" w:hAnsi="Times New Roman"/>
          <w:sz w:val="20"/>
          <w:szCs w:val="20"/>
          <w:color w:val="auto"/>
        </w:rPr>
        <w:t>Life Sciences</w:t>
      </w:r>
      <w:r>
        <w:rPr>
          <w:sz w:val="20"/>
          <w:szCs w:val="20"/>
          <w:color w:val="auto"/>
        </w:rPr>
        <w:tab/>
      </w:r>
      <w:r>
        <w:rPr>
          <w:rFonts w:ascii="Times New Roman" w:cs="Times New Roman" w:eastAsia="Times New Roman" w:hAnsi="Times New Roman"/>
          <w:sz w:val="20"/>
          <w:szCs w:val="20"/>
          <w:color w:val="auto"/>
        </w:rPr>
        <w:t>5</w:t>
      </w:r>
    </w:p>
    <w:p>
      <w:pPr>
        <w:spacing w:after="0" w:line="46" w:lineRule="exact"/>
        <w:rPr>
          <w:sz w:val="20"/>
          <w:szCs w:val="20"/>
          <w:color w:val="auto"/>
        </w:rPr>
      </w:pPr>
    </w:p>
    <w:p>
      <w:pPr>
        <w:jc w:val="right"/>
        <w:spacing w:after="0"/>
        <w:tabs>
          <w:tab w:leader="dot" w:pos="80" w:val="left"/>
        </w:tabs>
        <w:rPr>
          <w:sz w:val="20"/>
          <w:szCs w:val="20"/>
          <w:color w:val="auto"/>
        </w:rPr>
      </w:pPr>
      <w:r>
        <w:rPr>
          <w:rFonts w:ascii="Times New Roman" w:cs="Times New Roman" w:eastAsia="Times New Roman" w:hAnsi="Times New Roman"/>
          <w:sz w:val="20"/>
          <w:szCs w:val="20"/>
          <w:color w:val="auto"/>
        </w:rPr>
        <w:t>Personal Care</w:t>
      </w:r>
      <w:r>
        <w:rPr>
          <w:sz w:val="20"/>
          <w:szCs w:val="20"/>
          <w:color w:val="auto"/>
        </w:rPr>
        <w:tab/>
      </w:r>
      <w:r>
        <w:rPr>
          <w:rFonts w:ascii="Times New Roman" w:cs="Times New Roman" w:eastAsia="Times New Roman" w:hAnsi="Times New Roman"/>
          <w:sz w:val="20"/>
          <w:szCs w:val="20"/>
          <w:color w:val="auto"/>
        </w:rPr>
        <w:t>5</w:t>
      </w:r>
    </w:p>
    <w:p>
      <w:pPr>
        <w:spacing w:after="0" w:line="46" w:lineRule="exact"/>
        <w:rPr>
          <w:sz w:val="20"/>
          <w:szCs w:val="20"/>
          <w:color w:val="auto"/>
        </w:rPr>
      </w:pPr>
    </w:p>
    <w:p>
      <w:pPr>
        <w:jc w:val="right"/>
        <w:spacing w:after="0"/>
        <w:tabs>
          <w:tab w:leader="dot" w:pos="80" w:val="left"/>
        </w:tabs>
        <w:rPr>
          <w:sz w:val="20"/>
          <w:szCs w:val="20"/>
          <w:color w:val="auto"/>
        </w:rPr>
      </w:pPr>
      <w:r>
        <w:rPr>
          <w:rFonts w:ascii="Times New Roman" w:cs="Times New Roman" w:eastAsia="Times New Roman" w:hAnsi="Times New Roman"/>
          <w:sz w:val="20"/>
          <w:szCs w:val="20"/>
          <w:color w:val="auto"/>
        </w:rPr>
        <w:t>Specialty Additives</w:t>
      </w:r>
      <w:r>
        <w:rPr>
          <w:sz w:val="20"/>
          <w:szCs w:val="20"/>
          <w:color w:val="auto"/>
        </w:rPr>
        <w:tab/>
      </w:r>
      <w:r>
        <w:rPr>
          <w:rFonts w:ascii="Times New Roman" w:cs="Times New Roman" w:eastAsia="Times New Roman" w:hAnsi="Times New Roman"/>
          <w:sz w:val="20"/>
          <w:szCs w:val="20"/>
          <w:color w:val="auto"/>
        </w:rPr>
        <w:t>6</w:t>
      </w:r>
    </w:p>
    <w:p>
      <w:pPr>
        <w:spacing w:after="0" w:line="46" w:lineRule="exact"/>
        <w:rPr>
          <w:sz w:val="20"/>
          <w:szCs w:val="20"/>
          <w:color w:val="auto"/>
        </w:rPr>
      </w:pPr>
    </w:p>
    <w:p>
      <w:pPr>
        <w:jc w:val="right"/>
        <w:spacing w:after="0"/>
        <w:tabs>
          <w:tab w:leader="dot" w:pos="80" w:val="left"/>
        </w:tabs>
        <w:rPr>
          <w:sz w:val="20"/>
          <w:szCs w:val="20"/>
          <w:color w:val="auto"/>
        </w:rPr>
      </w:pPr>
      <w:r>
        <w:rPr>
          <w:rFonts w:ascii="Times New Roman" w:cs="Times New Roman" w:eastAsia="Times New Roman" w:hAnsi="Times New Roman"/>
          <w:sz w:val="20"/>
          <w:szCs w:val="20"/>
          <w:color w:val="auto"/>
        </w:rPr>
        <w:t>Intermediates</w:t>
      </w:r>
      <w:r>
        <w:rPr>
          <w:sz w:val="20"/>
          <w:szCs w:val="20"/>
          <w:color w:val="auto"/>
        </w:rPr>
        <w:tab/>
      </w:r>
      <w:r>
        <w:rPr>
          <w:rFonts w:ascii="Times New Roman" w:cs="Times New Roman" w:eastAsia="Times New Roman" w:hAnsi="Times New Roman"/>
          <w:sz w:val="20"/>
          <w:szCs w:val="20"/>
          <w:color w:val="auto"/>
        </w:rPr>
        <w:t>7</w:t>
      </w:r>
    </w:p>
    <w:p>
      <w:pPr>
        <w:spacing w:after="0" w:line="46" w:lineRule="exact"/>
        <w:rPr>
          <w:sz w:val="20"/>
          <w:szCs w:val="20"/>
          <w:color w:val="auto"/>
        </w:rPr>
      </w:pPr>
    </w:p>
    <w:p>
      <w:pPr>
        <w:jc w:val="right"/>
        <w:spacing w:after="0"/>
        <w:tabs>
          <w:tab w:leader="dot" w:pos="80" w:val="left"/>
        </w:tabs>
        <w:rPr>
          <w:sz w:val="20"/>
          <w:szCs w:val="20"/>
          <w:color w:val="auto"/>
        </w:rPr>
      </w:pPr>
      <w:r>
        <w:rPr>
          <w:rFonts w:ascii="Times New Roman" w:cs="Times New Roman" w:eastAsia="Times New Roman" w:hAnsi="Times New Roman"/>
          <w:sz w:val="20"/>
          <w:szCs w:val="20"/>
          <w:color w:val="auto"/>
        </w:rPr>
        <w:t>Miscellaneous</w:t>
      </w:r>
      <w:r>
        <w:rPr>
          <w:sz w:val="20"/>
          <w:szCs w:val="20"/>
          <w:color w:val="auto"/>
        </w:rPr>
        <w:tab/>
      </w:r>
      <w:r>
        <w:rPr>
          <w:rFonts w:ascii="Times New Roman" w:cs="Times New Roman" w:eastAsia="Times New Roman" w:hAnsi="Times New Roman"/>
          <w:sz w:val="20"/>
          <w:szCs w:val="20"/>
          <w:color w:val="auto"/>
        </w:rPr>
        <w:t>7</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1A. Risk Factors</w:t>
      </w:r>
      <w:r>
        <w:rPr>
          <w:sz w:val="20"/>
          <w:szCs w:val="20"/>
          <w:color w:val="auto"/>
        </w:rPr>
        <w:tab/>
      </w:r>
      <w:r>
        <w:rPr>
          <w:rFonts w:ascii="Times New Roman" w:cs="Times New Roman" w:eastAsia="Times New Roman" w:hAnsi="Times New Roman"/>
          <w:sz w:val="20"/>
          <w:szCs w:val="20"/>
          <w:color w:val="auto"/>
        </w:rPr>
        <w:t>13</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1B. Unresolved Staff Comments</w:t>
      </w:r>
      <w:r>
        <w:rPr>
          <w:sz w:val="20"/>
          <w:szCs w:val="20"/>
          <w:color w:val="auto"/>
        </w:rPr>
        <w:tab/>
      </w:r>
      <w:r>
        <w:rPr>
          <w:rFonts w:ascii="Times New Roman" w:cs="Times New Roman" w:eastAsia="Times New Roman" w:hAnsi="Times New Roman"/>
          <w:sz w:val="20"/>
          <w:szCs w:val="20"/>
          <w:color w:val="auto"/>
        </w:rPr>
        <w:t>22</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1C. Cybersecurity</w:t>
      </w:r>
      <w:r>
        <w:rPr>
          <w:sz w:val="20"/>
          <w:szCs w:val="20"/>
          <w:color w:val="auto"/>
        </w:rPr>
        <w:tab/>
      </w:r>
      <w:r>
        <w:rPr>
          <w:rFonts w:ascii="Times New Roman" w:cs="Times New Roman" w:eastAsia="Times New Roman" w:hAnsi="Times New Roman"/>
          <w:sz w:val="20"/>
          <w:szCs w:val="20"/>
          <w:color w:val="auto"/>
        </w:rPr>
        <w:t>22</w:t>
      </w:r>
    </w:p>
    <w:p>
      <w:pPr>
        <w:spacing w:after="0" w:line="46" w:lineRule="exact"/>
        <w:rPr>
          <w:sz w:val="20"/>
          <w:szCs w:val="20"/>
          <w:color w:val="auto"/>
        </w:rPr>
      </w:pPr>
    </w:p>
    <w:p>
      <w:pPr>
        <w:ind w:left="920"/>
        <w:spacing w:after="0"/>
        <w:tabs>
          <w:tab w:leader="none" w:pos="1720" w:val="left"/>
          <w:tab w:leader="dot" w:pos="10020" w:val="left"/>
        </w:tabs>
        <w:rPr>
          <w:sz w:val="20"/>
          <w:szCs w:val="20"/>
          <w:color w:val="auto"/>
        </w:rPr>
      </w:pPr>
      <w:r>
        <w:rPr>
          <w:rFonts w:ascii="Times New Roman" w:cs="Times New Roman" w:eastAsia="Times New Roman" w:hAnsi="Times New Roman"/>
          <w:sz w:val="20"/>
          <w:szCs w:val="20"/>
          <w:color w:val="auto"/>
        </w:rPr>
        <w:t>Item 2.</w:t>
        <w:tab/>
        <w:t>Properties</w:t>
      </w:r>
      <w:r>
        <w:rPr>
          <w:sz w:val="20"/>
          <w:szCs w:val="20"/>
          <w:color w:val="auto"/>
        </w:rPr>
        <w:tab/>
      </w:r>
      <w:r>
        <w:rPr>
          <w:rFonts w:ascii="Times New Roman" w:cs="Times New Roman" w:eastAsia="Times New Roman" w:hAnsi="Times New Roman"/>
          <w:sz w:val="20"/>
          <w:szCs w:val="20"/>
          <w:color w:val="auto"/>
        </w:rPr>
        <w:t>23</w:t>
      </w:r>
    </w:p>
    <w:p>
      <w:pPr>
        <w:spacing w:after="0" w:line="46" w:lineRule="exact"/>
        <w:rPr>
          <w:sz w:val="20"/>
          <w:szCs w:val="20"/>
          <w:color w:val="auto"/>
        </w:rPr>
      </w:pPr>
    </w:p>
    <w:p>
      <w:pPr>
        <w:ind w:left="920"/>
        <w:spacing w:after="0"/>
        <w:tabs>
          <w:tab w:leader="none" w:pos="1720" w:val="left"/>
          <w:tab w:leader="dot" w:pos="10020" w:val="left"/>
        </w:tabs>
        <w:rPr>
          <w:sz w:val="20"/>
          <w:szCs w:val="20"/>
          <w:color w:val="auto"/>
        </w:rPr>
      </w:pPr>
      <w:r>
        <w:rPr>
          <w:rFonts w:ascii="Times New Roman" w:cs="Times New Roman" w:eastAsia="Times New Roman" w:hAnsi="Times New Roman"/>
          <w:sz w:val="20"/>
          <w:szCs w:val="20"/>
          <w:color w:val="auto"/>
        </w:rPr>
        <w:t>Item 3.</w:t>
        <w:tab/>
        <w:t>Legal Proceedings</w:t>
      </w:r>
      <w:r>
        <w:rPr>
          <w:sz w:val="20"/>
          <w:szCs w:val="20"/>
          <w:color w:val="auto"/>
        </w:rPr>
        <w:tab/>
      </w:r>
      <w:r>
        <w:rPr>
          <w:rFonts w:ascii="Times New Roman" w:cs="Times New Roman" w:eastAsia="Times New Roman" w:hAnsi="Times New Roman"/>
          <w:sz w:val="20"/>
          <w:szCs w:val="20"/>
          <w:color w:val="auto"/>
        </w:rPr>
        <w:t>23</w:t>
      </w:r>
    </w:p>
    <w:p>
      <w:pPr>
        <w:spacing w:after="0" w:line="46" w:lineRule="exact"/>
        <w:rPr>
          <w:sz w:val="20"/>
          <w:szCs w:val="20"/>
          <w:color w:val="auto"/>
        </w:rPr>
      </w:pPr>
    </w:p>
    <w:p>
      <w:pPr>
        <w:ind w:left="920"/>
        <w:spacing w:after="0"/>
        <w:tabs>
          <w:tab w:leader="none" w:pos="1720" w:val="left"/>
          <w:tab w:leader="dot" w:pos="10020" w:val="left"/>
        </w:tabs>
        <w:rPr>
          <w:sz w:val="20"/>
          <w:szCs w:val="20"/>
          <w:color w:val="auto"/>
        </w:rPr>
      </w:pPr>
      <w:r>
        <w:rPr>
          <w:rFonts w:ascii="Times New Roman" w:cs="Times New Roman" w:eastAsia="Times New Roman" w:hAnsi="Times New Roman"/>
          <w:sz w:val="20"/>
          <w:szCs w:val="20"/>
          <w:color w:val="auto"/>
        </w:rPr>
        <w:t>Item 4.</w:t>
        <w:tab/>
        <w:t>Mine Safety Disclosures</w:t>
      </w:r>
      <w:r>
        <w:rPr>
          <w:sz w:val="20"/>
          <w:szCs w:val="20"/>
          <w:color w:val="auto"/>
        </w:rPr>
        <w:tab/>
      </w:r>
      <w:r>
        <w:rPr>
          <w:rFonts w:ascii="Times New Roman" w:cs="Times New Roman" w:eastAsia="Times New Roman" w:hAnsi="Times New Roman"/>
          <w:sz w:val="20"/>
          <w:szCs w:val="20"/>
          <w:color w:val="auto"/>
        </w:rPr>
        <w:t>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50" w:lineRule="exact"/>
        <w:rPr>
          <w:sz w:val="20"/>
          <w:szCs w:val="20"/>
          <w:color w:val="auto"/>
        </w:rPr>
      </w:pPr>
    </w:p>
    <w:p>
      <w:pPr>
        <w:ind w:left="920"/>
        <w:spacing w:after="0"/>
        <w:tabs>
          <w:tab w:leader="none" w:pos="1720" w:val="left"/>
        </w:tabs>
        <w:rPr>
          <w:sz w:val="20"/>
          <w:szCs w:val="20"/>
          <w:color w:val="auto"/>
        </w:rPr>
      </w:pPr>
      <w:r>
        <w:rPr>
          <w:rFonts w:ascii="Times New Roman" w:cs="Times New Roman" w:eastAsia="Times New Roman" w:hAnsi="Times New Roman"/>
          <w:sz w:val="20"/>
          <w:szCs w:val="20"/>
          <w:color w:val="auto"/>
        </w:rPr>
        <w:t>Item 5.</w:t>
        <w:tab/>
        <w:t>Market for Registrant’s Common Equity, Related Stockholder Matters and Issuer Purchases of</w:t>
      </w:r>
    </w:p>
    <w:p>
      <w:pPr>
        <w:spacing w:after="0" w:line="46" w:lineRule="exact"/>
        <w:rPr>
          <w:sz w:val="20"/>
          <w:szCs w:val="20"/>
          <w:color w:val="auto"/>
        </w:rPr>
      </w:pPr>
    </w:p>
    <w:p>
      <w:pPr>
        <w:jc w:val="right"/>
        <w:spacing w:after="0"/>
        <w:tabs>
          <w:tab w:leader="dot" w:pos="18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25</w:t>
      </w:r>
    </w:p>
    <w:p>
      <w:pPr>
        <w:spacing w:after="0" w:line="46" w:lineRule="exact"/>
        <w:rPr>
          <w:sz w:val="20"/>
          <w:szCs w:val="20"/>
          <w:color w:val="auto"/>
        </w:rPr>
      </w:pPr>
    </w:p>
    <w:p>
      <w:pPr>
        <w:ind w:left="920"/>
        <w:spacing w:after="0"/>
        <w:tabs>
          <w:tab w:leader="none" w:pos="1720" w:val="left"/>
          <w:tab w:leader="dot" w:pos="10020" w:val="left"/>
        </w:tabs>
        <w:rPr>
          <w:sz w:val="20"/>
          <w:szCs w:val="20"/>
          <w:color w:val="auto"/>
        </w:rPr>
      </w:pPr>
      <w:r>
        <w:rPr>
          <w:rFonts w:ascii="Times New Roman" w:cs="Times New Roman" w:eastAsia="Times New Roman" w:hAnsi="Times New Roman"/>
          <w:sz w:val="20"/>
          <w:szCs w:val="20"/>
          <w:color w:val="auto"/>
        </w:rPr>
        <w:t>Item 6.</w:t>
        <w:tab/>
        <w:t>[Reserved]</w:t>
      </w:r>
      <w:r>
        <w:rPr>
          <w:sz w:val="20"/>
          <w:szCs w:val="20"/>
          <w:color w:val="auto"/>
        </w:rPr>
        <w:tab/>
      </w:r>
      <w:r>
        <w:rPr>
          <w:rFonts w:ascii="Times New Roman" w:cs="Times New Roman" w:eastAsia="Times New Roman" w:hAnsi="Times New Roman"/>
          <w:sz w:val="20"/>
          <w:szCs w:val="20"/>
          <w:color w:val="auto"/>
        </w:rPr>
        <w:t>26</w:t>
      </w:r>
    </w:p>
    <w:p>
      <w:pPr>
        <w:spacing w:after="0" w:line="46" w:lineRule="exact"/>
        <w:rPr>
          <w:sz w:val="20"/>
          <w:szCs w:val="20"/>
          <w:color w:val="auto"/>
        </w:rPr>
      </w:pPr>
    </w:p>
    <w:p>
      <w:pPr>
        <w:ind w:left="920"/>
        <w:spacing w:after="0"/>
        <w:tabs>
          <w:tab w:leader="none" w:pos="1720" w:val="left"/>
          <w:tab w:leader="dot" w:pos="1002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w:t>
      </w:r>
      <w:r>
        <w:rPr>
          <w:sz w:val="20"/>
          <w:szCs w:val="20"/>
          <w:color w:val="auto"/>
        </w:rPr>
        <w:tab/>
      </w:r>
      <w:r>
        <w:rPr>
          <w:rFonts w:ascii="Times New Roman" w:cs="Times New Roman" w:eastAsia="Times New Roman" w:hAnsi="Times New Roman"/>
          <w:sz w:val="20"/>
          <w:szCs w:val="20"/>
          <w:color w:val="auto"/>
        </w:rPr>
        <w:t>26</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r>
        <w:rPr>
          <w:sz w:val="20"/>
          <w:szCs w:val="20"/>
          <w:color w:val="auto"/>
        </w:rPr>
        <w:tab/>
      </w:r>
      <w:r>
        <w:rPr>
          <w:rFonts w:ascii="Times New Roman" w:cs="Times New Roman" w:eastAsia="Times New Roman" w:hAnsi="Times New Roman"/>
          <w:sz w:val="20"/>
          <w:szCs w:val="20"/>
          <w:color w:val="auto"/>
        </w:rPr>
        <w:t>26</w:t>
      </w:r>
    </w:p>
    <w:p>
      <w:pPr>
        <w:spacing w:after="0" w:line="46" w:lineRule="exact"/>
        <w:rPr>
          <w:sz w:val="20"/>
          <w:szCs w:val="20"/>
          <w:color w:val="auto"/>
        </w:rPr>
      </w:pPr>
    </w:p>
    <w:p>
      <w:pPr>
        <w:ind w:left="920"/>
        <w:spacing w:after="0"/>
        <w:tabs>
          <w:tab w:leader="none" w:pos="1720" w:val="left"/>
          <w:tab w:leader="dot" w:pos="10020" w:val="left"/>
        </w:tabs>
        <w:rPr>
          <w:sz w:val="20"/>
          <w:szCs w:val="20"/>
          <w:color w:val="auto"/>
        </w:rPr>
      </w:pPr>
      <w:r>
        <w:rPr>
          <w:rFonts w:ascii="Times New Roman" w:cs="Times New Roman" w:eastAsia="Times New Roman" w:hAnsi="Times New Roman"/>
          <w:sz w:val="20"/>
          <w:szCs w:val="20"/>
          <w:color w:val="auto"/>
        </w:rPr>
        <w:t>Item 8.</w:t>
        <w:tab/>
        <w:t>Financial Statements and Supplementary Data</w:t>
      </w:r>
      <w:r>
        <w:rPr>
          <w:sz w:val="20"/>
          <w:szCs w:val="20"/>
          <w:color w:val="auto"/>
        </w:rPr>
        <w:tab/>
      </w:r>
      <w:r>
        <w:rPr>
          <w:rFonts w:ascii="Times New Roman" w:cs="Times New Roman" w:eastAsia="Times New Roman" w:hAnsi="Times New Roman"/>
          <w:sz w:val="20"/>
          <w:szCs w:val="20"/>
          <w:color w:val="auto"/>
        </w:rPr>
        <w:t>26</w:t>
      </w:r>
    </w:p>
    <w:p>
      <w:pPr>
        <w:spacing w:after="0" w:line="46" w:lineRule="exact"/>
        <w:rPr>
          <w:sz w:val="20"/>
          <w:szCs w:val="20"/>
          <w:color w:val="auto"/>
        </w:rPr>
      </w:pPr>
    </w:p>
    <w:p>
      <w:pPr>
        <w:ind w:left="920"/>
        <w:spacing w:after="0"/>
        <w:tabs>
          <w:tab w:leader="none" w:pos="1720" w:val="left"/>
          <w:tab w:leader="dot" w:pos="1002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26</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9A. Controls and Procedures</w:t>
      </w:r>
      <w:r>
        <w:rPr>
          <w:sz w:val="20"/>
          <w:szCs w:val="20"/>
          <w:color w:val="auto"/>
        </w:rPr>
        <w:tab/>
      </w:r>
      <w:r>
        <w:rPr>
          <w:rFonts w:ascii="Times New Roman" w:cs="Times New Roman" w:eastAsia="Times New Roman" w:hAnsi="Times New Roman"/>
          <w:sz w:val="20"/>
          <w:szCs w:val="20"/>
          <w:color w:val="auto"/>
        </w:rPr>
        <w:t>26</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9B. Other Information</w:t>
      </w:r>
      <w:r>
        <w:rPr>
          <w:sz w:val="20"/>
          <w:szCs w:val="20"/>
          <w:color w:val="auto"/>
        </w:rPr>
        <w:tab/>
      </w:r>
      <w:r>
        <w:rPr>
          <w:rFonts w:ascii="Times New Roman" w:cs="Times New Roman" w:eastAsia="Times New Roman" w:hAnsi="Times New Roman"/>
          <w:sz w:val="20"/>
          <w:szCs w:val="20"/>
          <w:color w:val="auto"/>
        </w:rPr>
        <w:t>26</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27</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50"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10.  Directors, Executive Officers and Corporate Governance</w:t>
      </w:r>
      <w:r>
        <w:rPr>
          <w:sz w:val="20"/>
          <w:szCs w:val="20"/>
          <w:color w:val="auto"/>
        </w:rPr>
        <w:tab/>
      </w:r>
      <w:r>
        <w:rPr>
          <w:rFonts w:ascii="Times New Roman" w:cs="Times New Roman" w:eastAsia="Times New Roman" w:hAnsi="Times New Roman"/>
          <w:sz w:val="20"/>
          <w:szCs w:val="20"/>
          <w:color w:val="auto"/>
        </w:rPr>
        <w:t>28</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11.  Executive Compensation</w:t>
      </w:r>
      <w:r>
        <w:rPr>
          <w:sz w:val="20"/>
          <w:szCs w:val="20"/>
          <w:color w:val="auto"/>
        </w:rPr>
        <w:tab/>
      </w:r>
      <w:r>
        <w:rPr>
          <w:rFonts w:ascii="Times New Roman" w:cs="Times New Roman" w:eastAsia="Times New Roman" w:hAnsi="Times New Roman"/>
          <w:sz w:val="20"/>
          <w:szCs w:val="20"/>
          <w:color w:val="auto"/>
        </w:rPr>
        <w:t>28</w:t>
      </w:r>
    </w:p>
    <w:p>
      <w:pPr>
        <w:spacing w:after="0" w:line="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12.  Matters</w:t>
      </w:r>
      <w:r>
        <w:rPr>
          <w:sz w:val="20"/>
          <w:szCs w:val="20"/>
          <w:color w:val="auto"/>
        </w:rPr>
        <w:tab/>
      </w:r>
      <w:r>
        <w:rPr>
          <w:rFonts w:ascii="Times New Roman" w:cs="Times New Roman" w:eastAsia="Times New Roman" w:hAnsi="Times New Roman"/>
          <w:sz w:val="20"/>
          <w:szCs w:val="20"/>
          <w:color w:val="auto"/>
        </w:rPr>
        <w:t>28</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29</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14.  Principal Accountant Fees and Services</w:t>
      </w:r>
      <w:r>
        <w:rPr>
          <w:sz w:val="20"/>
          <w:szCs w:val="20"/>
          <w:color w:val="auto"/>
        </w:rPr>
        <w:tab/>
      </w:r>
      <w:r>
        <w:rPr>
          <w:rFonts w:ascii="Times New Roman" w:cs="Times New Roman" w:eastAsia="Times New Roman" w:hAnsi="Times New Roman"/>
          <w:sz w:val="20"/>
          <w:szCs w:val="20"/>
          <w:color w:val="auto"/>
        </w:rPr>
        <w:t>29</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50"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15.  Exhibits and Financial Statement Schedules</w:t>
      </w:r>
      <w:r>
        <w:rPr>
          <w:sz w:val="20"/>
          <w:szCs w:val="20"/>
          <w:color w:val="auto"/>
        </w:rPr>
        <w:tab/>
      </w:r>
      <w:r>
        <w:rPr>
          <w:rFonts w:ascii="Times New Roman" w:cs="Times New Roman" w:eastAsia="Times New Roman" w:hAnsi="Times New Roman"/>
          <w:sz w:val="20"/>
          <w:szCs w:val="20"/>
          <w:color w:val="auto"/>
        </w:rPr>
        <w:t>30</w:t>
      </w:r>
    </w:p>
    <w:p>
      <w:pPr>
        <w:spacing w:after="0" w:line="46" w:lineRule="exact"/>
        <w:rPr>
          <w:sz w:val="20"/>
          <w:szCs w:val="20"/>
          <w:color w:val="auto"/>
        </w:rPr>
      </w:pPr>
    </w:p>
    <w:p>
      <w:pPr>
        <w:ind w:left="920"/>
        <w:spacing w:after="0"/>
        <w:tabs>
          <w:tab w:leader="dot" w:pos="10020" w:val="left"/>
        </w:tabs>
        <w:rPr>
          <w:sz w:val="20"/>
          <w:szCs w:val="20"/>
          <w:color w:val="auto"/>
        </w:rPr>
      </w:pPr>
      <w:r>
        <w:rPr>
          <w:rFonts w:ascii="Times New Roman" w:cs="Times New Roman" w:eastAsia="Times New Roman" w:hAnsi="Times New Roman"/>
          <w:sz w:val="20"/>
          <w:szCs w:val="20"/>
          <w:color w:val="auto"/>
        </w:rPr>
        <w:t>Item 16.  Form 10-K Summary</w:t>
      </w:r>
      <w:r>
        <w:rPr>
          <w:sz w:val="20"/>
          <w:szCs w:val="20"/>
          <w:color w:val="auto"/>
        </w:rPr>
        <w:tab/>
      </w:r>
      <w:r>
        <w:rPr>
          <w:rFonts w:ascii="Times New Roman" w:cs="Times New Roman" w:eastAsia="Times New Roman" w:hAnsi="Times New Roman"/>
          <w:sz w:val="20"/>
          <w:szCs w:val="20"/>
          <w:color w:val="auto"/>
        </w:rPr>
        <w:t>38</w:t>
      </w:r>
    </w:p>
    <w:p>
      <w:pPr>
        <w:sectPr>
          <w:pgSz w:w="12240" w:h="15840" w:orient="portrait"/>
          <w:cols w:equalWidth="0" w:num="1">
            <w:col w:w="10240"/>
          </w:cols>
          <w:pgMar w:left="1000" w:top="970" w:right="100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Inc. is a global additives and specialty ingredients company with a conscious and proactive mindset for sustainability. Our common stock is listed on the New York Stock Exchange (“NYSE”) under the ticker symbol “ASH”. The terms “Ashland,” the “Company,” “we” and “our” used herein refer to Ashland Inc., a Delaware Corporation, and its predecessors, and its consolidated subsidiaries, except where the context indicates otherwise.</w:t>
      </w:r>
    </w:p>
    <w:p>
      <w:pPr>
        <w:spacing w:after="0" w:line="74"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The Company serves customers in a wide range of consumer and industrial markets including, architectural coatings, construction, energy, food and beverage, personal care and pharmaceutical. With approximately 2,900 employees worldwide, Ashland serves customers in more than 100 countries.</w:t>
      </w:r>
    </w:p>
    <w:p>
      <w:pPr>
        <w:spacing w:after="0" w:line="68"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Ashland’s reportable operating segments ("reportable segments") include: Life Sciences; Personal Care; Specialty Additives; and Intermediates. Unallocated and Other includes corporate governance activities and certain legacy matters.</w:t>
      </w:r>
    </w:p>
    <w:p>
      <w:pPr>
        <w:spacing w:after="0" w:line="49"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manufacturers. The nutraceuticals business was sold in August 2024.</w:t>
      </w:r>
    </w:p>
    <w:p>
      <w:pPr>
        <w:spacing w:after="0" w:line="77"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80"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spacing w:after="0" w:line="82"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reportable segments for use as a raw material.</w:t>
      </w:r>
    </w:p>
    <w:p>
      <w:pPr>
        <w:spacing w:after="0" w:line="77" w:lineRule="exact"/>
        <w:rPr>
          <w:sz w:val="20"/>
          <w:szCs w:val="20"/>
          <w:color w:val="auto"/>
        </w:rPr>
      </w:pPr>
    </w:p>
    <w:p>
      <w:pPr>
        <w:ind w:right="20" w:firstLine="360"/>
        <w:spacing w:after="0" w:line="355" w:lineRule="auto"/>
        <w:rPr>
          <w:sz w:val="20"/>
          <w:szCs w:val="20"/>
          <w:color w:val="auto"/>
        </w:rPr>
      </w:pPr>
      <w:r>
        <w:rPr>
          <w:rFonts w:ascii="Times New Roman" w:cs="Times New Roman" w:eastAsia="Times New Roman" w:hAnsi="Times New Roman"/>
          <w:sz w:val="19"/>
          <w:szCs w:val="19"/>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40"/>
          </w:cols>
          <w:pgMar w:left="1000" w:top="926" w:right="1000" w:bottom="175" w:gutter="0" w:footer="0" w:header="0"/>
          <w:type w:val="continuous"/>
        </w:sectPr>
      </w:pPr>
    </w:p>
    <w:bookmarkStart w:id="22" w:name="page23"/>
    <w:bookmarkEnd w:id="22"/>
    <w:p>
      <w:pPr>
        <w:ind w:left="360"/>
        <w:spacing w:after="0"/>
        <w:rPr>
          <w:sz w:val="20"/>
          <w:szCs w:val="20"/>
          <w:color w:val="auto"/>
        </w:rPr>
      </w:pPr>
      <w:r>
        <w:rPr>
          <w:rFonts w:ascii="Times New Roman" w:cs="Times New Roman" w:eastAsia="Times New Roman" w:hAnsi="Times New Roman"/>
          <w:sz w:val="20"/>
          <w:szCs w:val="20"/>
          <w:color w:val="auto"/>
        </w:rPr>
        <w:t>Available Information -</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principal executive offices are located at 8145 Blazer Drive, Wilmington, Delaware 19808.</w:t>
      </w:r>
    </w:p>
    <w:p>
      <w:pPr>
        <w:spacing w:after="0" w:line="166" w:lineRule="exact"/>
        <w:rPr>
          <w:sz w:val="20"/>
          <w:szCs w:val="20"/>
          <w:color w:val="auto"/>
        </w:rPr>
      </w:pPr>
    </w:p>
    <w:p>
      <w:pPr>
        <w:ind w:firstLine="360"/>
        <w:spacing w:after="0" w:line="325" w:lineRule="auto"/>
        <w:rPr>
          <w:sz w:val="20"/>
          <w:szCs w:val="20"/>
          <w:color w:val="auto"/>
        </w:rPr>
      </w:pPr>
      <w:r>
        <w:rPr>
          <w:rFonts w:ascii="Times New Roman" w:cs="Times New Roman" w:eastAsia="Times New Roman" w:hAnsi="Times New Roman"/>
          <w:sz w:val="20"/>
          <w:szCs w:val="20"/>
          <w:color w:val="auto"/>
        </w:rPr>
        <w:t xml:space="preserve">On the Investor Relations section of our website, </w:t>
      </w:r>
      <w:r>
        <w:rPr>
          <w:rFonts w:ascii="Times New Roman" w:cs="Times New Roman" w:eastAsia="Times New Roman" w:hAnsi="Times New Roman"/>
          <w:sz w:val="20"/>
          <w:szCs w:val="20"/>
          <w:i w:val="1"/>
          <w:iCs w:val="1"/>
          <w:color w:val="auto"/>
        </w:rPr>
        <w:t>www.ashland.com</w:t>
      </w:r>
      <w:r>
        <w:rPr>
          <w:rFonts w:ascii="Times New Roman" w:cs="Times New Roman" w:eastAsia="Times New Roman" w:hAnsi="Times New Roman"/>
          <w:sz w:val="20"/>
          <w:szCs w:val="20"/>
          <w:color w:val="auto"/>
        </w:rPr>
        <w:t>, you may obtain additional information about us, free of charge, including:</w:t>
      </w:r>
    </w:p>
    <w:p>
      <w:pPr>
        <w:spacing w:after="0" w:line="64" w:lineRule="exact"/>
        <w:rPr>
          <w:sz w:val="20"/>
          <w:szCs w:val="20"/>
          <w:color w:val="auto"/>
        </w:rPr>
      </w:pPr>
    </w:p>
    <w:p>
      <w:pPr>
        <w:jc w:val="both"/>
        <w:ind w:left="980" w:hanging="497"/>
        <w:spacing w:after="0" w:line="252"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and other documents as soon as reasonably practicable after we file them with or furnish them to the Securities and Exchange Commission ("SEC");</w:t>
      </w:r>
    </w:p>
    <w:p>
      <w:pPr>
        <w:ind w:left="980" w:hanging="497"/>
        <w:spacing w:after="0" w:line="247"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beneficial ownership reports filed by officers, directors, and principal security holders under Section 16(a) of the Securities exchange Act of 1934, as amended (or the “Exchange Act”); and</w:t>
      </w:r>
    </w:p>
    <w:p>
      <w:pPr>
        <w:ind w:left="980" w:right="5100" w:hanging="497"/>
        <w:spacing w:after="0" w:line="254"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corporate governance information that includes our: </w:t>
      </w:r>
      <w:r>
        <w:rPr>
          <w:rFonts w:ascii="Arial" w:cs="Arial" w:eastAsia="Arial" w:hAnsi="Arial"/>
          <w:sz w:val="20"/>
          <w:szCs w:val="20"/>
          <w:color w:val="auto"/>
        </w:rPr>
        <w:t xml:space="preserve">R </w:t>
      </w:r>
      <w:r>
        <w:rPr>
          <w:rFonts w:ascii="Times New Roman" w:cs="Times New Roman" w:eastAsia="Times New Roman" w:hAnsi="Times New Roman"/>
          <w:sz w:val="20"/>
          <w:szCs w:val="20"/>
          <w:color w:val="auto"/>
        </w:rPr>
        <w:t>corporate governance guidelines,</w:t>
      </w:r>
    </w:p>
    <w:p>
      <w:pPr>
        <w:ind w:left="980"/>
        <w:spacing w:after="0"/>
        <w:rPr>
          <w:rFonts w:ascii="Arial" w:cs="Arial" w:eastAsia="Arial" w:hAnsi="Arial"/>
          <w:sz w:val="20"/>
          <w:szCs w:val="20"/>
          <w:color w:val="auto"/>
        </w:rPr>
      </w:pPr>
      <w:r>
        <w:rPr>
          <w:rFonts w:ascii="Arial" w:cs="Arial" w:eastAsia="Arial" w:hAnsi="Arial"/>
          <w:sz w:val="20"/>
          <w:szCs w:val="20"/>
          <w:color w:val="auto"/>
        </w:rPr>
        <w:t>R</w:t>
      </w:r>
      <w:r>
        <w:rPr>
          <w:rFonts w:ascii="Times New Roman" w:cs="Times New Roman" w:eastAsia="Times New Roman" w:hAnsi="Times New Roman"/>
          <w:sz w:val="20"/>
          <w:szCs w:val="20"/>
          <w:color w:val="auto"/>
        </w:rPr>
        <w:t>audit committee charter,</w:t>
      </w:r>
    </w:p>
    <w:p>
      <w:pPr>
        <w:spacing w:after="0" w:line="14"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R</w:t>
      </w:r>
      <w:r>
        <w:rPr>
          <w:rFonts w:ascii="Times New Roman" w:cs="Times New Roman" w:eastAsia="Times New Roman" w:hAnsi="Times New Roman"/>
          <w:sz w:val="19"/>
          <w:szCs w:val="19"/>
          <w:color w:val="auto"/>
        </w:rPr>
        <w:t>compensation committee charter,</w:t>
      </w:r>
    </w:p>
    <w:p>
      <w:pPr>
        <w:spacing w:after="0" w:line="16" w:lineRule="exact"/>
        <w:rPr>
          <w:rFonts w:ascii="Arial" w:cs="Arial" w:eastAsia="Arial" w:hAnsi="Arial"/>
          <w:sz w:val="20"/>
          <w:szCs w:val="20"/>
          <w:color w:val="auto"/>
        </w:rPr>
      </w:pPr>
    </w:p>
    <w:p>
      <w:pPr>
        <w:ind w:left="980" w:right="3960"/>
        <w:spacing w:after="0" w:line="254" w:lineRule="auto"/>
        <w:rPr>
          <w:rFonts w:ascii="Arial" w:cs="Arial" w:eastAsia="Arial" w:hAnsi="Arial"/>
          <w:sz w:val="20"/>
          <w:szCs w:val="20"/>
          <w:color w:val="auto"/>
        </w:rPr>
      </w:pPr>
      <w:r>
        <w:rPr>
          <w:rFonts w:ascii="Arial" w:cs="Arial" w:eastAsia="Arial" w:hAnsi="Arial"/>
          <w:sz w:val="20"/>
          <w:szCs w:val="20"/>
          <w:color w:val="auto"/>
        </w:rPr>
        <w:t xml:space="preserve">R </w:t>
      </w:r>
      <w:r>
        <w:rPr>
          <w:rFonts w:ascii="Times New Roman" w:cs="Times New Roman" w:eastAsia="Times New Roman" w:hAnsi="Times New Roman"/>
          <w:sz w:val="20"/>
          <w:szCs w:val="20"/>
          <w:color w:val="auto"/>
        </w:rPr>
        <w:t>environmental, health, safety and quality committee charter,</w:t>
      </w:r>
      <w:r>
        <w:rPr>
          <w:rFonts w:ascii="Arial" w:cs="Arial" w:eastAsia="Arial" w:hAnsi="Arial"/>
          <w:sz w:val="20"/>
          <w:szCs w:val="20"/>
          <w:color w:val="auto"/>
        </w:rPr>
        <w:t xml:space="preserve"> R </w:t>
      </w:r>
      <w:r>
        <w:rPr>
          <w:rFonts w:ascii="Times New Roman" w:cs="Times New Roman" w:eastAsia="Times New Roman" w:hAnsi="Times New Roman"/>
          <w:sz w:val="20"/>
          <w:szCs w:val="20"/>
          <w:color w:val="auto"/>
        </w:rPr>
        <w:t>governance and nominating committee charter, and</w:t>
      </w:r>
    </w:p>
    <w:p>
      <w:pPr>
        <w:ind w:left="980"/>
        <w:spacing w:after="0"/>
        <w:rPr>
          <w:rFonts w:ascii="Arial" w:cs="Arial" w:eastAsia="Arial" w:hAnsi="Arial"/>
          <w:sz w:val="20"/>
          <w:szCs w:val="20"/>
          <w:color w:val="auto"/>
        </w:rPr>
      </w:pPr>
      <w:r>
        <w:rPr>
          <w:rFonts w:ascii="Arial" w:cs="Arial" w:eastAsia="Arial" w:hAnsi="Arial"/>
          <w:sz w:val="20"/>
          <w:szCs w:val="20"/>
          <w:color w:val="auto"/>
        </w:rPr>
        <w:t>R</w:t>
      </w:r>
      <w:r>
        <w:rPr>
          <w:rFonts w:ascii="Times New Roman" w:cs="Times New Roman" w:eastAsia="Times New Roman" w:hAnsi="Times New Roman"/>
          <w:sz w:val="19"/>
          <w:szCs w:val="19"/>
          <w:color w:val="auto"/>
        </w:rPr>
        <w:t>director independence standards.</w:t>
      </w:r>
    </w:p>
    <w:p>
      <w:pPr>
        <w:spacing w:after="0" w:line="10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We also provide printed copies of any of these documents to any stockholder free of charge upon request. The SEC also maintains a website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that contains reports, proxy and information statements and other information that is filed electronically with the SEC.</w:t>
      </w:r>
    </w:p>
    <w:p>
      <w:pPr>
        <w:spacing w:after="0" w:line="3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LIFE SCIENCES</w:t>
      </w:r>
    </w:p>
    <w:p>
      <w:pPr>
        <w:spacing w:after="0" w:line="170"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Life Sciences is a leading supplier of excipients and tablet coating systems to the pharmaceutical and nutrition industries. Excipients include a comprehensive range of polymers for use as tablet binders, super disintegrants, sustained-release agents and drug solubilizers, as well as a variety of coating formulations for immediate, delayed, and sustained release applications. Core products include cellulosics and vinyl pyrrolidone polymers which are used primarily in oral solid dosage drug formulations. Its nutrition portfolio provides functional benefits in areas such as thickening, texture control, thermal gelation, structure enhancement, water binding, clarification and stabilization. Its core products include cellulose gums and vinyl pyrrolidone polymers which are used in a wide range of offerings for bakery, beverage, dairy, desserts, meat products, pet food, prepared foods, sauces and savory products.</w:t>
      </w:r>
    </w:p>
    <w:p>
      <w:pPr>
        <w:spacing w:after="0" w:line="82"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Life Sciences operates throughout the Americas, Europe and Asia Pacific. It has 11 manufacturing and lab facilities in nine countries which serve its various end markets. It has manufacturing facilities and labs in the United States in Wilmington, Delaware and Bridgewater Township, New Jersey; and internationally in Brazil; China; Germany; India; Ireland; Mexico; Thailand; and Turkey.</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Life Science markets and distributes its products in the Americas, Europe, the Middle East, Africa and Asia Pacific.</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 fiscal 2025, the following Life Sciences product categories were 10% or greater of Ashland’s total consolidated sales: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highlight w:val="white"/>
                <w:w w:val="98"/>
              </w:rPr>
              <w:t>Product</w:t>
            </w:r>
          </w:p>
        </w:tc>
        <w:tc>
          <w:tcPr>
            <w:tcW w:w="202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highlight w:val="white"/>
              </w:rPr>
              <w:t>% of Life Sciences sales</w:t>
            </w:r>
          </w:p>
        </w:tc>
        <w:tc>
          <w:tcPr>
            <w:tcW w:w="3520" w:type="dxa"/>
            <w:vAlign w:val="bottom"/>
            <w:tcBorders>
              <w:top w:val="single" w:sz="8" w:color="auto"/>
              <w:bottom w:val="single" w:sz="8" w:color="auto"/>
            </w:tcBorders>
            <w:gridSpan w:val="3"/>
          </w:tcPr>
          <w:p>
            <w:pPr>
              <w:ind w:left="800"/>
              <w:spacing w:after="0"/>
              <w:rPr>
                <w:sz w:val="20"/>
                <w:szCs w:val="20"/>
                <w:color w:val="auto"/>
              </w:rPr>
            </w:pPr>
            <w:r>
              <w:rPr>
                <w:rFonts w:ascii="Times New Roman" w:cs="Times New Roman" w:eastAsia="Times New Roman" w:hAnsi="Times New Roman"/>
                <w:sz w:val="20"/>
                <w:szCs w:val="20"/>
                <w:b w:val="1"/>
                <w:bCs w:val="1"/>
                <w:color w:val="auto"/>
                <w:w w:val="98"/>
              </w:rPr>
              <w:t xml:space="preserve">% of Ashland total </w:t>
            </w:r>
            <w:r>
              <w:rPr>
                <w:rFonts w:ascii="Times New Roman" w:cs="Times New Roman" w:eastAsia="Times New Roman" w:hAnsi="Times New Roman"/>
                <w:sz w:val="20"/>
                <w:szCs w:val="20"/>
                <w:b w:val="1"/>
                <w:bCs w:val="1"/>
                <w:color w:val="auto"/>
                <w:highlight w:val="white"/>
                <w:w w:val="98"/>
              </w:rPr>
              <w:t>consolidated</w:t>
            </w:r>
          </w:p>
        </w:tc>
        <w:tc>
          <w:tcPr>
            <w:tcW w:w="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highlight w:val="white"/>
                <w:w w:val="94"/>
              </w:rPr>
              <w:t>sales</w:t>
            </w:r>
          </w:p>
        </w:tc>
        <w:tc>
          <w:tcPr>
            <w:tcW w:w="140" w:type="dxa"/>
            <w:vAlign w:val="bottom"/>
            <w:tcBorders>
              <w:top w:val="single" w:sz="8" w:color="auto"/>
              <w:bottom w:val="single" w:sz="8" w:color="auto"/>
            </w:tcBorders>
          </w:tcPr>
          <w:p>
            <w:pPr>
              <w:spacing w:after="0"/>
              <w:rPr>
                <w:sz w:val="21"/>
                <w:szCs w:val="21"/>
                <w:color w:val="auto"/>
              </w:rPr>
            </w:pPr>
          </w:p>
        </w:tc>
      </w:tr>
      <w:tr>
        <w:trPr>
          <w:trHeight w:val="230"/>
        </w:trPr>
        <w:tc>
          <w:tcPr>
            <w:tcW w:w="880" w:type="dxa"/>
            <w:vAlign w:val="bottom"/>
            <w:shd w:val="clear" w:color="auto" w:fill="D6EFF3"/>
          </w:tcPr>
          <w:p>
            <w:pPr>
              <w:spacing w:after="0"/>
              <w:rPr>
                <w:sz w:val="20"/>
                <w:szCs w:val="20"/>
                <w:color w:val="auto"/>
              </w:rPr>
            </w:pPr>
            <w:r>
              <w:rPr>
                <w:rFonts w:ascii="Times New Roman" w:cs="Times New Roman" w:eastAsia="Times New Roman" w:hAnsi="Times New Roman"/>
                <w:sz w:val="20"/>
                <w:szCs w:val="20"/>
                <w:color w:val="auto"/>
                <w:w w:val="96"/>
                <w:shd w:val="clear" w:color="auto" w:fill="D6EFF3"/>
              </w:rPr>
              <w:t>Cellulosics</w:t>
            </w:r>
          </w:p>
        </w:tc>
        <w:tc>
          <w:tcPr>
            <w:tcW w:w="3200" w:type="dxa"/>
            <w:vAlign w:val="bottom"/>
            <w:gridSpan w:val="3"/>
            <w:shd w:val="clear" w:color="auto" w:fill="D5EFF4"/>
          </w:tcPr>
          <w:p>
            <w:pPr>
              <w:spacing w:after="0"/>
              <w:rPr>
                <w:sz w:val="20"/>
                <w:szCs w:val="20"/>
                <w:color w:val="auto"/>
              </w:rPr>
            </w:pPr>
          </w:p>
        </w:tc>
        <w:tc>
          <w:tcPr>
            <w:tcW w:w="840" w:type="dxa"/>
            <w:vAlign w:val="bottom"/>
            <w:shd w:val="clear" w:color="auto" w:fill="D5EFF4"/>
          </w:tcPr>
          <w:p>
            <w:pPr>
              <w:spacing w:after="0"/>
              <w:rPr>
                <w:sz w:val="20"/>
                <w:szCs w:val="20"/>
                <w:color w:val="auto"/>
              </w:rPr>
            </w:pPr>
          </w:p>
        </w:tc>
        <w:tc>
          <w:tcPr>
            <w:tcW w:w="360" w:type="dxa"/>
            <w:vAlign w:val="bottom"/>
            <w:shd w:val="clear" w:color="auto" w:fill="D6EFF3"/>
          </w:tcPr>
          <w:p>
            <w:pPr>
              <w:jc w:val="center"/>
              <w:spacing w:after="0"/>
              <w:rPr>
                <w:sz w:val="20"/>
                <w:szCs w:val="20"/>
                <w:color w:val="auto"/>
              </w:rPr>
            </w:pPr>
            <w:r>
              <w:rPr>
                <w:rFonts w:ascii="Times New Roman" w:cs="Times New Roman" w:eastAsia="Times New Roman" w:hAnsi="Times New Roman"/>
                <w:sz w:val="20"/>
                <w:szCs w:val="20"/>
                <w:color w:val="auto"/>
                <w:w w:val="98"/>
                <w:shd w:val="clear" w:color="auto" w:fill="D6EFF3"/>
              </w:rPr>
              <w:t>43%</w:t>
            </w:r>
          </w:p>
        </w:tc>
        <w:tc>
          <w:tcPr>
            <w:tcW w:w="840" w:type="dxa"/>
            <w:vAlign w:val="bottom"/>
            <w:shd w:val="clear" w:color="auto" w:fill="D5EFF4"/>
          </w:tcPr>
          <w:p>
            <w:pPr>
              <w:spacing w:after="0"/>
              <w:rPr>
                <w:sz w:val="20"/>
                <w:szCs w:val="20"/>
                <w:color w:val="auto"/>
              </w:rPr>
            </w:pPr>
          </w:p>
        </w:tc>
        <w:tc>
          <w:tcPr>
            <w:tcW w:w="2200" w:type="dxa"/>
            <w:vAlign w:val="bottom"/>
            <w:shd w:val="clear" w:color="auto" w:fill="D5EFF4"/>
          </w:tcPr>
          <w:p>
            <w:pPr>
              <w:spacing w:after="0"/>
              <w:rPr>
                <w:sz w:val="20"/>
                <w:szCs w:val="20"/>
                <w:color w:val="auto"/>
              </w:rPr>
            </w:pPr>
          </w:p>
        </w:tc>
        <w:tc>
          <w:tcPr>
            <w:tcW w:w="38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8"/>
                <w:shd w:val="clear" w:color="auto" w:fill="D6EFF3"/>
              </w:rPr>
              <w:t>39%</w:t>
            </w:r>
          </w:p>
        </w:tc>
        <w:tc>
          <w:tcPr>
            <w:tcW w:w="940" w:type="dxa"/>
            <w:vAlign w:val="bottom"/>
            <w:shd w:val="clear" w:color="auto" w:fill="D5EFF4"/>
          </w:tcPr>
          <w:p>
            <w:pPr>
              <w:spacing w:after="0"/>
              <w:rPr>
                <w:sz w:val="20"/>
                <w:szCs w:val="20"/>
                <w:color w:val="auto"/>
              </w:rPr>
            </w:pPr>
          </w:p>
        </w:tc>
        <w:tc>
          <w:tcPr>
            <w:tcW w:w="6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r>
      <w:tr>
        <w:trPr>
          <w:trHeight w:val="266"/>
        </w:trPr>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Polyvinylpyrrolidones (PVP)</w:t>
            </w: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42%</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6115050</wp:posOffset>
            </wp:positionH>
            <wp:positionV relativeFrom="paragraph">
              <wp:posOffset>-339725</wp:posOffset>
            </wp:positionV>
            <wp:extent cx="571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1">
                      <a:extLst>
                        <a:ext uri="{28A0092B-C50C-407E-A947-70E740481C1C}"/>
                      </a:extLst>
                    </a:blip>
                    <a:srcRect/>
                    <a:stretch>
                      <a:fillRect/>
                    </a:stretch>
                  </pic:blipFill>
                  <pic:spPr bwMode="auto">
                    <a:xfrm>
                      <a:off x="0" y="0"/>
                      <a:ext cx="57150" cy="25400"/>
                    </a:xfrm>
                    <a:prstGeom prst="rect">
                      <a:avLst/>
                    </a:prstGeom>
                    <a:noFill/>
                  </pic:spPr>
                </pic:pic>
              </a:graphicData>
            </a:graphic>
          </wp:anchor>
        </w:drawing>
      </w:r>
    </w:p>
    <w:p>
      <w:pPr>
        <w:spacing w:after="0" w:line="2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PERSONAL CARE</w:t>
      </w:r>
    </w:p>
    <w:p>
      <w:pPr>
        <w:spacing w:after="0" w:line="17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The Personal Care portfolio of oral care products delivers active ingredients in toothpaste and mouthwashes; provides bioadhesive functionality for dentures; delivers flavor, texture and other functional properties; and provides product binding to ensure form and function throughout product lifecycle.</w:t>
      </w:r>
    </w:p>
    <w:p>
      <w:pPr>
        <w:spacing w:after="0" w:line="68"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Personal Care portfolio of hair care products includes advanced styling polymers, fixatives, conditioning polymers, emulsifiers, preservatives, rheology modifiers and biofunctional actives.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40"/>
          </w:cols>
          <w:pgMar w:left="1000" w:top="930" w:right="1000" w:bottom="175" w:gutter="0" w:footer="0" w:header="0"/>
          <w:type w:val="continuous"/>
        </w:sectPr>
      </w:pPr>
    </w:p>
    <w:bookmarkStart w:id="23" w:name="page24"/>
    <w:bookmarkEnd w:id="23"/>
    <w:p>
      <w:pPr>
        <w:jc w:val="both"/>
        <w:ind w:firstLine="360"/>
        <w:spacing w:after="0" w:line="283" w:lineRule="auto"/>
        <w:rPr>
          <w:sz w:val="20"/>
          <w:szCs w:val="20"/>
          <w:color w:val="auto"/>
        </w:rPr>
      </w:pPr>
      <w:r>
        <w:rPr>
          <w:rFonts w:ascii="Times New Roman" w:cs="Times New Roman" w:eastAsia="Times New Roman" w:hAnsi="Times New Roman"/>
          <w:sz w:val="20"/>
          <w:szCs w:val="20"/>
          <w:color w:val="auto"/>
        </w:rPr>
        <w:t>The Personal Care portfolio of ingredients and solutions for skin care, sun care, and cosmetics focuses on natural and sustainable solutions. Personal Care includes biofunctional actives, preservatives, and specialty polymers to provide functionality such as water resistance and rheology. Ashland’s natural ingredients include a wide range of cellulose, guar, and cassia derivatives; unique active ingredients derived from botanical sources using exclusive Ashland technologies such as Zeta Fraction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and plant small RNAs ("PSR") technology; emollients based on natural chemistries; encapsulation technology derived from alginates; and efficacious preservative blends inspired by nature.</w:t>
      </w:r>
    </w:p>
    <w:p>
      <w:pPr>
        <w:spacing w:after="0" w:line="81"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The Personal Care portfolio of products and technologies is used in many types of cleaning and fragrance applications, including fabric care, home care and dishwashing. Personal Care products are used in a variety of applications for viscosity enhancement, particle suspension, rheology modification, stabilization and fragrance enhancement.</w:t>
      </w:r>
    </w:p>
    <w:p>
      <w:pPr>
        <w:spacing w:after="0" w:line="68"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Personal Care operates throughout the Americas, Europe and Asia Pacific. It has 9 manufacturing and lab facilities in ten countries which serve its various end markets and participates in one joint venture. It has manufacturing facilities and labs in the United States in Bridgewater Township, New Jersey; and internationally in Brazil; China; France; Germany; India; Mexico; Netherlands; Thailand; and the United Kingdom.</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Personal Care markets and distributes its products in the Americas, Europe, the Middle East, Africa and Asia Pacific.</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 fiscal 2025, the following Personal Care product categories were 10% or greater of Ashland’s total consolidated sales: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highlight w:val="white"/>
                <w:w w:val="98"/>
              </w:rPr>
              <w:t>Product</w:t>
            </w:r>
          </w:p>
        </w:tc>
        <w:tc>
          <w:tcPr>
            <w:tcW w:w="198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highlight w:val="white"/>
                <w:w w:val="99"/>
              </w:rPr>
              <w:t>% of Personal Care sales</w:t>
            </w:r>
          </w:p>
        </w:tc>
        <w:tc>
          <w:tcPr>
            <w:tcW w:w="76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highlight w:val="white"/>
              </w:rPr>
              <w:t>% of Ashland total</w:t>
            </w:r>
          </w:p>
        </w:tc>
        <w:tc>
          <w:tcPr>
            <w:tcW w:w="10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highlight w:val="white"/>
                <w:w w:val="97"/>
              </w:rPr>
              <w:t>consolidated</w:t>
            </w:r>
          </w:p>
        </w:tc>
        <w:tc>
          <w:tcPr>
            <w:tcW w:w="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highlight w:val="white"/>
                <w:w w:val="94"/>
              </w:rPr>
              <w:t>sales</w:t>
            </w:r>
          </w:p>
        </w:tc>
        <w:tc>
          <w:tcPr>
            <w:tcW w:w="140" w:type="dxa"/>
            <w:vAlign w:val="bottom"/>
            <w:tcBorders>
              <w:top w:val="single" w:sz="8" w:color="auto"/>
              <w:bottom w:val="single" w:sz="8" w:color="auto"/>
            </w:tcBorders>
          </w:tcPr>
          <w:p>
            <w:pPr>
              <w:spacing w:after="0"/>
              <w:rPr>
                <w:sz w:val="21"/>
                <w:szCs w:val="21"/>
                <w:color w:val="auto"/>
              </w:rPr>
            </w:pPr>
          </w:p>
        </w:tc>
      </w:tr>
      <w:tr>
        <w:trPr>
          <w:trHeight w:val="230"/>
        </w:trPr>
        <w:tc>
          <w:tcPr>
            <w:tcW w:w="880" w:type="dxa"/>
            <w:vAlign w:val="bottom"/>
            <w:shd w:val="clear" w:color="auto" w:fill="D6EFF3"/>
          </w:tcPr>
          <w:p>
            <w:pPr>
              <w:spacing w:after="0"/>
              <w:rPr>
                <w:sz w:val="20"/>
                <w:szCs w:val="20"/>
                <w:color w:val="auto"/>
              </w:rPr>
            </w:pPr>
            <w:r>
              <w:rPr>
                <w:rFonts w:ascii="Times New Roman" w:cs="Times New Roman" w:eastAsia="Times New Roman" w:hAnsi="Times New Roman"/>
                <w:sz w:val="20"/>
                <w:szCs w:val="20"/>
                <w:color w:val="auto"/>
                <w:w w:val="96"/>
                <w:shd w:val="clear" w:color="auto" w:fill="D6EFF3"/>
              </w:rPr>
              <w:t>Cellulosics</w:t>
            </w:r>
          </w:p>
        </w:tc>
        <w:tc>
          <w:tcPr>
            <w:tcW w:w="3160" w:type="dxa"/>
            <w:vAlign w:val="bottom"/>
            <w:gridSpan w:val="3"/>
            <w:shd w:val="clear" w:color="auto" w:fill="D5EFF4"/>
          </w:tcPr>
          <w:p>
            <w:pPr>
              <w:spacing w:after="0"/>
              <w:rPr>
                <w:sz w:val="20"/>
                <w:szCs w:val="20"/>
                <w:color w:val="auto"/>
              </w:rPr>
            </w:pPr>
          </w:p>
        </w:tc>
        <w:tc>
          <w:tcPr>
            <w:tcW w:w="880" w:type="dxa"/>
            <w:vAlign w:val="bottom"/>
            <w:shd w:val="clear" w:color="auto" w:fill="D5EFF4"/>
          </w:tcPr>
          <w:p>
            <w:pPr>
              <w:spacing w:after="0"/>
              <w:rPr>
                <w:sz w:val="20"/>
                <w:szCs w:val="20"/>
                <w:color w:val="auto"/>
              </w:rPr>
            </w:pPr>
          </w:p>
        </w:tc>
        <w:tc>
          <w:tcPr>
            <w:tcW w:w="360" w:type="dxa"/>
            <w:vAlign w:val="bottom"/>
            <w:shd w:val="clear" w:color="auto" w:fill="D6EFF3"/>
          </w:tcPr>
          <w:p>
            <w:pPr>
              <w:jc w:val="center"/>
              <w:spacing w:after="0"/>
              <w:rPr>
                <w:sz w:val="20"/>
                <w:szCs w:val="20"/>
                <w:color w:val="auto"/>
              </w:rPr>
            </w:pPr>
            <w:r>
              <w:rPr>
                <w:rFonts w:ascii="Times New Roman" w:cs="Times New Roman" w:eastAsia="Times New Roman" w:hAnsi="Times New Roman"/>
                <w:sz w:val="20"/>
                <w:szCs w:val="20"/>
                <w:color w:val="auto"/>
                <w:w w:val="98"/>
                <w:shd w:val="clear" w:color="auto" w:fill="D6EFF3"/>
              </w:rPr>
              <w:t>20%</w:t>
            </w:r>
          </w:p>
        </w:tc>
        <w:tc>
          <w:tcPr>
            <w:tcW w:w="880" w:type="dxa"/>
            <w:vAlign w:val="bottom"/>
            <w:shd w:val="clear" w:color="auto" w:fill="D5EFF4"/>
          </w:tcPr>
          <w:p>
            <w:pPr>
              <w:spacing w:after="0"/>
              <w:rPr>
                <w:sz w:val="20"/>
                <w:szCs w:val="20"/>
                <w:color w:val="auto"/>
              </w:rPr>
            </w:pPr>
          </w:p>
        </w:tc>
        <w:tc>
          <w:tcPr>
            <w:tcW w:w="2160" w:type="dxa"/>
            <w:vAlign w:val="bottom"/>
            <w:gridSpan w:val="2"/>
            <w:shd w:val="clear" w:color="auto" w:fill="D5EFF4"/>
          </w:tcPr>
          <w:p>
            <w:pPr>
              <w:spacing w:after="0"/>
              <w:rPr>
                <w:sz w:val="20"/>
                <w:szCs w:val="20"/>
                <w:color w:val="auto"/>
              </w:rPr>
            </w:pPr>
          </w:p>
        </w:tc>
        <w:tc>
          <w:tcPr>
            <w:tcW w:w="380" w:type="dxa"/>
            <w:vAlign w:val="bottom"/>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8"/>
                <w:shd w:val="clear" w:color="auto" w:fill="D6EFF3"/>
              </w:rPr>
              <w:t>39%</w:t>
            </w:r>
          </w:p>
        </w:tc>
        <w:tc>
          <w:tcPr>
            <w:tcW w:w="940" w:type="dxa"/>
            <w:vAlign w:val="bottom"/>
            <w:shd w:val="clear" w:color="auto" w:fill="D5EFF4"/>
          </w:tcPr>
          <w:p>
            <w:pPr>
              <w:spacing w:after="0"/>
              <w:rPr>
                <w:sz w:val="20"/>
                <w:szCs w:val="20"/>
                <w:color w:val="auto"/>
              </w:rPr>
            </w:pPr>
          </w:p>
        </w:tc>
        <w:tc>
          <w:tcPr>
            <w:tcW w:w="6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r>
      <w:tr>
        <w:trPr>
          <w:trHeight w:val="266"/>
        </w:trPr>
        <w:tc>
          <w:tcPr>
            <w:tcW w:w="4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Polyvinylpyrrolidones (PVP)</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23%</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-352425</wp:posOffset>
            </wp:positionV>
            <wp:extent cx="82550"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2">
                      <a:extLst>
                        <a:ext uri="{28A0092B-C50C-407E-A947-70E740481C1C}"/>
                      </a:extLst>
                    </a:blip>
                    <a:srcRect/>
                    <a:stretch>
                      <a:fillRect/>
                    </a:stretch>
                  </pic:blipFill>
                  <pic:spPr bwMode="auto">
                    <a:xfrm>
                      <a:off x="0" y="0"/>
                      <a:ext cx="82550" cy="5080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SPECIALTY ADDITIVES</w:t>
      </w:r>
    </w:p>
    <w:p>
      <w:pPr>
        <w:spacing w:after="0" w:line="170" w:lineRule="exact"/>
        <w:rPr>
          <w:sz w:val="20"/>
          <w:szCs w:val="20"/>
          <w:color w:val="auto"/>
        </w:rPr>
      </w:pPr>
    </w:p>
    <w:p>
      <w:pPr>
        <w:jc w:val="both"/>
        <w:ind w:firstLine="360"/>
        <w:spacing w:after="0" w:line="329" w:lineRule="auto"/>
        <w:rPr>
          <w:sz w:val="20"/>
          <w:szCs w:val="20"/>
          <w:color w:val="auto"/>
        </w:rPr>
      </w:pPr>
      <w:r>
        <w:rPr>
          <w:rFonts w:ascii="Times New Roman" w:cs="Times New Roman" w:eastAsia="Times New Roman" w:hAnsi="Times New Roman"/>
          <w:sz w:val="19"/>
          <w:szCs w:val="19"/>
          <w:color w:val="auto"/>
        </w:rPr>
        <w:t>Specialty Additives offers industry-leading products, technologies and resources for solving formulation and product-performance challenges. Using synthetic and semisynthetic polymers derived from polyester and polyurethane-based adhesives, and plant and seed extract, Specialty Additives offers comprehensive and innovative solutions for industrial applications.</w:t>
      </w:r>
    </w:p>
    <w:p>
      <w:pPr>
        <w:spacing w:after="0" w:line="5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Key customers include manufacturers of paint, coatings and construction materials; packaging and converting companies; and oilfield service companies.</w:t>
      </w:r>
    </w:p>
    <w:p>
      <w:pPr>
        <w:spacing w:after="0" w:line="49"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areas of expertise include organic and synthetic chemistry, colloid science, rheology, structural analysis and microbiology.</w:t>
      </w:r>
    </w:p>
    <w:p>
      <w:pPr>
        <w:spacing w:after="0" w:line="49"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solutions provide an array of properties, including thickening and rheology control, binding power, film formation, conditioning and deposition, colloid stabilization and suspension.</w:t>
      </w:r>
    </w:p>
    <w:p>
      <w:pPr>
        <w:spacing w:after="0" w:line="49"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Specialty Additives is composed of various end use markets. Many of the products of the end markets are produced in shared manufacturing facilities, to better manage capacity and achieve desired returns.</w:t>
      </w:r>
    </w:p>
    <w:p>
      <w:pPr>
        <w:spacing w:after="0" w:line="49"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Specialty Additives provides products and services to over 30 industries. Ashland offers a broad spectrum of organo- and water-soluble polymers that are derived from both natural and synthetic resources. Product lines include derivatized cellulose polymers, synthetics, and vinyl pyrrolidone polymers that impart effective functionalities to serve a variety of industrial markets and specialized applications. Many of the products within Specialty Additives function as performance additives that deliver high levels of end-user value in formulated products. In other areas, such as plastics and textiles, Specialty Additives’ products function as a processing aid, improving the quality of end products and reducing manufacturing costs.</w:t>
      </w:r>
    </w:p>
    <w:p>
      <w:pPr>
        <w:spacing w:after="0" w:line="8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Specialty Additives is a recognized leader in rheology solutions for waterborne architectural paint and coatings. Products include hydroxyethylcellulose ("HEC"), which provides thickening and application properties for interior and exterior paints, and nonionic synthetic associative thickeners ("NSATs"), which are APEO-free liquid synthetics for high-performance paint and industrial coatings. The Specialty Additives market complements its rheology offering with a broad portfolio of performance foam-control agents, surfactants and wetting agents, dispersants and pH neutralizers.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40"/>
          </w:cols>
          <w:pgMar w:left="1000" w:top="930" w:right="1000" w:bottom="175" w:gutter="0" w:footer="0" w:header="0"/>
          <w:type w:val="continuous"/>
        </w:sectPr>
      </w:pPr>
    </w:p>
    <w:bookmarkStart w:id="24" w:name="page25"/>
    <w:bookmarkEnd w:id="24"/>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Specialty Additives is a major producer and supplier of cellulose ethers and companion products for the construction industry. These products control properties such as water retention, open time, workability, adhesion, stabilization, pumping, sag resistance, rheology, strength, appearance and performance in dry-mortar formulations.</w:t>
      </w:r>
    </w:p>
    <w:p>
      <w:pPr>
        <w:spacing w:after="0" w:line="68"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Specialty Additives is a leading global manufacturer of synthetic- and cellulosic-based products for drilling fluids, oil-well cement slurries, completion and workover fluids, fracturing fluids and production chemicals. Specialty Additives offers the oil and gas industry solutions for drilling, stimulation, completion, cementing and production applications.</w:t>
      </w:r>
    </w:p>
    <w:p>
      <w:pPr>
        <w:spacing w:after="0" w:line="68" w:lineRule="exact"/>
        <w:rPr>
          <w:sz w:val="20"/>
          <w:szCs w:val="20"/>
          <w:color w:val="auto"/>
        </w:rPr>
      </w:pPr>
    </w:p>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Specialty Additives operates throughout the Americas, Europe and Asia Pacific. It has 8 manufacturing and lab facilities in eight countries which serve its various end markets. Specialty Additives has manufacturing facilities and labs in the United States in Wilmington, Delaware and internationally in Brazil; China; Germany; India; Netherlands; Singapore and the United Kingdom.</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Specialty Additives markets and distributes its products in the Americas, Europe, the Middle East, Africa and Asia Pacific.</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 fiscal 2025, the following Specialty Additives products were 10% or greater of Ashland’s total consolidated sales: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highlight w:val="white"/>
                <w:w w:val="98"/>
              </w:rPr>
              <w:t>Product</w:t>
            </w:r>
          </w:p>
        </w:tc>
        <w:tc>
          <w:tcPr>
            <w:tcW w:w="1760" w:type="dxa"/>
            <w:vAlign w:val="bottom"/>
            <w:tcBorders>
              <w:top w:val="single" w:sz="8" w:color="auto"/>
              <w:bottom w:val="single" w:sz="8" w:color="auto"/>
            </w:tcBorders>
          </w:tcPr>
          <w:p>
            <w:pPr>
              <w:spacing w:after="0"/>
              <w:rPr>
                <w:sz w:val="21"/>
                <w:szCs w:val="21"/>
                <w:color w:val="auto"/>
              </w:rPr>
            </w:pPr>
          </w:p>
        </w:tc>
        <w:tc>
          <w:tcPr>
            <w:tcW w:w="25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highlight w:val="white"/>
                <w:w w:val="99"/>
              </w:rPr>
              <w:t>% of Specialty Additives sales</w:t>
            </w:r>
          </w:p>
        </w:tc>
        <w:tc>
          <w:tcPr>
            <w:tcW w:w="3260" w:type="dxa"/>
            <w:vAlign w:val="bottom"/>
            <w:tcBorders>
              <w:top w:val="single" w:sz="8" w:color="auto"/>
              <w:bottom w:val="single" w:sz="8" w:color="auto"/>
            </w:tcBorders>
            <w:gridSpan w:val="3"/>
          </w:tcPr>
          <w:p>
            <w:pPr>
              <w:ind w:left="540"/>
              <w:spacing w:after="0"/>
              <w:rPr>
                <w:sz w:val="20"/>
                <w:szCs w:val="20"/>
                <w:color w:val="auto"/>
              </w:rPr>
            </w:pPr>
            <w:r>
              <w:rPr>
                <w:rFonts w:ascii="Times New Roman" w:cs="Times New Roman" w:eastAsia="Times New Roman" w:hAnsi="Times New Roman"/>
                <w:sz w:val="20"/>
                <w:szCs w:val="20"/>
                <w:b w:val="1"/>
                <w:bCs w:val="1"/>
                <w:color w:val="auto"/>
                <w:w w:val="98"/>
              </w:rPr>
              <w:t xml:space="preserve">% of Ashland total </w:t>
            </w:r>
            <w:r>
              <w:rPr>
                <w:rFonts w:ascii="Times New Roman" w:cs="Times New Roman" w:eastAsia="Times New Roman" w:hAnsi="Times New Roman"/>
                <w:sz w:val="20"/>
                <w:szCs w:val="20"/>
                <w:b w:val="1"/>
                <w:bCs w:val="1"/>
                <w:color w:val="auto"/>
                <w:highlight w:val="white"/>
                <w:w w:val="98"/>
              </w:rPr>
              <w:t>consolidated</w:t>
            </w:r>
          </w:p>
        </w:tc>
        <w:tc>
          <w:tcPr>
            <w:tcW w:w="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highlight w:val="white"/>
                <w:w w:val="94"/>
              </w:rPr>
              <w:t>sales</w:t>
            </w:r>
          </w:p>
        </w:tc>
        <w:tc>
          <w:tcPr>
            <w:tcW w:w="140" w:type="dxa"/>
            <w:vAlign w:val="bottom"/>
            <w:tcBorders>
              <w:top w:val="single" w:sz="8" w:color="auto"/>
              <w:bottom w:val="single" w:sz="8" w:color="auto"/>
            </w:tcBorders>
          </w:tcPr>
          <w:p>
            <w:pPr>
              <w:spacing w:after="0"/>
              <w:rPr>
                <w:sz w:val="21"/>
                <w:szCs w:val="21"/>
                <w:color w:val="auto"/>
              </w:rPr>
            </w:pPr>
          </w:p>
        </w:tc>
      </w:tr>
      <w:tr>
        <w:trPr>
          <w:trHeight w:val="230"/>
        </w:trPr>
        <w:tc>
          <w:tcPr>
            <w:tcW w:w="880" w:type="dxa"/>
            <w:vAlign w:val="bottom"/>
            <w:shd w:val="clear" w:color="auto" w:fill="D6EFF3"/>
          </w:tcPr>
          <w:p>
            <w:pPr>
              <w:spacing w:after="0"/>
              <w:rPr>
                <w:sz w:val="20"/>
                <w:szCs w:val="20"/>
                <w:color w:val="auto"/>
              </w:rPr>
            </w:pPr>
            <w:r>
              <w:rPr>
                <w:rFonts w:ascii="Times New Roman" w:cs="Times New Roman" w:eastAsia="Times New Roman" w:hAnsi="Times New Roman"/>
                <w:sz w:val="20"/>
                <w:szCs w:val="20"/>
                <w:color w:val="auto"/>
                <w:w w:val="96"/>
                <w:shd w:val="clear" w:color="auto" w:fill="D6EFF3"/>
              </w:rPr>
              <w:t>Cellulosics</w:t>
            </w:r>
          </w:p>
        </w:tc>
        <w:tc>
          <w:tcPr>
            <w:tcW w:w="2940" w:type="dxa"/>
            <w:vAlign w:val="bottom"/>
            <w:gridSpan w:val="3"/>
            <w:shd w:val="clear" w:color="auto" w:fill="D5EFF4"/>
          </w:tcPr>
          <w:p>
            <w:pPr>
              <w:spacing w:after="0"/>
              <w:rPr>
                <w:sz w:val="20"/>
                <w:szCs w:val="20"/>
                <w:color w:val="auto"/>
              </w:rPr>
            </w:pPr>
          </w:p>
        </w:tc>
        <w:tc>
          <w:tcPr>
            <w:tcW w:w="1100" w:type="dxa"/>
            <w:vAlign w:val="bottom"/>
            <w:shd w:val="clear" w:color="auto" w:fill="D5EFF4"/>
          </w:tcPr>
          <w:p>
            <w:pPr>
              <w:spacing w:after="0"/>
              <w:rPr>
                <w:sz w:val="20"/>
                <w:szCs w:val="20"/>
                <w:color w:val="auto"/>
              </w:rPr>
            </w:pPr>
          </w:p>
        </w:tc>
        <w:tc>
          <w:tcPr>
            <w:tcW w:w="36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2"/>
                <w:shd w:val="clear" w:color="auto" w:fill="D6EFF3"/>
              </w:rPr>
              <w:t>62%</w:t>
            </w:r>
          </w:p>
        </w:tc>
        <w:tc>
          <w:tcPr>
            <w:tcW w:w="1100" w:type="dxa"/>
            <w:vAlign w:val="bottom"/>
            <w:shd w:val="clear" w:color="auto" w:fill="D5EFF4"/>
          </w:tcPr>
          <w:p>
            <w:pPr>
              <w:spacing w:after="0"/>
              <w:rPr>
                <w:sz w:val="20"/>
                <w:szCs w:val="20"/>
                <w:color w:val="auto"/>
              </w:rPr>
            </w:pPr>
          </w:p>
        </w:tc>
        <w:tc>
          <w:tcPr>
            <w:tcW w:w="1940" w:type="dxa"/>
            <w:vAlign w:val="bottom"/>
            <w:shd w:val="clear" w:color="auto" w:fill="D5EFF4"/>
          </w:tcPr>
          <w:p>
            <w:pPr>
              <w:spacing w:after="0"/>
              <w:rPr>
                <w:sz w:val="20"/>
                <w:szCs w:val="20"/>
                <w:color w:val="auto"/>
              </w:rPr>
            </w:pPr>
          </w:p>
        </w:tc>
        <w:tc>
          <w:tcPr>
            <w:tcW w:w="38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8"/>
                <w:shd w:val="clear" w:color="auto" w:fill="D6EFF3"/>
              </w:rPr>
              <w:t>39%</w:t>
            </w:r>
          </w:p>
        </w:tc>
        <w:tc>
          <w:tcPr>
            <w:tcW w:w="940" w:type="dxa"/>
            <w:vAlign w:val="bottom"/>
            <w:shd w:val="clear" w:color="auto" w:fill="D5EFF4"/>
          </w:tcPr>
          <w:p>
            <w:pPr>
              <w:spacing w:after="0"/>
              <w:rPr>
                <w:sz w:val="20"/>
                <w:szCs w:val="20"/>
                <w:color w:val="auto"/>
              </w:rPr>
            </w:pPr>
          </w:p>
        </w:tc>
        <w:tc>
          <w:tcPr>
            <w:tcW w:w="6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r>
      <w:tr>
        <w:trPr>
          <w:trHeight w:val="266"/>
        </w:trPr>
        <w:tc>
          <w:tcPr>
            <w:tcW w:w="38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Polyvinylpyrrolidones (PVP)</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100" w:type="dxa"/>
            <w:vAlign w:val="bottom"/>
          </w:tcPr>
          <w:p>
            <w:pPr>
              <w:spacing w:after="0"/>
              <w:rPr>
                <w:sz w:val="23"/>
                <w:szCs w:val="23"/>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6115050</wp:posOffset>
            </wp:positionH>
            <wp:positionV relativeFrom="paragraph">
              <wp:posOffset>-339725</wp:posOffset>
            </wp:positionV>
            <wp:extent cx="571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3">
                      <a:extLst>
                        <a:ext uri="{28A0092B-C50C-407E-A947-70E740481C1C}"/>
                      </a:extLst>
                    </a:blip>
                    <a:srcRect/>
                    <a:stretch>
                      <a:fillRect/>
                    </a:stretch>
                  </pic:blipFill>
                  <pic:spPr bwMode="auto">
                    <a:xfrm>
                      <a:off x="0" y="0"/>
                      <a:ext cx="57150" cy="25400"/>
                    </a:xfrm>
                    <a:prstGeom prst="rect">
                      <a:avLst/>
                    </a:prstGeom>
                    <a:noFill/>
                  </pic:spPr>
                </pic:pic>
              </a:graphicData>
            </a:graphic>
          </wp:anchor>
        </w:drawing>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INTERMEDIATES</w:t>
      </w:r>
    </w:p>
    <w:p>
      <w:pPr>
        <w:spacing w:after="0" w:line="170" w:lineRule="exact"/>
        <w:rPr>
          <w:sz w:val="20"/>
          <w:szCs w:val="20"/>
          <w:color w:val="auto"/>
        </w:rPr>
      </w:pPr>
    </w:p>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Intermediates is a leading producer of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spacing w:after="0" w:line="74"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Key customers include Ashland’s Life Sciences, Personal Care and Specialty Additives segments, general industrial manufacturers, plastics and polymers producers, pharmaceutical companies, agricultural firms and producers of electronic components and systems.</w:t>
      </w:r>
    </w:p>
    <w:p>
      <w:pPr>
        <w:spacing w:after="0" w:line="68"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Intermediates has a manufacturing facility in Lima, Ohio, while some derivatives are produced at Life Sciences facilities in Texas City, Texas and Calvert City, Kentucky. Intermediates markets and distributes its products in the Americas, Europe, and Asia Pacific.</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170"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Ashland maintains a company-wide environmental policy overseen by the Sustainability and Productivity Committee of Ashland’s Board of Directors (the "Board"). Ashland’s Environmental, Health, Safety, Quality and Regulatory Affairs ("EHSQ&amp;RA") department has the responsibility to ensure that Ashland’s businesses worldwide maintain environmental compliance in accordance with applicable laws and regulations. This responsibility is carried out via training; widespread communication of EHSQ&amp;RA policies; information and regulatory updates; formulation of relevant policies, procedures and work practices; design and implementation of EHSQ&amp;RA management systems; internal auditing; monitoring of legislative and regulatory developments that may affect Ashland’s operations; assistance to the businesses in identifying compliance issues and opportunities for voluntary actions that go beyond compliance; and incident response planning and implementation.</w:t>
      </w:r>
    </w:p>
    <w:p>
      <w:pPr>
        <w:spacing w:after="0" w:line="82" w:lineRule="exact"/>
        <w:rPr>
          <w:sz w:val="20"/>
          <w:szCs w:val="20"/>
          <w:color w:val="auto"/>
        </w:rPr>
      </w:pPr>
    </w:p>
    <w:p>
      <w:pPr>
        <w:jc w:val="both"/>
        <w:ind w:right="20" w:firstLine="360"/>
        <w:spacing w:after="0" w:line="295" w:lineRule="auto"/>
        <w:rPr>
          <w:sz w:val="20"/>
          <w:szCs w:val="20"/>
          <w:color w:val="auto"/>
        </w:rPr>
      </w:pPr>
      <w:r>
        <w:rPr>
          <w:rFonts w:ascii="Times New Roman" w:cs="Times New Roman" w:eastAsia="Times New Roman" w:hAnsi="Times New Roman"/>
          <w:sz w:val="20"/>
          <w:szCs w:val="20"/>
          <w:color w:val="auto"/>
        </w:rPr>
        <w:t>Federal, state and local laws and regulations relating to the protection of the environment have a significant impact on how Ashland conducts its businesses. In addition, Ashland’s operations outside the United States are subject to the environmental laws of the countries in which they are located. These laws include regulation of air emissions and water discharges, waste handling, remediation and product inventory, registration and regulation. New laws and regulations may be enacted or adopted by various regulatory agencies globally. The costs of compliance with any new laws or regulations cannot be estimated until the manner in which they will be implemented has been more precisely defined.</w:t>
      </w:r>
    </w:p>
    <w:p>
      <w:pPr>
        <w:sectPr>
          <w:pgSz w:w="12240" w:h="15840" w:orient="portrait"/>
          <w:cols w:equalWidth="0" w:num="1">
            <w:col w:w="10260"/>
          </w:cols>
          <w:pgMar w:left="1000" w:top="930" w:right="980" w:bottom="175"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930" w:right="980" w:bottom="175" w:gutter="0" w:footer="0" w:header="0"/>
          <w:type w:val="continuous"/>
        </w:sectPr>
      </w:pPr>
    </w:p>
    <w:bookmarkStart w:id="25" w:name="page26"/>
    <w:bookmarkEnd w:id="25"/>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At September 30, 2025, Ashland’s reserves for environmental remediation and related environmental litigation amounted to $226 million, reflecting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$495 million. The largest reserve for any site is 21% of the total environmental remediation reserves. Ashland regularly adjusts its reserves as environmental remediation continues. Environmental remediation expense, net of insurance receivables, amounted to $48 million in 2025 compared to $56 million in 2024 and $59 million in 2023.</w:t>
      </w:r>
    </w:p>
    <w:p>
      <w:pPr>
        <w:spacing w:after="0" w:line="86"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20"/>
          <w:szCs w:val="20"/>
          <w:i w:val="1"/>
          <w:iCs w:val="1"/>
          <w:color w:val="auto"/>
        </w:rPr>
        <w:t xml:space="preserve">Product Control, Registration and Inventory </w:t>
      </w:r>
      <w:r>
        <w:rPr>
          <w:rFonts w:ascii="Times New Roman" w:cs="Times New Roman" w:eastAsia="Times New Roman" w:hAnsi="Times New Roman"/>
          <w:sz w:val="20"/>
          <w:szCs w:val="20"/>
          <w:color w:val="auto"/>
        </w:rPr>
        <w:t>- Many of Ashland’s products and operations are subject to chemical control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laws of the countries in which they are located. These laws include regulation of chemical substances and inventories under the Toxic Substances Control Act ("TSCA") in the United States and the Registration, Evaluation and Authorization of Chemicals ("REACH") regulation in Europe as well as new cosmetic ingredients filings in China under the Cosmetics Supervision and Administration Regulation ("CSAR"). Under TSCA, REACH, and CSAR additional testing requirements, documentation, risk assessments and registrations are occurring and will continue to occur and may adversely affect Ashland’s costs of products produced in or imported into the European Union ("EU"). Examples of other product control regulations include right to know laws under the Global Harmonized System ("GHS") for hazard communication, regulation of chemicals used in the manufacture of pharmaceuticals and personal care products and that contact food under the Food, Drug and Cosmetics Act in the United States, the Framework Regulation in Europe and other product control requirements for chemical weapons, drug precursors and import/export. The Green Deal in the EU, specifically Chemicals Strategy for Sustainability, will require additional information to be developed on hazard communication and risk assessment of both chemical substances and finished products.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92"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i w:val="1"/>
          <w:iCs w:val="1"/>
          <w:color w:val="auto"/>
        </w:rPr>
        <w:t xml:space="preserve">Remediation </w:t>
      </w:r>
      <w:r>
        <w:rPr>
          <w:rFonts w:ascii="Times New Roman" w:cs="Times New Roman" w:eastAsia="Times New Roman" w:hAnsi="Times New Roman"/>
          <w:sz w:val="20"/>
          <w:szCs w:val="20"/>
          <w:color w:val="auto"/>
        </w:rPr>
        <w:t>- Ashland currently operates, and in the past has operated, various facilities at which, during the normal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course of business, releases of hazardous substances have occurred. Additionally, Ashland has known or alleged potential environmental liabilities at a number of third-party sites. Federal and state laws, including but not limited to the Resource Conservation and Recovery Act ("RCRA"), the Comprehensive Environmental Response, Compensation and Liability Act of 1980 ("CERCLA") and various other remediation laws, require that contamination caused by hazardous substance releases be assessed and, if necessary, remediated to meet applicable standards. Some of these laws also provide for liability for related damage to natural resources, and claims for alleged property and personal injury damage which can also arise related to contaminated sites. Laws in other jurisdictions in which Ashland operates require that contamination caused by such releases at these sites be assessed and, if necessary, remediated to meet applicable standards.</w:t>
      </w:r>
    </w:p>
    <w:p>
      <w:pPr>
        <w:spacing w:after="0" w:line="86"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i w:val="1"/>
          <w:iCs w:val="1"/>
          <w:color w:val="auto"/>
        </w:rPr>
        <w:t xml:space="preserve">Air </w:t>
      </w:r>
      <w:r>
        <w:rPr>
          <w:rFonts w:ascii="Times New Roman" w:cs="Times New Roman" w:eastAsia="Times New Roman" w:hAnsi="Times New Roman"/>
          <w:sz w:val="20"/>
          <w:szCs w:val="20"/>
          <w:color w:val="auto"/>
        </w:rPr>
        <w:t>- In the United States, the Clean Air Act ("CAA") imposes stringent limits on facility air emissions, establishes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federally mandated operating permit program, allows for civil and criminal enforcement actions and sets limits on the volatile or toxic content of many types of industrial materials and consumer products. The CAA establishes national ambient air quality standards ("NAAQS") with attainment deadlines and control requirements based on the severity of air pollution in a given geographical area. Various state clean air acts implement, complement and, in many instances, add to the requirements of the federal CAA. The requirements of the CAA and its state counterparts have a significant impact on the daily operation of Ashland’s businesses and, in many cases, on product formulation and other long-term business decisions. Other countries where Ashland operates also have laws and regulations relating to air quality. Ashland maintains numerous permits and emission control devices pursuant to these clean air laws.</w:t>
      </w:r>
    </w:p>
    <w:p>
      <w:pPr>
        <w:spacing w:after="0" w:line="86"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The United States Environmental Protection Agency ("USEPA") has increased its frequency in reviewing the NAAQS. The USEPA has stringent standards for particulate matter, ozone and sulfur dioxide. Throughout 2023, 2024 and 2025, state and local agencies continued to implement options for meeting the newest standards. Particulate matter strategies</w:t>
      </w:r>
    </w:p>
    <w:p>
      <w:pPr>
        <w:sectPr>
          <w:pgSz w:w="12240" w:h="15840" w:orient="portrait"/>
          <w:cols w:equalWidth="0" w:num="1">
            <w:col w:w="10240"/>
          </w:cols>
          <w:pgMar w:left="1000" w:top="930" w:right="1000" w:bottom="175"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40"/>
          </w:cols>
          <w:pgMar w:left="1000" w:top="930" w:right="1000" w:bottom="175" w:gutter="0" w:footer="0" w:header="0"/>
          <w:type w:val="continuous"/>
        </w:sectPr>
      </w:pPr>
    </w:p>
    <w:bookmarkStart w:id="26" w:name="page27"/>
    <w:bookmarkEnd w:id="26"/>
    <w:p>
      <w:pPr>
        <w:jc w:val="both"/>
        <w:spacing w:after="0" w:line="295" w:lineRule="auto"/>
        <w:rPr>
          <w:sz w:val="20"/>
          <w:szCs w:val="20"/>
          <w:color w:val="auto"/>
        </w:rPr>
      </w:pPr>
      <w:r>
        <w:rPr>
          <w:rFonts w:ascii="Times New Roman" w:cs="Times New Roman" w:eastAsia="Times New Roman" w:hAnsi="Times New Roman"/>
          <w:sz w:val="20"/>
          <w:szCs w:val="20"/>
          <w:color w:val="auto"/>
        </w:rPr>
        <w:t>include dust control measures for construction sites and reductions in emission rates allowed for industrial operations. Options for ozone include emission controls for certain types of sources, reduced limits on the volatile organic compound content of industrial materials and consumer products, and requirements on the transportation sector. Most options for sulfur dioxide focus on coal and diesel fuel combustion sources. It is not possible at this time to estimate the potential financial impact that these newest standards may have on Ashland’s operations or products. Ashland will continue to monitor and evaluate these standards to meet these and all air quality requirements.</w:t>
      </w:r>
    </w:p>
    <w:p>
      <w:pPr>
        <w:spacing w:after="0" w:line="80"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i w:val="1"/>
          <w:iCs w:val="1"/>
          <w:color w:val="auto"/>
        </w:rPr>
        <w:t xml:space="preserve">Solid Waste </w:t>
      </w:r>
      <w:r>
        <w:rPr>
          <w:rFonts w:ascii="Times New Roman" w:cs="Times New Roman" w:eastAsia="Times New Roman" w:hAnsi="Times New Roman"/>
          <w:sz w:val="20"/>
          <w:szCs w:val="20"/>
          <w:color w:val="auto"/>
        </w:rPr>
        <w:t>- Ashland is subject to various laws relating to and establishing standards for the management of hazardous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solid waste. In the United States, Ashland’s facilities are subject to RCRA and its regulations governing generators of hazardous waste. Ashland has implemented systems to oversee compliance with the RCRA regulations. In addition to regulating current waste disposal practices, RCRA also addresses the environmental effects of certain past waste disposal operations, the recycling of wastes and the storage of regulated substances in underground tanks. Ashland has the remediation liability for certain facilities subject to these regulations. Other countries where Ashland operates also have laws and regulations relating to hazardous and solid waste, and Ashland has systems in place to oversee compliance.</w:t>
      </w:r>
    </w:p>
    <w:p>
      <w:pPr>
        <w:spacing w:after="0" w:line="8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i w:val="1"/>
          <w:iCs w:val="1"/>
          <w:color w:val="auto"/>
        </w:rPr>
        <w:t xml:space="preserve">Water </w:t>
      </w:r>
      <w:r>
        <w:rPr>
          <w:rFonts w:ascii="Times New Roman" w:cs="Times New Roman" w:eastAsia="Times New Roman" w:hAnsi="Times New Roman"/>
          <w:sz w:val="20"/>
          <w:szCs w:val="20"/>
          <w:color w:val="auto"/>
        </w:rPr>
        <w:t>- Ashland maintains numerous discharge permits. In the United States, such permits may be required by the National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Pollutant Discharge Elimination System of the Clean Water Act and similar state programs. Other countries have similar laws and regulations requiring permits and controls relating to water discharge.</w:t>
      </w:r>
    </w:p>
    <w:p>
      <w:pPr>
        <w:spacing w:after="0" w:line="68"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20"/>
          <w:szCs w:val="20"/>
          <w:i w:val="1"/>
          <w:iCs w:val="1"/>
          <w:color w:val="auto"/>
        </w:rPr>
        <w:t xml:space="preserve">Climate Change and Related Regulatory Developments </w:t>
      </w:r>
      <w:r>
        <w:rPr>
          <w:rFonts w:ascii="Times New Roman" w:cs="Times New Roman" w:eastAsia="Times New Roman" w:hAnsi="Times New Roman"/>
          <w:sz w:val="20"/>
          <w:szCs w:val="20"/>
          <w:color w:val="auto"/>
        </w:rPr>
        <w:t>- Ashland has been collecting energy use data and calculating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greenhouse gas ("GHG") emissions for many years. Ashland evaluates the physical and transitional risks and opportunities from both climate change and the anticipated GHG regulations to facilities, products and other business interests, as well as the strategies commonly considered by the industrial sector to reduce the potential impact of these risks. These risks are generally grouped as impacts from legislative, regulatory and international developments, impacts from business and investment trends and impacts to Company assets from the physical effects of climate change. North American, European and other regional regulatory developments (most notably the pending SEC and approved Corporate Sustainability Reporting Directive ("CSRD") climate disclosure regulations) are monitored continuously for material impacts to Ashland’s operations, and some facilities and subsidiaries are subject to promulgated rules. Proposed and pending climate legislation is monitored for impact and Ashland is taking steps to strengthen climate reporting to meet anticipated disclosure requirements. Other requirements requiring additional product level climate disclosures or supply chain transparency are also approved and in draft or finalized status and could impact the requirements for disclosure and restrictions on sourcing of raw materials. Regulations such as the PFAS restrictions and microplastics ban in the EU have potential business interruption impacts where they limit the type and availability of raw materials that may be used.</w:t>
      </w:r>
    </w:p>
    <w:p>
      <w:pPr>
        <w:spacing w:after="0" w:line="94"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Business and investment trends are expected to drive an increase in the demand for products that improve energy efficiency, reduce energy use and increase the use of renewable resources. At this time, Ashland cannot estimate the impact of this expected demand increase to its businesses. Physical effects from climate change have the potential to affect Ashland’s assets in areas prone to sea level rise or extreme weather events much as they do the general public and other businesses. Due to the uncertainty of these matters, Ashland cannot estimate the impact at this time of GHG-related developments on its operations or financial condition.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0" w:lineRule="exact"/>
        <w:rPr>
          <w:sz w:val="20"/>
          <w:szCs w:val="20"/>
          <w:color w:val="auto"/>
        </w:rPr>
      </w:pPr>
    </w:p>
    <w:p>
      <w:pPr>
        <w:jc w:val="both"/>
        <w:ind w:firstLine="360"/>
        <w:spacing w:after="0" w:line="309" w:lineRule="auto"/>
        <w:rPr>
          <w:sz w:val="20"/>
          <w:szCs w:val="20"/>
          <w:color w:val="auto"/>
        </w:rPr>
      </w:pPr>
      <w:r>
        <w:rPr>
          <w:rFonts w:ascii="Times New Roman" w:cs="Times New Roman" w:eastAsia="Times New Roman" w:hAnsi="Times New Roman"/>
          <w:sz w:val="19"/>
          <w:szCs w:val="19"/>
          <w:color w:val="auto"/>
        </w:rPr>
        <w:t>Ashland competes in the highly fragmented additives and specialty ingredients industries. The participants in these industries offer a varied and broad array of product lines designed to meet specific customer requirements. Participants compete with service and product offerings on a global, regional and/or local level subject to the nature of the businesses and products, as well as the end-markets and customers served. Competition is based on several key criteria, including product performance and quality, product price, product availability and security of supply, responsiveness of product development in cooperation with customers, customer service, industry knowledge and technical capability. Certain key competitors are significantly larger than Ashland and have greater financial resources, leading to greater operating and financial flexibility. The industry has become increasingly global as participants have focused on establishing and maintaining leadership positions outside of their home markets. Many of these segments’ product lines face domestic and international competition, due to industry consolidation, pricing pressures and competing technologies. Through a more focused approach, the Company is leveraging</w:t>
      </w:r>
    </w:p>
    <w:p>
      <w:pPr>
        <w:sectPr>
          <w:pgSz w:w="12240" w:h="15840" w:orient="portrait"/>
          <w:cols w:equalWidth="0" w:num="1">
            <w:col w:w="10240"/>
          </w:cols>
          <w:pgMar w:left="1000" w:top="930" w:right="1000" w:bottom="175"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40"/>
          </w:cols>
          <w:pgMar w:left="1000" w:top="930" w:right="1000" w:bottom="175" w:gutter="0" w:footer="0" w:header="0"/>
          <w:type w:val="continuous"/>
        </w:sectPr>
      </w:pPr>
    </w:p>
    <w:bookmarkStart w:id="27" w:name="page28"/>
    <w:bookmarkEnd w:id="27"/>
    <w:p>
      <w:pPr>
        <w:jc w:val="both"/>
        <w:spacing w:after="0" w:line="306" w:lineRule="auto"/>
        <w:rPr>
          <w:sz w:val="20"/>
          <w:szCs w:val="20"/>
          <w:color w:val="auto"/>
        </w:rPr>
      </w:pPr>
      <w:r>
        <w:rPr>
          <w:rFonts w:ascii="Times New Roman" w:cs="Times New Roman" w:eastAsia="Times New Roman" w:hAnsi="Times New Roman"/>
          <w:sz w:val="20"/>
          <w:szCs w:val="20"/>
          <w:color w:val="auto"/>
        </w:rPr>
        <w:t>the Ashland brand and global scale to combine operational agility with disciplined investment in targeted areas, while expanding beyond its core technologies with differentiated new technology platforms to support the introduction of new product lines and applications.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has a broad intellectual property portfolio which is an important component of its business. Ashland relies on patents, trade secrets, formulae and know-how to protect and differentiate its products and technologies. In addition, the reportable segments own valuable trademarks which identify and differentiate their products from Ashland's competitors. Ashland also uses licensed intellectual property rights from third-parties.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 and Energy</w:t>
      </w:r>
    </w:p>
    <w:p>
      <w:pPr>
        <w:spacing w:after="0" w:line="17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purchases its raw materials from multiple sources of supply in the United States and other countries. Raw material supplies were available in quantities sufficient to meet demand in fiscal 2025, 2024 and 2023, which was a significant improvement over fiscal 2022 when raw and packaging materials were globally constrained. Similarly, energy costs, which are a significant component of production costs, stabilized in fiscal 2025, 2024 and 2023 after significant volatility in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7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Ashland’s program of research and development is focused on defining the needs of the marketplace and framing those needs into technology platforms. Ashland has the capability to develop and deliver the intellectual property required to grow and protect those platforms. Ashland is focused on developing new chemistries, market-changing technologies and customer driven solutions at numerous technology centers located in the Americas, Europe and the Asia Pacific regions.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7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Ashland’s business may vary due to seasonality. Ashland’s reportable segments typically experience stronger demand during warmer weather months.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7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i w:val="1"/>
          <w:iCs w:val="1"/>
          <w:color w:val="auto"/>
        </w:rPr>
        <w:t xml:space="preserve">Employee Health and Safety - </w:t>
      </w:r>
      <w:r>
        <w:rPr>
          <w:rFonts w:ascii="Times New Roman" w:cs="Times New Roman" w:eastAsia="Times New Roman" w:hAnsi="Times New Roman"/>
          <w:sz w:val="20"/>
          <w:szCs w:val="20"/>
          <w:color w:val="auto"/>
        </w:rPr>
        <w:t>Cultivating a safety culture is intentional at Ashland and is best shown by its commitment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Zero Incident Culture ("ZIC"). ZIC begins with the vision, values, beliefs, and actions of Ashland’s leaders demonstrating that zero incidents is possible. It means developing processes where compliance is the minimum expectation, allowing employees to proactively manage safety above compliance on the journey to zero.</w:t>
      </w:r>
    </w:p>
    <w:p>
      <w:pPr>
        <w:spacing w:after="0" w:line="74"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 an indication of its commitment to Responsible Care, Ashland obtained a third-party certification to RC14001, which includes the internationally recognized ISO 14001 certification and adds additional health, safety, security, and chemical industry requirements. Currently, Ashland has 25 sites participating on a group RC14001 certification, including 12 international sites. Also, as part of its commitment to health and safety, 20 of the Company's sites have obtained an additional ISO 45001 certification, an international health and safety management system.</w:t>
      </w:r>
    </w:p>
    <w:p>
      <w:pPr>
        <w:spacing w:after="0" w:line="77"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 part of ZIC, the Company strives every day to achieve zero incidents. Ashland continues to make good progress on its journey. For the year ended September 30, 2025, the Company had a Total Preventable Recordable Rate ("TPRR") of 0.41 compared to 0.46 for the year ended September 30, 2024.</w:t>
      </w:r>
    </w:p>
    <w:p>
      <w:pPr>
        <w:spacing w:after="0" w:line="68"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Ashland has implemented several tools for communicating lessons learned from injuries, process safety incidents, and environmental releases. Immediately following an event, flash reports are developed and shared to communicate key lessons learned across the Company with a review call within 48 hours with Ashland’s Environmental, Health and Safety (“EHS”) leadership team and Operations Leadership. Additionally, incidents and root causes/corrective and preventive actions are reviewed monthly with Company leadership and EHS leaders globally to discuss areas for improvement and highlight the importance of identifying and addressing management system errors.</w:t>
      </w:r>
    </w:p>
    <w:p>
      <w:pPr>
        <w:spacing w:after="0" w:line="8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 has implemented the “Good Catch” Program aimed at identifying underlying unsafe conditions or behaviors that could lead to an undesirable outcome. Employees are encouraged to report good catches that fall into one of three categories –</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40"/>
          </w:cols>
          <w:pgMar w:left="1000" w:top="930" w:right="1000" w:bottom="175" w:gutter="0" w:footer="0" w:header="0"/>
          <w:type w:val="continuous"/>
        </w:sectPr>
      </w:pPr>
    </w:p>
    <w:bookmarkStart w:id="28" w:name="page29"/>
    <w:bookmarkEnd w:id="28"/>
    <w:p>
      <w:pPr>
        <w:jc w:val="both"/>
        <w:spacing w:after="0" w:line="325" w:lineRule="auto"/>
        <w:rPr>
          <w:sz w:val="20"/>
          <w:szCs w:val="20"/>
          <w:color w:val="auto"/>
        </w:rPr>
      </w:pPr>
      <w:r>
        <w:rPr>
          <w:rFonts w:ascii="Times New Roman" w:cs="Times New Roman" w:eastAsia="Times New Roman" w:hAnsi="Times New Roman"/>
          <w:sz w:val="20"/>
          <w:szCs w:val="20"/>
          <w:color w:val="auto"/>
        </w:rPr>
        <w:t>substandard conditions, near misses, and suggestions. These are tracked with the goal of continuing to increase overall reporting of identified good catches year to year.</w:t>
      </w:r>
    </w:p>
    <w:p>
      <w:pPr>
        <w:spacing w:after="0" w:line="49"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i w:val="1"/>
          <w:iCs w:val="1"/>
          <w:color w:val="auto"/>
        </w:rPr>
        <w:t xml:space="preserve">Environmental - </w:t>
      </w:r>
      <w:r>
        <w:rPr>
          <w:rFonts w:ascii="Times New Roman" w:cs="Times New Roman" w:eastAsia="Times New Roman" w:hAnsi="Times New Roman"/>
          <w:sz w:val="20"/>
          <w:szCs w:val="20"/>
          <w:color w:val="auto"/>
        </w:rPr>
        <w:t>Ashland has a conscious and proactive mindset for sustainability and has established a renewable annual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trust for ongoing and future environmental remediation and related litigation cash outlays. The initiative follows Ashland's announcement in February 2021 to align its operations with the ambitious aim of the Paris Climate Accord to limit global temperature rise to 1.5°C above preindustrial levels. At that time, Ashland also became a signatory to the United Nations Global Compact and is making the United Nations principles part of the Company's business strategy, culture, and day-to-day operations. Ashland has targets to reduce its environmental footprint (including energy usage, GHG emissions, and hazardous waste generation). These targets and progress towards meeting them can be found on: https://www.ashland.com/esg/esg-overview, which is not incorporated by reference into the Annual Report on Form 10-K.</w:t>
      </w:r>
    </w:p>
    <w:p>
      <w:pPr>
        <w:spacing w:after="0" w:line="82"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is committed to ensuring compliance with applicable environmental, health, safety and security laws, regulations, technical specifications, and internal standards, while adhering to high ethical standards. We are committed to continuously improving our processes and to providing products and services that throughout their life cycle involve minimum risk to people and the environment, while best meeting the needs of our customers. We strive to eliminate or reduce emissions, discharges, and wastes from our operations and to promote energy efficiency and resource conservation throughout the value chain.</w:t>
      </w:r>
    </w:p>
    <w:p>
      <w:pPr>
        <w:spacing w:after="0" w:line="77"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Ashland also maintains an open dialogue with our employees and communities about environmental, health, safety, security, and product stewardship issues. We also work with governments, policy makers, advocacy groups and value chain partners to develop and promote laws, regulations and practices that improve human health and the environment.</w:t>
      </w:r>
    </w:p>
    <w:p>
      <w:pPr>
        <w:spacing w:after="0" w:line="68"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i w:val="1"/>
          <w:iCs w:val="1"/>
          <w:color w:val="auto"/>
        </w:rPr>
        <w:t xml:space="preserve">Human Capital Management - </w:t>
      </w:r>
      <w:r>
        <w:rPr>
          <w:rFonts w:ascii="Times New Roman" w:cs="Times New Roman" w:eastAsia="Times New Roman" w:hAnsi="Times New Roman"/>
          <w:sz w:val="20"/>
          <w:szCs w:val="20"/>
          <w:color w:val="auto"/>
        </w:rPr>
        <w:t>Ashland’s people are the foundation of its innovation, performance, and long-term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success. The Company is committed to cultivating a growth-minded, high-integrity culture that empowers employees to thrive, contribute meaningfully, and lead with purpose. Ashland’s human capital strategy is designed to attract, develop, and retain exceptional global talent while fostering a workplace where everyone feels they belong and are inspired to excel.</w:t>
      </w:r>
    </w:p>
    <w:p>
      <w:pPr>
        <w:spacing w:after="0" w:line="74"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 of September 30, 2025, Ashland had approximately 2,900 employees in more than 100 countries. The Company’s workforce reflects a broad range of experiences and perspectives, united by a shared commitment to solving complex challenges for customers.</w:t>
      </w:r>
    </w:p>
    <w:p>
      <w:pPr>
        <w:spacing w:after="0" w:line="68"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i w:val="1"/>
          <w:iCs w:val="1"/>
          <w:color w:val="auto"/>
        </w:rPr>
        <w:t xml:space="preserve">Culture and Values </w:t>
      </w:r>
      <w:r>
        <w:rPr>
          <w:rFonts w:ascii="Times New Roman" w:cs="Times New Roman" w:eastAsia="Times New Roman" w:hAnsi="Times New Roman"/>
          <w:sz w:val="20"/>
          <w:szCs w:val="20"/>
          <w:color w:val="auto"/>
        </w:rPr>
        <w:t>– Ashland fosters a workplace environment that is rooted in respect, integrity, and opportunity.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programs and practices are conducted in accordance with applicable nondiscrimination laws and are designed to support equitable access and merit-based advancement for all employees.</w:t>
      </w:r>
    </w:p>
    <w:p>
      <w:pPr>
        <w:spacing w:after="0" w:line="68"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Ashland believes that inclusion is essential to innovation and performance. In 2025, the Company advanced its global talent strategy with a focus on engagement, connection, and well-being. These efforts are designed to create a collaborative environment that leverages the talents of a diverse global workforce and supports sustainable growth.</w:t>
      </w:r>
    </w:p>
    <w:p>
      <w:pPr>
        <w:spacing w:after="0" w:line="68"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Ashland’s focus on advancing its culture starts at the top. The Board of Directors is comprised of individuals with diverse experience and credentials, selected for their business acumen, deep expertise and insight, and ability to challenge and add value to the management team. Both the Board of Directors and Executive Committee are engaged in shaping a culture that amplifies the Company values: we care, we commit, we solve together.</w:t>
      </w:r>
    </w:p>
    <w:p>
      <w:pPr>
        <w:spacing w:after="0" w:line="74"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The Company also recognizes and celebrates employees who exemplify its values through programs such as the Ashland Way Awards and Responsible Solvers™. As part of its commitment to community engagement and global citizenship, Ashland encourages employee participation in the Responsible Solvers™ program. This initiative combines the Company’s philanthropic focus on STEM education with volunteer opportunities, empowering employees to make a meaningful impact in the communities where they live and work. Eligible employees may receive up to 16 hours of paid time-off annually to engage in manager-approved volunteer activities during regular work hours.</w:t>
      </w:r>
    </w:p>
    <w:p>
      <w:pPr>
        <w:spacing w:after="0" w:line="8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i w:val="1"/>
          <w:iCs w:val="1"/>
          <w:color w:val="auto"/>
        </w:rPr>
        <w:t xml:space="preserve">Talent Development and Leadership </w:t>
      </w:r>
      <w:r>
        <w:rPr>
          <w:rFonts w:ascii="Times New Roman" w:cs="Times New Roman" w:eastAsia="Times New Roman" w:hAnsi="Times New Roman"/>
          <w:sz w:val="20"/>
          <w:szCs w:val="20"/>
          <w:color w:val="auto"/>
        </w:rPr>
        <w:t>– Ashland is building a people ecosystem that enables personal and professional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growth at every level. The Company conducts disciplined annual talent reviews and succession planning to strengthen its leadership pipeline, promote internal mobility, and minimize attrition. The performance management process provides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40"/>
          </w:cols>
          <w:pgMar w:left="1000" w:top="930" w:right="1000" w:bottom="175" w:gutter="0" w:footer="0" w:header="0"/>
          <w:type w:val="continuous"/>
        </w:sectPr>
      </w:pPr>
    </w:p>
    <w:bookmarkStart w:id="29" w:name="page30"/>
    <w:bookmarkEnd w:id="29"/>
    <w:p>
      <w:pPr>
        <w:jc w:val="both"/>
        <w:spacing w:after="0" w:line="325" w:lineRule="auto"/>
        <w:rPr>
          <w:sz w:val="20"/>
          <w:szCs w:val="20"/>
          <w:color w:val="auto"/>
        </w:rPr>
      </w:pPr>
      <w:r>
        <w:rPr>
          <w:rFonts w:ascii="Times New Roman" w:cs="Times New Roman" w:eastAsia="Times New Roman" w:hAnsi="Times New Roman"/>
          <w:sz w:val="20"/>
          <w:szCs w:val="20"/>
          <w:color w:val="auto"/>
        </w:rPr>
        <w:t>employees with ongoing feedback not only on performance, but also on their developmental progress and how they live the Ashland values.</w:t>
      </w:r>
    </w:p>
    <w:p>
      <w:pPr>
        <w:spacing w:after="0" w:line="49"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In 2025, Ashland elevated the capabilities of its leaders through targeted development and mentorship programs, and continuous learning opportunities that were delivered both proactively and on-demand. Ashland also provided tuition assistance for undergraduate, graduate, and PhD programs, as well as technical and professional development opportunities.</w:t>
      </w:r>
    </w:p>
    <w:p>
      <w:pPr>
        <w:spacing w:after="0" w:line="68"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i w:val="1"/>
          <w:iCs w:val="1"/>
          <w:color w:val="auto"/>
        </w:rPr>
        <w:t xml:space="preserve">Well-being and Engagement </w:t>
      </w:r>
      <w:r>
        <w:rPr>
          <w:rFonts w:ascii="Times New Roman" w:cs="Times New Roman" w:eastAsia="Times New Roman" w:hAnsi="Times New Roman"/>
          <w:sz w:val="20"/>
          <w:szCs w:val="20"/>
          <w:color w:val="auto"/>
        </w:rPr>
        <w:t>– Ashland continues to focus on employee wellness and executing the global vision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empower employees and their families to make healthy decisions that lead to positive outcomes in and outside of work. The Company’s well-being initiatives focus on four pillars: health, work-life balance, physical fitness, and financial stability. To that end, Ashland offers its employees wellness programs and events, including global Employee Assistance Programs, preventative care resources, and flexible leave benefits.</w:t>
      </w:r>
    </w:p>
    <w:p>
      <w:pPr>
        <w:spacing w:after="0" w:line="77"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The Company also conducts its annual global Culture Survey to measure engagement, and gain valuable insights which guide our investments in tools, resources, and practices that will enhance both employee and organizational productivity, effectiveness, and commitment.</w:t>
      </w:r>
    </w:p>
    <w:p>
      <w:pPr>
        <w:spacing w:after="0" w:line="68"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i w:val="1"/>
          <w:iCs w:val="1"/>
          <w:color w:val="auto"/>
        </w:rPr>
        <w:t xml:space="preserve">Ethical Standards and Human Rights </w:t>
      </w:r>
      <w:r>
        <w:rPr>
          <w:rFonts w:ascii="Times New Roman" w:cs="Times New Roman" w:eastAsia="Times New Roman" w:hAnsi="Times New Roman"/>
          <w:sz w:val="20"/>
          <w:szCs w:val="20"/>
          <w:color w:val="auto"/>
        </w:rPr>
        <w:t>– Ashland is committed to respecting the human and economic rights of others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does not tolerate the use of child or forced labor, slavery, or human trafficking in any of its facilities or operations. Ashland does not tolerate the physical punishment, abuse, involuntary servitude or exploitation of any worker and we expect our suppliers and contractors with whom we do business to uphold the same standards and will discontinue the business relationship with any individual or company that does not follow the same standards.</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Ashland's global footprint is geographically 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118110</wp:posOffset>
            </wp:positionV>
            <wp:extent cx="6505575" cy="3657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24">
                      <a:extLst>
                        <a:ext uri="{28A0092B-C50C-407E-A947-70E740481C1C}"/>
                      </a:extLst>
                    </a:blip>
                    <a:srcRect/>
                    <a:stretch>
                      <a:fillRect/>
                    </a:stretch>
                  </pic:blipFill>
                  <pic:spPr bwMode="auto">
                    <a:xfrm>
                      <a:off x="0" y="0"/>
                      <a:ext cx="6505575" cy="365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i w:val="1"/>
          <w:iCs w:val="1"/>
          <w:color w:val="auto"/>
        </w:rPr>
        <w:t xml:space="preserve">Competitive Pay and Benefits </w:t>
      </w:r>
      <w:r>
        <w:rPr>
          <w:rFonts w:ascii="Times New Roman" w:cs="Times New Roman" w:eastAsia="Times New Roman" w:hAnsi="Times New Roman"/>
          <w:sz w:val="20"/>
          <w:szCs w:val="20"/>
          <w:color w:val="auto"/>
        </w:rPr>
        <w:t>– Ashland is committed to paying its employees in a fair and equitable manner and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implemented global total rewards tools to promote equitable remuneration. The Company provides a total compensation package that is designed to be competitive with the markets in which it competes for talent. Ashland believes employees should be compensated equitably based on performance, skills, and experience.</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40"/>
          </w:cols>
          <w:pgMar w:left="1000" w:top="930" w:right="1000" w:bottom="175" w:gutter="0" w:footer="0" w:header="0"/>
          <w:type w:val="continuous"/>
        </w:sectPr>
      </w:pPr>
    </w:p>
    <w:bookmarkStart w:id="30" w:name="page31"/>
    <w:bookmarkEnd w:id="30"/>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reviews pay equity annually in conjunction with its annual performance review, merit, bonus and promotion processes. The Company annually completes an in-depth analysis of its pay equity globally using a number of factors to determine if a pay gap exists. Overall findings continue to be encouraging, identifying only a few employees annually that had a disparity in pay requiring further analysis and corrective action. Ashland reviews each process annually to ensure that its policies, procedures, and training continue to provide pay equity within the Company.</w:t>
      </w:r>
    </w:p>
    <w:p>
      <w:pPr>
        <w:spacing w:after="0" w:line="77"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The Company’s compensation programs are globally aligned, and, where possible, its total rewards plans include base salary, short and long-term incentives, benefits, financial, and special recognition programs. The Company routinely reviews its total rewards practices in the markets in which it operates to ensure its plans allow for the recruitment and retention of the talent it needs to be successful.</w:t>
      </w:r>
    </w:p>
    <w:p>
      <w:pPr>
        <w:spacing w:after="0" w:line="74"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Ashland also offers a competitive global benefits program to support employees through all life stages. The following benefit plans are available to employees depending on local markets in which the Company operates that include plan specific features such as on-site and on-demand resources:</w:t>
      </w:r>
    </w:p>
    <w:p>
      <w:pPr>
        <w:spacing w:after="0" w:line="83" w:lineRule="exact"/>
        <w:rPr>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Health care benefits including medical, prescription, dental and/or vision</w:t>
      </w:r>
    </w:p>
    <w:p>
      <w:pPr>
        <w:spacing w:after="0" w:line="35"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Wellness initiatives:</w:t>
      </w:r>
    </w:p>
    <w:p>
      <w:pPr>
        <w:spacing w:after="0" w:line="13" w:lineRule="exact"/>
        <w:rPr>
          <w:rFonts w:ascii="Arial" w:cs="Arial" w:eastAsia="Arial" w:hAnsi="Arial"/>
          <w:sz w:val="20"/>
          <w:szCs w:val="20"/>
          <w:color w:val="auto"/>
        </w:rPr>
      </w:pPr>
    </w:p>
    <w:p>
      <w:pPr>
        <w:ind w:left="980" w:right="5260"/>
        <w:spacing w:after="0" w:line="254" w:lineRule="auto"/>
        <w:rPr>
          <w:rFonts w:ascii="Arial" w:cs="Arial" w:eastAsia="Arial" w:hAnsi="Arial"/>
          <w:sz w:val="20"/>
          <w:szCs w:val="20"/>
          <w:color w:val="auto"/>
        </w:rPr>
      </w:pPr>
      <w:r>
        <w:rPr>
          <w:rFonts w:ascii="Arial" w:cs="Arial" w:eastAsia="Arial" w:hAnsi="Arial"/>
          <w:sz w:val="20"/>
          <w:szCs w:val="20"/>
          <w:color w:val="auto"/>
        </w:rPr>
        <w:t xml:space="preserve">R </w:t>
      </w:r>
      <w:r>
        <w:rPr>
          <w:rFonts w:ascii="Times New Roman" w:cs="Times New Roman" w:eastAsia="Times New Roman" w:hAnsi="Times New Roman"/>
          <w:sz w:val="20"/>
          <w:szCs w:val="20"/>
          <w:color w:val="auto"/>
        </w:rPr>
        <w:t>Global EAP (employee assistance program)</w:t>
      </w:r>
      <w:r>
        <w:rPr>
          <w:rFonts w:ascii="Arial" w:cs="Arial" w:eastAsia="Arial" w:hAnsi="Arial"/>
          <w:sz w:val="20"/>
          <w:szCs w:val="20"/>
          <w:color w:val="auto"/>
        </w:rPr>
        <w:t xml:space="preserve"> R </w:t>
      </w:r>
      <w:r>
        <w:rPr>
          <w:rFonts w:ascii="Times New Roman" w:cs="Times New Roman" w:eastAsia="Times New Roman" w:hAnsi="Times New Roman"/>
          <w:sz w:val="20"/>
          <w:szCs w:val="20"/>
          <w:color w:val="auto"/>
        </w:rPr>
        <w:t>Flu vaccination resources</w:t>
      </w: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Paid time off</w:t>
      </w:r>
    </w:p>
    <w:p>
      <w:pPr>
        <w:spacing w:after="0" w:line="13"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Voluntary benefits</w:t>
      </w:r>
    </w:p>
    <w:p>
      <w:pPr>
        <w:spacing w:after="0" w:line="13"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Life and accident coverage</w:t>
      </w:r>
    </w:p>
    <w:p>
      <w:pPr>
        <w:spacing w:after="0" w:line="13"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Disability coverage</w:t>
      </w:r>
    </w:p>
    <w:p>
      <w:pPr>
        <w:spacing w:after="0" w:line="13"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Retirement plans</w:t>
      </w:r>
    </w:p>
    <w:p>
      <w:pPr>
        <w:spacing w:after="0" w:line="13"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Tuition reimbursement</w:t>
      </w:r>
    </w:p>
    <w:p>
      <w:pPr>
        <w:spacing w:after="0" w:line="13"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Business travel accident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0"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as amended, and Section 21E of the Securities Exchange Act of 1934, as amended (the “Exchange Act”). These forward-looking statements are not historical facts and generally are identified by words such as “anticipates,” “believes,” “estimates,” “expects,” “is likely,” “predicts,” “projects,” “forecasts,” “objectives,” “may,” “will,” “should,” “plans,” and “intends” and the negative of these words or other comparable terminology. Although Ashland believes that its expectations are based on reasonable assumptions, such expectations are subject to risks and uncertainties that are difficult to predict and may be beyond Ashland’s control. As a result, Ashland cannot assure that the expectations contained in such statements will be achieved. Important factors that could cause actual results to differ materially from those contained in such statements are discussed under “Use of estimates, risks and uncertainties” in Note A of Notes to Consolidated Financial Statements in this Annual Report on Form 10-K. For a discussion of other factors and risks that could affect Ashland’s expectations and operations, see “Item 1A. Risk Factors” in this Annual Report on Form 10-K.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7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The following discussion identifies risk factors that may adversely affect Ashland’s business, operations, financial position or future financial performance or make an investment in Ashland speculative or risky. It is designed to highlight what Ashland believes are important factors to consider when evaluating its expectations. This information should be read in conjunction with the description of our business, Management's Discussion and Analysis, and the consolidated financial statements and related notes contained in this Annual Report on Form 10-K. These factors could cause future results to differ from those in forward-looking statements and from historical trends.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the Company’s Business Operations, Financial Performance and Growth</w:t>
      </w:r>
    </w:p>
    <w:p>
      <w:pPr>
        <w:spacing w:after="0" w:line="16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Ashland has set aggressive growth goals for its reportable segments which may be impacted by such risks as the failure to optimize the use of Ashland’s tangible and intangible assets, the failure to identify and successfully integrate acquisition targets, and/or unexpected costs and liabilities associated with strategic acquisitions. These risks could lead</w:t>
      </w:r>
    </w:p>
    <w:p>
      <w:pPr>
        <w:sectPr>
          <w:pgSz w:w="12240" w:h="15840" w:orient="portrait"/>
          <w:cols w:equalWidth="0" w:num="1">
            <w:col w:w="10240"/>
          </w:cols>
          <w:pgMar w:left="1000" w:top="930" w:right="1000" w:bottom="175"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40"/>
          </w:cols>
          <w:pgMar w:left="1000" w:top="930" w:right="1000" w:bottom="175" w:gutter="0" w:footer="0" w:header="0"/>
          <w:type w:val="continuous"/>
        </w:sectPr>
      </w:pPr>
    </w:p>
    <w:bookmarkStart w:id="31" w:name="page32"/>
    <w:bookmarkEnd w:id="31"/>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to reduced sales, increased expenses, impairment of goodwill or other intangible assets, and other adverse effects on the Company’s financial condition and results of operations.</w:t>
      </w:r>
    </w:p>
    <w:p>
      <w:pPr>
        <w:spacing w:after="0" w:line="36"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20"/>
          <w:szCs w:val="20"/>
          <w:color w:val="auto"/>
        </w:rPr>
        <w:t>Ashland’s failure to fully achieve one or more of its aggressive growth goals or meet its long-term objectives could negatively impact Ashland’s potential value and its reportable segments. Such failure may result if Ashland is unable to effectively execute its business strategy and growth plans by failing to optimize the use of its physical and intangible assets. Such optimization failure may result from changes to the global economic environment, changes to the competitive landscape, attraction and retention of skilled employees, the potential failure of product innovation plans, failure to comply with existing or new regulatory schemes, failure to maintain a competitive cost structure and other risks outlined in greater detail in this Item 1A. In addition, Ashland, as part of its growth goals, continuously evaluates acquisition candidates. If Ashland is unable to successfully identify and integrate acquired businesses, Ashland could fail to achieve any expected increases in sales and operating results, which could have a material adverse effect on Ashland’s financial results. Ashland’s ability to achieve the anticipated financial benefits from any acquisition transactions may not be realized due to any number of factors, including, but not limited to, unsuccessful integration efforts, unexpected or underestimated liabilities or increased costs, fees, expenses and charges related to such transactions. Such adverse events could result in a decrease in the estimated fair value of goodwill or other intangible assets established as a result of such transactions, triggering an impairment as experienced in 2025. These and other factors could have a material adverse effect on our financial condition and results of operations.</w:t>
      </w:r>
    </w:p>
    <w:p>
      <w:pPr>
        <w:spacing w:after="0" w:line="9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Business disruptions from natural, operational and other catastrophic risks could seriously harm Ashland’s operations and financial performance. In addition, a catastrophic event at one of Ashland’s facilities or involving its products or employees could lead to liabilities that could further impair its operations and financial performance.</w:t>
      </w:r>
    </w:p>
    <w:p>
      <w:pPr>
        <w:spacing w:after="0" w:line="58"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Business disruptions (including those related to operating hazards inherent with the production of chemicals) stemming from events such as natural disasters, severe weather conditions, supply or logistics disruptions, increasing costs for energy, temporary plant and/or power outages, information technology systems and network disruptions, cyber-security breaches, terrorist attacks, armed conflicts, war, public health crises, fires, floods or other catastrophic events, could seriously harm Ashland’s operations, as well as the operations of its customers and suppliers, and may adversely impact Ashland’s financial performance. These events could result in reduced demand for Ashland’s products, make it difficult or impossible for Ashland to manufacture its products or deliver products to its customers or to receive raw materials from suppliers, or create delays and inefficiencies in the supply chain. In addition to leading to a serious disruption of Ashland’s reportable segments, a catastrophic event at one of our facilities or involving our products or employees could lead to substantial legal liability to or claims by parties allegedly harmed by the event.</w:t>
      </w:r>
    </w:p>
    <w:p>
      <w:pPr>
        <w:spacing w:after="0" w:line="82" w:lineRule="exact"/>
        <w:rPr>
          <w:sz w:val="20"/>
          <w:szCs w:val="20"/>
          <w:color w:val="auto"/>
        </w:rPr>
      </w:pPr>
    </w:p>
    <w:p>
      <w:pPr>
        <w:jc w:val="both"/>
        <w:ind w:firstLine="360"/>
        <w:spacing w:after="0" w:line="313" w:lineRule="auto"/>
        <w:rPr>
          <w:sz w:val="20"/>
          <w:szCs w:val="20"/>
          <w:color w:val="auto"/>
        </w:rPr>
      </w:pPr>
      <w:r>
        <w:rPr>
          <w:rFonts w:ascii="Times New Roman" w:cs="Times New Roman" w:eastAsia="Times New Roman" w:hAnsi="Times New Roman"/>
          <w:sz w:val="19"/>
          <w:szCs w:val="19"/>
          <w:color w:val="auto"/>
        </w:rPr>
        <w:t>Furthermore, because catastrophic events are inherently uncertain, Ashland's business continuity plans may not address every potential scenario and may not fully protect it from all such events. In addition, insurance maintained by Ashland to protect against property damage, loss of business and other related consequences resulting from catastrophic events is subject to various deductibles and coverage limitations, depending on the nature of the risk insured. This insurance may not be sufficient to cover all of Ashland’s damages or damages to others in the event of a catastrophe. In addition, insurance related to these types of risks may not be available now or, if available, may not be available in the future at commercially reasonable rates.</w:t>
      </w:r>
    </w:p>
    <w:p>
      <w:pPr>
        <w:spacing w:after="0" w:line="21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Climate change and related resource impacts may lead to supply chain disruptions, operational impacts, and geopolitical events which could result in impacts to raw material pricing, lack of product availability, and decreased sales.</w:t>
      </w:r>
    </w:p>
    <w:p>
      <w:pPr>
        <w:spacing w:after="0" w:line="58"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sources a large number of raw materials from third party suppliers globally. These products include both natural and synthetic materials derived from plants, animal products, organic and petroleum based raw materials. Disruptions to the global supply chain due to climate related impacts or geopolitical events are possible and exist as external risk factors that the Company cannot control. These events could limit the supply of key raw materials to the Company, or could have significant impacts to pricing.</w:t>
      </w:r>
    </w:p>
    <w:p>
      <w:pPr>
        <w:spacing w:after="0" w:line="77"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 has manufacturing operations in areas vulnerable to coastal storms which may increase in magnitude and impact due to climate change. Increasingly large and unprecedented weather events may pose a risk to business operations in</w: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40"/>
          </w:cols>
          <w:pgMar w:left="1000" w:top="926" w:right="1000" w:bottom="175" w:gutter="0" w:footer="0" w:header="0"/>
          <w:type w:val="continuous"/>
        </w:sectPr>
      </w:pPr>
    </w:p>
    <w:bookmarkStart w:id="32" w:name="page33"/>
    <w:bookmarkEnd w:id="32"/>
    <w:p>
      <w:pPr>
        <w:jc w:val="both"/>
        <w:spacing w:after="0" w:line="325" w:lineRule="auto"/>
        <w:rPr>
          <w:sz w:val="20"/>
          <w:szCs w:val="20"/>
          <w:color w:val="auto"/>
        </w:rPr>
      </w:pPr>
      <w:r>
        <w:rPr>
          <w:rFonts w:ascii="Times New Roman" w:cs="Times New Roman" w:eastAsia="Times New Roman" w:hAnsi="Times New Roman"/>
          <w:sz w:val="20"/>
          <w:szCs w:val="20"/>
          <w:color w:val="auto"/>
        </w:rPr>
        <w:t>vulnerable areas. Storms could cause business interruptions, incur additional restoration costs, and impact product availability and pricing.</w:t>
      </w:r>
    </w:p>
    <w:p>
      <w:pPr>
        <w:spacing w:after="0" w:line="49"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Consumer preference is increasingly impacted by awareness of and a response to climate change. Consumers are increasingly demanding responsibly sourced and manufactured products. An inability to respond to consumer demands through environmental, social and governance ("ESG") innovation could lead to a loss of sales to competitors providing more sustainable product offerings.</w:t>
      </w:r>
    </w:p>
    <w:p>
      <w:pPr>
        <w:spacing w:after="0" w:line="74"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Energy availability and pricing has been impacted by geopolitical events and may be impacted by climate-related legislation and regulations. As climate legislation increases in many countries, the availability of conventional and nonrenewable energy may be increasingly limited and prices may continue to increase. Where demand exceeds energy capacity, energy disruptions such as brown out or black out events are possible, leading to business interruption and quality/operational impacts. Failure to respond to or mitigate this risk could lead to increased cost and business impacts.</w:t>
      </w:r>
    </w:p>
    <w:p>
      <w:pPr>
        <w:spacing w:after="0" w:line="77"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Globally, the availability of fresh, potable water is a growing concern, where water withdrawal can exceed the rates of surface and groundwater replenishment in critical basins, rivers, or other bodies of water. This concern continues to increase for Ashland and for the global supply chain where fresh water is a key resource for manufacturing operations. Failure to respond to this risk could lead to business interruptions and impact the availability and pricing of product.</w:t>
      </w:r>
    </w:p>
    <w:p>
      <w:pPr>
        <w:spacing w:after="0" w:line="74"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sources several key natural raw materials that contain processed timber, palm, soy, and other harvested or farmed raw materials. Deforestation is an increasing concern where the irresponsible harvest of these raw materials can lead to loss of critical forests and habitats. Additional sourcing of these materials is under increasing scrutiny due to deforestation, and the availability of these raw materials may be limited in the future. Failure to source responsibly and respond to or mitigate the risk could lead to business impacts and increased cost.</w:t>
      </w:r>
    </w:p>
    <w:p>
      <w:pPr>
        <w:spacing w:after="0" w:line="77"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 part of its commitment to supporting climate change response efforts, Ashland has committed to 2032 targets through the Science Based Targets Initiative ("SBTi") which were approved by SBTi in October of 2023. These targets are aligned with the objective of limiting global warming to no more than 1.5C above preindustrial levels. Ashland’s sustainability commitments are key to stakeholders and a differentiator for Ashland. Failure to meet stated commitments could lead to reputational and business impacts.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Ashland’s customers could change their products in a way that reduces the demand for Ashland’s products.</w:t>
      </w:r>
    </w:p>
    <w:p>
      <w:pPr>
        <w:spacing w:after="0" w:line="17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produces and sells specialty materials that are used by its customers for a broad range of applications. Many of these Ashland materials become part of end products that are sold to consumers. Changes in consumer preferences and demands can lead to certain Ashland customers making changes to their products. In other instances, Ashland’s customers may change their products or production techniques to take advantage of newer technologies, alternative chemistries, more effective formulations, or improved processes, or in response to various market, technical or regulatory changes.</w:t>
      </w:r>
    </w:p>
    <w:p>
      <w:pPr>
        <w:spacing w:after="0" w:line="77"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Such changes in Ashland’s customers’ products or production techniques may cause these customers to reduce consumption of Ashland’s products or eliminate their need entirely. Ashland may not be able to supply products that meet the customers’ new requirements. Such lost sales opportunities may not be replaced by those offering equal revenue potential or margin. If Ashland fails to develop new products and new applications of existing products, it may face loss of market share, margins and cash flow.</w:t>
      </w:r>
    </w:p>
    <w:p>
      <w:pPr>
        <w:spacing w:after="0" w:line="7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b w:val="1"/>
          <w:bCs w:val="1"/>
          <w:color w:val="auto"/>
        </w:rPr>
        <w:t>Ashland’s substantial global operations subject it to risks inherent in doing business in foreign countries, including changes to tariffs and trade policy, geopolitical instability, and challenges in hiring and managing a diverse workforce across jurisdictions with differing labor and employment laws and cultural practices, any of which could adversely affect Ashland's business, financial condition and results of operations.</w:t>
      </w:r>
    </w:p>
    <w:p>
      <w:pPr>
        <w:spacing w:after="0" w:line="67"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Greater than half of Ashland’s net sales for fiscal 2025 were to customers outside of North America. Ashland expects sales from international markets to continue to represent an even larger portion of the Company’s sales in the future. Also, a significant portion of Ashland’s manufacturing capacity is located outside of the United States. Accordingly, Ashland’s business is subject to risks related to the differing legal, political, cultural, social and regulatory requirements and economic conditions of many jurisdictions</w:t>
      </w:r>
    </w:p>
    <w:p>
      <w:pPr>
        <w:sectPr>
          <w:pgSz w:w="12240" w:h="15840" w:orient="portrait"/>
          <w:cols w:equalWidth="0" w:num="1">
            <w:col w:w="10240"/>
          </w:cols>
          <w:pgMar w:left="1000" w:top="930" w:right="1000" w:bottom="175" w:gutter="0" w:footer="0" w:header="0"/>
        </w:sect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40"/>
          </w:cols>
          <w:pgMar w:left="1000" w:top="930" w:right="1000" w:bottom="175" w:gutter="0" w:footer="0" w:header="0"/>
          <w:type w:val="continuous"/>
        </w:sectPr>
      </w:pPr>
    </w:p>
    <w:bookmarkStart w:id="33" w:name="page34"/>
    <w:bookmarkEnd w:id="33"/>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Ashland’s global business operations present a range of challenges, particularly related to tariffs, trade policy, and geopolitical risks. The imposition of new tariffs or trade quotas, or the impairment of existing trade agreements, risks that have become more pronounced amid ongoing global trade tensions and protectionist measures, could significantly impair Ashland’s financial performance. The uncertainty and volatility created by these policies, including heightened trade disputes, renegotiations of major agreements, and the risk of additional withholding taxes or restrictions on foreign trade and investment (such as currency exchange controls), may disrupt supply chains, increase costs, limit market access for Ashland’s products, and adversely affect profitability in U.S. dollars for products and services provided abroad. Ongoing trade disputes between the United States and Europe, Latin America, and the Asia-Pacific region could further negatively impact Ashland if they worsen.</w:t>
      </w:r>
    </w:p>
    <w:p>
      <w:pPr>
        <w:spacing w:after="0" w:line="82"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Ashland also faces significant geopolitical risks inherent in operating a global business. The outbreak or escalation of armed conflicts, including the ongoing Israel/Hamas conflict, can disrupt supply chains, limit market access, and increase operational uncertainty, particularly in the Middle East and surrounding regions. Additionally, terrorist activities and the responses to such threats in certain countries may pose a greater risk to Ashland’s operations than in the United States. In Europe, economic sanctions imposed on Russia and/or Russia's reaction to these sanctions may adversely affect Ashland’s performance and results of operations. The risks associated with localized or regional armed conflict in many areas remain high and could disrupt or negatively impact Ashland worldwide.</w:t>
      </w:r>
    </w:p>
    <w:p>
      <w:pPr>
        <w:spacing w:after="0" w:line="8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Other legal and political risks include difficulties in hiring and maintaining a workforce in certain countries, challenges in enforcing agreements or collecting receivables through foreign legal systems, and the possibility that foreign governments may nationalize private enterprises. Social and cultural norms in some regions may not align with Ashland’s corporate policies, including those related to compliance with substantive laws and regulations. Furthermore, changes in general economic and political conditions in countries where Ashland operates, particularly in Europe, the Middle East, and emerging markets, pose ongoing risks to Ashland’s financial performance.</w:t>
      </w:r>
    </w:p>
    <w:p>
      <w:pPr>
        <w:spacing w:after="0" w:line="8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 Ashland continues to operate its business globally, its success will depend, in part, on its ability to anticipate and effectively manage these and other related risks.</w:t>
      </w:r>
    </w:p>
    <w:p>
      <w:pPr>
        <w:spacing w:after="0" w:line="45"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Adverse developments in the global economy and potential disruptions of financial markets could negatively impact Ashland’s customers and suppliers, and therefore have a negative impact on Ashland’s results of operations.</w:t>
      </w:r>
    </w:p>
    <w:p>
      <w:pPr>
        <w:spacing w:after="0" w:line="36"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A global or regional economic downturn may reduce customer demand or inhibit Ashland’s ability to produce and sell products. Ashland’s business and operating results are sensitive to global and regional economic downturns, credit market tightness, declining consumer and business confidence, fluctuating commodity prices, volatile exchange rates, inflation or changes in interest rates, sovereign debt defaults and other challenges, including those related to international sanctions and acts of aggression or threatened aggression that can affect the global economy. In the event of adverse developments or stagnation in the economy or financial markets, Ashland’s customers may experience deterioration of their businesses, reduced demand for their products, cash flow shortages and difficulty obtaining financing. As a result, existing or potential customers might delay or cancel plans to purchase products, which includes customer destocking of their own inventories, and may not be able to fulfill their obligations to Ashland in a timely fashion. Further, suppliers may experience similar conditions, which could impact their ability to fulfill their obligations to Ashland. A weakening or reversal of the current economic conditions in the global economy or a substantial part of it could negatively impact Ashland’s business, results of operations, financial condition and ability to grow.</w:t>
      </w:r>
    </w:p>
    <w:p>
      <w:pPr>
        <w:spacing w:after="0" w:line="8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Ashland’s substantial indebtedness may adversely affect our ability to pursue certain strategic acquisitions and other business opportunities, inhibit our flexibility in responding to changing market conditions, and impede our ability to generate revenue.</w:t>
      </w:r>
    </w:p>
    <w:p>
      <w:pPr>
        <w:spacing w:after="0" w:line="58"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 maintains a substantial amount of debt. Ashland’s substantial indebtedness could adversely affect its business, results of operations and financial condition by, among other things:</w:t>
      </w:r>
    </w:p>
    <w:p>
      <w:pPr>
        <w:spacing w:after="0" w:line="64" w:lineRule="exact"/>
        <w:rPr>
          <w:sz w:val="20"/>
          <w:szCs w:val="20"/>
          <w:color w:val="auto"/>
        </w:rPr>
      </w:pPr>
    </w:p>
    <w:p>
      <w:pPr>
        <w:jc w:val="both"/>
        <w:ind w:left="980" w:hanging="497"/>
        <w:spacing w:after="0" w:line="258"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requiring Ashland to dedicate a substantial portion of its cash flow from operations to pay principal and interest on its debt, which would reduce the availability of Ashland’s cash flow to fund working capital, capital expenditures, acquisitions, execution of its growth strategy and other general corporate purposes;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40"/>
          </w:cols>
          <w:pgMar w:left="1000" w:top="930" w:right="1000" w:bottom="175" w:gutter="0" w:footer="0" w:header="0"/>
          <w:type w:val="continuous"/>
        </w:sectPr>
      </w:pPr>
    </w:p>
    <w:bookmarkStart w:id="34" w:name="page35"/>
    <w:bookmarkEnd w:id="34"/>
    <w:p>
      <w:pPr>
        <w:ind w:left="980" w:right="20" w:hanging="497"/>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limiting Ashland’s ability to borrow additional amounts to fund working capital, capital expenditures, acquisitions, debt service requirements, execution of its growth strategy and other purposes;</w:t>
      </w:r>
    </w:p>
    <w:p>
      <w:pPr>
        <w:spacing w:after="0" w:line="64" w:lineRule="exact"/>
        <w:rPr>
          <w:rFonts w:ascii="Arial" w:cs="Arial" w:eastAsia="Arial" w:hAnsi="Arial"/>
          <w:sz w:val="20"/>
          <w:szCs w:val="20"/>
          <w:color w:val="auto"/>
        </w:rPr>
      </w:pPr>
    </w:p>
    <w:p>
      <w:pPr>
        <w:jc w:val="both"/>
        <w:ind w:left="980" w:right="20" w:hanging="497"/>
        <w:spacing w:after="0" w:line="258"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making Ashland more vulnerable to adverse changes in general economic, industry and regulatory conditions and in its business by limiting Ashland’s flexibility in planning for, and making it more difficult for Ashland to react quickly to, changing conditions;</w:t>
      </w:r>
    </w:p>
    <w:p>
      <w:pPr>
        <w:spacing w:after="0" w:line="81" w:lineRule="exact"/>
        <w:rPr>
          <w:rFonts w:ascii="Arial" w:cs="Arial" w:eastAsia="Arial" w:hAnsi="Arial"/>
          <w:sz w:val="20"/>
          <w:szCs w:val="20"/>
          <w:color w:val="auto"/>
        </w:rPr>
      </w:pPr>
    </w:p>
    <w:p>
      <w:pPr>
        <w:ind w:left="980" w:hanging="497"/>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placing Ashland at a competitive disadvantage compared with those of its competitors that have less debt and lower debt service requirements;</w:t>
      </w:r>
    </w:p>
    <w:p>
      <w:pPr>
        <w:spacing w:after="0" w:line="64" w:lineRule="exact"/>
        <w:rPr>
          <w:rFonts w:ascii="Arial" w:cs="Arial" w:eastAsia="Arial" w:hAnsi="Arial"/>
          <w:sz w:val="20"/>
          <w:szCs w:val="20"/>
          <w:color w:val="auto"/>
        </w:rPr>
      </w:pPr>
    </w:p>
    <w:p>
      <w:pPr>
        <w:ind w:left="980" w:hanging="497"/>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making Ashland more vulnerable to increases in interest rates if debt is refinanced; and</w:t>
      </w:r>
    </w:p>
    <w:p>
      <w:pPr>
        <w:spacing w:after="0" w:line="133" w:lineRule="exact"/>
        <w:rPr>
          <w:rFonts w:ascii="Arial" w:cs="Arial" w:eastAsia="Arial" w:hAnsi="Arial"/>
          <w:sz w:val="20"/>
          <w:szCs w:val="20"/>
          <w:color w:val="auto"/>
        </w:rPr>
      </w:pPr>
    </w:p>
    <w:p>
      <w:pPr>
        <w:ind w:left="980" w:hanging="497"/>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making it more difficult for Ashland to satisfy its financial obligations.</w:t>
      </w:r>
    </w:p>
    <w:p>
      <w:pPr>
        <w:spacing w:after="0" w:line="119" w:lineRule="exact"/>
        <w:rPr>
          <w:sz w:val="20"/>
          <w:szCs w:val="20"/>
          <w:color w:val="auto"/>
        </w:rPr>
      </w:pPr>
    </w:p>
    <w:p>
      <w:pPr>
        <w:jc w:val="both"/>
        <w:ind w:right="20" w:firstLine="360"/>
        <w:spacing w:after="0" w:line="295" w:lineRule="auto"/>
        <w:rPr>
          <w:sz w:val="20"/>
          <w:szCs w:val="20"/>
          <w:color w:val="auto"/>
        </w:rPr>
      </w:pPr>
      <w:r>
        <w:rPr>
          <w:rFonts w:ascii="Times New Roman" w:cs="Times New Roman" w:eastAsia="Times New Roman" w:hAnsi="Times New Roman"/>
          <w:sz w:val="20"/>
          <w:szCs w:val="20"/>
          <w:color w:val="auto"/>
        </w:rPr>
        <w:t>In addition, Ashland may not be able to generate sufficient cash flow from its operations to repay its indebtedness when it becomes due and to meet its other cash needs. If Ashland is not able to pay its debts as they become due, it could be in default under its credit facility or other indebtedness. Ashland might also be required to pursue one or more alternative strategies to repay indebtedness, such as selling assets, refinancing or restructuring its indebtedness or selling additional debt or equity securities. Ashland may not be able to refinance its debt or sell additional debt or equity securities or its assets on favorable terms, if at all, and if Ashland must sell its assets, it may negatively affect its ability to generate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Competition</w:t>
      </w:r>
    </w:p>
    <w:p>
      <w:pPr>
        <w:spacing w:after="0" w:line="162"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20"/>
          <w:szCs w:val="20"/>
          <w:b w:val="1"/>
          <w:bCs w:val="1"/>
          <w:color w:val="auto"/>
        </w:rPr>
        <w:t>Failure to develop and market new products and production technologies could impact Ashland’s competitive position and have an adverse effect on its sales, businesses, and results of operations.</w:t>
      </w:r>
    </w:p>
    <w:p>
      <w:pPr>
        <w:spacing w:after="0" w:line="36" w:lineRule="exact"/>
        <w:rPr>
          <w:sz w:val="20"/>
          <w:szCs w:val="20"/>
          <w:color w:val="auto"/>
        </w:rPr>
      </w:pPr>
    </w:p>
    <w:p>
      <w:pPr>
        <w:jc w:val="both"/>
        <w:ind w:right="20" w:firstLine="360"/>
        <w:spacing w:after="0" w:line="291" w:lineRule="auto"/>
        <w:rPr>
          <w:sz w:val="20"/>
          <w:szCs w:val="20"/>
          <w:color w:val="auto"/>
        </w:rPr>
      </w:pPr>
      <w:r>
        <w:rPr>
          <w:rFonts w:ascii="Times New Roman" w:cs="Times New Roman" w:eastAsia="Times New Roman" w:hAnsi="Times New Roman"/>
          <w:sz w:val="20"/>
          <w:szCs w:val="20"/>
          <w:color w:val="auto"/>
        </w:rPr>
        <w:t>The specialty additives and materials industry is subject to periodic technological change and ongoing product improvements. In order to maintain margins and remain competitive, Ashland must successfully develop and introduce new products or improvements that appeal to its customers and ultimately to global consumers. Ashland plans to grow earnings, in part, by focusing on developing markets and solutions to meet increasing demand in those markets, including demand for personal care and pharmaceutical products which are subject to lengthy regulatory approval processes. The fast change in Ashland’s industry and those of its customers necessitates that Ashland continue the development of new technologies to replace older technologies whose demand or market position may be fading. Ashland’s efforts to respond to changes in customer demand in a timely and cost-efficient manner to drive growth could be adversely affected by difficulties or delays in product development, including the inability to identify viable new products, successfully complete research and development, obtain regulatory approvals, obtain intellectual property protection or gain market acceptance of new products. Due to the lengthy development process, technological challenges and intense competition, Ashland’s products may not achieve substantial commercial success.</w:t>
      </w:r>
    </w:p>
    <w:p>
      <w:pPr>
        <w:spacing w:after="0" w:line="86" w:lineRule="exact"/>
        <w:rPr>
          <w:sz w:val="20"/>
          <w:szCs w:val="20"/>
          <w:color w:val="auto"/>
        </w:rPr>
      </w:pPr>
    </w:p>
    <w:p>
      <w:pPr>
        <w:jc w:val="both"/>
        <w:ind w:right="20" w:firstLine="360"/>
        <w:spacing w:after="0" w:line="297" w:lineRule="auto"/>
        <w:rPr>
          <w:sz w:val="20"/>
          <w:szCs w:val="20"/>
          <w:color w:val="auto"/>
        </w:rPr>
      </w:pPr>
      <w:r>
        <w:rPr>
          <w:rFonts w:ascii="Times New Roman" w:cs="Times New Roman" w:eastAsia="Times New Roman" w:hAnsi="Times New Roman"/>
          <w:sz w:val="20"/>
          <w:szCs w:val="20"/>
          <w:color w:val="auto"/>
        </w:rPr>
        <w:t>In all reportable segments and especially within Personal Care, there is an increasing awareness of and competition for innovations relating to more sustainable products with increasing attributes such as naturality and biodegradability, or materials sourced from bio-based raw materials. Ashland sees increasing pressure to innovate and provide solutions with these features to stay competitive and to differentiate the Company from competitors in key markets. Failure to innovate could result in a loss of business to competitors who offer similar or improved sustainable product portfolios.</w:t>
      </w:r>
    </w:p>
    <w:p>
      <w:pPr>
        <w:spacing w:after="0" w:line="73"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b w:val="1"/>
          <w:bCs w:val="1"/>
          <w:color w:val="auto"/>
        </w:rPr>
        <w:t>The competitive nature of Ashland’s markets may delay or prevent Ashland from passing increases in raw materials or energy costs on to its customers. In addition, certain of Ashland’s suppliers may be unable to deliver products or raw materials or fulfill contractual requirements. The occurrence of either event could result in decreased sales, increased costs, and adverse impacts to the valuation of Ashland’s inventory.</w:t>
      </w:r>
    </w:p>
    <w:p>
      <w:pPr>
        <w:spacing w:after="0" w:line="67"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Rising and volatile raw material prices, especially those of hydrocarbon derivatives, cotton linters or wood pulp, may negatively impact Ashland’s costs, results of operations and the valuation of its inventory. Similarly, energy costs are a significant component of certain of Ashland’s product costs. Ashland is not always able to raise prices in response to such</w:t>
      </w:r>
    </w:p>
    <w:p>
      <w:pPr>
        <w:sectPr>
          <w:pgSz w:w="12240" w:h="15840" w:orient="portrait"/>
          <w:cols w:equalWidth="0" w:num="1">
            <w:col w:w="10260"/>
          </w:cols>
          <w:pgMar w:left="1000" w:top="944"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944" w:right="980" w:bottom="175" w:gutter="0" w:footer="0" w:header="0"/>
          <w:type w:val="continuous"/>
        </w:sectPr>
      </w:pPr>
    </w:p>
    <w:bookmarkStart w:id="35" w:name="page36"/>
    <w:bookmarkEnd w:id="35"/>
    <w:p>
      <w:pPr>
        <w:jc w:val="both"/>
        <w:spacing w:after="0" w:line="325" w:lineRule="auto"/>
        <w:rPr>
          <w:sz w:val="20"/>
          <w:szCs w:val="20"/>
          <w:color w:val="auto"/>
        </w:rPr>
      </w:pPr>
      <w:r>
        <w:rPr>
          <w:rFonts w:ascii="Times New Roman" w:cs="Times New Roman" w:eastAsia="Times New Roman" w:hAnsi="Times New Roman"/>
          <w:sz w:val="20"/>
          <w:szCs w:val="20"/>
          <w:color w:val="auto"/>
        </w:rPr>
        <w:t>increased costs, and its ability to pass on the costs of such price increases is dependent upon market conditions. Likewise, reductions in the valuation of Ashland’s inventory due to market volatility may not be recovered and could result in losses.</w:t>
      </w:r>
    </w:p>
    <w:p>
      <w:pPr>
        <w:spacing w:after="0" w:line="49"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Ashland purchases certain products and raw materials from suppliers, often pursuant to written supply contracts. If those suppliers are unable to meet Ashland’s orders in a timely manner or choose to terminate or not fulfill contractual arrangements, Ashland may not be able to make alternative supply arrangements. Also, domestic and global government regulations related to the manufacture, transport or import of certain raw materials may impede Ashland’s ability to obtain those raw materials on commercially reasonable terms. Certain Ashland businesses rely on agricultural output of clary sage, guar, and cotton linters, and the availability of these materials can be severely impacted by crop yields, weather events, and other factors. If Ashland is unable to obtain and retain qualified suppliers under commercially acceptable terms, its ability to manufacture and deliver products in a timely, competitive and profitable manner or grow its business successfully could be adversely affected.</w:t>
      </w:r>
    </w:p>
    <w:p>
      <w:pPr>
        <w:spacing w:after="0" w:line="23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Ashland operates in highly competitive markets which places downward pressure on prices and margins and may adversely affect Ashland’s reportable segments and results of operations.</w:t>
      </w:r>
    </w:p>
    <w:p>
      <w:pPr>
        <w:spacing w:after="0" w:line="36"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Ashland operates in highly competitive markets, competing against a number of domestic and foreign companies. Competition is based on several key criteria, including product performance and quality, product price, product availability and security of supply, responsiveness of product development in cooperation with customers and customer service, as well as the ability to bring innovative products or services to the marketplace. Certain key competitors are significantly larger than Ashland and have greater financial resources, leading to greater operating and financial flexibility. As a result, these competitors may be better able to withstand changes in conditions within the relevant industry, changes in the prices of raw materials and energy and changes in general economic conditions. In addition, competitors’ pricing decisions could compel Ashland to decrease its prices, which could negatively affect its margins and profitability. Additional competition in markets served by Ashland could adversely affect margins and profitability and could lead to a reduction in market share. Also, Ashland competes in certain markets that are declining and has targeted other markets for growth opportunities. Competitive and pricing pressures could also impact Ashland’s production volumes, which can in turn reduce cost efficiency. If Ashland’s strategies for dealing with declining markets and leveraging opportunity markets are not successful, its reportable segments and results of operations could be negatively affected.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Human Capital</w:t>
      </w:r>
    </w:p>
    <w:p>
      <w:pPr>
        <w:spacing w:after="0" w:line="162"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Ashland’s success depends upon its ability to attract and retain key employees and the identification and development of talent to succeed senior management.</w:t>
      </w:r>
    </w:p>
    <w:p>
      <w:pPr>
        <w:spacing w:after="0" w:line="36"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Ashland’s success depends on its ability to attract and retain key personnel. The inability to recruit, and develop key personnel or the unexpected loss, voluntarily or otherwise, of key personnel may adversely affect Ashland's operations. Ashland relies heavily on its senior management team as these executives are primarily responsible for determining the strategic direction of Ashland’s business and for executing its growth strategy. Therefore, Ashland’s future success depends, in part, on the continued service of its senior management team. The loss of any member of the senior management team could impact the Company’s execution of its growth strategy and also be viewed negatively by investors and analysts, which could cause the price of Ashland’s common stock to decline.</w:t>
      </w:r>
    </w:p>
    <w:p>
      <w:pPr>
        <w:spacing w:after="0" w:line="8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Ashland’s success further depends on its ability to identify and develop talent to succeed its senior management team and other key positions throughout the organization. If Ashland fails to engage in effective succession planning, it may inhibit the effective transfer of knowledge, prevent smooth transitions involving these key employees, and negatively impact our strategic planning and long-term growth.</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Information Technology, Cybersecurity and Intellectual Property</w:t>
      </w:r>
    </w:p>
    <w:p>
      <w:pPr>
        <w:spacing w:after="0" w:line="162"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Ashland uses information technology ("IT") systems to conduct business and these IT systems are at risk of potential disruption and cybersecurity threats.</w:t>
      </w:r>
    </w:p>
    <w:p>
      <w:pPr>
        <w:spacing w:after="0" w:line="36"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Ashland’s businesses rely on IT systems to operate efficiently and in some cases, to operate at all. Ashland employs third parties to manage and maintain a significant portion of its IT systems, including, but not limited to data centers, IT</w:t>
      </w:r>
    </w:p>
    <w:p>
      <w:pPr>
        <w:sectPr>
          <w:pgSz w:w="12240" w:h="15840" w:orient="portrait"/>
          <w:cols w:equalWidth="0" w:num="1">
            <w:col w:w="10240"/>
          </w:cols>
          <w:pgMar w:left="1000" w:top="930" w:right="1000" w:bottom="175"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40"/>
          </w:cols>
          <w:pgMar w:left="1000" w:top="930" w:right="1000" w:bottom="175" w:gutter="0" w:footer="0" w:header="0"/>
          <w:type w:val="continuous"/>
        </w:sectPr>
      </w:pPr>
    </w:p>
    <w:bookmarkStart w:id="36" w:name="page37"/>
    <w:bookmarkEnd w:id="36"/>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infrastructure, network, client support and end user services, as well as the functions of backing up and securing those systems. A partial or complete failure of Ashland’s IT systems or those of our third parties managing, providing or servicing them for any amount of time more than several hours could result in significant business disruption causing harm to Ashland’s reputation, results of operations or financial condition.</w:t>
      </w:r>
    </w:p>
    <w:p>
      <w:pPr>
        <w:spacing w:after="0" w:line="74"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The nature of our businesses, the markets we serve, and the extensive geographic profile of our operations make Ashland a target of cybersecurity threats. Cybersecurity threats in general are increasing and becoming more advanced and could occur as a result of the activity of hackers, employee error or employee misconduct. In addition, bad actors are becoming more sophisticated in using various techniques and tools, including artificial intelligence, for malicious purposes. We have in the past experienced cybersecurity threats and other incidents, and we expect such incidents to continue in varying degrees. Ashland utilizes various cybersecurity controls and governance procedures to protect against such disruptions; however, these measures may not be sufficient for all eventualities. A failure in these controls and procedures may prevent us from detecting a failure or breach of our information systems and delay our ability to respond. Such failure of our controls and procedures and/or a breach of our IT systems could lead to the loss and destruction of trade secrets, confidential information, proprietary data, intellectual property, customer and supplier data, and employee personal information and we may be required by law to notify the impacted individuals and/or make other disclosures. These events could expose us to customer litigation, regulatory actions and costs related to the reporting and handling of such a failure or breach, all of which could disrupt our business operations and adversely affect Ashland’s relationships with business partners and harm our brands, reputation, and financial results.</w:t>
      </w:r>
    </w:p>
    <w:p>
      <w:pPr>
        <w:spacing w:after="0" w:line="79"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b w:val="1"/>
          <w:bCs w:val="1"/>
          <w:color w:val="auto"/>
        </w:rPr>
        <w:t>Ashland may not be able to effectively protect or enforce its intellectual property rights. Any such failure could, in part, result in loss of valuable proprietary information, harm our competitive position and reputation, and expose us to added liabilities.</w:t>
      </w:r>
    </w:p>
    <w:p>
      <w:pPr>
        <w:spacing w:after="0" w:line="58" w:lineRule="exact"/>
        <w:rPr>
          <w:sz w:val="20"/>
          <w:szCs w:val="20"/>
          <w:color w:val="auto"/>
        </w:rPr>
      </w:pPr>
    </w:p>
    <w:p>
      <w:pPr>
        <w:jc w:val="both"/>
        <w:ind w:right="20" w:firstLine="360"/>
        <w:spacing w:after="0" w:line="297" w:lineRule="auto"/>
        <w:rPr>
          <w:sz w:val="20"/>
          <w:szCs w:val="20"/>
          <w:color w:val="auto"/>
        </w:rPr>
      </w:pPr>
      <w:r>
        <w:rPr>
          <w:rFonts w:ascii="Times New Roman" w:cs="Times New Roman" w:eastAsia="Times New Roman" w:hAnsi="Times New Roman"/>
          <w:sz w:val="20"/>
          <w:szCs w:val="20"/>
          <w:color w:val="auto"/>
        </w:rPr>
        <w:t>Ashland relies on the patent, trademark, trade secret and copyright laws of the United States and other countries to protect its intellectual property rights. The laws of some countries may not protect Ashland’s intellectual property rights to the same extent as the laws of the United States. Failure of foreign countries to have laws to protect Ashland’s intellectual property rights or an inability to effectively enforce such rights in foreign countries could result in the loss of valuable proprietary information, which could have an adverse effect on Ashland’s business and results of operations.</w:t>
      </w:r>
    </w:p>
    <w:p>
      <w:pPr>
        <w:spacing w:after="0" w:line="77" w:lineRule="exact"/>
        <w:rPr>
          <w:sz w:val="20"/>
          <w:szCs w:val="20"/>
          <w:color w:val="auto"/>
        </w:rPr>
      </w:pPr>
    </w:p>
    <w:p>
      <w:pPr>
        <w:jc w:val="both"/>
        <w:ind w:right="20" w:firstLine="360"/>
        <w:spacing w:after="0" w:line="294" w:lineRule="auto"/>
        <w:rPr>
          <w:sz w:val="20"/>
          <w:szCs w:val="20"/>
          <w:color w:val="auto"/>
        </w:rPr>
      </w:pPr>
      <w:r>
        <w:rPr>
          <w:rFonts w:ascii="Times New Roman" w:cs="Times New Roman" w:eastAsia="Times New Roman" w:hAnsi="Times New Roman"/>
          <w:sz w:val="20"/>
          <w:szCs w:val="20"/>
          <w:color w:val="auto"/>
        </w:rPr>
        <w:t>Even in circumstances where Ashland has a patent on certain technologies, such patents may not provide meaningful protection against competitors or against competing technologies. In addition, any patent applications submitted by Ashland may not result in an issued patent. Ashland’s intellectual property rights may be challenged, invalidated, circumvented or rendered unenforceable. Ashland could also face claims from third parties alleging that Ashland’s products or processes infringe on their proprietary rights. If Ashland is found liable for infringement, it could be responsible for significant damages, prohibited from using certain products or processes or required to modify certain products and processes. Any such infringement liability could adversely affect Ashland’s product and service offerings, profitability and results of operations.</w:t>
      </w:r>
    </w:p>
    <w:p>
      <w:pPr>
        <w:spacing w:after="0" w:line="80" w:lineRule="exact"/>
        <w:rPr>
          <w:sz w:val="20"/>
          <w:szCs w:val="20"/>
          <w:color w:val="auto"/>
        </w:rPr>
      </w:pPr>
    </w:p>
    <w:p>
      <w:pPr>
        <w:jc w:val="both"/>
        <w:ind w:right="20" w:firstLine="360"/>
        <w:spacing w:after="0" w:line="295" w:lineRule="auto"/>
        <w:rPr>
          <w:sz w:val="20"/>
          <w:szCs w:val="20"/>
          <w:color w:val="auto"/>
        </w:rPr>
      </w:pPr>
      <w:r>
        <w:rPr>
          <w:rFonts w:ascii="Times New Roman" w:cs="Times New Roman" w:eastAsia="Times New Roman" w:hAnsi="Times New Roman"/>
          <w:sz w:val="20"/>
          <w:szCs w:val="20"/>
          <w:color w:val="auto"/>
        </w:rPr>
        <w:t>Ashland also has substantial intellectual property associated with its know-how and trade secrets that are not protected by patent or copyright laws. Ashland’s confidentiality and non-disclosure agreements with its employees and third parties may be breached or may not be effectively enforced. In addition, Ashland’s trade secrets and know-how may be improperly obtained by other means, such as a breach of Ashland’s information technologies security systems or direct theft. Any unauthorized disclosure of any of Ashland’s material know-how or trade secrets could adversely affect Ashland’s business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Legal and Regulatory Compliance and Litigation</w:t>
      </w:r>
    </w:p>
    <w:p>
      <w:pPr>
        <w:spacing w:after="0" w:line="162"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20"/>
          <w:szCs w:val="20"/>
          <w:b w:val="1"/>
          <w:bCs w:val="1"/>
          <w:color w:val="auto"/>
        </w:rPr>
        <w:t>Ashland’s business exposes it to potential product liability claims and recalls, which could adversely affect its financial condition, performance, and reputation.</w:t>
      </w:r>
    </w:p>
    <w:p>
      <w:pPr>
        <w:spacing w:after="0" w:line="36" w:lineRule="exact"/>
        <w:rPr>
          <w:sz w:val="20"/>
          <w:szCs w:val="20"/>
          <w:color w:val="auto"/>
        </w:rPr>
      </w:pPr>
    </w:p>
    <w:p>
      <w:pPr>
        <w:jc w:val="both"/>
        <w:ind w:right="20" w:firstLine="360"/>
        <w:spacing w:after="0" w:line="316" w:lineRule="auto"/>
        <w:rPr>
          <w:sz w:val="20"/>
          <w:szCs w:val="20"/>
          <w:color w:val="auto"/>
        </w:rPr>
      </w:pPr>
      <w:r>
        <w:rPr>
          <w:rFonts w:ascii="Times New Roman" w:cs="Times New Roman" w:eastAsia="Times New Roman" w:hAnsi="Times New Roman"/>
          <w:sz w:val="19"/>
          <w:szCs w:val="19"/>
          <w:color w:val="auto"/>
        </w:rPr>
        <w:t>The development, manufacture and sale of specialty materials and other products by Ashland, including products produced for the food, beverage, personal care, pharmaceutical and nutritional supplement industries, involve an inherent risk of exposure to product liability claims, product recalls, product seizures and related adverse publicity. Ashland also produces products that are subject to rigorous specifications and quality standards, with an expectation from its customers around these strict requirements. A product liability claim, recall or judgment against Ashland, or a customer complaint on product specifications,</w:t>
      </w:r>
    </w:p>
    <w:p>
      <w:pPr>
        <w:sectPr>
          <w:pgSz w:w="12240" w:h="15840" w:orient="portrait"/>
          <w:cols w:equalWidth="0" w:num="1">
            <w:col w:w="10260"/>
          </w:cols>
          <w:pgMar w:left="1000" w:top="930" w:right="980" w:bottom="175" w:gutter="0" w:footer="0" w:header="0"/>
        </w:sect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60"/>
          </w:cols>
          <w:pgMar w:left="1000" w:top="930" w:right="980" w:bottom="175" w:gutter="0" w:footer="0" w:header="0"/>
          <w:type w:val="continuous"/>
        </w:sectPr>
      </w:pPr>
    </w:p>
    <w:bookmarkStart w:id="37" w:name="page38"/>
    <w:bookmarkEnd w:id="37"/>
    <w:p>
      <w:pPr>
        <w:jc w:val="both"/>
        <w:spacing w:after="0" w:line="297" w:lineRule="auto"/>
        <w:rPr>
          <w:sz w:val="20"/>
          <w:szCs w:val="20"/>
          <w:color w:val="auto"/>
        </w:rPr>
      </w:pPr>
      <w:r>
        <w:rPr>
          <w:rFonts w:ascii="Times New Roman" w:cs="Times New Roman" w:eastAsia="Times New Roman" w:hAnsi="Times New Roman"/>
          <w:sz w:val="20"/>
          <w:szCs w:val="20"/>
          <w:color w:val="auto"/>
        </w:rPr>
        <w:t>could also result in substantial and unexpected expenditures, affect consumer or customer confidence in its products, and divert management’s attention from other responsibilities. Ashland’s product liability insurance may be inadequate to address such claims, recalls, or judgments. Additionally, Ashland may be unable to continue to maintain its existing insurance or obtain comparable insurance at a reasonable cost, if at all. A product recall or a partially or completely uninsured product liability judgment against Ashland could have a material adverse effect on its reputation, results of operations and financial condition.</w:t>
      </w:r>
    </w:p>
    <w:p>
      <w:pPr>
        <w:spacing w:after="0" w:line="7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Ashland has incurred, and will continue to incur, substantial costs related to environmental, health and safety, and hazardous substances compliance. These costs could adversely impact Ashland’s cash flow, and, to the extent they exceed Ashland’s established reserves for these liabilities, its results of operations.</w:t>
      </w:r>
    </w:p>
    <w:p>
      <w:pPr>
        <w:spacing w:after="0" w:line="58"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is subject to extensive federal, state, local and foreign laws, regulations, rules and ordinances relating to pollution, protection of the environment, human health and safety, and the generation, storage, handling, treatment, disposal and remediation of hazardous substances and waste materials. Ashland has incurred, and will continue to incur, significant costs and capital expenditures to comply with these laws and regulations.</w:t>
      </w:r>
    </w:p>
    <w:p>
      <w:pPr>
        <w:spacing w:after="0" w:line="74"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Environmental, health and safety regulations change over time, and such regulations and their enforcement have tended to become more stringent. Accordingly, changes in environmental, health and safety laws and regulations and the enforcement of such laws and regulations could interrupt Ashland’s operations, require modifications to its facilities or cause Ashland to incur significant liabilities, costs or losses that could adversely affect its profitability. Actual or alleged violations of environmental, health or safety laws and regulations could result in restrictions or prohibitions on plant operations as well as substantial damages, penalties, fines, civil or criminal sanctions and remediation costs. In addition, under some environmental laws, Ashland may be strictly liable and/or jointly and severally liable for environmental damages and penalties.</w:t>
      </w:r>
    </w:p>
    <w:p>
      <w:pPr>
        <w:spacing w:after="0" w:line="80"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Ashland is also subject to various federal, state, local and foreign environmental laws and regulations that require environmental assessment or remediation efforts (collectively, environmental remediation) at multiple locations. Ashland uses engineering studies, historical experience and other factors to identify and evaluate remediation alternatives and their related costs in determining the estimated reserves for environmental remediation. Environmental remediation reserves are subject to uncertainties that affect Ashland’s ability to estimate its share of the applicable costs. Such uncertainties involve the nature and extent of contamination at each site and the extent of required cleanup efforts under existing environmental regulations, with varying costs of alternate cleanup methods. There may also be situations in which certain environmental liabilities are not known to Ashland or are not probable and estimable. As a result, Ashland’s actual costs for environmental remediation could adversely affect Ashland’s cash flow and, to the extent costs exceed established reserves for those liabilities, its results of operations.</w:t>
      </w:r>
    </w:p>
    <w:p>
      <w:pPr>
        <w:spacing w:after="0" w:line="78" w:lineRule="exact"/>
        <w:rPr>
          <w:sz w:val="20"/>
          <w:szCs w:val="20"/>
          <w:color w:val="auto"/>
        </w:rPr>
      </w:pPr>
    </w:p>
    <w:p>
      <w:pPr>
        <w:jc w:val="both"/>
        <w:ind w:right="460"/>
        <w:spacing w:after="0" w:line="364" w:lineRule="auto"/>
        <w:rPr>
          <w:sz w:val="20"/>
          <w:szCs w:val="20"/>
          <w:color w:val="auto"/>
        </w:rPr>
      </w:pPr>
      <w:r>
        <w:rPr>
          <w:rFonts w:ascii="Times New Roman" w:cs="Times New Roman" w:eastAsia="Times New Roman" w:hAnsi="Times New Roman"/>
          <w:sz w:val="19"/>
          <w:szCs w:val="19"/>
          <w:b w:val="1"/>
          <w:bCs w:val="1"/>
          <w:color w:val="auto"/>
        </w:rPr>
        <w:t>Ashland has financial exposure to liabilities from pending and threatened claims, including those alleging personal injury caused by exposure to asbestos, which could adversely impact Ashland’s results of operations and cash flow.</w:t>
      </w:r>
    </w:p>
    <w:p>
      <w:pPr>
        <w:spacing w:after="0" w:line="13"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20"/>
          <w:szCs w:val="20"/>
          <w:color w:val="auto"/>
        </w:rPr>
        <w:t>There are various claims, lawsuits and administrative proceedings pending or threatened, including those alleging personal injury caused by exposure to asbestos, against Ashland and its current and former subsidiaries. Such actions are with respect to commercial matters, product liability, toxic tort liability and other matters that seek remedies or damages, some of which are for substantial amounts. While these actions are being contested, their outcome is not predictable. Ashland’s results could be adversely affected by financial exposure to these liabilities. Insurance maintained by Ashland to protect against claims for damages alleged by third parties is subject to coverage limitations, depending on the nature of the risk insured. This insurance may not be sufficient to cover all of Ashland’s liabilities to others. In addition, insurance related to these types of risks may not be available now or, if available, may not be available in the future at commercially reasonable rates. Ashland’s ability to recover from its insurers for asbestos liabilities could also have an adverse impact on its results of operations. 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As a part of the process to develop estimates of the Company’s future asbestos costs, a range of long-term cost</w:t>
      </w:r>
    </w:p>
    <w:p>
      <w:pPr>
        <w:sectPr>
          <w:pgSz w:w="12240" w:h="15840" w:orient="portrait"/>
          <w:cols w:equalWidth="0" w:num="1">
            <w:col w:w="10240"/>
          </w:cols>
          <w:pgMar w:left="1000" w:top="930" w:right="1000" w:bottom="175"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40"/>
          </w:cols>
          <w:pgMar w:left="1000" w:top="930" w:right="1000" w:bottom="175" w:gutter="0" w:footer="0" w:header="0"/>
          <w:type w:val="continuous"/>
        </w:sectPr>
      </w:pPr>
    </w:p>
    <w:bookmarkStart w:id="38" w:name="page39"/>
    <w:bookmarkEnd w:id="38"/>
    <w:p>
      <w:pPr>
        <w:jc w:val="both"/>
        <w:spacing w:after="0" w:line="297" w:lineRule="auto"/>
        <w:rPr>
          <w:sz w:val="20"/>
          <w:szCs w:val="20"/>
          <w:color w:val="auto"/>
        </w:rPr>
      </w:pPr>
      <w:r>
        <w:rPr>
          <w:rFonts w:ascii="Times New Roman" w:cs="Times New Roman" w:eastAsia="Times New Roman" w:hAnsi="Times New Roman"/>
          <w:sz w:val="20"/>
          <w:szCs w:val="20"/>
          <w:color w:val="auto"/>
        </w:rPr>
        <w:t>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Because of the inherent uncertainties in projecting future asbestos liabilities and establishing appropriate reserves, Ashland’s actual asbestos costs could adversely affect its results of operations and, to the extent they exceed its reserves, could adversely affect its results of operations.</w:t>
      </w:r>
    </w:p>
    <w:p>
      <w:pPr>
        <w:spacing w:after="0" w:line="73"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The impact of changing laws or regulations or the manner of interpretation or enforcement of existing rules could adversely impact Ashland’s financial performance and restrict its ability to operate its business or execute its strategies.</w:t>
      </w:r>
    </w:p>
    <w:p>
      <w:pPr>
        <w:spacing w:after="0" w:line="36"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20"/>
          <w:szCs w:val="20"/>
          <w:color w:val="auto"/>
        </w:rPr>
        <w:t>New laws or regulations, or changes in existing laws or regulations or the manner of their interpretation or enforcement, could increase Ashland’s cost of doing business and restrict its ability to operate its business or execute its strategies. This includes, among other things, the possible taxation under U.S. law of certain income from foreign operations, the possible taxation under foreign laws of certain income Ashland reports in other jurisdictions, the Pillar Two initiative of the Organization for Economic Co-operation and Development which introduced a 15% global minimum tax applied on a country-by-country basis to Ashland in many jurisdictions which took effect on October 1, 2024, tariffs or quotas levied on Ashland products, raw materials or key components by certain countries, regulations related to the protection of private information of Ashland’s employees and customers, regulations issued by the U.S. Food and Drug Administration (and analogous non-U.S. agencies) affecting Ashland and its customers, compliance with the U.S. Foreign Corrupt Practices Act (and analogous non-U.S. laws) and the EU’s Registration, Authorization and Restriction of Chemicals ("REACH") regulation (and analogous non-EU initiatives), and potential operational impacts of the EU's General Data Protection Regulation ("GDPR"). Uncertainty associated with the passage of new laws, application of executive authority beyond the legislative process, as well as changes in and enforcement of existing laws, can limit Ashland’s ability to make and execute business plans effectively. In addition, compliance with laws and regulations is complicated by Ashland’s substantial and growing global footprint, which will require significant and additional resources to comprehend and ensure compliance with applicable laws in the more than one hundred countries where Ashland conducts business. Compliance with current and future regulations is further complicated by uncertainty around the reevaluation of international agreements by various countries, including the United States, and the resulting impact on regulatory regimes, customs regulations, tariffs, sanctions, and other transnational protocols.</w:t>
      </w:r>
    </w:p>
    <w:p>
      <w:pPr>
        <w:spacing w:after="0" w:line="86"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Evolving ESG regulations, including the EU’s Corporate Sustainability Reporting Directive ("CSRD"), Corporate Sustainability Due Diligence Directive (“CSDDD”) and European Union Deforestation Regulations ("EUDR") may also require significant resources and data management systems to continue to support the Company. These regulations have the potential to impact Ashland’s business and ability to manage materials effectively.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Taxation</w:t>
      </w:r>
    </w:p>
    <w:p>
      <w:pPr>
        <w:spacing w:after="0" w:line="162"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Imposition of new taxes, disagreements with tax authorities or additional tax liabilities could adversely affect Ashland’s business, financial condition, reputation or results of operations.</w:t>
      </w:r>
    </w:p>
    <w:p>
      <w:pPr>
        <w:spacing w:after="0" w:line="36"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20"/>
          <w:szCs w:val="20"/>
          <w:color w:val="auto"/>
        </w:rPr>
        <w:t>Ashland’s products are made, manufactured, distributed or sold in more than 100 countries and territories. A significant portion of Ashland’s sales are generated outside the United States. As such, Ashland is subject to taxes in the United States as well as numerous foreign countries. Ashland’s future effective tax rates could be affected by changes in the mix of earnings in countries with differing tax rates, changes in the valuation of deferred tax assets and liabilities, changes in liabilities for uncertain tax positions, cost of repatriations or changes in tax laws, regulations, administrative practices or their interpretation. Moreover, because Ashland is subject to the regular examination of its income tax returns by various tax authorities, the economic and political pressure to increase tax revenues in these jurisdictions may make resolving tax disputes even more difficult, and the final resolution of tax audits and any related litigation may differ from our historical provisions and accruals resulting in an adverse impact on our business, financial condition, reputation or results of operations. The Tax Cuts and Jobs Act ("the Tax Act"), enacted in December 2017, made significant changes to US tax law; many other countries or organizations, including those where Ashland has significant operations, are actively considering or enacting changes to tax laws which could significantly impact our tax rate and cash flows. The increasingly complex global tax environment, including changes in how United States multinational corporations are taxed, could adversely affect Ashland’s business, financial condition or results of operations.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40"/>
          </w:cols>
          <w:pgMar w:left="1000" w:top="930" w:right="1000" w:bottom="175" w:gutter="0" w:footer="0" w:header="0"/>
          <w:type w:val="continuous"/>
        </w:sectPr>
      </w:pPr>
    </w:p>
    <w:bookmarkStart w:id="39" w:name="page40"/>
    <w:bookmarkEnd w:id="39"/>
    <w:p>
      <w:pPr>
        <w:jc w:val="both"/>
        <w:ind w:right="20" w:firstLine="360"/>
        <w:spacing w:after="0" w:line="297" w:lineRule="auto"/>
        <w:rPr>
          <w:sz w:val="20"/>
          <w:szCs w:val="20"/>
          <w:color w:val="auto"/>
        </w:rPr>
      </w:pPr>
      <w:r>
        <w:rPr>
          <w:rFonts w:ascii="Times New Roman" w:cs="Times New Roman" w:eastAsia="Times New Roman" w:hAnsi="Times New Roman"/>
          <w:sz w:val="20"/>
          <w:szCs w:val="20"/>
          <w:color w:val="auto"/>
        </w:rPr>
        <w:t>Other than the one-time transition tax enacted by the Tax Act, Ashland will continue to be indefinitely reinvested in our foreign earnings. As such, Ashland has not accrued income taxes or foreign withholding taxes on undistributed earnings for most non-US subsidiaries because those earnings are intended to be indefinitely reinvested in the operations of those subsidiaries. If these earnings are needed for Ashland’s operations in the United States, the repatriation of such earnings could adversely affect its business, results of operations or financial condition.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Risk Management and Strategy</w:t>
      </w:r>
    </w:p>
    <w:p>
      <w:pPr>
        <w:spacing w:after="0" w:line="164" w:lineRule="exact"/>
        <w:rPr>
          <w:sz w:val="20"/>
          <w:szCs w:val="20"/>
          <w:color w:val="auto"/>
        </w:rPr>
      </w:pPr>
    </w:p>
    <w:p>
      <w:pPr>
        <w:jc w:val="both"/>
        <w:ind w:right="20" w:firstLine="360"/>
        <w:spacing w:after="0" w:line="294" w:lineRule="auto"/>
        <w:rPr>
          <w:sz w:val="20"/>
          <w:szCs w:val="20"/>
          <w:color w:val="auto"/>
        </w:rPr>
      </w:pPr>
      <w:r>
        <w:rPr>
          <w:rFonts w:ascii="Times New Roman" w:cs="Times New Roman" w:eastAsia="Times New Roman" w:hAnsi="Times New Roman"/>
          <w:sz w:val="20"/>
          <w:szCs w:val="20"/>
          <w:color w:val="auto"/>
        </w:rPr>
        <w:t>Ashland recognizes the importance of cybersecurity in safeguarding sensitive information and maintaining operational integrity. To that end, Ashland maintains an information security program as part of its overall Enterprise Risk Management ("ERM") program. The Company’s information security program includes an incident response plan, which has been reviewed by third-party consultants and aligns with the National Institute of Standards and Technology ("NIST") Cybersecurity Framework 2.0. The information security program, overseen by the Company’s Vice President of Information Technology and Chief Information Officer, is designed to provide a framework for assessing, identifying, managing, mitigating and responding to cybersecurity threats and incidents and to facilitate cross-functional coordination within Ashland.</w:t>
      </w:r>
    </w:p>
    <w:p>
      <w:pPr>
        <w:spacing w:after="0" w:line="80" w:lineRule="exact"/>
        <w:rPr>
          <w:sz w:val="20"/>
          <w:szCs w:val="20"/>
          <w:color w:val="auto"/>
        </w:rPr>
      </w:pPr>
    </w:p>
    <w:p>
      <w:pPr>
        <w:jc w:val="both"/>
        <w:ind w:right="20" w:firstLine="360"/>
        <w:spacing w:after="0" w:line="294" w:lineRule="auto"/>
        <w:rPr>
          <w:sz w:val="20"/>
          <w:szCs w:val="20"/>
          <w:color w:val="auto"/>
        </w:rPr>
      </w:pPr>
      <w:r>
        <w:rPr>
          <w:rFonts w:ascii="Times New Roman" w:cs="Times New Roman" w:eastAsia="Times New Roman" w:hAnsi="Times New Roman"/>
          <w:sz w:val="20"/>
          <w:szCs w:val="20"/>
          <w:color w:val="auto"/>
        </w:rPr>
        <w:t>Ashland’s information security program also includes policies and processes that are designed to provide visibility and information about the identification, assessment, and management of critical risks and management’s risk mitigation strategies. This includes the use of a 24/7 Security Operations Center as well as an in-house, dedicated threat hunting team. Additional safeguards also include employee training and awareness programs around phishing, malware, and other cybersecurity risks. In addition, the Company conducts periodic testing of software, hardware, defensive capabilities, and other information security systems and regularly engages consultants and other expert third parties to assist the Company in the identification and assessment of risks.</w:t>
      </w:r>
    </w:p>
    <w:p>
      <w:pPr>
        <w:spacing w:after="0" w:line="80"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Ashland maintains a similar risk-based approach to its third-party vendor management program including identifying and overseeing cybersecurity risks that such third parties may present. As part of this program, the Company, imposes additional scrutiny for vendors that may handle personally identifiable information data or trade secrets.</w:t>
      </w:r>
    </w:p>
    <w:p>
      <w:pPr>
        <w:spacing w:after="0" w:line="68" w:lineRule="exact"/>
        <w:rPr>
          <w:sz w:val="20"/>
          <w:szCs w:val="20"/>
          <w:color w:val="auto"/>
        </w:rPr>
      </w:pPr>
    </w:p>
    <w:p>
      <w:pPr>
        <w:jc w:val="both"/>
        <w:ind w:right="20" w:firstLine="360"/>
        <w:spacing w:after="0" w:line="297" w:lineRule="auto"/>
        <w:rPr>
          <w:sz w:val="20"/>
          <w:szCs w:val="20"/>
          <w:color w:val="auto"/>
        </w:rPr>
      </w:pPr>
      <w:r>
        <w:rPr>
          <w:rFonts w:ascii="Times New Roman" w:cs="Times New Roman" w:eastAsia="Times New Roman" w:hAnsi="Times New Roman"/>
          <w:sz w:val="20"/>
          <w:szCs w:val="20"/>
          <w:color w:val="auto"/>
        </w:rPr>
        <w:t>As of the date of this Annual Report on Form 10-K, the Company is not aware of any cybersecurity incidents that have materially affected or are reasonably likely to materially affect its business, results of operations or financial condition. However, despite the Company’s best efforts, it cannot eliminate all risks from cybersecurity threats or provide assurances that undetected cybersecurity incidents have not occurred. See the “Risk Factors” in Item 1A of this Annual Report on Form 10-K for further information.</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Governance</w:t>
      </w:r>
    </w:p>
    <w:p>
      <w:pPr>
        <w:spacing w:after="0" w:line="164" w:lineRule="exact"/>
        <w:rPr>
          <w:sz w:val="20"/>
          <w:szCs w:val="20"/>
          <w:color w:val="auto"/>
        </w:rPr>
      </w:pPr>
    </w:p>
    <w:p>
      <w:pPr>
        <w:jc w:val="both"/>
        <w:ind w:right="20" w:firstLine="360"/>
        <w:spacing w:after="0" w:line="297" w:lineRule="auto"/>
        <w:rPr>
          <w:sz w:val="20"/>
          <w:szCs w:val="20"/>
          <w:color w:val="auto"/>
        </w:rPr>
      </w:pPr>
      <w:r>
        <w:rPr>
          <w:rFonts w:ascii="Times New Roman" w:cs="Times New Roman" w:eastAsia="Times New Roman" w:hAnsi="Times New Roman"/>
          <w:sz w:val="20"/>
          <w:szCs w:val="20"/>
          <w:color w:val="auto"/>
        </w:rPr>
        <w:t>Ashland’s information security program is led by the Company’s Cyber Security Director who has more than 25 years of experience in information technology and 5 years of experience serving in a deputy chief information security officer role or top executive leader in cyber. Our Cyber Security Director is primarily responsible for integrating cybersecurity risk considerations into the Company’s overall risk management strategy. In addition, other members of the Company’s information security team also have significant experience in information security.</w:t>
      </w:r>
    </w:p>
    <w:p>
      <w:pPr>
        <w:spacing w:after="0" w:line="77"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As noted above, management of Ashland’s cybersecurity risks is part of the Company’s overall ERM program, which is overseen by the Board. The Board’s Audit Committee has primary responsibility for the oversight of the Company’s information and cybersecurity risks and the programs established to manage such risks. The Audit Committee fulfills this oversight responsibility through receiving regular (and as needed) reports and updates from the Company’s Cyber Security Director and Ashland’s Board also receives periodic reports updates from the Cyber Security Director and the Audit Committee regarding information and cybersecurity matters.</w:t>
      </w:r>
    </w:p>
    <w:p>
      <w:pPr>
        <w:sectPr>
          <w:pgSz w:w="12240" w:h="15840" w:orient="portrait"/>
          <w:cols w:equalWidth="0" w:num="1">
            <w:col w:w="10260"/>
          </w:cols>
          <w:pgMar w:left="1000" w:top="930" w:right="980" w:bottom="175" w:gutter="0" w:footer="0" w:header="0"/>
        </w:sect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0"/>
          </w:cols>
          <w:pgMar w:left="1000" w:top="930" w:right="980" w:bottom="175"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70"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Ashland’s corporate headquarters is located in Wilmington, Delaware. Principal offices of other major operations are located in Wilmington, Delaware (Life Sciences, Specialty Additives, Intermediates and Corporate); and Bridgewater, New Jersey (Personal Care and Corporate) within the United States and Hyderabad, India; Warsaw, Poland; and Schaffhausen, Switzerland (each of which are shared service centers of Ashland’s and house corporate and direct business segment personnel). All of these locations are leased, except for the Wilmington, Delaware site which is owned. Principal manufacturing, marketing and other materially important physical properties of Ashland and its subsidiaries are described within the applicable business units under “Item 1” in this Annual Report on Form 10-K. All of Ashland’s physical properties are owned or leased. Ashland believes its physical properties are suitable and adequate for the Company’s business. Additional information concerning leases may be found in Note J of Notes to Consolidated Financial Statements in this Annual Report on Form 10-K.</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7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Asbestos-Related Litigation</w:t>
      </w:r>
    </w:p>
    <w:p>
      <w:pPr>
        <w:spacing w:after="0" w:line="166"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 containing components provided by other companies.</w:t>
      </w:r>
    </w:p>
    <w:p>
      <w:pPr>
        <w:spacing w:after="0" w:line="74"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Hercules LLC ("Hercules")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74"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 and Hercules are also defendants in lawsuits alleging exposure to asbestos at facilities formerly or presently owned or operated by Ashland or Hercules.</w:t>
      </w:r>
    </w:p>
    <w:p>
      <w:pPr>
        <w:spacing w:after="0" w:line="49"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For additional detailed information regarding liabilities arising from asbestos-related litigation, see “Management’s Discussion and Analysis - Critical Accounting Policies - Asbestos Litigation” and Note M of Notes to Consolidated Financial Statements in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Proceedings</w:t>
      </w:r>
    </w:p>
    <w:p>
      <w:pPr>
        <w:spacing w:after="0" w:line="166" w:lineRule="exact"/>
        <w:rPr>
          <w:sz w:val="20"/>
          <w:szCs w:val="20"/>
          <w:color w:val="auto"/>
        </w:rPr>
      </w:pPr>
    </w:p>
    <w:p>
      <w:pPr>
        <w:jc w:val="both"/>
        <w:ind w:firstLine="354"/>
        <w:spacing w:after="0" w:line="292" w:lineRule="auto"/>
        <w:tabs>
          <w:tab w:leader="none" w:pos="68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CERCLA and Similar State Law Sites </w:t>
      </w:r>
      <w:r>
        <w:rPr>
          <w:rFonts w:ascii="Times New Roman" w:cs="Times New Roman" w:eastAsia="Times New Roman" w:hAnsi="Times New Roman"/>
          <w:sz w:val="20"/>
          <w:szCs w:val="20"/>
          <w:color w:val="auto"/>
        </w:rPr>
        <w:t>- Under the Comprehensive Environmental Response, Compensation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Liability Act of 1980 ("CERCLA") and similar state laws, Ashland and its subsidiaries may be subject to joint and several liability for cleanup costs in connection with alleged releases of hazardous substances at sites where it has been identified as a “potentially responsible party” ("PRP"). As of September 30, 2025, Ashland and its subsidiaries have been identified as a PRP by U.S. federal and state authorities, or by private parties seeking contribution, for the cost of environmental investigation and/or cleanup at 53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sediment, soil and/or groundwater, reimbursement for past costs of site cleanup and administrative oversight and/or long-term monitoring of environmental conditions at the sites. The ultimate costs are not predictable with assurance.</w:t>
      </w:r>
    </w:p>
    <w:p>
      <w:pPr>
        <w:spacing w:after="0" w:line="81" w:lineRule="exact"/>
        <w:rPr>
          <w:rFonts w:ascii="Times New Roman" w:cs="Times New Roman" w:eastAsia="Times New Roman" w:hAnsi="Times New Roman"/>
          <w:sz w:val="20"/>
          <w:szCs w:val="20"/>
          <w:color w:val="auto"/>
        </w:rPr>
      </w:pPr>
    </w:p>
    <w:p>
      <w:pPr>
        <w:jc w:val="both"/>
        <w:ind w:firstLine="404"/>
        <w:spacing w:after="0" w:line="300" w:lineRule="auto"/>
        <w:tabs>
          <w:tab w:leader="none" w:pos="7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Lower Passaic River, New Jersey Matters </w:t>
      </w:r>
      <w:r>
        <w:rPr>
          <w:rFonts w:ascii="Times New Roman" w:cs="Times New Roman" w:eastAsia="Times New Roman" w:hAnsi="Times New Roman"/>
          <w:sz w:val="20"/>
          <w:szCs w:val="20"/>
          <w:color w:val="auto"/>
        </w:rPr>
        <w:t>- Ashland, through two formerly owned facilities, and International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Specialty Products ("ISP"), through a now-closed facility, were identified as PRPs, along with approximately 70 other companies (the "Cooperating Parties Group" or the "CPG"), in a May 2007 Administrative Order of Consent ("AOOC") with the USEPA. The parties were required to perform a remedial investigation and feasibility study ("RI/FS") of the entire 17 miles</w:t>
      </w:r>
    </w:p>
    <w:p>
      <w:pPr>
        <w:sectPr>
          <w:pgSz w:w="12240" w:h="15840" w:orient="portrait"/>
          <w:cols w:equalWidth="0" w:num="1">
            <w:col w:w="10240"/>
          </w:cols>
          <w:pgMar w:left="1000" w:top="926" w:right="1000" w:bottom="175"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40"/>
          </w:cols>
          <w:pgMar w:left="1000" w:top="926" w:right="1000" w:bottom="175" w:gutter="0" w:footer="0" w:header="0"/>
          <w:type w:val="continuous"/>
        </w:sectPr>
      </w:pPr>
    </w:p>
    <w:bookmarkStart w:id="41" w:name="page42"/>
    <w:bookmarkEnd w:id="41"/>
    <w:p>
      <w:pPr>
        <w:jc w:val="both"/>
        <w:spacing w:after="0" w:line="290" w:lineRule="auto"/>
        <w:rPr>
          <w:sz w:val="20"/>
          <w:szCs w:val="20"/>
          <w:color w:val="auto"/>
        </w:rPr>
      </w:pPr>
      <w:r>
        <w:rPr>
          <w:rFonts w:ascii="Times New Roman" w:cs="Times New Roman" w:eastAsia="Times New Roman" w:hAnsi="Times New Roman"/>
          <w:sz w:val="20"/>
          <w:szCs w:val="20"/>
          <w:color w:val="auto"/>
        </w:rPr>
        <w:t>of the Passaic River. In June 2007, the USEPA separately commenced a Focused Feasibility Study ("FFS") as an interim measure of the lower 8 miles of the river. In accordance with the 2007 AOOC, in June 2012 the CPG voluntarily entered into another AOOC for an interim removal action focused solely at mile 10.9 of the Passaic River. The allocations for the 2007 AOOC and the 2012 removal action were based on interim allocations, are immaterial and have been accrued. In April 2014, the USEPA released the FFS for a cleanup of the lower 8 miles. The CPG submitted the Draft RI/FS Report on April 30, 2015. In March 2016, the USEPA released the FFS Record of Decision for the lower 8 miles and reached an agreement with another chemical company, Occidental Chemical Corporation ("OCC") to conduct and pay for the remedial design in September 2016, which design work was completed in Spring 2024. In March 2023, USEPA issued a unilateral order with OCC to conduct and pay for the remedial design for a remedy in the upper 9 miles of the river. In June 2018, OCC sued Ashland, ISP and numerous other defendants in the United States District Court for the District of New Jersey to recover past and future costs of the lower 8 miles pursuant to CERCLA, and filed a later suit in March 2023 for past and future costs of the upper 9 miles of the river. Between 2017 and 2020, Ashland and ISP participated in an USEPA allocation process that resulted in a partial settlement with the USEPA. The settlement was lodged with the New Jersey District Court on December 16, 2022, and is currently pending court approval amidst opposition from OCC and others. The 2018 and 2023 OCC litigations have been stayed pending the outcome of the settlement.</w:t>
      </w:r>
    </w:p>
    <w:p>
      <w:pPr>
        <w:spacing w:after="0" w:line="92" w:lineRule="exact"/>
        <w:rPr>
          <w:sz w:val="20"/>
          <w:szCs w:val="20"/>
          <w:color w:val="auto"/>
        </w:rPr>
      </w:pPr>
    </w:p>
    <w:p>
      <w:pPr>
        <w:jc w:val="both"/>
        <w:ind w:right="20" w:firstLine="360"/>
        <w:spacing w:after="0" w:line="325" w:lineRule="auto"/>
        <w:rPr>
          <w:sz w:val="20"/>
          <w:szCs w:val="20"/>
          <w:color w:val="auto"/>
        </w:rPr>
      </w:pPr>
      <w:r>
        <w:rPr>
          <w:rFonts w:ascii="Times New Roman" w:cs="Times New Roman" w:eastAsia="Times New Roman" w:hAnsi="Times New Roman"/>
          <w:sz w:val="20"/>
          <w:szCs w:val="20"/>
          <w:color w:val="auto"/>
        </w:rPr>
        <w:t>For additional information regarding environmental matters and reserves, see Note M of Notes to Consolidated Financial Statements in this Annual Report on Form 10-K.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Pending Legal Proceedings</w:t>
      </w:r>
    </w:p>
    <w:p>
      <w:pPr>
        <w:spacing w:after="0" w:line="166"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employment matters and other environmental matters which seek remedies or damages, some of which are for substantial amounts. While Ashland cannot predict with certainty the outcome of such actions, it believes that adequate reserves have been recorded as of September 30, 2025. There is a reasonable possibility that a loss exceeding amounts already recognized may be incurred related to these actions; however, Ashland believes that such potential losses would not be material as of September 30, 2025.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60"/>
          </w:cols>
          <w:pgMar w:left="1000" w:top="930"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930" w:right="980" w:bottom="175" w:gutter="0" w:footer="0" w:header="0"/>
          <w:type w:val="continuous"/>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66"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Ashland’s Common Stock is listed on the NYSE (ticker symbol “ASH”) and has trading privileges on Nasdaq.</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At October 31, 2025, there were approximately 7,654 holders of record of Ashland’s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66"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While we currently expect that quarterly cash dividends comparable to past dividends will continue to be paid in the future, such payments are at the discretion of our Board of Directors and will depend upon many factors, including our results of operations and liquidity position.</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were no sales of unregistered securities required to be reported under Item 5 in this Annual Report on Form 10-K.</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FIVE-YEAR TOTAL RETURN PERFORMANCE GRAPH</w:t>
      </w:r>
    </w:p>
    <w:p>
      <w:pPr>
        <w:spacing w:after="0" w:line="170" w:lineRule="exact"/>
        <w:rPr>
          <w:sz w:val="20"/>
          <w:szCs w:val="20"/>
          <w:color w:val="auto"/>
        </w:rPr>
      </w:pPr>
    </w:p>
    <w:p>
      <w:pPr>
        <w:jc w:val="both"/>
        <w:ind w:right="20" w:firstLine="360"/>
        <w:spacing w:after="0" w:line="276" w:lineRule="auto"/>
        <w:rPr>
          <w:sz w:val="20"/>
          <w:szCs w:val="20"/>
          <w:color w:val="auto"/>
        </w:rPr>
      </w:pPr>
      <w:r>
        <w:rPr>
          <w:rFonts w:ascii="Times New Roman" w:cs="Times New Roman" w:eastAsia="Times New Roman" w:hAnsi="Times New Roman"/>
          <w:sz w:val="20"/>
          <w:szCs w:val="20"/>
          <w:color w:val="auto"/>
        </w:rPr>
        <w:t>The following graph compares Ashland’s five-year cumulative total shareholder return with the cumulative total return of the S&amp;P MidCap 400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index and one peer group of companies. Ashland is listed in the S&amp;P MidCap 400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index. The cumulative total shareholder return assumes the reinvestment of dividends.</w:t>
      </w:r>
    </w:p>
    <w:p>
      <w:pPr>
        <w:spacing w:after="0" w:line="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COMPARISON OF FIVE-YEAR CUMULATIVE TOTAL RETURN</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ASHLAND, S&amp;P MIDCAP 400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color w:val="auto"/>
        </w:rPr>
        <w:t xml:space="preserve"> INDEX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-8890</wp:posOffset>
            </wp:positionV>
            <wp:extent cx="6100445" cy="31559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25">
                      <a:extLst>
                        <a:ext uri="{28A0092B-C50C-407E-A947-70E740481C1C}"/>
                      </a:extLst>
                    </a:blip>
                    <a:srcRect/>
                    <a:stretch>
                      <a:fillRect/>
                    </a:stretch>
                  </pic:blipFill>
                  <pic:spPr bwMode="auto">
                    <a:xfrm>
                      <a:off x="0" y="0"/>
                      <a:ext cx="610044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2025</w:t>
            </w:r>
          </w:p>
        </w:tc>
      </w:tr>
      <w:tr>
        <w:trPr>
          <w:trHeight w:val="230"/>
        </w:trPr>
        <w:tc>
          <w:tcPr>
            <w:tcW w:w="700" w:type="dxa"/>
            <w:vAlign w:val="bottom"/>
            <w:shd w:val="clear" w:color="auto" w:fill="D5EFF5"/>
          </w:tcPr>
          <w:p>
            <w:pPr>
              <w:spacing w:after="0"/>
              <w:rPr>
                <w:sz w:val="20"/>
                <w:szCs w:val="20"/>
                <w:color w:val="auto"/>
              </w:rPr>
            </w:pPr>
            <w:r>
              <w:rPr>
                <w:rFonts w:ascii="Times New Roman" w:cs="Times New Roman" w:eastAsia="Times New Roman" w:hAnsi="Times New Roman"/>
                <w:sz w:val="20"/>
                <w:szCs w:val="20"/>
                <w:b w:val="1"/>
                <w:bCs w:val="1"/>
                <w:color w:val="auto"/>
                <w:w w:val="95"/>
                <w:shd w:val="clear" w:color="auto" w:fill="D5EFF5"/>
              </w:rPr>
              <w:t>Ashland</w:t>
            </w:r>
          </w:p>
        </w:tc>
        <w:tc>
          <w:tcPr>
            <w:tcW w:w="1280" w:type="dxa"/>
            <w:vAlign w:val="bottom"/>
            <w:shd w:val="clear" w:color="auto" w:fill="D5EFF4"/>
          </w:tcPr>
          <w:p>
            <w:pPr>
              <w:spacing w:after="0"/>
              <w:rPr>
                <w:sz w:val="20"/>
                <w:szCs w:val="20"/>
                <w:color w:val="auto"/>
              </w:rPr>
            </w:pPr>
          </w:p>
        </w:tc>
        <w:tc>
          <w:tcPr>
            <w:tcW w:w="1260" w:type="dxa"/>
            <w:vAlign w:val="bottom"/>
            <w:shd w:val="clear" w:color="auto" w:fill="D5EFF4"/>
          </w:tcPr>
          <w:p>
            <w:pPr>
              <w:spacing w:after="0"/>
              <w:rPr>
                <w:sz w:val="20"/>
                <w:szCs w:val="20"/>
                <w:color w:val="auto"/>
              </w:rPr>
            </w:pPr>
          </w:p>
        </w:tc>
        <w:tc>
          <w:tcPr>
            <w:tcW w:w="1320" w:type="dxa"/>
            <w:vAlign w:val="bottom"/>
            <w:shd w:val="clear" w:color="auto" w:fill="D5EFF4"/>
          </w:tcPr>
          <w:p>
            <w:pPr>
              <w:spacing w:after="0"/>
              <w:rPr>
                <w:sz w:val="20"/>
                <w:szCs w:val="20"/>
                <w:color w:val="auto"/>
              </w:rPr>
            </w:pPr>
          </w:p>
        </w:tc>
        <w:tc>
          <w:tcPr>
            <w:tcW w:w="300" w:type="dxa"/>
            <w:vAlign w:val="bottom"/>
            <w:shd w:val="clear" w:color="auto" w:fill="D5EFF5"/>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5EFF5"/>
              </w:rPr>
              <w:t>100</w:t>
            </w:r>
          </w:p>
        </w:tc>
        <w:tc>
          <w:tcPr>
            <w:tcW w:w="360" w:type="dxa"/>
            <w:vAlign w:val="bottom"/>
            <w:shd w:val="clear" w:color="auto" w:fill="D5EFF4"/>
          </w:tcPr>
          <w:p>
            <w:pPr>
              <w:spacing w:after="0"/>
              <w:rPr>
                <w:sz w:val="20"/>
                <w:szCs w:val="20"/>
                <w:color w:val="auto"/>
              </w:rPr>
            </w:pPr>
          </w:p>
        </w:tc>
        <w:tc>
          <w:tcPr>
            <w:tcW w:w="1000" w:type="dxa"/>
            <w:vAlign w:val="bottom"/>
            <w:shd w:val="clear" w:color="auto" w:fill="D5EFF4"/>
          </w:tcPr>
          <w:p>
            <w:pPr>
              <w:jc w:val="center"/>
              <w:spacing w:after="0"/>
              <w:rPr>
                <w:sz w:val="20"/>
                <w:szCs w:val="20"/>
                <w:color w:val="auto"/>
              </w:rPr>
            </w:pPr>
            <w:r>
              <w:rPr>
                <w:rFonts w:ascii="Times New Roman" w:cs="Times New Roman" w:eastAsia="Times New Roman" w:hAnsi="Times New Roman"/>
                <w:sz w:val="20"/>
                <w:szCs w:val="20"/>
                <w:color w:val="auto"/>
                <w:w w:val="99"/>
              </w:rPr>
              <w:t>127</w:t>
            </w:r>
          </w:p>
        </w:tc>
        <w:tc>
          <w:tcPr>
            <w:tcW w:w="1020" w:type="dxa"/>
            <w:vAlign w:val="bottom"/>
            <w:shd w:val="clear" w:color="auto" w:fill="D5EFF4"/>
          </w:tcPr>
          <w:p>
            <w:pPr>
              <w:jc w:val="center"/>
              <w:spacing w:after="0"/>
              <w:rPr>
                <w:sz w:val="20"/>
                <w:szCs w:val="20"/>
                <w:color w:val="auto"/>
              </w:rPr>
            </w:pPr>
            <w:r>
              <w:rPr>
                <w:rFonts w:ascii="Times New Roman" w:cs="Times New Roman" w:eastAsia="Times New Roman" w:hAnsi="Times New Roman"/>
                <w:sz w:val="20"/>
                <w:szCs w:val="20"/>
                <w:color w:val="auto"/>
                <w:w w:val="99"/>
              </w:rPr>
              <w:t>137</w:t>
            </w:r>
          </w:p>
        </w:tc>
        <w:tc>
          <w:tcPr>
            <w:tcW w:w="1020" w:type="dxa"/>
            <w:vAlign w:val="bottom"/>
            <w:shd w:val="clear" w:color="auto" w:fill="D5EFF4"/>
          </w:tcPr>
          <w:p>
            <w:pPr>
              <w:jc w:val="center"/>
              <w:spacing w:after="0"/>
              <w:rPr>
                <w:sz w:val="20"/>
                <w:szCs w:val="20"/>
                <w:color w:val="auto"/>
              </w:rPr>
            </w:pPr>
            <w:r>
              <w:rPr>
                <w:rFonts w:ascii="Times New Roman" w:cs="Times New Roman" w:eastAsia="Times New Roman" w:hAnsi="Times New Roman"/>
                <w:sz w:val="20"/>
                <w:szCs w:val="20"/>
                <w:color w:val="auto"/>
                <w:w w:val="99"/>
              </w:rPr>
              <w:t>120</w:t>
            </w:r>
          </w:p>
        </w:tc>
        <w:tc>
          <w:tcPr>
            <w:tcW w:w="1080" w:type="dxa"/>
            <w:vAlign w:val="bottom"/>
            <w:shd w:val="clear" w:color="auto" w:fill="D5EFF4"/>
          </w:tcPr>
          <w:p>
            <w:pPr>
              <w:jc w:val="center"/>
              <w:spacing w:after="0"/>
              <w:rPr>
                <w:sz w:val="20"/>
                <w:szCs w:val="20"/>
                <w:color w:val="auto"/>
              </w:rPr>
            </w:pPr>
            <w:r>
              <w:rPr>
                <w:rFonts w:ascii="Times New Roman" w:cs="Times New Roman" w:eastAsia="Times New Roman" w:hAnsi="Times New Roman"/>
                <w:sz w:val="20"/>
                <w:szCs w:val="20"/>
                <w:color w:val="auto"/>
                <w:w w:val="99"/>
              </w:rPr>
              <w:t>130</w:t>
            </w:r>
          </w:p>
        </w:tc>
        <w:tc>
          <w:tcPr>
            <w:tcW w:w="900" w:type="dxa"/>
            <w:vAlign w:val="bottom"/>
            <w:shd w:val="clear" w:color="auto" w:fill="D5EFF4"/>
          </w:tcPr>
          <w:p>
            <w:pPr>
              <w:jc w:val="center"/>
              <w:spacing w:after="0"/>
              <w:rPr>
                <w:sz w:val="20"/>
                <w:szCs w:val="20"/>
                <w:color w:val="auto"/>
              </w:rPr>
            </w:pPr>
            <w:r>
              <w:rPr>
                <w:rFonts w:ascii="Times New Roman" w:cs="Times New Roman" w:eastAsia="Times New Roman" w:hAnsi="Times New Roman"/>
                <w:sz w:val="20"/>
                <w:szCs w:val="20"/>
                <w:color w:val="auto"/>
                <w:w w:val="99"/>
              </w:rPr>
              <w:t>74</w:t>
            </w:r>
          </w:p>
        </w:tc>
      </w:tr>
      <w:tr>
        <w:trPr>
          <w:trHeight w:val="230"/>
        </w:trPr>
        <w:tc>
          <w:tcPr>
            <w:tcW w:w="324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b w:val="1"/>
                <w:bCs w:val="1"/>
                <w:color w:val="auto"/>
              </w:rPr>
              <w:t>S&amp;P MidCap 400</w:t>
            </w:r>
            <w:r>
              <w:rPr>
                <w:rFonts w:ascii="Times New Roman" w:cs="Times New Roman" w:eastAsia="Times New Roman" w:hAnsi="Times New Roman"/>
                <w:sz w:val="25"/>
                <w:szCs w:val="25"/>
                <w:b w:val="1"/>
                <w:bCs w:val="1"/>
                <w:color w:val="auto"/>
                <w:vertAlign w:val="superscript"/>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144</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122</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141</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179</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190</w:t>
            </w:r>
          </w:p>
        </w:tc>
      </w:tr>
      <w:tr>
        <w:trPr>
          <w:trHeight w:val="230"/>
        </w:trPr>
        <w:tc>
          <w:tcPr>
            <w:tcW w:w="1980" w:type="dxa"/>
            <w:vAlign w:val="bottom"/>
            <w:gridSpan w:val="2"/>
            <w:shd w:val="clear" w:color="auto" w:fill="D5EFF5"/>
          </w:tcPr>
          <w:p>
            <w:pPr>
              <w:spacing w:after="0"/>
              <w:rPr>
                <w:sz w:val="20"/>
                <w:szCs w:val="20"/>
                <w:color w:val="auto"/>
              </w:rPr>
            </w:pPr>
            <w:r>
              <w:rPr>
                <w:rFonts w:ascii="Times New Roman" w:cs="Times New Roman" w:eastAsia="Times New Roman" w:hAnsi="Times New Roman"/>
                <w:sz w:val="20"/>
                <w:szCs w:val="20"/>
                <w:b w:val="1"/>
                <w:bCs w:val="1"/>
                <w:color w:val="auto"/>
                <w:w w:val="98"/>
                <w:shd w:val="clear" w:color="auto" w:fill="D5EFF5"/>
              </w:rPr>
              <w:t>Peer Group - Materials</w:t>
            </w:r>
          </w:p>
        </w:tc>
        <w:tc>
          <w:tcPr>
            <w:tcW w:w="1260" w:type="dxa"/>
            <w:vAlign w:val="bottom"/>
            <w:shd w:val="clear" w:color="auto" w:fill="D5EFF4"/>
          </w:tcPr>
          <w:p>
            <w:pPr>
              <w:spacing w:after="0"/>
              <w:rPr>
                <w:sz w:val="20"/>
                <w:szCs w:val="20"/>
                <w:color w:val="auto"/>
              </w:rPr>
            </w:pPr>
          </w:p>
        </w:tc>
        <w:tc>
          <w:tcPr>
            <w:tcW w:w="1320" w:type="dxa"/>
            <w:vAlign w:val="bottom"/>
            <w:shd w:val="clear" w:color="auto" w:fill="D5EFF4"/>
          </w:tcPr>
          <w:p>
            <w:pPr>
              <w:spacing w:after="0"/>
              <w:rPr>
                <w:sz w:val="20"/>
                <w:szCs w:val="20"/>
                <w:color w:val="auto"/>
              </w:rPr>
            </w:pPr>
          </w:p>
        </w:tc>
        <w:tc>
          <w:tcPr>
            <w:tcW w:w="300" w:type="dxa"/>
            <w:vAlign w:val="bottom"/>
            <w:shd w:val="clear" w:color="auto" w:fill="D5EFF5"/>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5EFF5"/>
              </w:rPr>
              <w:t>100</w:t>
            </w:r>
          </w:p>
        </w:tc>
        <w:tc>
          <w:tcPr>
            <w:tcW w:w="360" w:type="dxa"/>
            <w:vAlign w:val="bottom"/>
            <w:shd w:val="clear" w:color="auto" w:fill="D5EFF4"/>
          </w:tcPr>
          <w:p>
            <w:pPr>
              <w:spacing w:after="0"/>
              <w:rPr>
                <w:sz w:val="20"/>
                <w:szCs w:val="20"/>
                <w:color w:val="auto"/>
              </w:rPr>
            </w:pPr>
          </w:p>
        </w:tc>
        <w:tc>
          <w:tcPr>
            <w:tcW w:w="1000" w:type="dxa"/>
            <w:vAlign w:val="bottom"/>
            <w:shd w:val="clear" w:color="auto" w:fill="D5EFF4"/>
          </w:tcPr>
          <w:p>
            <w:pPr>
              <w:jc w:val="center"/>
              <w:spacing w:after="0"/>
              <w:rPr>
                <w:sz w:val="20"/>
                <w:szCs w:val="20"/>
                <w:color w:val="auto"/>
              </w:rPr>
            </w:pPr>
            <w:r>
              <w:rPr>
                <w:rFonts w:ascii="Times New Roman" w:cs="Times New Roman" w:eastAsia="Times New Roman" w:hAnsi="Times New Roman"/>
                <w:sz w:val="20"/>
                <w:szCs w:val="20"/>
                <w:color w:val="auto"/>
                <w:w w:val="99"/>
              </w:rPr>
              <w:t>128</w:t>
            </w:r>
          </w:p>
        </w:tc>
        <w:tc>
          <w:tcPr>
            <w:tcW w:w="1020" w:type="dxa"/>
            <w:vAlign w:val="bottom"/>
            <w:shd w:val="clear" w:color="auto" w:fill="D5EFF4"/>
          </w:tcPr>
          <w:p>
            <w:pPr>
              <w:jc w:val="center"/>
              <w:spacing w:after="0"/>
              <w:rPr>
                <w:sz w:val="20"/>
                <w:szCs w:val="20"/>
                <w:color w:val="auto"/>
              </w:rPr>
            </w:pPr>
            <w:r>
              <w:rPr>
                <w:rFonts w:ascii="Times New Roman" w:cs="Times New Roman" w:eastAsia="Times New Roman" w:hAnsi="Times New Roman"/>
                <w:sz w:val="20"/>
                <w:szCs w:val="20"/>
                <w:color w:val="auto"/>
                <w:w w:val="99"/>
              </w:rPr>
              <w:t>114</w:t>
            </w:r>
          </w:p>
        </w:tc>
        <w:tc>
          <w:tcPr>
            <w:tcW w:w="1020" w:type="dxa"/>
            <w:vAlign w:val="bottom"/>
            <w:shd w:val="clear" w:color="auto" w:fill="D5EFF4"/>
          </w:tcPr>
          <w:p>
            <w:pPr>
              <w:jc w:val="center"/>
              <w:spacing w:after="0"/>
              <w:rPr>
                <w:sz w:val="20"/>
                <w:szCs w:val="20"/>
                <w:color w:val="auto"/>
              </w:rPr>
            </w:pPr>
            <w:r>
              <w:rPr>
                <w:rFonts w:ascii="Times New Roman" w:cs="Times New Roman" w:eastAsia="Times New Roman" w:hAnsi="Times New Roman"/>
                <w:sz w:val="20"/>
                <w:szCs w:val="20"/>
                <w:color w:val="auto"/>
                <w:w w:val="99"/>
              </w:rPr>
              <w:t>135</w:t>
            </w:r>
          </w:p>
        </w:tc>
        <w:tc>
          <w:tcPr>
            <w:tcW w:w="1080" w:type="dxa"/>
            <w:vAlign w:val="bottom"/>
            <w:shd w:val="clear" w:color="auto" w:fill="D5EFF4"/>
          </w:tcPr>
          <w:p>
            <w:pPr>
              <w:jc w:val="center"/>
              <w:spacing w:after="0"/>
              <w:rPr>
                <w:sz w:val="20"/>
                <w:szCs w:val="20"/>
                <w:color w:val="auto"/>
              </w:rPr>
            </w:pPr>
            <w:r>
              <w:rPr>
                <w:rFonts w:ascii="Times New Roman" w:cs="Times New Roman" w:eastAsia="Times New Roman" w:hAnsi="Times New Roman"/>
                <w:sz w:val="20"/>
                <w:szCs w:val="20"/>
                <w:color w:val="auto"/>
                <w:w w:val="99"/>
              </w:rPr>
              <w:t>168</w:t>
            </w:r>
          </w:p>
        </w:tc>
        <w:tc>
          <w:tcPr>
            <w:tcW w:w="900" w:type="dxa"/>
            <w:vAlign w:val="bottom"/>
            <w:shd w:val="clear" w:color="auto" w:fill="D5EFF4"/>
          </w:tcPr>
          <w:p>
            <w:pPr>
              <w:jc w:val="center"/>
              <w:spacing w:after="0"/>
              <w:rPr>
                <w:sz w:val="20"/>
                <w:szCs w:val="20"/>
                <w:color w:val="auto"/>
              </w:rPr>
            </w:pPr>
            <w:r>
              <w:rPr>
                <w:rFonts w:ascii="Times New Roman" w:cs="Times New Roman" w:eastAsia="Times New Roman" w:hAnsi="Times New Roman"/>
                <w:sz w:val="20"/>
                <w:szCs w:val="20"/>
                <w:color w:val="auto"/>
                <w:w w:val="99"/>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-523240</wp:posOffset>
            </wp:positionV>
            <wp:extent cx="6043930" cy="142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26">
                      <a:extLst>
                        <a:ext uri="{28A0092B-C50C-407E-A947-70E740481C1C}"/>
                      </a:extLst>
                    </a:blip>
                    <a:srcRect/>
                    <a:stretch>
                      <a:fillRect/>
                    </a:stretch>
                  </pic:blipFill>
                  <pic:spPr bwMode="auto">
                    <a:xfrm>
                      <a:off x="0" y="0"/>
                      <a:ext cx="6043930" cy="142875"/>
                    </a:xfrm>
                    <a:prstGeom prst="rect">
                      <a:avLst/>
                    </a:prstGeom>
                    <a:noFill/>
                  </pic:spPr>
                </pic:pic>
              </a:graphicData>
            </a:graphic>
          </wp:anchor>
        </w:drawing>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peer group consists of the following industry indices:</w:t>
      </w:r>
    </w:p>
    <w:p>
      <w:pPr>
        <w:spacing w:after="0" w:line="166" w:lineRule="exact"/>
        <w:rPr>
          <w:sz w:val="20"/>
          <w:szCs w:val="20"/>
          <w:color w:val="auto"/>
        </w:rPr>
      </w:pPr>
    </w:p>
    <w:p>
      <w:pPr>
        <w:ind w:left="720" w:right="20" w:hanging="366"/>
        <w:spacing w:after="0" w:line="265"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Peer Group – Materials: </w:t>
      </w:r>
      <w:r>
        <w:rPr>
          <w:rFonts w:ascii="Times New Roman" w:cs="Times New Roman" w:eastAsia="Times New Roman" w:hAnsi="Times New Roman"/>
          <w:sz w:val="20"/>
          <w:szCs w:val="20"/>
          <w:color w:val="auto"/>
        </w:rPr>
        <w:t>S&amp;P 500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Materials (large-cap) and S&amp;P MidCap 400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Materials. As of September 30,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peer group consisted of 49 companies.</w:t>
      </w:r>
    </w:p>
    <w:p>
      <w:pPr>
        <w:sectPr>
          <w:pgSz w:w="12240" w:h="15840" w:orient="portrait"/>
          <w:cols w:equalWidth="0" w:num="1">
            <w:col w:w="10260"/>
          </w:cols>
          <w:pgMar w:left="1000" w:top="926" w:right="980" w:bottom="175"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60"/>
          </w:cols>
          <w:pgMar w:left="1000" w:top="926" w:right="980" w:bottom="175" w:gutter="0" w:footer="0" w:header="0"/>
          <w:type w:val="continuous"/>
        </w:sectPr>
      </w:pPr>
    </w:p>
    <w:bookmarkStart w:id="43" w:name="page44"/>
    <w:bookmarkEnd w:id="43"/>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Repurchases of Company Common Stock</w:t>
      </w:r>
    </w:p>
    <w:p>
      <w:pPr>
        <w:spacing w:after="0" w:line="170" w:lineRule="exact"/>
        <w:rPr>
          <w:sz w:val="20"/>
          <w:szCs w:val="20"/>
          <w:color w:val="auto"/>
        </w:rPr>
      </w:pPr>
    </w:p>
    <w:p>
      <w:pPr>
        <w:ind w:left="6" w:firstLine="360"/>
        <w:spacing w:after="0" w:line="325" w:lineRule="auto"/>
        <w:rPr>
          <w:sz w:val="20"/>
          <w:szCs w:val="20"/>
          <w:color w:val="auto"/>
        </w:rPr>
      </w:pPr>
      <w:r>
        <w:rPr>
          <w:rFonts w:ascii="Times New Roman" w:cs="Times New Roman" w:eastAsia="Times New Roman" w:hAnsi="Times New Roman"/>
          <w:sz w:val="20"/>
          <w:szCs w:val="20"/>
          <w:color w:val="auto"/>
        </w:rPr>
        <w:t>There were no share repurchases during the three months ended September 30, 2025. As of September 30, 2025, $520 million remained available for repurchase under the 2023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128270</wp:posOffset>
            </wp:positionV>
            <wp:extent cx="648398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7">
                      <a:extLst>
                        <a:ext uri="{28A0092B-C50C-407E-A947-70E740481C1C}"/>
                      </a:extLst>
                    </a:blip>
                    <a:srcRect/>
                    <a:stretch>
                      <a:fillRect/>
                    </a:stretch>
                  </pic:blipFill>
                  <pic:spPr bwMode="auto">
                    <a:xfrm>
                      <a:off x="0" y="0"/>
                      <a:ext cx="6483985" cy="38100"/>
                    </a:xfrm>
                    <a:prstGeom prst="rect">
                      <a:avLst/>
                    </a:prstGeom>
                    <a:noFill/>
                  </pic:spPr>
                </pic:pic>
              </a:graphicData>
            </a:graphic>
          </wp:anchor>
        </w:drawing>
      </w:r>
    </w:p>
    <w:p>
      <w:pPr>
        <w:spacing w:after="0" w:line="185" w:lineRule="exact"/>
        <w:rPr>
          <w:sz w:val="20"/>
          <w:szCs w:val="20"/>
          <w:color w:val="auto"/>
        </w:rPr>
      </w:pPr>
    </w:p>
    <w:tbl>
      <w:tblPr>
        <w:tblLayout w:type="fixed"/>
        <w:tblInd w:w="6" w:type="dxa"/>
        <w:tblCellMar>
          <w:top w:w="0" w:type="dxa"/>
          <w:left w:w="0" w:type="dxa"/>
          <w:bottom w:w="0" w:type="dxa"/>
          <w:right w:w="0" w:type="dxa"/>
        </w:tblCellMar>
      </w:tblPr>
      <w:tr>
        <w:trPr>
          <w:trHeight w:val="202"/>
        </w:trPr>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47"/>
              <w:spacing w:after="0" w:line="201" w:lineRule="exact"/>
              <w:rPr>
                <w:sz w:val="20"/>
                <w:szCs w:val="20"/>
                <w:color w:val="auto"/>
              </w:rPr>
            </w:pPr>
            <w:r>
              <w:rPr>
                <w:rFonts w:ascii="Times New Roman" w:cs="Times New Roman" w:eastAsia="Times New Roman" w:hAnsi="Times New Roman"/>
                <w:sz w:val="18"/>
                <w:szCs w:val="18"/>
                <w:b w:val="1"/>
                <w:bCs w:val="1"/>
                <w:color w:val="auto"/>
                <w:w w:val="99"/>
              </w:rPr>
              <w:t>Dollar Value</w:t>
            </w: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0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07"/>
        </w:trPr>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That May Yet</w:t>
            </w:r>
          </w:p>
        </w:tc>
      </w:tr>
      <w:tr>
        <w:trPr>
          <w:trHeight w:val="207"/>
        </w:trPr>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286"/>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Be Purchased</w:t>
            </w:r>
          </w:p>
        </w:tc>
      </w:tr>
      <w:tr>
        <w:trPr>
          <w:trHeight w:val="207"/>
        </w:trPr>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286"/>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7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07"/>
        </w:trPr>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center"/>
              <w:ind w:right="24"/>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280" w:type="dxa"/>
            <w:vAlign w:val="bottom"/>
          </w:tcPr>
          <w:p>
            <w:pPr>
              <w:spacing w:after="0"/>
              <w:rPr>
                <w:sz w:val="17"/>
                <w:szCs w:val="17"/>
                <w:color w:val="auto"/>
              </w:rPr>
            </w:pPr>
          </w:p>
        </w:tc>
        <w:tc>
          <w:tcPr>
            <w:tcW w:w="1220" w:type="dxa"/>
            <w:vAlign w:val="bottom"/>
          </w:tcPr>
          <w:p>
            <w:pPr>
              <w:jc w:val="center"/>
              <w:ind w:right="286"/>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7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07"/>
        </w:trPr>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center"/>
              <w:ind w:right="24"/>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80" w:type="dxa"/>
            <w:vAlign w:val="bottom"/>
          </w:tcPr>
          <w:p>
            <w:pPr>
              <w:spacing w:after="0"/>
              <w:rPr>
                <w:sz w:val="17"/>
                <w:szCs w:val="17"/>
                <w:color w:val="auto"/>
              </w:rPr>
            </w:pPr>
          </w:p>
        </w:tc>
        <w:tc>
          <w:tcPr>
            <w:tcW w:w="1220" w:type="dxa"/>
            <w:vAlign w:val="bottom"/>
          </w:tcPr>
          <w:p>
            <w:pPr>
              <w:jc w:val="center"/>
              <w:ind w:right="286"/>
              <w:spacing w:after="0"/>
              <w:rPr>
                <w:sz w:val="20"/>
                <w:szCs w:val="20"/>
                <w:color w:val="auto"/>
              </w:rPr>
            </w:pPr>
            <w:r>
              <w:rPr>
                <w:rFonts w:ascii="Times New Roman" w:cs="Times New Roman" w:eastAsia="Times New Roman" w:hAnsi="Times New Roman"/>
                <w:sz w:val="18"/>
                <w:szCs w:val="18"/>
                <w:b w:val="1"/>
                <w:bCs w:val="1"/>
                <w:color w:val="auto"/>
                <w:w w:val="99"/>
              </w:rPr>
              <w:t>including</w:t>
            </w:r>
          </w:p>
        </w:tc>
        <w:tc>
          <w:tcPr>
            <w:tcW w:w="17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0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27"/>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Q4 Fiscal Periods</w:t>
            </w:r>
          </w:p>
        </w:tc>
        <w:tc>
          <w:tcPr>
            <w:tcW w:w="1300" w:type="dxa"/>
            <w:vAlign w:val="bottom"/>
          </w:tcPr>
          <w:p>
            <w:pPr>
              <w:jc w:val="center"/>
              <w:ind w:right="24"/>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500" w:type="dxa"/>
            <w:vAlign w:val="bottom"/>
            <w:gridSpan w:val="2"/>
          </w:tcPr>
          <w:p>
            <w:pPr>
              <w:jc w:val="center"/>
              <w:ind w:right="26"/>
              <w:spacing w:after="0"/>
              <w:rPr>
                <w:sz w:val="20"/>
                <w:szCs w:val="20"/>
                <w:color w:val="auto"/>
              </w:rPr>
            </w:pPr>
            <w:r>
              <w:rPr>
                <w:rFonts w:ascii="Times New Roman" w:cs="Times New Roman" w:eastAsia="Times New Roman" w:hAnsi="Times New Roman"/>
                <w:sz w:val="18"/>
                <w:szCs w:val="18"/>
                <w:b w:val="1"/>
                <w:bCs w:val="1"/>
                <w:color w:val="auto"/>
                <w:w w:val="99"/>
              </w:rPr>
              <w:t>commission</w:t>
            </w:r>
          </w:p>
        </w:tc>
        <w:tc>
          <w:tcPr>
            <w:tcW w:w="17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19"/>
                <w:szCs w:val="19"/>
                <w:color w:val="auto"/>
              </w:rPr>
            </w:pPr>
          </w:p>
        </w:tc>
        <w:tc>
          <w:tcPr>
            <w:tcW w:w="1360" w:type="dxa"/>
            <w:vAlign w:val="bottom"/>
            <w:gridSpan w:val="3"/>
          </w:tcPr>
          <w:p>
            <w:pPr>
              <w:jc w:val="center"/>
              <w:ind w:right="260"/>
              <w:spacing w:after="0" w:line="228" w:lineRule="exact"/>
              <w:rPr>
                <w:sz w:val="20"/>
                <w:szCs w:val="20"/>
                <w:color w:val="auto"/>
              </w:rPr>
            </w:pPr>
            <w:r>
              <w:rPr>
                <w:rFonts w:ascii="Times New Roman" w:cs="Times New Roman" w:eastAsia="Times New Roman" w:hAnsi="Times New Roman"/>
                <w:sz w:val="18"/>
                <w:szCs w:val="18"/>
                <w:b w:val="1"/>
                <w:bCs w:val="1"/>
                <w:color w:val="auto"/>
                <w:w w:val="95"/>
              </w:rPr>
              <w:t>(in millions)</w:t>
            </w:r>
            <w:r>
              <w:rPr>
                <w:rFonts w:ascii="Times New Roman" w:cs="Times New Roman" w:eastAsia="Times New Roman" w:hAnsi="Times New Roman"/>
                <w:sz w:val="23"/>
                <w:szCs w:val="23"/>
                <w:b w:val="1"/>
                <w:bCs w:val="1"/>
                <w:color w:val="auto"/>
                <w:w w:val="95"/>
                <w:vertAlign w:val="superscript"/>
              </w:rPr>
              <w:t>(a)</w:t>
            </w:r>
          </w:p>
        </w:tc>
      </w:tr>
      <w:tr>
        <w:trPr>
          <w:trHeight w:val="225"/>
        </w:trPr>
        <w:tc>
          <w:tcPr>
            <w:tcW w:w="4260" w:type="dxa"/>
            <w:vAlign w:val="bottom"/>
            <w:gridSpan w:val="2"/>
            <w:shd w:val="clear" w:color="auto" w:fill="D2EEF3"/>
          </w:tcPr>
          <w:p>
            <w:pPr>
              <w:spacing w:after="0" w:line="225" w:lineRule="exact"/>
              <w:rPr>
                <w:sz w:val="20"/>
                <w:szCs w:val="20"/>
                <w:color w:val="auto"/>
              </w:rPr>
            </w:pPr>
            <w:r>
              <w:rPr>
                <w:rFonts w:ascii="Times New Roman" w:cs="Times New Roman" w:eastAsia="Times New Roman" w:hAnsi="Times New Roman"/>
                <w:sz w:val="20"/>
                <w:szCs w:val="20"/>
                <w:color w:val="auto"/>
              </w:rPr>
              <w:t>July 1, 2025 to July 31, 2025</w:t>
            </w:r>
          </w:p>
        </w:tc>
        <w:tc>
          <w:tcPr>
            <w:tcW w:w="1300" w:type="dxa"/>
            <w:vAlign w:val="bottom"/>
            <w:shd w:val="clear" w:color="auto" w:fill="D2EEF3"/>
          </w:tcPr>
          <w:p>
            <w:pPr>
              <w:ind w:left="9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2EEF3"/>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2EEF3"/>
          </w:tcPr>
          <w:p>
            <w:pPr>
              <w:ind w:left="7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4"/>
            <w:shd w:val="clear" w:color="auto" w:fill="D2EEF3"/>
          </w:tcPr>
          <w:p>
            <w:pPr>
              <w:ind w:left="12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520</w:t>
            </w:r>
          </w:p>
        </w:tc>
        <w:tc>
          <w:tcPr>
            <w:tcW w:w="100" w:type="dxa"/>
            <w:vAlign w:val="bottom"/>
            <w:tcBorders>
              <w:top w:val="single" w:sz="8" w:color="auto"/>
            </w:tcBorders>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r>
      <w:tr>
        <w:trPr>
          <w:trHeight w:val="230"/>
        </w:trPr>
        <w:tc>
          <w:tcPr>
            <w:tcW w:w="4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August 1, 2025 to August 31, 2025</w:t>
            </w:r>
          </w:p>
        </w:tc>
        <w:tc>
          <w:tcPr>
            <w:tcW w:w="13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4"/>
          </w:tcPr>
          <w:p>
            <w:pPr>
              <w:ind w:left="1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260" w:type="dxa"/>
            <w:vAlign w:val="bottom"/>
            <w:gridSpan w:val="2"/>
            <w:shd w:val="clear" w:color="auto" w:fill="D2EEF3"/>
          </w:tcPr>
          <w:p>
            <w:pPr>
              <w:spacing w:after="0"/>
              <w:rPr>
                <w:sz w:val="20"/>
                <w:szCs w:val="20"/>
                <w:color w:val="auto"/>
              </w:rPr>
            </w:pPr>
            <w:r>
              <w:rPr>
                <w:rFonts w:ascii="Times New Roman" w:cs="Times New Roman" w:eastAsia="Times New Roman" w:hAnsi="Times New Roman"/>
                <w:sz w:val="20"/>
                <w:szCs w:val="20"/>
                <w:color w:val="auto"/>
              </w:rPr>
              <w:t>September 1, 2025 to September 30, 2025</w:t>
            </w:r>
          </w:p>
        </w:tc>
        <w:tc>
          <w:tcPr>
            <w:tcW w:w="1300" w:type="dxa"/>
            <w:vAlign w:val="bottom"/>
            <w:shd w:val="clear" w:color="auto" w:fill="D2EEF3"/>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2EEF3"/>
          </w:tcPr>
          <w:p>
            <w:pPr>
              <w:spacing w:after="0"/>
              <w:rPr>
                <w:sz w:val="20"/>
                <w:szCs w:val="20"/>
                <w:color w:val="auto"/>
              </w:rPr>
            </w:pPr>
          </w:p>
        </w:tc>
        <w:tc>
          <w:tcPr>
            <w:tcW w:w="1220" w:type="dxa"/>
            <w:vAlign w:val="bottom"/>
            <w:shd w:val="clear" w:color="auto" w:fill="D2EEF3"/>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4"/>
            <w:shd w:val="clear" w:color="auto" w:fill="D2EEF3"/>
          </w:tcPr>
          <w:p>
            <w:pPr>
              <w:ind w:left="1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2EEF3"/>
          </w:tcPr>
          <w:p>
            <w:pPr>
              <w:spacing w:after="0"/>
              <w:rPr>
                <w:sz w:val="20"/>
                <w:szCs w:val="20"/>
                <w:color w:val="auto"/>
              </w:rPr>
            </w:pPr>
          </w:p>
        </w:tc>
        <w:tc>
          <w:tcPr>
            <w:tcW w:w="1240" w:type="dxa"/>
            <w:vAlign w:val="bottom"/>
            <w:shd w:val="clear" w:color="auto" w:fill="D2EEF3"/>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100" w:type="dxa"/>
            <w:vAlign w:val="bottom"/>
            <w:shd w:val="clear" w:color="auto" w:fill="D2EEF3"/>
          </w:tcPr>
          <w:p>
            <w:pPr>
              <w:spacing w:after="0"/>
              <w:rPr>
                <w:sz w:val="20"/>
                <w:szCs w:val="20"/>
                <w:color w:val="auto"/>
              </w:rPr>
            </w:pPr>
          </w:p>
        </w:tc>
        <w:tc>
          <w:tcPr>
            <w:tcW w:w="20" w:type="dxa"/>
            <w:vAlign w:val="bottom"/>
            <w:shd w:val="clear" w:color="auto" w:fill="D2EEF3"/>
          </w:tcPr>
          <w:p>
            <w:pPr>
              <w:spacing w:after="0"/>
              <w:rPr>
                <w:sz w:val="20"/>
                <w:szCs w:val="20"/>
                <w:color w:val="auto"/>
              </w:rPr>
            </w:pPr>
          </w:p>
        </w:tc>
      </w:tr>
      <w:tr>
        <w:trPr>
          <w:trHeight w:val="225"/>
        </w:trPr>
        <w:tc>
          <w:tcPr>
            <w:tcW w:w="4260" w:type="dxa"/>
            <w:vAlign w:val="bottom"/>
            <w:gridSpan w:val="2"/>
          </w:tcPr>
          <w:p>
            <w:pPr>
              <w:ind w:left="400"/>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1300" w:type="dxa"/>
            <w:vAlign w:val="bottom"/>
            <w:tcBorders>
              <w:top w:val="single" w:sz="8" w:color="auto"/>
            </w:tcBorders>
          </w:tcPr>
          <w:p>
            <w:pPr>
              <w:ind w:left="9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Borders>
              <w:top w:val="single" w:sz="8" w:color="auto"/>
            </w:tcBorders>
          </w:tcPr>
          <w:p>
            <w:pPr>
              <w:ind w:left="12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520</w:t>
            </w: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
        </w:trPr>
        <w:tc>
          <w:tcPr>
            <w:tcW w:w="4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-698500</wp:posOffset>
            </wp:positionV>
            <wp:extent cx="648398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8">
                      <a:extLst>
                        <a:ext uri="{28A0092B-C50C-407E-A947-70E740481C1C}"/>
                      </a:extLst>
                    </a:blip>
                    <a:srcRect/>
                    <a:stretch>
                      <a:fillRect/>
                    </a:stretch>
                  </pic:blipFill>
                  <pic:spPr bwMode="auto">
                    <a:xfrm>
                      <a:off x="0" y="0"/>
                      <a:ext cx="64839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648398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9">
                      <a:extLst>
                        <a:ext uri="{28A0092B-C50C-407E-A947-70E740481C1C}"/>
                      </a:extLst>
                    </a:blip>
                    <a:srcRect/>
                    <a:stretch>
                      <a:fillRect/>
                    </a:stretch>
                  </pic:blipFill>
                  <pic:spPr bwMode="auto">
                    <a:xfrm>
                      <a:off x="0" y="0"/>
                      <a:ext cx="6483985" cy="38100"/>
                    </a:xfrm>
                    <a:prstGeom prst="rect">
                      <a:avLst/>
                    </a:prstGeom>
                    <a:noFill/>
                  </pic:spPr>
                </pic:pic>
              </a:graphicData>
            </a:graphic>
          </wp:anchor>
        </w:drawing>
      </w:r>
    </w:p>
    <w:p>
      <w:pPr>
        <w:spacing w:after="0" w:line="51" w:lineRule="exact"/>
        <w:rPr>
          <w:sz w:val="20"/>
          <w:szCs w:val="20"/>
          <w:color w:val="auto"/>
        </w:rPr>
      </w:pPr>
    </w:p>
    <w:p>
      <w:pPr>
        <w:jc w:val="both"/>
        <w:ind w:left="566" w:hanging="566"/>
        <w:spacing w:after="0" w:line="258" w:lineRule="auto"/>
        <w:tabs>
          <w:tab w:leader="none" w:pos="56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28, 2023, Ashland's board of directors authorized a new evergreen $1 billion common share repurchase program ("2023 Stock Repurchase Program"). The new authorization terminated and replaced the Company's 2022 Stock Repurchase Program, which had $200 million outstanding at the date of termination. As of September 30, 2025, $520 million remained available for repurchase under this authorization.</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66" w:lineRule="exact"/>
        <w:rPr>
          <w:sz w:val="20"/>
          <w:szCs w:val="20"/>
          <w:color w:val="auto"/>
        </w:rPr>
      </w:pPr>
    </w:p>
    <w:p>
      <w:pPr>
        <w:jc w:val="both"/>
        <w:ind w:left="6"/>
        <w:spacing w:after="0" w:line="334"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36" w:lineRule="exact"/>
        <w:rPr>
          <w:sz w:val="20"/>
          <w:szCs w:val="20"/>
          <w:color w:val="auto"/>
        </w:rPr>
      </w:pPr>
    </w:p>
    <w:p>
      <w:pPr>
        <w:ind w:left="346"/>
        <w:spacing w:after="0"/>
        <w:rPr>
          <w:sz w:val="20"/>
          <w:szCs w:val="20"/>
          <w:color w:val="auto"/>
        </w:rPr>
      </w:pPr>
      <w:r>
        <w:rPr>
          <w:rFonts w:ascii="Times New Roman" w:cs="Times New Roman" w:eastAsia="Times New Roman" w:hAnsi="Times New Roman"/>
          <w:sz w:val="20"/>
          <w:szCs w:val="20"/>
          <w:color w:val="auto"/>
        </w:rPr>
        <w:t>See Management’s Discussion and Analysis of Financial Condition and Results of Operations on pages M-1 through M-44.</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70"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auto"/>
        </w:rPr>
        <w:t>See Quantitative and Qualitative Disclosures about Market Risk on page M-44.</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70" w:lineRule="exact"/>
        <w:rPr>
          <w:sz w:val="20"/>
          <w:szCs w:val="20"/>
          <w:color w:val="auto"/>
        </w:rPr>
      </w:pPr>
    </w:p>
    <w:p>
      <w:pPr>
        <w:jc w:val="both"/>
        <w:ind w:left="6" w:firstLine="360"/>
        <w:spacing w:after="0" w:line="325" w:lineRule="auto"/>
        <w:rPr>
          <w:sz w:val="20"/>
          <w:szCs w:val="20"/>
          <w:color w:val="auto"/>
        </w:rPr>
      </w:pPr>
      <w:r>
        <w:rPr>
          <w:rFonts w:ascii="Times New Roman" w:cs="Times New Roman" w:eastAsia="Times New Roman" w:hAnsi="Times New Roman"/>
          <w:sz w:val="20"/>
          <w:szCs w:val="20"/>
          <w:color w:val="auto"/>
        </w:rPr>
        <w:t>The consolidated financial statements of Ashland presented in this Annual Report on Form 10-K are listed in the index on page F-1.</w:t>
      </w:r>
    </w:p>
    <w:p>
      <w:pPr>
        <w:spacing w:after="0" w:line="45" w:lineRule="exact"/>
        <w:rPr>
          <w:sz w:val="20"/>
          <w:szCs w:val="20"/>
          <w:color w:val="auto"/>
        </w:rPr>
      </w:pPr>
    </w:p>
    <w:p>
      <w:pPr>
        <w:jc w:val="both"/>
        <w:ind w:left="6"/>
        <w:spacing w:after="0" w:line="334"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36"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auto"/>
        </w:rPr>
        <w:t>None.</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70" w:lineRule="exact"/>
        <w:rPr>
          <w:sz w:val="20"/>
          <w:szCs w:val="20"/>
          <w:color w:val="auto"/>
        </w:rPr>
      </w:pPr>
    </w:p>
    <w:p>
      <w:pPr>
        <w:jc w:val="both"/>
        <w:ind w:left="6" w:firstLine="360"/>
        <w:spacing w:after="0" w:line="297" w:lineRule="auto"/>
        <w:rPr>
          <w:sz w:val="20"/>
          <w:szCs w:val="20"/>
          <w:color w:val="auto"/>
        </w:rPr>
      </w:pPr>
      <w:r>
        <w:rPr>
          <w:rFonts w:ascii="Times New Roman" w:cs="Times New Roman" w:eastAsia="Times New Roman" w:hAnsi="Times New Roman"/>
          <w:sz w:val="20"/>
          <w:szCs w:val="20"/>
          <w:i w:val="1"/>
          <w:iCs w:val="1"/>
          <w:color w:val="auto"/>
        </w:rPr>
        <w:t xml:space="preserve">Disclosure Controls and Procedures </w:t>
      </w:r>
      <w:r>
        <w:rPr>
          <w:rFonts w:ascii="Times New Roman" w:cs="Times New Roman" w:eastAsia="Times New Roman" w:hAnsi="Times New Roman"/>
          <w:sz w:val="20"/>
          <w:szCs w:val="20"/>
          <w:color w:val="auto"/>
        </w:rPr>
        <w:t>– As of September 30, 2025, Ashland, under the supervision and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participation of Ashland’s management, including Ashland’s Chief Executive Officer and Chief Financial Officer, evaluated the effectiveness of Ashland’s disclosure controls and procedures as defined in Exchange Act Rules 13a-15(e) and 15d-15(e). Based upon that evaluation, the Chief Executive Officer and Chief Financial Officer concluded that the disclosure controls and procedures were effective as of September 30, 2025.</w:t>
      </w:r>
    </w:p>
    <w:p>
      <w:pPr>
        <w:spacing w:after="0" w:line="77" w:lineRule="exact"/>
        <w:rPr>
          <w:sz w:val="20"/>
          <w:szCs w:val="20"/>
          <w:color w:val="auto"/>
        </w:rPr>
      </w:pPr>
    </w:p>
    <w:p>
      <w:pPr>
        <w:jc w:val="both"/>
        <w:ind w:left="6" w:firstLine="360"/>
        <w:spacing w:after="0" w:line="325" w:lineRule="auto"/>
        <w:rPr>
          <w:sz w:val="20"/>
          <w:szCs w:val="20"/>
          <w:color w:val="auto"/>
        </w:rPr>
      </w:pPr>
      <w:r>
        <w:rPr>
          <w:rFonts w:ascii="Times New Roman" w:cs="Times New Roman" w:eastAsia="Times New Roman" w:hAnsi="Times New Roman"/>
          <w:sz w:val="20"/>
          <w:szCs w:val="20"/>
          <w:i w:val="1"/>
          <w:iCs w:val="1"/>
          <w:color w:val="auto"/>
        </w:rPr>
        <w:t xml:space="preserve">Internal Control over Financial Reporting </w:t>
      </w:r>
      <w:r>
        <w:rPr>
          <w:rFonts w:ascii="Times New Roman" w:cs="Times New Roman" w:eastAsia="Times New Roman" w:hAnsi="Times New Roman"/>
          <w:sz w:val="20"/>
          <w:szCs w:val="20"/>
          <w:color w:val="auto"/>
        </w:rPr>
        <w:t>- See Management’s Report on Internal Control Over Financial Reporting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page F-2 and the Report of the Independent Registered Public Accounting Firm on page F-3.</w:t>
      </w:r>
    </w:p>
    <w:p>
      <w:pPr>
        <w:spacing w:after="0" w:line="49" w:lineRule="exact"/>
        <w:rPr>
          <w:sz w:val="20"/>
          <w:szCs w:val="20"/>
          <w:color w:val="auto"/>
        </w:rPr>
      </w:pPr>
    </w:p>
    <w:p>
      <w:pPr>
        <w:jc w:val="both"/>
        <w:ind w:left="6" w:firstLine="360"/>
        <w:spacing w:after="0" w:line="306"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There have been no changes in Ashland’s internal control over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reporting that occurred during the three months ended September 30, 2025, that have materially affected, or are reasonably likely to materially affect, Ashland’s internal control over financial reporting.</w:t>
      </w:r>
    </w:p>
    <w:p>
      <w:pPr>
        <w:spacing w:after="0" w:line="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70"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46"/>
          </w:cols>
          <w:pgMar w:left="994"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46"/>
          </w:cols>
          <w:pgMar w:left="994" w:top="926" w:right="1000" w:bottom="175"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ectPr>
          <w:pgSz w:w="12240" w:h="15840" w:orient="portrait"/>
          <w:cols w:equalWidth="0" w:num="1">
            <w:col w:w="9800"/>
          </w:cols>
          <w:pgMar w:left="1000" w:top="926" w:right="1440" w:bottom="175" w:gutter="0" w:footer="0" w:header="0"/>
        </w:sectPr>
      </w:pP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9800"/>
          </w:cols>
          <w:pgMar w:left="1000" w:top="926" w:right="144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800"/>
          </w:cols>
          <w:pgMar w:left="1000" w:top="926" w:right="1440" w:bottom="175" w:gutter="0" w:footer="0" w:header="0"/>
          <w:type w:val="continuous"/>
        </w:sectPr>
      </w:pPr>
    </w:p>
    <w:bookmarkStart w:id="45" w:name="page46"/>
    <w:bookmarkEnd w:id="45"/>
    <w:p>
      <w:pPr>
        <w:ind w:left="47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Policy</w:t>
      </w:r>
    </w:p>
    <w:p>
      <w:pPr>
        <w:spacing w:after="0" w:line="166"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Ashland has adopted an insider trading policy (the “Insider Trading Policy”) to govern the purchase, sale, and other dispositions of Company securities by its directors, officers, and employees. The Insider Trading Policy is reasonably designed to promote compliance with insider trading laws, rules and regulations, and any listing standards applicable to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Information</w:t>
      </w:r>
    </w:p>
    <w:p>
      <w:pPr>
        <w:spacing w:after="0" w:line="166"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The rest of the information required by this Item is incorporated herein by reference to the sections captioned “Proposal One - Election of Directors,” “Executive Officers,” “Delinquent Section 16(a) Reports,” “Corporate Governance - Governance Principles,” “Corporate Governance - Stockholder Nominations of Directors,” “Corporate Governance – Insider Trading Policy,” and “Corporate Governance - Committees and Meetings of the Board of Directors” in the Proxy Statement for Ashland’s 2026 Annual Meeting of Stockholders. Ashland plans to file such Proxy Statement within 120 days after September 30, 2025, the end of Ashland’s fiscal year.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70"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captioned “Director Compensation,” “Compensation Committee Interlocks and Insider Participation,” “Executive Compensation,” and “Compensation Committee Report,” in the Proxy Statement for Ashland’s 2026 Annual Meeting of Stockholders. The Compensation Committee Report to be included in such Proxy Statement shall be deemed to be furnished in this report and shall not be incorporated by reference into any filing under the Securities Act of 1933 or the Exchange Act as a result of such furnishing in this Item 11. Ashland plans to file such Proxy Statement within 120 days after September 30, 2025, the end of Ashland’s fiscal year.</w:t>
      </w:r>
    </w:p>
    <w:p>
      <w:pPr>
        <w:spacing w:after="0" w:line="7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6"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captioned “Ashland Common Stock Ownership of Certain Beneficial Owners,” and “Ashland Common Stock Ownership of Directors and Executive Officers of Ashland” in the Proxy Statement for Ashland’s 2026 Annual Meeting of Shareholders. Ashland plans to file such Proxy Statement within 120 days after September 30, 2025, the end of Ashland’s fiscal year.</w: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40"/>
          </w:cols>
          <w:pgMar w:left="1000" w:top="926" w:right="1000" w:bottom="175" w:gutter="0" w:footer="0" w:header="0"/>
          <w:type w:val="continuous"/>
        </w:sectPr>
      </w:pPr>
    </w:p>
    <w:bookmarkStart w:id="46" w:name="page47"/>
    <w:bookmarkEnd w:id="46"/>
    <w:p>
      <w:pPr>
        <w:ind w:left="6"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summarizes the equity compensation plans under which Ashland Common Stock may be issued as of September 30, 2025.</w:t>
      </w:r>
    </w:p>
    <w:p>
      <w:pPr>
        <w:spacing w:after="0" w:line="216" w:lineRule="exact"/>
        <w:rPr>
          <w:sz w:val="20"/>
          <w:szCs w:val="20"/>
          <w:color w:val="auto"/>
        </w:rPr>
      </w:pPr>
    </w:p>
    <w:tbl>
      <w:tblPr>
        <w:tblLayout w:type="fixed"/>
        <w:tblInd w:w="6" w:type="dxa"/>
        <w:tblCellMar>
          <w:top w:w="0" w:type="dxa"/>
          <w:left w:w="0" w:type="dxa"/>
          <w:bottom w:w="0" w:type="dxa"/>
          <w:right w:w="0" w:type="dxa"/>
        </w:tblCellMar>
      </w:tblPr>
      <w:tr>
        <w:trPr>
          <w:trHeight w:val="274"/>
        </w:trPr>
        <w:tc>
          <w:tcPr>
            <w:tcW w:w="4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680" w:type="dxa"/>
            <w:vAlign w:val="bottom"/>
            <w:gridSpan w:val="10"/>
          </w:tcPr>
          <w:p>
            <w:pPr>
              <w:jc w:val="right"/>
              <w:ind w:right="1760"/>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tc>
        <w:tc>
          <w:tcPr>
            <w:tcW w:w="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jc w:val="center"/>
              <w:ind w:right="120"/>
              <w:spacing w:after="0" w:line="214" w:lineRule="exact"/>
              <w:rPr>
                <w:sz w:val="20"/>
                <w:szCs w:val="20"/>
                <w:color w:val="auto"/>
              </w:rPr>
            </w:pPr>
            <w:r>
              <w:rPr>
                <w:rFonts w:ascii="Times New Roman" w:cs="Times New Roman" w:eastAsia="Times New Roman" w:hAnsi="Times New Roman"/>
                <w:sz w:val="20"/>
                <w:szCs w:val="20"/>
                <w:b w:val="1"/>
                <w:bCs w:val="1"/>
                <w:color w:val="auto"/>
              </w:rPr>
              <w:t>Number of securities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Number of securities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remaining available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to be issued upon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Weighted-average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for future issuance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exercise of</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exercise price of</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under equity</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compensation plans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options, warrants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options, warrants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(excluding securities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1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Plan Category</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and rights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and rights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reflected in column (a))</w:t>
            </w: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(b)</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(c)</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160" w:type="dxa"/>
            <w:vAlign w:val="bottom"/>
            <w:gridSpan w:val="2"/>
            <w:vMerge w:val="restart"/>
            <w:shd w:val="clear" w:color="auto" w:fill="D6EFF3"/>
          </w:tcPr>
          <w:p>
            <w:pPr>
              <w:spacing w:after="0"/>
              <w:rPr>
                <w:sz w:val="20"/>
                <w:szCs w:val="20"/>
                <w:color w:val="auto"/>
              </w:rPr>
            </w:pPr>
            <w:r>
              <w:rPr>
                <w:rFonts w:ascii="Times New Roman" w:cs="Times New Roman" w:eastAsia="Times New Roman" w:hAnsi="Times New Roman"/>
                <w:sz w:val="20"/>
                <w:szCs w:val="20"/>
                <w:color w:val="auto"/>
                <w:w w:val="98"/>
                <w:shd w:val="clear" w:color="auto" w:fill="D6EFF3"/>
              </w:rPr>
              <w:t>Equity compensation plans</w:t>
            </w:r>
          </w:p>
        </w:tc>
        <w:tc>
          <w:tcPr>
            <w:tcW w:w="300" w:type="dxa"/>
            <w:vAlign w:val="bottom"/>
            <w:shd w:val="clear" w:color="auto" w:fill="D5EFF4"/>
          </w:tcPr>
          <w:p>
            <w:pPr>
              <w:spacing w:after="0"/>
              <w:rPr>
                <w:sz w:val="11"/>
                <w:szCs w:val="11"/>
                <w:color w:val="auto"/>
              </w:rPr>
            </w:pPr>
          </w:p>
        </w:tc>
        <w:tc>
          <w:tcPr>
            <w:tcW w:w="660" w:type="dxa"/>
            <w:vAlign w:val="bottom"/>
            <w:tcBorders>
              <w:right w:val="single" w:sz="8" w:color="D5EFF4"/>
            </w:tcBorders>
            <w:shd w:val="clear" w:color="auto" w:fill="D5EFF4"/>
          </w:tcPr>
          <w:p>
            <w:pPr>
              <w:spacing w:after="0"/>
              <w:rPr>
                <w:sz w:val="11"/>
                <w:szCs w:val="11"/>
                <w:color w:val="auto"/>
              </w:rPr>
            </w:pPr>
          </w:p>
        </w:tc>
        <w:tc>
          <w:tcPr>
            <w:tcW w:w="1240" w:type="dxa"/>
            <w:vAlign w:val="bottom"/>
            <w:shd w:val="clear" w:color="auto" w:fill="D5EFF4"/>
          </w:tcPr>
          <w:p>
            <w:pPr>
              <w:spacing w:after="0"/>
              <w:rPr>
                <w:sz w:val="11"/>
                <w:szCs w:val="11"/>
                <w:color w:val="auto"/>
              </w:rPr>
            </w:pPr>
          </w:p>
        </w:tc>
        <w:tc>
          <w:tcPr>
            <w:tcW w:w="820" w:type="dxa"/>
            <w:vAlign w:val="bottom"/>
            <w:tcBorders>
              <w:right w:val="single" w:sz="8" w:color="D5EFF4"/>
            </w:tcBorders>
            <w:shd w:val="clear" w:color="auto" w:fill="D5EFF4"/>
          </w:tcPr>
          <w:p>
            <w:pPr>
              <w:spacing w:after="0"/>
              <w:rPr>
                <w:sz w:val="11"/>
                <w:szCs w:val="11"/>
                <w:color w:val="auto"/>
              </w:rPr>
            </w:pPr>
          </w:p>
        </w:tc>
        <w:tc>
          <w:tcPr>
            <w:tcW w:w="140" w:type="dxa"/>
            <w:vAlign w:val="bottom"/>
            <w:tcBorders>
              <w:right w:val="single" w:sz="8" w:color="D5EFF4"/>
            </w:tcBorders>
            <w:shd w:val="clear" w:color="auto" w:fill="D5EFF4"/>
          </w:tcPr>
          <w:p>
            <w:pPr>
              <w:spacing w:after="0"/>
              <w:rPr>
                <w:sz w:val="11"/>
                <w:szCs w:val="11"/>
                <w:color w:val="auto"/>
              </w:rPr>
            </w:pPr>
          </w:p>
        </w:tc>
        <w:tc>
          <w:tcPr>
            <w:tcW w:w="100" w:type="dxa"/>
            <w:vAlign w:val="bottom"/>
            <w:shd w:val="clear" w:color="auto" w:fill="D5EFF4"/>
          </w:tcPr>
          <w:p>
            <w:pPr>
              <w:spacing w:after="0"/>
              <w:rPr>
                <w:sz w:val="11"/>
                <w:szCs w:val="11"/>
                <w:color w:val="auto"/>
              </w:rPr>
            </w:pPr>
          </w:p>
        </w:tc>
        <w:tc>
          <w:tcPr>
            <w:tcW w:w="100" w:type="dxa"/>
            <w:vAlign w:val="bottom"/>
            <w:tcBorders>
              <w:left w:val="single" w:sz="8" w:color="D6EFF3"/>
            </w:tcBorders>
            <w:shd w:val="clear" w:color="auto" w:fill="D5EFF4"/>
          </w:tcPr>
          <w:p>
            <w:pPr>
              <w:spacing w:after="0"/>
              <w:rPr>
                <w:sz w:val="11"/>
                <w:szCs w:val="11"/>
                <w:color w:val="auto"/>
              </w:rPr>
            </w:pPr>
          </w:p>
        </w:tc>
        <w:tc>
          <w:tcPr>
            <w:tcW w:w="1180" w:type="dxa"/>
            <w:vAlign w:val="bottom"/>
            <w:shd w:val="clear" w:color="auto" w:fill="D5EFF4"/>
          </w:tcPr>
          <w:p>
            <w:pPr>
              <w:spacing w:after="0"/>
              <w:rPr>
                <w:sz w:val="11"/>
                <w:szCs w:val="11"/>
                <w:color w:val="auto"/>
              </w:rPr>
            </w:pPr>
          </w:p>
        </w:tc>
        <w:tc>
          <w:tcPr>
            <w:tcW w:w="480" w:type="dxa"/>
            <w:vAlign w:val="bottom"/>
            <w:tcBorders>
              <w:right w:val="single" w:sz="8" w:color="D5EFF4"/>
            </w:tcBorders>
            <w:shd w:val="clear" w:color="auto" w:fill="D5EFF4"/>
          </w:tcPr>
          <w:p>
            <w:pPr>
              <w:spacing w:after="0"/>
              <w:rPr>
                <w:sz w:val="11"/>
                <w:szCs w:val="11"/>
                <w:color w:val="auto"/>
              </w:rPr>
            </w:pPr>
          </w:p>
        </w:tc>
        <w:tc>
          <w:tcPr>
            <w:tcW w:w="100" w:type="dxa"/>
            <w:vAlign w:val="bottom"/>
            <w:shd w:val="clear" w:color="auto" w:fill="D5EFF4"/>
          </w:tcPr>
          <w:p>
            <w:pPr>
              <w:spacing w:after="0"/>
              <w:rPr>
                <w:sz w:val="11"/>
                <w:szCs w:val="11"/>
                <w:color w:val="auto"/>
              </w:rPr>
            </w:pPr>
          </w:p>
        </w:tc>
        <w:tc>
          <w:tcPr>
            <w:tcW w:w="360" w:type="dxa"/>
            <w:vAlign w:val="bottom"/>
            <w:tcBorders>
              <w:right w:val="single" w:sz="8" w:color="D5EFF4"/>
            </w:tcBorders>
            <w:shd w:val="clear" w:color="auto" w:fill="D5EFF4"/>
          </w:tcPr>
          <w:p>
            <w:pPr>
              <w:spacing w:after="0"/>
              <w:rPr>
                <w:sz w:val="11"/>
                <w:szCs w:val="11"/>
                <w:color w:val="auto"/>
              </w:rPr>
            </w:pPr>
          </w:p>
        </w:tc>
        <w:tc>
          <w:tcPr>
            <w:tcW w:w="1340" w:type="dxa"/>
            <w:vAlign w:val="bottom"/>
            <w:shd w:val="clear" w:color="auto" w:fill="D5EFF4"/>
          </w:tcPr>
          <w:p>
            <w:pPr>
              <w:spacing w:after="0"/>
              <w:rPr>
                <w:sz w:val="11"/>
                <w:szCs w:val="11"/>
                <w:color w:val="auto"/>
              </w:rPr>
            </w:pPr>
          </w:p>
        </w:tc>
        <w:tc>
          <w:tcPr>
            <w:tcW w:w="1060" w:type="dxa"/>
            <w:vAlign w:val="bottom"/>
            <w:tcBorders>
              <w:right w:val="single" w:sz="8" w:color="D5EFF4"/>
            </w:tcBorders>
            <w:shd w:val="clear" w:color="auto" w:fill="D5EFF4"/>
          </w:tcPr>
          <w:p>
            <w:pPr>
              <w:spacing w:after="0"/>
              <w:rPr>
                <w:sz w:val="11"/>
                <w:szCs w:val="11"/>
                <w:color w:val="auto"/>
              </w:rPr>
            </w:pPr>
          </w:p>
        </w:tc>
        <w:tc>
          <w:tcPr>
            <w:tcW w:w="200" w:type="dxa"/>
            <w:vAlign w:val="bottom"/>
            <w:tcBorders>
              <w:right w:val="single" w:sz="8" w:color="D5EFF4"/>
            </w:tcBorders>
            <w:shd w:val="clear" w:color="auto" w:fill="D5EFF4"/>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60" w:type="dxa"/>
            <w:vAlign w:val="bottom"/>
            <w:tcBorders>
              <w:bottom w:val="single" w:sz="8" w:color="D6EFF3"/>
            </w:tcBorders>
            <w:gridSpan w:val="2"/>
            <w:vMerge w:val="continue"/>
            <w:shd w:val="clear" w:color="auto" w:fill="D6EFF3"/>
          </w:tcPr>
          <w:p>
            <w:pPr>
              <w:spacing w:after="0"/>
              <w:rPr>
                <w:sz w:val="12"/>
                <w:szCs w:val="12"/>
                <w:color w:val="auto"/>
              </w:rPr>
            </w:pPr>
          </w:p>
        </w:tc>
        <w:tc>
          <w:tcPr>
            <w:tcW w:w="300" w:type="dxa"/>
            <w:vAlign w:val="bottom"/>
            <w:tcBorders>
              <w:bottom w:val="single" w:sz="8" w:color="D6EFF3"/>
            </w:tcBorders>
            <w:shd w:val="clear" w:color="auto" w:fill="D5EFF4"/>
          </w:tcPr>
          <w:p>
            <w:pPr>
              <w:spacing w:after="0"/>
              <w:rPr>
                <w:sz w:val="12"/>
                <w:szCs w:val="12"/>
                <w:color w:val="auto"/>
              </w:rPr>
            </w:pPr>
          </w:p>
        </w:tc>
        <w:tc>
          <w:tcPr>
            <w:tcW w:w="660" w:type="dxa"/>
            <w:vAlign w:val="bottom"/>
            <w:tcBorders>
              <w:bottom w:val="single" w:sz="8" w:color="D5EFF4"/>
              <w:right w:val="single" w:sz="8" w:color="D6EFF3"/>
            </w:tcBorders>
            <w:shd w:val="clear" w:color="auto" w:fill="D5EFF4"/>
          </w:tcPr>
          <w:p>
            <w:pPr>
              <w:spacing w:after="0"/>
              <w:rPr>
                <w:sz w:val="12"/>
                <w:szCs w:val="12"/>
                <w:color w:val="auto"/>
              </w:rPr>
            </w:pPr>
          </w:p>
        </w:tc>
        <w:tc>
          <w:tcPr>
            <w:tcW w:w="1240" w:type="dxa"/>
            <w:vAlign w:val="bottom"/>
            <w:tcBorders>
              <w:bottom w:val="single" w:sz="8" w:color="D5EFF4"/>
            </w:tcBorders>
            <w:shd w:val="clear" w:color="auto" w:fill="D5EFF4"/>
          </w:tcPr>
          <w:p>
            <w:pPr>
              <w:spacing w:after="0"/>
              <w:rPr>
                <w:sz w:val="12"/>
                <w:szCs w:val="12"/>
                <w:color w:val="auto"/>
              </w:rPr>
            </w:pPr>
          </w:p>
        </w:tc>
        <w:tc>
          <w:tcPr>
            <w:tcW w:w="820" w:type="dxa"/>
            <w:vAlign w:val="bottom"/>
            <w:tcBorders>
              <w:bottom w:val="single" w:sz="8" w:color="D6EFF3"/>
              <w:right w:val="single" w:sz="8" w:color="D5EFF4"/>
            </w:tcBorders>
            <w:shd w:val="clear" w:color="auto" w:fill="D5EFF4"/>
          </w:tcPr>
          <w:p>
            <w:pPr>
              <w:spacing w:after="0"/>
              <w:rPr>
                <w:sz w:val="12"/>
                <w:szCs w:val="12"/>
                <w:color w:val="auto"/>
              </w:rPr>
            </w:pPr>
          </w:p>
        </w:tc>
        <w:tc>
          <w:tcPr>
            <w:tcW w:w="140" w:type="dxa"/>
            <w:vAlign w:val="bottom"/>
            <w:tcBorders>
              <w:bottom w:val="single" w:sz="8" w:color="D5EFF4"/>
              <w:right w:val="single" w:sz="8" w:color="D5EFF4"/>
            </w:tcBorders>
            <w:shd w:val="clear" w:color="auto" w:fill="D5EFF4"/>
          </w:tcPr>
          <w:p>
            <w:pPr>
              <w:spacing w:after="0"/>
              <w:rPr>
                <w:sz w:val="12"/>
                <w:szCs w:val="12"/>
                <w:color w:val="auto"/>
              </w:rPr>
            </w:pPr>
          </w:p>
        </w:tc>
        <w:tc>
          <w:tcPr>
            <w:tcW w:w="100" w:type="dxa"/>
            <w:vAlign w:val="bottom"/>
            <w:tcBorders>
              <w:bottom w:val="single" w:sz="8" w:color="D5EFF4"/>
            </w:tcBorders>
            <w:shd w:val="clear" w:color="auto" w:fill="D5EFF4"/>
          </w:tcPr>
          <w:p>
            <w:pPr>
              <w:spacing w:after="0"/>
              <w:rPr>
                <w:sz w:val="12"/>
                <w:szCs w:val="12"/>
                <w:color w:val="auto"/>
              </w:rPr>
            </w:pPr>
          </w:p>
        </w:tc>
        <w:tc>
          <w:tcPr>
            <w:tcW w:w="100" w:type="dxa"/>
            <w:vAlign w:val="bottom"/>
            <w:tcBorders>
              <w:left w:val="single" w:sz="8" w:color="D6EFF3"/>
              <w:bottom w:val="single" w:sz="8" w:color="D6EFF3"/>
            </w:tcBorders>
            <w:shd w:val="clear" w:color="auto" w:fill="D5EFF4"/>
          </w:tcPr>
          <w:p>
            <w:pPr>
              <w:spacing w:after="0"/>
              <w:rPr>
                <w:sz w:val="12"/>
                <w:szCs w:val="12"/>
                <w:color w:val="auto"/>
              </w:rPr>
            </w:pPr>
          </w:p>
        </w:tc>
        <w:tc>
          <w:tcPr>
            <w:tcW w:w="1180" w:type="dxa"/>
            <w:vAlign w:val="bottom"/>
            <w:tcBorders>
              <w:bottom w:val="single" w:sz="8" w:color="D5EFF4"/>
            </w:tcBorders>
            <w:shd w:val="clear" w:color="auto" w:fill="D5EFF4"/>
          </w:tcPr>
          <w:p>
            <w:pPr>
              <w:spacing w:after="0"/>
              <w:rPr>
                <w:sz w:val="12"/>
                <w:szCs w:val="12"/>
                <w:color w:val="auto"/>
              </w:rPr>
            </w:pPr>
          </w:p>
        </w:tc>
        <w:tc>
          <w:tcPr>
            <w:tcW w:w="480" w:type="dxa"/>
            <w:vAlign w:val="bottom"/>
            <w:tcBorders>
              <w:bottom w:val="single" w:sz="8" w:color="D6EFF3"/>
              <w:right w:val="single" w:sz="8" w:color="D5EFF4"/>
            </w:tcBorders>
            <w:shd w:val="clear" w:color="auto" w:fill="D5EFF4"/>
          </w:tcPr>
          <w:p>
            <w:pPr>
              <w:spacing w:after="0"/>
              <w:rPr>
                <w:sz w:val="12"/>
                <w:szCs w:val="12"/>
                <w:color w:val="auto"/>
              </w:rPr>
            </w:pPr>
          </w:p>
        </w:tc>
        <w:tc>
          <w:tcPr>
            <w:tcW w:w="100" w:type="dxa"/>
            <w:vAlign w:val="bottom"/>
            <w:tcBorders>
              <w:bottom w:val="single" w:sz="8" w:color="D5EFF4"/>
            </w:tcBorders>
            <w:shd w:val="clear" w:color="auto" w:fill="D5EFF4"/>
          </w:tcPr>
          <w:p>
            <w:pPr>
              <w:spacing w:after="0"/>
              <w:rPr>
                <w:sz w:val="12"/>
                <w:szCs w:val="12"/>
                <w:color w:val="auto"/>
              </w:rPr>
            </w:pPr>
          </w:p>
        </w:tc>
        <w:tc>
          <w:tcPr>
            <w:tcW w:w="360" w:type="dxa"/>
            <w:vAlign w:val="bottom"/>
            <w:tcBorders>
              <w:bottom w:val="single" w:sz="8" w:color="D5EFF4"/>
              <w:right w:val="single" w:sz="8" w:color="D5EFF4"/>
            </w:tcBorders>
            <w:shd w:val="clear" w:color="auto" w:fill="D5EFF4"/>
          </w:tcPr>
          <w:p>
            <w:pPr>
              <w:spacing w:after="0"/>
              <w:rPr>
                <w:sz w:val="12"/>
                <w:szCs w:val="12"/>
                <w:color w:val="auto"/>
              </w:rPr>
            </w:pPr>
          </w:p>
        </w:tc>
        <w:tc>
          <w:tcPr>
            <w:tcW w:w="1340" w:type="dxa"/>
            <w:vAlign w:val="bottom"/>
            <w:tcBorders>
              <w:bottom w:val="single" w:sz="8" w:color="D5EFF4"/>
            </w:tcBorders>
            <w:shd w:val="clear" w:color="auto" w:fill="D5EFF4"/>
          </w:tcPr>
          <w:p>
            <w:pPr>
              <w:spacing w:after="0"/>
              <w:rPr>
                <w:sz w:val="12"/>
                <w:szCs w:val="12"/>
                <w:color w:val="auto"/>
              </w:rPr>
            </w:pPr>
          </w:p>
        </w:tc>
        <w:tc>
          <w:tcPr>
            <w:tcW w:w="1060" w:type="dxa"/>
            <w:vAlign w:val="bottom"/>
            <w:tcBorders>
              <w:bottom w:val="single" w:sz="8" w:color="D6EFF3"/>
              <w:right w:val="single" w:sz="8" w:color="D5EFF4"/>
            </w:tcBorders>
            <w:shd w:val="clear" w:color="auto" w:fill="D5EFF4"/>
          </w:tcPr>
          <w:p>
            <w:pPr>
              <w:spacing w:after="0"/>
              <w:rPr>
                <w:sz w:val="12"/>
                <w:szCs w:val="12"/>
                <w:color w:val="auto"/>
              </w:rPr>
            </w:pPr>
          </w:p>
        </w:tc>
        <w:tc>
          <w:tcPr>
            <w:tcW w:w="200" w:type="dxa"/>
            <w:vAlign w:val="bottom"/>
            <w:tcBorders>
              <w:bottom w:val="single" w:sz="8" w:color="D5EFF4"/>
              <w:right w:val="single" w:sz="8" w:color="D5EFF4"/>
            </w:tcBorders>
            <w:shd w:val="clear" w:color="auto" w:fill="D5EFF4"/>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460" w:type="dxa"/>
            <w:vAlign w:val="bottom"/>
            <w:gridSpan w:val="3"/>
            <w:vMerge w:val="restart"/>
            <w:shd w:val="clear" w:color="auto" w:fill="D6EFF3"/>
          </w:tcPr>
          <w:p>
            <w:pPr>
              <w:ind w:left="140"/>
              <w:spacing w:after="0" w:line="184" w:lineRule="exact"/>
              <w:rPr>
                <w:sz w:val="20"/>
                <w:szCs w:val="20"/>
                <w:color w:val="auto"/>
              </w:rPr>
            </w:pPr>
            <w:r>
              <w:rPr>
                <w:rFonts w:ascii="Times New Roman" w:cs="Times New Roman" w:eastAsia="Times New Roman" w:hAnsi="Times New Roman"/>
                <w:sz w:val="20"/>
                <w:szCs w:val="20"/>
                <w:color w:val="auto"/>
                <w:w w:val="99"/>
              </w:rPr>
              <w:t>approved by security holders</w:t>
            </w:r>
          </w:p>
        </w:tc>
        <w:tc>
          <w:tcPr>
            <w:tcW w:w="660" w:type="dxa"/>
            <w:vAlign w:val="bottom"/>
            <w:tcBorders>
              <w:right w:val="single" w:sz="8" w:color="D6EFF3"/>
            </w:tcBorders>
            <w:shd w:val="clear" w:color="auto" w:fill="D5EFF4"/>
          </w:tcPr>
          <w:p>
            <w:pPr>
              <w:spacing w:after="0"/>
              <w:rPr>
                <w:sz w:val="6"/>
                <w:szCs w:val="6"/>
                <w:color w:val="auto"/>
              </w:rPr>
            </w:pPr>
          </w:p>
        </w:tc>
        <w:tc>
          <w:tcPr>
            <w:tcW w:w="1240" w:type="dxa"/>
            <w:vAlign w:val="bottom"/>
            <w:vMerge w:val="restart"/>
            <w:shd w:val="clear" w:color="auto" w:fill="D5EFF4"/>
          </w:tcPr>
          <w:p>
            <w:pPr>
              <w:spacing w:after="0"/>
              <w:rPr>
                <w:sz w:val="6"/>
                <w:szCs w:val="6"/>
                <w:color w:val="auto"/>
              </w:rPr>
            </w:pPr>
          </w:p>
        </w:tc>
        <w:tc>
          <w:tcPr>
            <w:tcW w:w="820" w:type="dxa"/>
            <w:vAlign w:val="bottom"/>
            <w:tcBorders>
              <w:right w:val="single" w:sz="8" w:color="D6EFF3"/>
            </w:tcBorders>
            <w:vMerge w:val="restart"/>
            <w:shd w:val="clear" w:color="auto" w:fill="D6EFF3"/>
          </w:tcPr>
          <w:p>
            <w:pPr>
              <w:jc w:val="right"/>
              <w:ind w:right="80"/>
              <w:spacing w:after="0" w:line="184" w:lineRule="exact"/>
              <w:rPr>
                <w:sz w:val="20"/>
                <w:szCs w:val="20"/>
                <w:color w:val="auto"/>
              </w:rPr>
            </w:pPr>
            <w:r>
              <w:rPr>
                <w:rFonts w:ascii="Times New Roman" w:cs="Times New Roman" w:eastAsia="Times New Roman" w:hAnsi="Times New Roman"/>
                <w:sz w:val="20"/>
                <w:szCs w:val="20"/>
                <w:color w:val="auto"/>
                <w:w w:val="95"/>
                <w:shd w:val="clear" w:color="auto" w:fill="D6EFF3"/>
              </w:rPr>
              <w:t>146,456</w:t>
            </w:r>
          </w:p>
        </w:tc>
        <w:tc>
          <w:tcPr>
            <w:tcW w:w="140" w:type="dxa"/>
            <w:vAlign w:val="bottom"/>
            <w:tcBorders>
              <w:right w:val="single" w:sz="8" w:color="D5EFF4"/>
            </w:tcBorders>
            <w:vMerge w:val="restart"/>
            <w:shd w:val="clear" w:color="auto" w:fill="D6EFF3"/>
          </w:tcPr>
          <w:p>
            <w:pPr>
              <w:jc w:val="right"/>
              <w:spacing w:after="0"/>
              <w:rPr>
                <w:sz w:val="20"/>
                <w:szCs w:val="20"/>
                <w:color w:val="auto"/>
              </w:rPr>
            </w:pPr>
            <w:r>
              <w:rPr>
                <w:rFonts w:ascii="Times New Roman" w:cs="Times New Roman" w:eastAsia="Times New Roman" w:hAnsi="Times New Roman"/>
                <w:sz w:val="12"/>
                <w:szCs w:val="12"/>
                <w:color w:val="auto"/>
                <w:w w:val="71"/>
                <w:shd w:val="clear" w:color="auto" w:fill="D6EFF3"/>
              </w:rPr>
              <w:t>(1)</w:t>
            </w:r>
          </w:p>
        </w:tc>
        <w:tc>
          <w:tcPr>
            <w:tcW w:w="100" w:type="dxa"/>
            <w:vAlign w:val="bottom"/>
            <w:shd w:val="clear" w:color="auto" w:fill="D5EFF4"/>
          </w:tcPr>
          <w:p>
            <w:pPr>
              <w:spacing w:after="0"/>
              <w:rPr>
                <w:sz w:val="6"/>
                <w:szCs w:val="6"/>
                <w:color w:val="auto"/>
              </w:rPr>
            </w:pPr>
          </w:p>
        </w:tc>
        <w:tc>
          <w:tcPr>
            <w:tcW w:w="100" w:type="dxa"/>
            <w:vAlign w:val="bottom"/>
            <w:tcBorders>
              <w:left w:val="single" w:sz="8" w:color="D6EFF3"/>
            </w:tcBorders>
            <w:vMerge w:val="restart"/>
            <w:shd w:val="clear" w:color="auto" w:fill="D6EFF3"/>
          </w:tcPr>
          <w:p>
            <w:pPr>
              <w:jc w:val="right"/>
              <w:spacing w:after="0" w:line="184" w:lineRule="exact"/>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1180" w:type="dxa"/>
            <w:vAlign w:val="bottom"/>
            <w:vMerge w:val="restart"/>
            <w:shd w:val="clear" w:color="auto" w:fill="D5EFF4"/>
          </w:tcPr>
          <w:p>
            <w:pPr>
              <w:spacing w:after="0"/>
              <w:rPr>
                <w:sz w:val="6"/>
                <w:szCs w:val="6"/>
                <w:color w:val="auto"/>
              </w:rPr>
            </w:pPr>
          </w:p>
        </w:tc>
        <w:tc>
          <w:tcPr>
            <w:tcW w:w="480" w:type="dxa"/>
            <w:vAlign w:val="bottom"/>
            <w:tcBorders>
              <w:right w:val="single" w:sz="8" w:color="D5EFF4"/>
            </w:tcBorders>
            <w:vMerge w:val="restart"/>
            <w:shd w:val="clear" w:color="auto" w:fill="D6EFF3"/>
          </w:tcPr>
          <w:p>
            <w:pPr>
              <w:jc w:val="right"/>
              <w:spacing w:after="0" w:line="184" w:lineRule="exact"/>
              <w:rPr>
                <w:sz w:val="20"/>
                <w:szCs w:val="20"/>
                <w:color w:val="auto"/>
              </w:rPr>
            </w:pPr>
            <w:r>
              <w:rPr>
                <w:rFonts w:ascii="Times New Roman" w:cs="Times New Roman" w:eastAsia="Times New Roman" w:hAnsi="Times New Roman"/>
                <w:sz w:val="20"/>
                <w:szCs w:val="20"/>
                <w:color w:val="auto"/>
                <w:w w:val="97"/>
                <w:shd w:val="clear" w:color="auto" w:fill="D6EFF3"/>
              </w:rPr>
              <w:t>65.47</w:t>
            </w:r>
          </w:p>
        </w:tc>
        <w:tc>
          <w:tcPr>
            <w:tcW w:w="100" w:type="dxa"/>
            <w:vAlign w:val="bottom"/>
            <w:vMerge w:val="restart"/>
            <w:shd w:val="clear" w:color="auto" w:fill="D5EFF4"/>
          </w:tcPr>
          <w:p>
            <w:pPr>
              <w:spacing w:after="0"/>
              <w:rPr>
                <w:sz w:val="6"/>
                <w:szCs w:val="6"/>
                <w:color w:val="auto"/>
              </w:rPr>
            </w:pPr>
          </w:p>
        </w:tc>
        <w:tc>
          <w:tcPr>
            <w:tcW w:w="360" w:type="dxa"/>
            <w:vAlign w:val="bottom"/>
            <w:tcBorders>
              <w:right w:val="single" w:sz="8" w:color="D6EFF3"/>
            </w:tcBorders>
            <w:vMerge w:val="restart"/>
            <w:shd w:val="clear" w:color="auto" w:fill="D6EFF3"/>
          </w:tcPr>
          <w:p>
            <w:pPr>
              <w:jc w:val="right"/>
              <w:ind w:right="100"/>
              <w:spacing w:after="0"/>
              <w:rPr>
                <w:sz w:val="20"/>
                <w:szCs w:val="20"/>
                <w:color w:val="auto"/>
              </w:rPr>
            </w:pPr>
            <w:r>
              <w:rPr>
                <w:rFonts w:ascii="Times New Roman" w:cs="Times New Roman" w:eastAsia="Times New Roman" w:hAnsi="Times New Roman"/>
                <w:sz w:val="16"/>
                <w:szCs w:val="16"/>
                <w:color w:val="auto"/>
                <w:w w:val="85"/>
                <w:shd w:val="clear" w:color="auto" w:fill="D6EFF3"/>
              </w:rPr>
              <w:t>(2)</w:t>
            </w:r>
          </w:p>
        </w:tc>
        <w:tc>
          <w:tcPr>
            <w:tcW w:w="1340" w:type="dxa"/>
            <w:vAlign w:val="bottom"/>
            <w:vMerge w:val="restart"/>
            <w:shd w:val="clear" w:color="auto" w:fill="D5EFF4"/>
          </w:tcPr>
          <w:p>
            <w:pPr>
              <w:spacing w:after="0"/>
              <w:rPr>
                <w:sz w:val="6"/>
                <w:szCs w:val="6"/>
                <w:color w:val="auto"/>
              </w:rPr>
            </w:pPr>
          </w:p>
        </w:tc>
        <w:tc>
          <w:tcPr>
            <w:tcW w:w="1060" w:type="dxa"/>
            <w:vAlign w:val="bottom"/>
            <w:tcBorders>
              <w:right w:val="single" w:sz="8" w:color="D6EFF3"/>
            </w:tcBorders>
            <w:vMerge w:val="restart"/>
            <w:shd w:val="clear" w:color="auto" w:fill="D6EFF3"/>
          </w:tcPr>
          <w:p>
            <w:pPr>
              <w:jc w:val="right"/>
              <w:ind w:right="60"/>
              <w:spacing w:after="0" w:line="184" w:lineRule="exact"/>
              <w:rPr>
                <w:sz w:val="20"/>
                <w:szCs w:val="20"/>
                <w:color w:val="auto"/>
              </w:rPr>
            </w:pPr>
            <w:r>
              <w:rPr>
                <w:rFonts w:ascii="Times New Roman" w:cs="Times New Roman" w:eastAsia="Times New Roman" w:hAnsi="Times New Roman"/>
                <w:sz w:val="20"/>
                <w:szCs w:val="20"/>
                <w:color w:val="auto"/>
                <w:w w:val="97"/>
                <w:shd w:val="clear" w:color="auto" w:fill="D6EFF3"/>
              </w:rPr>
              <w:t>10,664,838</w:t>
            </w:r>
          </w:p>
        </w:tc>
        <w:tc>
          <w:tcPr>
            <w:tcW w:w="200" w:type="dxa"/>
            <w:vAlign w:val="bottom"/>
            <w:tcBorders>
              <w:right w:val="single" w:sz="8" w:color="D5EFF4"/>
            </w:tcBorders>
            <w:vMerge w:val="restart"/>
            <w:shd w:val="clear" w:color="auto" w:fill="D6EFF3"/>
          </w:tcPr>
          <w:p>
            <w:pPr>
              <w:jc w:val="right"/>
              <w:spacing w:after="0"/>
              <w:rPr>
                <w:sz w:val="20"/>
                <w:szCs w:val="20"/>
                <w:color w:val="auto"/>
              </w:rPr>
            </w:pPr>
            <w:r>
              <w:rPr>
                <w:rFonts w:ascii="Times New Roman" w:cs="Times New Roman" w:eastAsia="Times New Roman" w:hAnsi="Times New Roman"/>
                <w:sz w:val="14"/>
                <w:szCs w:val="14"/>
                <w:color w:val="auto"/>
                <w:w w:val="73"/>
                <w:shd w:val="clear" w:color="auto" w:fill="D6EFF3"/>
              </w:rPr>
              <w:t>(3)</w:t>
            </w:r>
          </w:p>
        </w:tc>
        <w:tc>
          <w:tcPr>
            <w:tcW w:w="0" w:type="dxa"/>
            <w:vAlign w:val="bottom"/>
          </w:tcPr>
          <w:p>
            <w:pPr>
              <w:spacing w:after="0"/>
              <w:rPr>
                <w:sz w:val="1"/>
                <w:szCs w:val="1"/>
                <w:color w:val="auto"/>
              </w:rPr>
            </w:pPr>
          </w:p>
        </w:tc>
      </w:tr>
      <w:tr>
        <w:trPr>
          <w:trHeight w:val="115"/>
        </w:trPr>
        <w:tc>
          <w:tcPr>
            <w:tcW w:w="2460" w:type="dxa"/>
            <w:vAlign w:val="bottom"/>
            <w:gridSpan w:val="3"/>
            <w:vMerge w:val="continue"/>
            <w:shd w:val="clear" w:color="auto" w:fill="D6EFF3"/>
          </w:tcPr>
          <w:p>
            <w:pPr>
              <w:spacing w:after="0"/>
              <w:rPr>
                <w:sz w:val="10"/>
                <w:szCs w:val="10"/>
                <w:color w:val="auto"/>
              </w:rPr>
            </w:pPr>
          </w:p>
        </w:tc>
        <w:tc>
          <w:tcPr>
            <w:tcW w:w="660" w:type="dxa"/>
            <w:vAlign w:val="bottom"/>
            <w:tcBorders>
              <w:right w:val="single" w:sz="8" w:color="D6EFF3"/>
            </w:tcBorders>
            <w:shd w:val="clear" w:color="auto" w:fill="D5EFF4"/>
          </w:tcPr>
          <w:p>
            <w:pPr>
              <w:spacing w:after="0"/>
              <w:rPr>
                <w:sz w:val="10"/>
                <w:szCs w:val="10"/>
                <w:color w:val="auto"/>
              </w:rPr>
            </w:pPr>
          </w:p>
        </w:tc>
        <w:tc>
          <w:tcPr>
            <w:tcW w:w="1240" w:type="dxa"/>
            <w:vAlign w:val="bottom"/>
            <w:vMerge w:val="continue"/>
            <w:shd w:val="clear" w:color="auto" w:fill="D5EFF4"/>
          </w:tcPr>
          <w:p>
            <w:pPr>
              <w:spacing w:after="0"/>
              <w:rPr>
                <w:sz w:val="10"/>
                <w:szCs w:val="10"/>
                <w:color w:val="auto"/>
              </w:rPr>
            </w:pPr>
          </w:p>
        </w:tc>
        <w:tc>
          <w:tcPr>
            <w:tcW w:w="820" w:type="dxa"/>
            <w:vAlign w:val="bottom"/>
            <w:tcBorders>
              <w:right w:val="single" w:sz="8" w:color="D6EFF3"/>
            </w:tcBorders>
            <w:vMerge w:val="continue"/>
            <w:shd w:val="clear" w:color="auto" w:fill="D6EFF3"/>
          </w:tcPr>
          <w:p>
            <w:pPr>
              <w:spacing w:after="0"/>
              <w:rPr>
                <w:sz w:val="10"/>
                <w:szCs w:val="10"/>
                <w:color w:val="auto"/>
              </w:rPr>
            </w:pPr>
          </w:p>
        </w:tc>
        <w:tc>
          <w:tcPr>
            <w:tcW w:w="140" w:type="dxa"/>
            <w:vAlign w:val="bottom"/>
            <w:tcBorders>
              <w:right w:val="single" w:sz="8" w:color="D5EFF4"/>
            </w:tcBorders>
            <w:vMerge w:val="continue"/>
            <w:shd w:val="clear" w:color="auto" w:fill="D6EFF3"/>
          </w:tcPr>
          <w:p>
            <w:pPr>
              <w:spacing w:after="0"/>
              <w:rPr>
                <w:sz w:val="10"/>
                <w:szCs w:val="10"/>
                <w:color w:val="auto"/>
              </w:rPr>
            </w:pPr>
          </w:p>
        </w:tc>
        <w:tc>
          <w:tcPr>
            <w:tcW w:w="100" w:type="dxa"/>
            <w:vAlign w:val="bottom"/>
            <w:shd w:val="clear" w:color="auto" w:fill="D5EFF4"/>
          </w:tcPr>
          <w:p>
            <w:pPr>
              <w:spacing w:after="0"/>
              <w:rPr>
                <w:sz w:val="10"/>
                <w:szCs w:val="10"/>
                <w:color w:val="auto"/>
              </w:rPr>
            </w:pPr>
          </w:p>
        </w:tc>
        <w:tc>
          <w:tcPr>
            <w:tcW w:w="100" w:type="dxa"/>
            <w:vAlign w:val="bottom"/>
            <w:tcBorders>
              <w:left w:val="single" w:sz="8" w:color="D6EFF3"/>
            </w:tcBorders>
            <w:vMerge w:val="continue"/>
            <w:shd w:val="clear" w:color="auto" w:fill="D6EFF3"/>
          </w:tcPr>
          <w:p>
            <w:pPr>
              <w:spacing w:after="0"/>
              <w:rPr>
                <w:sz w:val="10"/>
                <w:szCs w:val="10"/>
                <w:color w:val="auto"/>
              </w:rPr>
            </w:pPr>
          </w:p>
        </w:tc>
        <w:tc>
          <w:tcPr>
            <w:tcW w:w="1180" w:type="dxa"/>
            <w:vAlign w:val="bottom"/>
            <w:vMerge w:val="continue"/>
            <w:shd w:val="clear" w:color="auto" w:fill="D5EFF4"/>
          </w:tcPr>
          <w:p>
            <w:pPr>
              <w:spacing w:after="0"/>
              <w:rPr>
                <w:sz w:val="10"/>
                <w:szCs w:val="10"/>
                <w:color w:val="auto"/>
              </w:rPr>
            </w:pPr>
          </w:p>
        </w:tc>
        <w:tc>
          <w:tcPr>
            <w:tcW w:w="480" w:type="dxa"/>
            <w:vAlign w:val="bottom"/>
            <w:tcBorders>
              <w:right w:val="single" w:sz="8" w:color="D5EFF4"/>
            </w:tcBorders>
            <w:vMerge w:val="continue"/>
            <w:shd w:val="clear" w:color="auto" w:fill="D6EFF3"/>
          </w:tcPr>
          <w:p>
            <w:pPr>
              <w:spacing w:after="0"/>
              <w:rPr>
                <w:sz w:val="10"/>
                <w:szCs w:val="10"/>
                <w:color w:val="auto"/>
              </w:rPr>
            </w:pPr>
          </w:p>
        </w:tc>
        <w:tc>
          <w:tcPr>
            <w:tcW w:w="100" w:type="dxa"/>
            <w:vAlign w:val="bottom"/>
            <w:vMerge w:val="continue"/>
            <w:shd w:val="clear" w:color="auto" w:fill="D5EFF4"/>
          </w:tcPr>
          <w:p>
            <w:pPr>
              <w:spacing w:after="0"/>
              <w:rPr>
                <w:sz w:val="10"/>
                <w:szCs w:val="10"/>
                <w:color w:val="auto"/>
              </w:rPr>
            </w:pPr>
          </w:p>
        </w:tc>
        <w:tc>
          <w:tcPr>
            <w:tcW w:w="360" w:type="dxa"/>
            <w:vAlign w:val="bottom"/>
            <w:tcBorders>
              <w:right w:val="single" w:sz="8" w:color="D6EFF3"/>
            </w:tcBorders>
            <w:vMerge w:val="continue"/>
            <w:shd w:val="clear" w:color="auto" w:fill="D6EFF3"/>
          </w:tcPr>
          <w:p>
            <w:pPr>
              <w:spacing w:after="0"/>
              <w:rPr>
                <w:sz w:val="10"/>
                <w:szCs w:val="10"/>
                <w:color w:val="auto"/>
              </w:rPr>
            </w:pPr>
          </w:p>
        </w:tc>
        <w:tc>
          <w:tcPr>
            <w:tcW w:w="1340" w:type="dxa"/>
            <w:vAlign w:val="bottom"/>
            <w:vMerge w:val="continue"/>
            <w:shd w:val="clear" w:color="auto" w:fill="D5EFF4"/>
          </w:tcPr>
          <w:p>
            <w:pPr>
              <w:spacing w:after="0"/>
              <w:rPr>
                <w:sz w:val="10"/>
                <w:szCs w:val="10"/>
                <w:color w:val="auto"/>
              </w:rPr>
            </w:pPr>
          </w:p>
        </w:tc>
        <w:tc>
          <w:tcPr>
            <w:tcW w:w="1060" w:type="dxa"/>
            <w:vAlign w:val="bottom"/>
            <w:tcBorders>
              <w:right w:val="single" w:sz="8" w:color="D6EFF3"/>
            </w:tcBorders>
            <w:vMerge w:val="continue"/>
            <w:shd w:val="clear" w:color="auto" w:fill="D6EFF3"/>
          </w:tcPr>
          <w:p>
            <w:pPr>
              <w:spacing w:after="0"/>
              <w:rPr>
                <w:sz w:val="10"/>
                <w:szCs w:val="10"/>
                <w:color w:val="auto"/>
              </w:rPr>
            </w:pPr>
          </w:p>
        </w:tc>
        <w:tc>
          <w:tcPr>
            <w:tcW w:w="200" w:type="dxa"/>
            <w:vAlign w:val="bottom"/>
            <w:tcBorders>
              <w:right w:val="single" w:sz="8" w:color="D5EFF4"/>
            </w:tcBorders>
            <w:vMerge w:val="continue"/>
            <w:shd w:val="clear" w:color="auto" w:fill="D6EFF3"/>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3120" w:type="dxa"/>
            <w:vAlign w:val="bottom"/>
            <w:gridSpan w:val="4"/>
          </w:tcPr>
          <w:p>
            <w:pPr>
              <w:spacing w:after="0" w:line="226" w:lineRule="exact"/>
              <w:rPr>
                <w:sz w:val="20"/>
                <w:szCs w:val="20"/>
                <w:color w:val="auto"/>
              </w:rPr>
            </w:pPr>
            <w:r>
              <w:rPr>
                <w:rFonts w:ascii="Times New Roman" w:cs="Times New Roman" w:eastAsia="Times New Roman" w:hAnsi="Times New Roman"/>
                <w:sz w:val="20"/>
                <w:szCs w:val="20"/>
                <w:color w:val="auto"/>
              </w:rPr>
              <w:t>Equity compensation plans not</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12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approved by security holders</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34,946</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1"/>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1,240,886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3"/>
              </w:rPr>
              <w:t>(5)</w:t>
            </w:r>
          </w:p>
        </w:tc>
        <w:tc>
          <w:tcPr>
            <w:tcW w:w="0" w:type="dxa"/>
            <w:vAlign w:val="bottom"/>
          </w:tcPr>
          <w:p>
            <w:pPr>
              <w:spacing w:after="0"/>
              <w:rPr>
                <w:sz w:val="1"/>
                <w:szCs w:val="1"/>
                <w:color w:val="auto"/>
              </w:rPr>
            </w:pPr>
          </w:p>
        </w:tc>
      </w:tr>
      <w:tr>
        <w:trPr>
          <w:trHeight w:val="184"/>
        </w:trPr>
        <w:tc>
          <w:tcPr>
            <w:tcW w:w="420" w:type="dxa"/>
            <w:vAlign w:val="bottom"/>
            <w:tcBorders>
              <w:top w:val="single" w:sz="8" w:color="D6EFF3"/>
              <w:bottom w:val="single" w:sz="8" w:color="D6EFF3"/>
            </w:tcBorders>
            <w:shd w:val="clear" w:color="auto" w:fill="D6EFF3"/>
          </w:tcPr>
          <w:p>
            <w:pPr>
              <w:spacing w:after="0" w:line="184" w:lineRule="exact"/>
              <w:rPr>
                <w:sz w:val="20"/>
                <w:szCs w:val="20"/>
                <w:color w:val="auto"/>
              </w:rPr>
            </w:pPr>
            <w:r>
              <w:rPr>
                <w:rFonts w:ascii="Times New Roman" w:cs="Times New Roman" w:eastAsia="Times New Roman" w:hAnsi="Times New Roman"/>
                <w:sz w:val="20"/>
                <w:szCs w:val="20"/>
                <w:color w:val="auto"/>
                <w:w w:val="94"/>
                <w:shd w:val="clear" w:color="auto" w:fill="D6EFF3"/>
              </w:rPr>
              <w:t>Total</w:t>
            </w:r>
          </w:p>
        </w:tc>
        <w:tc>
          <w:tcPr>
            <w:tcW w:w="1740" w:type="dxa"/>
            <w:vAlign w:val="bottom"/>
            <w:tcBorders>
              <w:top w:val="single" w:sz="8" w:color="D5EFF4"/>
              <w:bottom w:val="single" w:sz="8" w:color="D5EFF4"/>
            </w:tcBorders>
            <w:shd w:val="clear" w:color="auto" w:fill="D5EFF4"/>
          </w:tcPr>
          <w:p>
            <w:pPr>
              <w:spacing w:after="0"/>
              <w:rPr>
                <w:sz w:val="15"/>
                <w:szCs w:val="15"/>
                <w:color w:val="auto"/>
              </w:rPr>
            </w:pPr>
          </w:p>
        </w:tc>
        <w:tc>
          <w:tcPr>
            <w:tcW w:w="300" w:type="dxa"/>
            <w:vAlign w:val="bottom"/>
            <w:tcBorders>
              <w:top w:val="single" w:sz="8" w:color="D5EFF4"/>
              <w:bottom w:val="single" w:sz="8" w:color="D5EFF4"/>
            </w:tcBorders>
            <w:shd w:val="clear" w:color="auto" w:fill="D5EFF4"/>
          </w:tcPr>
          <w:p>
            <w:pPr>
              <w:spacing w:after="0"/>
              <w:rPr>
                <w:sz w:val="15"/>
                <w:szCs w:val="15"/>
                <w:color w:val="auto"/>
              </w:rPr>
            </w:pPr>
          </w:p>
        </w:tc>
        <w:tc>
          <w:tcPr>
            <w:tcW w:w="660" w:type="dxa"/>
            <w:vAlign w:val="bottom"/>
            <w:tcBorders>
              <w:top w:val="single" w:sz="8" w:color="D5EFF4"/>
              <w:bottom w:val="single" w:sz="8" w:color="D5EFF4"/>
              <w:right w:val="single" w:sz="8" w:color="D6EFF3"/>
            </w:tcBorders>
            <w:shd w:val="clear" w:color="auto" w:fill="D5EFF4"/>
          </w:tcPr>
          <w:p>
            <w:pPr>
              <w:spacing w:after="0"/>
              <w:rPr>
                <w:sz w:val="15"/>
                <w:szCs w:val="15"/>
                <w:color w:val="auto"/>
              </w:rPr>
            </w:pPr>
          </w:p>
        </w:tc>
        <w:tc>
          <w:tcPr>
            <w:tcW w:w="1240" w:type="dxa"/>
            <w:vAlign w:val="bottom"/>
            <w:tcBorders>
              <w:top w:val="single" w:sz="8" w:color="auto"/>
              <w:bottom w:val="single" w:sz="8" w:color="auto"/>
            </w:tcBorders>
            <w:shd w:val="clear" w:color="auto" w:fill="D5EFF4"/>
          </w:tcPr>
          <w:p>
            <w:pPr>
              <w:spacing w:after="0"/>
              <w:rPr>
                <w:sz w:val="15"/>
                <w:szCs w:val="15"/>
                <w:color w:val="auto"/>
              </w:rPr>
            </w:pPr>
          </w:p>
        </w:tc>
        <w:tc>
          <w:tcPr>
            <w:tcW w:w="820" w:type="dxa"/>
            <w:vAlign w:val="bottom"/>
            <w:tcBorders>
              <w:top w:val="single" w:sz="8" w:color="auto"/>
              <w:bottom w:val="single" w:sz="8" w:color="auto"/>
              <w:right w:val="single" w:sz="8" w:color="D6EFF3"/>
            </w:tcBorders>
            <w:shd w:val="clear" w:color="auto" w:fill="D6EFF3"/>
          </w:tcPr>
          <w:p>
            <w:pPr>
              <w:jc w:val="right"/>
              <w:ind w:right="80"/>
              <w:spacing w:after="0" w:line="184" w:lineRule="exact"/>
              <w:rPr>
                <w:sz w:val="20"/>
                <w:szCs w:val="20"/>
                <w:color w:val="auto"/>
              </w:rPr>
            </w:pPr>
            <w:r>
              <w:rPr>
                <w:rFonts w:ascii="Times New Roman" w:cs="Times New Roman" w:eastAsia="Times New Roman" w:hAnsi="Times New Roman"/>
                <w:sz w:val="20"/>
                <w:szCs w:val="20"/>
                <w:color w:val="auto"/>
                <w:w w:val="95"/>
                <w:shd w:val="clear" w:color="auto" w:fill="D6EFF3"/>
              </w:rPr>
              <w:t>181,402</w:t>
            </w:r>
          </w:p>
        </w:tc>
        <w:tc>
          <w:tcPr>
            <w:tcW w:w="140" w:type="dxa"/>
            <w:vAlign w:val="bottom"/>
            <w:tcBorders>
              <w:top w:val="single" w:sz="8" w:color="auto"/>
              <w:bottom w:val="single" w:sz="8" w:color="auto"/>
              <w:right w:val="single" w:sz="8" w:color="D5EFF4"/>
            </w:tcBorders>
            <w:shd w:val="clear" w:color="auto" w:fill="D5EFF4"/>
          </w:tcPr>
          <w:p>
            <w:pPr>
              <w:spacing w:after="0"/>
              <w:rPr>
                <w:sz w:val="15"/>
                <w:szCs w:val="15"/>
                <w:color w:val="auto"/>
              </w:rPr>
            </w:pPr>
          </w:p>
        </w:tc>
        <w:tc>
          <w:tcPr>
            <w:tcW w:w="100" w:type="dxa"/>
            <w:vAlign w:val="bottom"/>
            <w:tcBorders>
              <w:top w:val="single" w:sz="8" w:color="D5EFF4"/>
              <w:bottom w:val="single" w:sz="8" w:color="D5EFF4"/>
            </w:tcBorders>
            <w:shd w:val="clear" w:color="auto" w:fill="D5EFF4"/>
          </w:tcPr>
          <w:p>
            <w:pPr>
              <w:spacing w:after="0"/>
              <w:rPr>
                <w:sz w:val="15"/>
                <w:szCs w:val="15"/>
                <w:color w:val="auto"/>
              </w:rPr>
            </w:pPr>
          </w:p>
        </w:tc>
        <w:tc>
          <w:tcPr>
            <w:tcW w:w="100" w:type="dxa"/>
            <w:vAlign w:val="bottom"/>
            <w:tcBorders>
              <w:top w:val="single" w:sz="8" w:color="auto"/>
              <w:left w:val="single" w:sz="8" w:color="D6EFF3"/>
              <w:bottom w:val="single" w:sz="8" w:color="auto"/>
            </w:tcBorders>
            <w:shd w:val="clear" w:color="auto" w:fill="D6EFF3"/>
          </w:tcPr>
          <w:p>
            <w:pPr>
              <w:jc w:val="right"/>
              <w:spacing w:after="0" w:line="184" w:lineRule="exact"/>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1180" w:type="dxa"/>
            <w:vAlign w:val="bottom"/>
            <w:tcBorders>
              <w:top w:val="single" w:sz="8" w:color="auto"/>
              <w:bottom w:val="single" w:sz="8" w:color="auto"/>
            </w:tcBorders>
            <w:shd w:val="clear" w:color="auto" w:fill="D5EFF4"/>
          </w:tcPr>
          <w:p>
            <w:pPr>
              <w:spacing w:after="0"/>
              <w:rPr>
                <w:sz w:val="15"/>
                <w:szCs w:val="15"/>
                <w:color w:val="auto"/>
              </w:rPr>
            </w:pPr>
          </w:p>
        </w:tc>
        <w:tc>
          <w:tcPr>
            <w:tcW w:w="480" w:type="dxa"/>
            <w:vAlign w:val="bottom"/>
            <w:tcBorders>
              <w:top w:val="single" w:sz="8" w:color="auto"/>
              <w:bottom w:val="single" w:sz="8" w:color="auto"/>
              <w:right w:val="single" w:sz="8" w:color="D5EFF4"/>
            </w:tcBorders>
            <w:shd w:val="clear" w:color="auto" w:fill="D6EFF3"/>
          </w:tcPr>
          <w:p>
            <w:pPr>
              <w:jc w:val="right"/>
              <w:spacing w:after="0" w:line="184" w:lineRule="exact"/>
              <w:rPr>
                <w:sz w:val="20"/>
                <w:szCs w:val="20"/>
                <w:color w:val="auto"/>
              </w:rPr>
            </w:pPr>
            <w:r>
              <w:rPr>
                <w:rFonts w:ascii="Times New Roman" w:cs="Times New Roman" w:eastAsia="Times New Roman" w:hAnsi="Times New Roman"/>
                <w:sz w:val="20"/>
                <w:szCs w:val="20"/>
                <w:color w:val="auto"/>
                <w:w w:val="97"/>
                <w:shd w:val="clear" w:color="auto" w:fill="D6EFF3"/>
              </w:rPr>
              <w:t>65.47</w:t>
            </w:r>
          </w:p>
        </w:tc>
        <w:tc>
          <w:tcPr>
            <w:tcW w:w="100" w:type="dxa"/>
            <w:vAlign w:val="bottom"/>
            <w:tcBorders>
              <w:top w:val="single" w:sz="8" w:color="auto"/>
              <w:bottom w:val="single" w:sz="8" w:color="auto"/>
            </w:tcBorders>
            <w:shd w:val="clear" w:color="auto" w:fill="D5EFF4"/>
          </w:tcPr>
          <w:p>
            <w:pPr>
              <w:spacing w:after="0"/>
              <w:rPr>
                <w:sz w:val="15"/>
                <w:szCs w:val="15"/>
                <w:color w:val="auto"/>
              </w:rPr>
            </w:pPr>
          </w:p>
        </w:tc>
        <w:tc>
          <w:tcPr>
            <w:tcW w:w="360" w:type="dxa"/>
            <w:vAlign w:val="bottom"/>
            <w:tcBorders>
              <w:top w:val="single" w:sz="8" w:color="auto"/>
              <w:bottom w:val="single" w:sz="8" w:color="auto"/>
              <w:right w:val="single" w:sz="8" w:color="D6EFF3"/>
            </w:tcBorders>
            <w:shd w:val="clear" w:color="auto" w:fill="D6EFF3"/>
          </w:tcPr>
          <w:p>
            <w:pPr>
              <w:jc w:val="right"/>
              <w:ind w:right="100"/>
              <w:spacing w:after="0"/>
              <w:rPr>
                <w:sz w:val="20"/>
                <w:szCs w:val="20"/>
                <w:color w:val="auto"/>
              </w:rPr>
            </w:pPr>
            <w:r>
              <w:rPr>
                <w:rFonts w:ascii="Times New Roman" w:cs="Times New Roman" w:eastAsia="Times New Roman" w:hAnsi="Times New Roman"/>
                <w:sz w:val="16"/>
                <w:szCs w:val="16"/>
                <w:color w:val="auto"/>
                <w:w w:val="85"/>
                <w:shd w:val="clear" w:color="auto" w:fill="D6EFF3"/>
              </w:rPr>
              <w:t>(2)</w:t>
            </w:r>
          </w:p>
        </w:tc>
        <w:tc>
          <w:tcPr>
            <w:tcW w:w="1340" w:type="dxa"/>
            <w:vAlign w:val="bottom"/>
            <w:tcBorders>
              <w:top w:val="single" w:sz="8" w:color="auto"/>
              <w:bottom w:val="single" w:sz="8" w:color="auto"/>
            </w:tcBorders>
            <w:shd w:val="clear" w:color="auto" w:fill="D5EFF4"/>
          </w:tcPr>
          <w:p>
            <w:pPr>
              <w:spacing w:after="0"/>
              <w:rPr>
                <w:sz w:val="15"/>
                <w:szCs w:val="15"/>
                <w:color w:val="auto"/>
              </w:rPr>
            </w:pPr>
          </w:p>
        </w:tc>
        <w:tc>
          <w:tcPr>
            <w:tcW w:w="1060" w:type="dxa"/>
            <w:vAlign w:val="bottom"/>
            <w:tcBorders>
              <w:top w:val="single" w:sz="8" w:color="auto"/>
              <w:bottom w:val="single" w:sz="8" w:color="auto"/>
              <w:right w:val="single" w:sz="8" w:color="D6EFF3"/>
            </w:tcBorders>
            <w:shd w:val="clear" w:color="auto" w:fill="D6EFF3"/>
          </w:tcPr>
          <w:p>
            <w:pPr>
              <w:jc w:val="right"/>
              <w:ind w:right="60"/>
              <w:spacing w:after="0" w:line="184" w:lineRule="exact"/>
              <w:rPr>
                <w:sz w:val="20"/>
                <w:szCs w:val="20"/>
                <w:color w:val="auto"/>
              </w:rPr>
            </w:pPr>
            <w:r>
              <w:rPr>
                <w:rFonts w:ascii="Times New Roman" w:cs="Times New Roman" w:eastAsia="Times New Roman" w:hAnsi="Times New Roman"/>
                <w:sz w:val="20"/>
                <w:szCs w:val="20"/>
                <w:color w:val="auto"/>
                <w:w w:val="97"/>
                <w:shd w:val="clear" w:color="auto" w:fill="D6EFF3"/>
              </w:rPr>
              <w:t>11,905,724</w:t>
            </w:r>
          </w:p>
        </w:tc>
        <w:tc>
          <w:tcPr>
            <w:tcW w:w="200" w:type="dxa"/>
            <w:vAlign w:val="bottom"/>
            <w:tcBorders>
              <w:top w:val="single" w:sz="8" w:color="auto"/>
              <w:bottom w:val="single" w:sz="8" w:color="auto"/>
              <w:right w:val="single" w:sz="8" w:color="D5EFF4"/>
            </w:tcBorders>
            <w:shd w:val="clear" w:color="auto" w:fill="D5EFF4"/>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651002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512.6pt,5.35pt" o:allowincell="f" strokecolor="#000000" strokeweight="0.5pt"/>
            </w:pict>
          </mc:Fallback>
        </mc:AlternateContent>
        <w:drawing>
          <wp:anchor simplePos="0" relativeHeight="251657728" behindDoc="1" locked="0" layoutInCell="0" allowOverlap="1">
            <wp:simplePos x="0" y="0"/>
            <wp:positionH relativeFrom="column">
              <wp:posOffset>1940560</wp:posOffset>
            </wp:positionH>
            <wp:positionV relativeFrom="paragraph">
              <wp:posOffset>-1980565</wp:posOffset>
            </wp:positionV>
            <wp:extent cx="44259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0">
                      <a:extLst>
                        <a:ext uri="{28A0092B-C50C-407E-A947-70E740481C1C}"/>
                      </a:extLst>
                    </a:blip>
                    <a:srcRect/>
                    <a:stretch>
                      <a:fillRect/>
                    </a:stretch>
                  </pic:blipFill>
                  <pic:spPr bwMode="auto">
                    <a:xfrm>
                      <a:off x="0" y="0"/>
                      <a:ext cx="4425950"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-942340</wp:posOffset>
            </wp:positionV>
            <wp:extent cx="63792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1">
                      <a:extLst>
                        <a:ext uri="{28A0092B-C50C-407E-A947-70E740481C1C}"/>
                      </a:extLst>
                    </a:blip>
                    <a:srcRect/>
                    <a:stretch>
                      <a:fillRect/>
                    </a:stretch>
                  </pic:blipFill>
                  <pic:spPr bwMode="auto">
                    <a:xfrm>
                      <a:off x="0" y="0"/>
                      <a:ext cx="6379210" cy="25400"/>
                    </a:xfrm>
                    <a:prstGeom prst="rect">
                      <a:avLst/>
                    </a:prstGeom>
                    <a:noFill/>
                  </pic:spPr>
                </pic:pic>
              </a:graphicData>
            </a:graphic>
          </wp:anchor>
        </w:drawing>
      </w:r>
    </w:p>
    <w:p>
      <w:pPr>
        <w:spacing w:after="0" w:line="118" w:lineRule="exact"/>
        <w:rPr>
          <w:sz w:val="20"/>
          <w:szCs w:val="20"/>
          <w:color w:val="auto"/>
        </w:rPr>
      </w:pPr>
    </w:p>
    <w:p>
      <w:pPr>
        <w:jc w:val="both"/>
        <w:ind w:left="566" w:hanging="566"/>
        <w:spacing w:after="0" w:line="246" w:lineRule="auto"/>
        <w:tabs>
          <w:tab w:leader="none" w:pos="56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includes 87,070 shares that could be issued under stock settled restricted stock units under the Ashland Global Holdings Inc. 2021 Omnibus Incentive Compensation Plan (the “2021 Omnibus Plan”), based upon the closing price of Ashland Common Stock on the NYSE as of September 30, 2025 of $47.91. Additionally, this figure includes 23,899 performance units for the fiscal 2024-2026 performance period payable in Ashland Common Stock under the 2021 Omnibus Plan, and 21,054 performance units for the fiscal 2025-2027 performance period payable in Ashland Common Stock under the 2021 Omnibus Plan estimated assuming target performance is achieved. Also included in the figure are 14,433 shares to be issued under the pre-2005 Deferred Compensation Plan for Employees payable in Ashland Common Stock upon termination of employment or service with Ashland.</w:t>
      </w:r>
    </w:p>
    <w:p>
      <w:pPr>
        <w:spacing w:after="0" w:line="7" w:lineRule="exact"/>
        <w:rPr>
          <w:rFonts w:ascii="Times New Roman" w:cs="Times New Roman" w:eastAsia="Times New Roman" w:hAnsi="Times New Roman"/>
          <w:sz w:val="16"/>
          <w:szCs w:val="16"/>
          <w:color w:val="auto"/>
        </w:rPr>
      </w:pPr>
    </w:p>
    <w:p>
      <w:pPr>
        <w:jc w:val="both"/>
        <w:ind w:left="566" w:hanging="566"/>
        <w:spacing w:after="0" w:line="257" w:lineRule="auto"/>
        <w:tabs>
          <w:tab w:leader="none" w:pos="56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excludes shares in Ashland Common Stock which may be distributed under the deferred compensation plans and the deferred restricted stock, and performance share units and restricted stock units which may be distributed under the 2011 Incentive Plan, the 2015 Incentive Plan and the 2018 Omnibus Plan, as described in footnotes (1) and (4) in this table.</w:t>
      </w:r>
    </w:p>
    <w:p>
      <w:pPr>
        <w:jc w:val="both"/>
        <w:ind w:left="566" w:hanging="566"/>
        <w:spacing w:after="0" w:line="244" w:lineRule="auto"/>
        <w:tabs>
          <w:tab w:leader="none" w:pos="56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includes 6,437,964 available for issuance under the Ashland Global Holdings Inc. 2021 Omnibus Plan, 121,743 shares available for issuance under the pre-2005 Deferred Compensation Plan for Employees (closed) and 341,697 shares available for issuance under the pre-2005 Deferred Compensation Plan for Non-Employee Directors (closed). Under the 2018 Incentive Plan, full-value awards, which include all awards other than stock options and SARs, reduce the share reserve on a 2-to-1 basis. The remaining balance of shares available for grant under the 2018 Omnibus Plan are now available for grant under the 2021 Omnibus Plan and are included in the numbers of shares available for issuance under the 2021 Omnibus Plan. This figure also includes 80,311 shares available for issuance under the 2006 Incentive Plan, 2,575,206 shares available for issuance under the 2011 Incentive Plan and 1,107,917 shares available for issuance under the 2015 Incentive Plan; however, these plans are closed for new issuances and the only shares remaining to be issued are shares paid in lieu of dividends and for the 2015 Incentive Plan, shares to be issued for unvested performance units and restricted stock units.</w:t>
      </w:r>
    </w:p>
    <w:p>
      <w:pPr>
        <w:spacing w:after="0" w:line="12" w:lineRule="exact"/>
        <w:rPr>
          <w:rFonts w:ascii="Times New Roman" w:cs="Times New Roman" w:eastAsia="Times New Roman" w:hAnsi="Times New Roman"/>
          <w:sz w:val="16"/>
          <w:szCs w:val="16"/>
          <w:color w:val="auto"/>
        </w:rPr>
      </w:pPr>
    </w:p>
    <w:p>
      <w:pPr>
        <w:jc w:val="both"/>
        <w:ind w:left="566" w:hanging="566"/>
        <w:spacing w:after="0" w:line="249" w:lineRule="auto"/>
        <w:tabs>
          <w:tab w:leader="none" w:pos="56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includes 29,159 shares to be issued under the Deferred Compensation Plan for Employees (2005), which is described in the “Non-Qualified Deferred Compensation-Ashland Employees’ Deferral Plan” section of Ashland’s proxy statement, and 5,787 shares to be issued under the Deferred Compensation Plan for Non-Employee Directors (2005), which is described in the “Compensation of Directors” section of Ashland’s proxy statement, payable in Ashland Common Stock upon termination of employment or service with Ashland. Because these plans are not equity compensation plans as defined by the rules of the NYSE, neither plan required approval by Ashland’s stockholders.</w:t>
      </w:r>
    </w:p>
    <w:p>
      <w:pPr>
        <w:spacing w:after="0" w:line="5" w:lineRule="exact"/>
        <w:rPr>
          <w:rFonts w:ascii="Times New Roman" w:cs="Times New Roman" w:eastAsia="Times New Roman" w:hAnsi="Times New Roman"/>
          <w:sz w:val="16"/>
          <w:szCs w:val="16"/>
          <w:color w:val="auto"/>
        </w:rPr>
      </w:pPr>
    </w:p>
    <w:p>
      <w:pPr>
        <w:jc w:val="both"/>
        <w:ind w:left="566" w:hanging="566"/>
        <w:spacing w:after="0" w:line="258" w:lineRule="auto"/>
        <w:tabs>
          <w:tab w:leader="none" w:pos="56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includes 616,646 shares available for issuance under the Deferred Compensation Plan for Employees (2005) and 624,240 shares available for issuance under the Deferred Compensation Plan for Non-Employee Directors (2005). Because these plans are not equity compensation plans as defined by the rules of the NYSE, neither plan required approval by Ashland’s stockholders.</w:t>
      </w:r>
    </w:p>
    <w:p>
      <w:pPr>
        <w:spacing w:after="0" w:line="1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70"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captioned “Corporate Governance - Director Independence and Certain Relationships,” “Corporate Governance - Related Person Transaction Policy,” and “Audit Committee Report” in in the Proxy Statement for Ashland’s 2026 Annual Meeting of Stockholders. Ashland plans to file such Proxy Statement within 120 days after September 30, 2025, the end of Ashland’s fiscal year.</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70"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captioned “Audit Committee Report” and “Proposal Two - Ratification of Independent Registered Public Accountants” in the Proxy Statement for Ashland’s 2026 Annual Meeting of Stockholders. Ashland plans to file such Proxy Statement within 120 days after September 30, 2025, the end of Ashland’s fiscal year.</w:t>
      </w:r>
    </w:p>
    <w:p>
      <w:pPr>
        <w:sectPr>
          <w:pgSz w:w="12240" w:h="15840" w:orient="portrait"/>
          <w:cols w:equalWidth="0" w:num="1">
            <w:col w:w="10246"/>
          </w:cols>
          <w:pgMar w:left="994"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46"/>
          </w:cols>
          <w:pgMar w:left="994" w:top="930" w:right="1000" w:bottom="175" w:gutter="0" w:footer="0" w:header="0"/>
          <w:type w:val="continuous"/>
        </w:sectPr>
      </w:pPr>
    </w:p>
    <w:bookmarkStart w:id="47" w:name="page48"/>
    <w:bookmarkEnd w:id="47"/>
    <w:p>
      <w:pPr>
        <w:ind w:left="4726"/>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20" w:lineRule="exact"/>
        <w:rPr>
          <w:sz w:val="20"/>
          <w:szCs w:val="20"/>
          <w:color w:val="auto"/>
        </w:rPr>
      </w:pPr>
    </w:p>
    <w:p>
      <w:pPr>
        <w:ind w:left="286" w:hanging="286"/>
        <w:spacing w:after="0"/>
        <w:tabs>
          <w:tab w:leader="none" w:pos="286"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Documents filed as part of this Report</w:t>
      </w:r>
    </w:p>
    <w:p>
      <w:pPr>
        <w:spacing w:after="0" w:line="170" w:lineRule="exact"/>
        <w:rPr>
          <w:rFonts w:ascii="Times New Roman" w:cs="Times New Roman" w:eastAsia="Times New Roman" w:hAnsi="Times New Roman"/>
          <w:sz w:val="20"/>
          <w:szCs w:val="20"/>
          <w:b w:val="1"/>
          <w:bCs w:val="1"/>
          <w:color w:val="auto"/>
        </w:rPr>
      </w:pPr>
    </w:p>
    <w:p>
      <w:pPr>
        <w:ind w:left="646" w:hanging="286"/>
        <w:spacing w:after="0"/>
        <w:tabs>
          <w:tab w:leader="none" w:pos="64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and</w:t>
      </w:r>
    </w:p>
    <w:p>
      <w:pPr>
        <w:spacing w:after="0" w:line="166" w:lineRule="exact"/>
        <w:rPr>
          <w:rFonts w:ascii="Times New Roman" w:cs="Times New Roman" w:eastAsia="Times New Roman" w:hAnsi="Times New Roman"/>
          <w:sz w:val="20"/>
          <w:szCs w:val="20"/>
          <w:color w:val="auto"/>
        </w:rPr>
      </w:pPr>
    </w:p>
    <w:p>
      <w:pPr>
        <w:ind w:left="646" w:hanging="286"/>
        <w:spacing w:after="0"/>
        <w:tabs>
          <w:tab w:leader="none" w:pos="64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Item 15(b) in this Annual Report on Form 10-K</w:t>
      </w:r>
    </w:p>
    <w:p>
      <w:pPr>
        <w:spacing w:after="0" w:line="166" w:lineRule="exact"/>
        <w:rPr>
          <w:sz w:val="20"/>
          <w:szCs w:val="20"/>
          <w:color w:val="auto"/>
        </w:rPr>
      </w:pPr>
    </w:p>
    <w:p>
      <w:pPr>
        <w:jc w:val="both"/>
        <w:ind w:left="6" w:firstLine="360"/>
        <w:spacing w:after="0" w:line="325" w:lineRule="auto"/>
        <w:rPr>
          <w:sz w:val="20"/>
          <w:szCs w:val="20"/>
          <w:color w:val="auto"/>
        </w:rPr>
      </w:pPr>
      <w:r>
        <w:rPr>
          <w:rFonts w:ascii="Times New Roman" w:cs="Times New Roman" w:eastAsia="Times New Roman" w:hAnsi="Times New Roman"/>
          <w:sz w:val="20"/>
          <w:szCs w:val="20"/>
          <w:color w:val="auto"/>
        </w:rPr>
        <w:t>The consolidated financial statements of Ashland presented in this Annual Report on Form 10-K are listed in the index on page F-1.</w:t>
      </w:r>
    </w:p>
    <w:p>
      <w:pPr>
        <w:spacing w:after="0" w:line="49"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Schedules other than that listed above have been omitted because of the absence of the conditions under which they are required or because the information required is shown in the consolidated financial statements or the notes thereto. Separate financial statements of unconsolidated affiliates are omitted because each company does not constitute a significant subsidiary using the 20% tests when considered individually.</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(b) Documents required by Item 601 of Regulation S-K</w:t>
      </w:r>
    </w:p>
    <w:p>
      <w:pPr>
        <w:spacing w:after="0" w:line="204" w:lineRule="exact"/>
        <w:rPr>
          <w:sz w:val="20"/>
          <w:szCs w:val="20"/>
          <w:color w:val="auto"/>
        </w:rPr>
      </w:pPr>
    </w:p>
    <w:tbl>
      <w:tblPr>
        <w:tblLayout w:type="fixed"/>
        <w:tblInd w:w="366" w:type="dxa"/>
        <w:tblCellMar>
          <w:top w:w="0" w:type="dxa"/>
          <w:left w:w="0" w:type="dxa"/>
          <w:bottom w:w="0" w:type="dxa"/>
          <w:right w:w="0" w:type="dxa"/>
        </w:tblCellMar>
      </w:tblPr>
      <w:tr>
        <w:trPr>
          <w:trHeight w:val="230"/>
        </w:trPr>
        <w:tc>
          <w:tcPr>
            <w:tcW w:w="6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87"/>
              </w:rPr>
              <w:t>2.1</w:t>
            </w:r>
          </w:p>
        </w:tc>
        <w:tc>
          <w:tcPr>
            <w:tcW w:w="92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  Stock and Asset Purchase Agreement, dated as of February 18, 2014, between Ashland Inc. and CD&amp;R</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Seahawk Bidco, LLC (filed as Exhibit 2.1 to Ashland’s Form 8-K filed on February 24, 2014 (SEC File</w:t>
            </w:r>
          </w:p>
        </w:tc>
      </w:tr>
      <w:tr>
        <w:trPr>
          <w:trHeight w:val="266"/>
        </w:trPr>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 001-32532), and incorporated herein by reference).</w:t>
            </w:r>
          </w:p>
        </w:tc>
      </w:tr>
      <w:tr>
        <w:trPr>
          <w:trHeight w:val="332"/>
        </w:trPr>
        <w:tc>
          <w:tcPr>
            <w:tcW w:w="6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87"/>
              </w:rPr>
              <w:t>2.2</w:t>
            </w:r>
          </w:p>
        </w:tc>
        <w:tc>
          <w:tcPr>
            <w:tcW w:w="92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  Sale and Purchase Agreement related to the ASK Chemicals Group, dated April 8, 2014, among Ashland</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Ashland International Holdings, Inc., Clariant Produkte (Deutschland) GmbH, Clariant Corp.,</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mertus 158. GmbH, Ascot US Bidco Inc. and Ascot UK Bidco Limited (filed as Exhibit 2.1 to Ashland’s</w:t>
            </w:r>
          </w:p>
        </w:tc>
      </w:tr>
      <w:tr>
        <w:trPr>
          <w:trHeight w:val="266"/>
        </w:trPr>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8-K filed on April 14, 2014 (SEC File No. 001-32532), and incorporated herein by reference).</w:t>
            </w:r>
          </w:p>
        </w:tc>
      </w:tr>
      <w:tr>
        <w:trPr>
          <w:trHeight w:val="332"/>
        </w:trPr>
        <w:tc>
          <w:tcPr>
            <w:tcW w:w="6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87"/>
              </w:rPr>
              <w:t>2.3</w:t>
            </w:r>
          </w:p>
        </w:tc>
        <w:tc>
          <w:tcPr>
            <w:tcW w:w="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Agreement and Plan of Merger dated May 31, 2016, by and among Ashland Inc., Ashland Global</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Holdings Inc. and Ashland Merger Sub Corp. (filed as Exhibit 2.1 to Ashland’s Form 8-K filed on May</w:t>
            </w:r>
          </w:p>
        </w:tc>
      </w:tr>
      <w:tr>
        <w:trPr>
          <w:trHeight w:val="266"/>
        </w:trPr>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 2016 (SEC File No. 001-32532), and incorporated herein by reference).</w:t>
            </w:r>
          </w:p>
        </w:tc>
      </w:tr>
      <w:tr>
        <w:trPr>
          <w:trHeight w:val="332"/>
        </w:trPr>
        <w:tc>
          <w:tcPr>
            <w:tcW w:w="6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87"/>
              </w:rPr>
              <w:t>2.4</w:t>
            </w:r>
          </w:p>
        </w:tc>
        <w:tc>
          <w:tcPr>
            <w:tcW w:w="92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  Stock and Asset Purchase Agreement, dated November 14, 2018, between Ashland Global Holdings Inc.</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INEOS Enterprises Holdings Limited (pursuant to Item 601(b)(2) of Regulation S-K, exhibits,</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schedules and certain annexes to the Stock and Asset Purchase Agreement have been omitted; exhibits,</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schedules and annexes will be supplementally provided to the SEC upon request) (filed as Exhibit 2.1 to</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Ashland’s Form 8-K filed on November 20, 2018 (SEC File No. 333-211719), and incorporated herein by</w:t>
            </w:r>
          </w:p>
        </w:tc>
      </w:tr>
      <w:tr>
        <w:trPr>
          <w:trHeight w:val="266"/>
        </w:trPr>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reference.)</w:t>
            </w:r>
          </w:p>
        </w:tc>
      </w:tr>
      <w:tr>
        <w:trPr>
          <w:trHeight w:val="332"/>
        </w:trPr>
        <w:tc>
          <w:tcPr>
            <w:tcW w:w="6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87"/>
              </w:rPr>
              <w:t>2.5</w:t>
            </w:r>
          </w:p>
        </w:tc>
        <w:tc>
          <w:tcPr>
            <w:tcW w:w="92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  First Amendment to Stock and Asset Purchase Agreement, dated July 1, 2019, between Ashland Global</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Holdings Inc. and INEOS Enterprises Holdings Limited (pursuant to Item 601(b)(2) of Regulation S-K,</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exhibits, schedules and certain annexes to the Stock and Asset Purchase Agreement have been omitted;</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exhibits, schedules and annexes will be supplementally provided to the SEC upon request) (filed as</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2.1 to Ashland’s Form 8-K filed on July 8, 2019 (SEC File No. 333-211719) and incorporated</w:t>
            </w:r>
          </w:p>
        </w:tc>
      </w:tr>
      <w:tr>
        <w:trPr>
          <w:trHeight w:val="266"/>
        </w:trPr>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herein by reference).</w:t>
            </w:r>
          </w:p>
        </w:tc>
      </w:tr>
      <w:tr>
        <w:trPr>
          <w:trHeight w:val="332"/>
        </w:trPr>
        <w:tc>
          <w:tcPr>
            <w:tcW w:w="6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87"/>
              </w:rPr>
              <w:t>2.6</w:t>
            </w:r>
          </w:p>
        </w:tc>
        <w:tc>
          <w:tcPr>
            <w:tcW w:w="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Second Amendment to Stock and Asset Purchase Agreement, dated July 30, 2019, between Ashland</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Global Holdings Inc. and INEOS Enterprises Holdings Limited (pursuant to Item 601(b)(2) of Regulation</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S-K, exhibits, schedules and certain annexes to the Stock and Asset Purchase Agreement have been</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omitted; exhibits, schedules and annexes will be supplementally provided to the SEC upon request (filed</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Exhibit 2.1 to Ashland’s Form 8-K filed on August 2, 2019 (SEC File No. 333-211719) and</w:t>
            </w:r>
          </w:p>
        </w:tc>
      </w:tr>
      <w:tr>
        <w:trPr>
          <w:trHeight w:val="266"/>
        </w:trPr>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562"/>
        </w:trPr>
        <w:tc>
          <w:tcPr>
            <w:tcW w:w="6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87"/>
              </w:rPr>
              <w:t>2.7</w:t>
            </w:r>
          </w:p>
        </w:tc>
        <w:tc>
          <w:tcPr>
            <w:tcW w:w="92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  Asset Purchase Agreement dated July 25, 2020, by and between Ashland LLC and AOC Materials LLC</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(filed as Exhibit 2.1 to Ashland’s Form 8-K filed on July 27, 2020 (SEC File No. 333-211719 and</w:t>
            </w:r>
          </w:p>
        </w:tc>
      </w:tr>
      <w:tr>
        <w:trPr>
          <w:trHeight w:val="266"/>
        </w:trPr>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470"/>
        </w:trPr>
        <w:tc>
          <w:tcPr>
            <w:tcW w:w="6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87"/>
              </w:rPr>
              <w:t>2.8</w:t>
            </w:r>
          </w:p>
        </w:tc>
        <w:tc>
          <w:tcPr>
            <w:tcW w:w="92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  Master Asset Purchase Agreement, dated January 18, 2021, entered into by and between Schülke &amp; Mayr</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GmbH, ISP Marl Holdings and Ashland Industries Europe GmbH (filed as Exhibit 2.1 to Ashland’s Form</w:t>
            </w:r>
          </w:p>
        </w:tc>
      </w:tr>
      <w:tr>
        <w:trPr>
          <w:trHeight w:val="266"/>
        </w:trPr>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 filed on January 22, 2021 (SEC File No.333-211719) and incorporated herein by reference).</w:t>
            </w:r>
          </w:p>
        </w:tc>
      </w:tr>
    </w:tbl>
    <w:p>
      <w:pPr>
        <w:spacing w:after="0" w:line="200" w:lineRule="exact"/>
        <w:rPr>
          <w:sz w:val="20"/>
          <w:szCs w:val="20"/>
          <w:color w:val="auto"/>
        </w:rPr>
      </w:pPr>
    </w:p>
    <w:p>
      <w:pPr>
        <w:sectPr>
          <w:pgSz w:w="12240" w:h="15840" w:orient="portrait"/>
          <w:cols w:equalWidth="0" w:num="1">
            <w:col w:w="10246"/>
          </w:cols>
          <w:pgMar w:left="994" w:top="926" w:right="1000" w:bottom="175" w:gutter="0" w:footer="0" w:header="0"/>
        </w:sectPr>
      </w:pPr>
    </w:p>
    <w:p>
      <w:pPr>
        <w:spacing w:after="0" w:line="2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46"/>
          </w:cols>
          <w:pgMar w:left="994" w:top="926" w:right="1000" w:bottom="175" w:gutter="0" w:footer="0" w:header="0"/>
          <w:type w:val="continuous"/>
        </w:sectPr>
      </w:pPr>
    </w:p>
    <w:bookmarkStart w:id="48" w:name="page49"/>
    <w:bookmarkEnd w:id="48"/>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20"/>
          <w:szCs w:val="20"/>
          <w:color w:val="auto"/>
        </w:rPr>
        <w:t>– Amendment Agreement to the Master Purchase Agreement regarding the acquisition of the Personal Care Business of Schülke &amp; Mayr GmbH dated April 29, 2021, filed as Exhibit 2.2 to Ashland’s Form 10-Q filed on July 29, 2021 (SEC File No.333-211719) and incorporated herein by reference).</w:t>
      </w:r>
    </w:p>
    <w:p>
      <w:pPr>
        <w:spacing w:after="0" w:line="86"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20"/>
          <w:szCs w:val="20"/>
          <w:color w:val="auto"/>
        </w:rPr>
        <w:t>– Purchase and Sale Agreement, dated as of August 30, 2021, between Ashland LLC and Arkema, filed as Exhibit 2.1 to Ashland’s Form 8-K filed on August 31, 2021 (SEC File No.333-211719) and incorporated herein by reference).</w:t>
      </w:r>
    </w:p>
    <w:p>
      <w:pPr>
        <w:spacing w:after="0" w:line="86"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auto"/>
        </w:rPr>
        <w:t>– Amendment No. 1 to the Purchase and Sale Agreement, dated as of February 28, 2022, by and between Arkema and Ashland LLC (filed as Exhibit 2.1 to Ashland’s Form 8-K filed on February 28, 2022 (SEC File No.333-211719) and incorporated herein by reference).</w:t>
      </w:r>
    </w:p>
    <w:p>
      <w:pPr>
        <w:spacing w:after="0" w:line="86" w:lineRule="exact"/>
        <w:rPr>
          <w:sz w:val="20"/>
          <w:szCs w:val="20"/>
          <w:color w:val="auto"/>
        </w:rPr>
      </w:pPr>
    </w:p>
    <w:p>
      <w:pPr>
        <w:jc w:val="both"/>
        <w:ind w:left="1480" w:hanging="1382"/>
        <w:spacing w:after="0" w:line="250" w:lineRule="auto"/>
        <w:tabs>
          <w:tab w:leader="none" w:pos="146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20"/>
          <w:szCs w:val="20"/>
          <w:color w:val="auto"/>
        </w:rPr>
        <w:t>– Stock Purchase Agreement, dated April 14, 2017, by and among Ashland LLC, Pharmachem Laboratories, Inc., the holders of common stock of Pharmachem Laboratories, Inc., Dr. David Peele, and Photon SH Representative LLC, solely as the shareholders’ representative (filed as Exhibit 2.1 to Ashland’s Form 8-K filed on May 18, 2017 (SEC File No. 333-211719) and incorporated herein by reference).</w:t>
      </w:r>
    </w:p>
    <w:p>
      <w:pPr>
        <w:spacing w:after="0" w:line="330" w:lineRule="exact"/>
        <w:rPr>
          <w:sz w:val="20"/>
          <w:szCs w:val="20"/>
          <w:color w:val="auto"/>
        </w:rPr>
      </w:pPr>
    </w:p>
    <w:p>
      <w:pPr>
        <w:jc w:val="both"/>
        <w:ind w:left="1480" w:hanging="1382"/>
        <w:spacing w:after="0" w:line="249" w:lineRule="auto"/>
        <w:tabs>
          <w:tab w:leader="none" w:pos="146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color w:val="auto"/>
        </w:rPr>
        <w:t>– Amendment No. 1 to the Stock Purchase Agreement, dated May 16, 2017, by and among Ashland LLC, Pharmachem Laboratories, Inc., the holders of common stock of Pharmachem Laboratories, Inc., Dr. David Peele, and Photon SH Representative LLC, solely as the shareholders’ representative (filed as Exhibit 2.2 to Ashland’s Form 8-K filed on May 18, 2017 (SEC File No. 333-211719) and incorporated herein by reference).</w:t>
      </w:r>
    </w:p>
    <w:p>
      <w:pPr>
        <w:spacing w:after="0" w:line="95" w:lineRule="exact"/>
        <w:rPr>
          <w:sz w:val="20"/>
          <w:szCs w:val="20"/>
          <w:color w:val="auto"/>
        </w:rPr>
      </w:pPr>
    </w:p>
    <w:p>
      <w:pPr>
        <w:jc w:val="both"/>
        <w:ind w:left="1480" w:hanging="1382"/>
        <w:spacing w:after="0" w:line="249" w:lineRule="auto"/>
        <w:tabs>
          <w:tab w:leader="none" w:pos="146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20"/>
          <w:szCs w:val="20"/>
          <w:color w:val="auto"/>
        </w:rPr>
        <w:t>– Amendment No. 2 to the Stock Purchase Agreement, dated August 23, 2017, by and among Ashland LLC, Pharmachem Laboratories, Inc., the holders of common stock of Pharmachem Laboratories, Inc., Dr. David Peele, and Photon SH Representative LLC, solely as the shareholders’ representative (filed as Exhibit 10.84 to Ashland’s Form 10-K for the fiscal year ended September 30, 2017 (SEC File No. 333-211719), and incorporated by reference herein).</w:t>
      </w:r>
    </w:p>
    <w:p>
      <w:pPr>
        <w:spacing w:after="0" w:line="95"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 Amended and Restated Articles of Incorporation of Ashland Global Holdings Inc. (filed as Exhibit 3.1 to Ashland’s Form 8-K filed on September 20, 2016 (SEC File No. 001-32532)) and incorporated by reference herein).</w:t>
      </w:r>
    </w:p>
    <w:p>
      <w:pPr>
        <w:spacing w:after="0" w:line="86"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 Certificate of Ownership &amp; Merger, amending the Company’s Amended and Restated Certificate of Incorporation (filed as Exhibit 3.1 to Ashland’s Form 8-K filed on August 1, 2022 (SEC File No. 001-32532) and incorporated by reference herein).</w:t>
      </w:r>
    </w:p>
    <w:p>
      <w:pPr>
        <w:spacing w:after="0" w:line="86"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 By-laws of Ashland Inc. (Amended and Restated as of September 20, 2022) (filed as Exhibit 3.1 to Ashland’s Form 8-K filed on September 20, 2022 (SEC File No. 333-211719) and incorporated by reference herein).</w:t>
      </w:r>
    </w:p>
    <w:p>
      <w:pPr>
        <w:spacing w:after="0" w:line="31"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Pursuant to Item 601(b)(4)(iii)(A) of Regulation S-K, copies of instruments defining the rights of holders of long-term debt of Ashland and all of its subsidiaries are not filed, Ashland agrees to furnish a copy of such instruments with the SEC upon request.</w:t>
      </w:r>
    </w:p>
    <w:p>
      <w:pPr>
        <w:spacing w:after="0" w:line="31"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 Indenture, dated as of February 26, 2013, between Ashland Inc. and U.S. Bank National Association, as Trustee (filed as Exhibit 4.3 to Ashland’s Form 8-K filed on February 27, 2013 (SEC File No. 001-32532), and incorporated herein by reference).</w:t>
      </w:r>
    </w:p>
    <w:p>
      <w:pPr>
        <w:spacing w:after="0" w:line="86" w:lineRule="exact"/>
        <w:rPr>
          <w:sz w:val="20"/>
          <w:szCs w:val="20"/>
          <w:color w:val="auto"/>
        </w:rPr>
      </w:pPr>
    </w:p>
    <w:p>
      <w:pPr>
        <w:jc w:val="both"/>
        <w:ind w:left="1480" w:hanging="1382"/>
        <w:spacing w:after="0" w:line="252" w:lineRule="auto"/>
        <w:tabs>
          <w:tab w:leader="none" w:pos="146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 First Supplemental Indenture, dated as of February 26, 2013, between Ashland Inc. and U.S. Bank National Association, as Trustee, in respect of the senior notes due 2016, 2018 and 2043 (filed as Exhibit 4.4 to Ashland’s Form 8-K filed on February 27, 2013 (SEC File No. 001-32532), and incorporated herein by reference).</w:t>
      </w:r>
    </w:p>
    <w:p>
      <w:pPr>
        <w:spacing w:after="0" w:line="92"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 Second Supplemental Indenture, dated as of March 14, 2013, between Ashland Inc. and U.S. Bank National Association, as Trustee, in respect of the senior notes due 2043 (filed as Exhibit 4.2 to Ashland’s Form 8-K filed on March 18, 2013 (SEC File No. 001-32532), and incorporated herein by reference).</w:t>
      </w:r>
    </w:p>
    <w:p>
      <w:pPr>
        <w:spacing w:after="0" w:line="86" w:lineRule="exact"/>
        <w:rPr>
          <w:sz w:val="20"/>
          <w:szCs w:val="20"/>
          <w:color w:val="auto"/>
        </w:rPr>
      </w:pPr>
    </w:p>
    <w:p>
      <w:pPr>
        <w:jc w:val="both"/>
        <w:ind w:left="1480" w:hanging="1382"/>
        <w:spacing w:after="0" w:line="249" w:lineRule="auto"/>
        <w:tabs>
          <w:tab w:leader="none" w:pos="146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 First Supplemental Indenture as of August 1, 2022, to the Trust Indenture in respect of the 2031 Notes dated as of August 18, 2021, by and among Ashland Global Holdings Inc. (now Ashland Inc.), U.S. Bank Trust Company, National Association, as trustee (filed as Exhibit 4.12 to Ashland's Form 10-K for the fiscal year ended September 30, 2022, filed on November 21, 2022 (SEC File No. 333-211719), and incorporated herein by reference).</w:t>
      </w:r>
    </w:p>
    <w:p>
      <w:pPr>
        <w:sectPr>
          <w:pgSz w:w="12240" w:h="15840" w:orient="portrait"/>
          <w:cols w:equalWidth="0" w:num="1">
            <w:col w:w="10240"/>
          </w:cols>
          <w:pgMar w:left="1000" w:top="930" w:right="1000" w:bottom="175" w:gutter="0" w:footer="0" w:header="0"/>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40"/>
          </w:cols>
          <w:pgMar w:left="1000" w:top="930" w:right="1000" w:bottom="175" w:gutter="0" w:footer="0" w:header="0"/>
          <w:type w:val="continuous"/>
        </w:sectPr>
      </w:pPr>
    </w:p>
    <w:bookmarkStart w:id="49" w:name="page50"/>
    <w:bookmarkEnd w:id="49"/>
    <w:tbl>
      <w:tblPr>
        <w:tblLayout w:type="fixed"/>
        <w:tblInd w:w="3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90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Third Supplemental Indenture dated October 19, 2016, among Ashland LLC, Ashland Global Holdings</w:t>
            </w:r>
          </w:p>
        </w:tc>
      </w:tr>
      <w:tr>
        <w:trPr>
          <w:trHeight w:val="230"/>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and US Bank National Association, to the Indenture dated as of February 26, 2013 between Ashland</w:t>
            </w:r>
          </w:p>
        </w:tc>
      </w:tr>
      <w:tr>
        <w:trPr>
          <w:trHeight w:val="230"/>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LLC and US Bank National Association (filed as Exhibit 4.2 to Ashland’s Form 8-K filed on October 20,</w:t>
            </w:r>
          </w:p>
        </w:tc>
      </w:tr>
      <w:tr>
        <w:trPr>
          <w:trHeight w:val="266"/>
        </w:trPr>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2016 (SEC File No. 333-211719), and incorporated herein by reference).</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5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Fourth Supplemental Indenture dated August 1, 2022, to the Trust Indenture dated as of February 26,</w:t>
            </w:r>
          </w:p>
        </w:tc>
      </w:tr>
      <w:tr>
        <w:trPr>
          <w:trHeight w:val="230"/>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2013, between Ashland Global Holdings Inc. (now Ashland Inc.) and U.S. Bank Trust Company,</w:t>
            </w:r>
          </w:p>
        </w:tc>
      </w:tr>
      <w:tr>
        <w:trPr>
          <w:trHeight w:val="230"/>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National Association, as trustee (filed as Exhibit 4.14 to Ashland's Form 10-K for the fiscal year ended</w:t>
            </w:r>
          </w:p>
        </w:tc>
      </w:tr>
      <w:tr>
        <w:trPr>
          <w:trHeight w:val="230"/>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September 30, 2022, filed on November 21, 2022 (SEC File No. 333-211719), and incorporated herein by</w:t>
            </w:r>
          </w:p>
        </w:tc>
      </w:tr>
      <w:tr>
        <w:trPr>
          <w:trHeight w:val="266"/>
        </w:trPr>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reference).</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90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Indenture dated January 23, 2020, among Ashland Services B.V., Ashland Global Holdings Inc., Ashland</w:t>
            </w:r>
          </w:p>
        </w:tc>
      </w:tr>
      <w:tr>
        <w:trPr>
          <w:trHeight w:val="230"/>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LLC and U.S. Bank National Association, as trustee, in respect of the Senior Euro-Denominated Notes</w:t>
            </w:r>
          </w:p>
        </w:tc>
      </w:tr>
      <w:tr>
        <w:trPr>
          <w:trHeight w:val="230"/>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due 2028 (filed as Exhibit 4.1 to Ashland’s Form 8-K filed on January 23, 2020 (SEC File No. 333-</w:t>
            </w:r>
          </w:p>
        </w:tc>
      </w:tr>
      <w:tr>
        <w:trPr>
          <w:trHeight w:val="266"/>
        </w:trPr>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211719) and incorporated herein by reference).</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4.8(a)</w:t>
            </w:r>
          </w:p>
        </w:tc>
        <w:tc>
          <w:tcPr>
            <w:tcW w:w="90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Description of Capital Stock (filed as Exhibit 4.14(a) to Ashland’s Form 10-K for the fiscal year ended</w:t>
            </w:r>
          </w:p>
        </w:tc>
      </w:tr>
      <w:tr>
        <w:trPr>
          <w:trHeight w:val="266"/>
        </w:trPr>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September 30, 2019 (SEC File No. 333-211719) and incorporated herein by reference).</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4.8(b)</w:t>
            </w:r>
          </w:p>
        </w:tc>
        <w:tc>
          <w:tcPr>
            <w:tcW w:w="90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Description of 6.875% Senior Notes due 2043 (filed as Exhibit 4.14(b) to Ashland’s Form 10-K for the</w:t>
            </w:r>
          </w:p>
        </w:tc>
      </w:tr>
      <w:tr>
        <w:trPr>
          <w:trHeight w:val="266"/>
        </w:trPr>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fiscal year ended September 30, 2019 (SEC File No. 333-211719) and incorporated herein by reference).</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4.8(c)</w:t>
            </w:r>
          </w:p>
        </w:tc>
        <w:tc>
          <w:tcPr>
            <w:tcW w:w="90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  Description of 3.75% Senior Notes due 2031 (filed as Exhibit 4.8(c) to Ashland's Form 10-K for the fiscal</w:t>
            </w:r>
          </w:p>
        </w:tc>
      </w:tr>
      <w:tr>
        <w:trPr>
          <w:trHeight w:val="266"/>
        </w:trPr>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year ended September 30, 2024 (SEC File No. 333-211719) and incorporated herein by reference).</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4.9</w:t>
            </w:r>
          </w:p>
        </w:tc>
        <w:tc>
          <w:tcPr>
            <w:tcW w:w="5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Indenture dated August 18, 2021, among Ashland LLC, Ashland Global Holdings Inc. and U.S. Bank</w:t>
            </w:r>
          </w:p>
        </w:tc>
      </w:tr>
      <w:tr>
        <w:trPr>
          <w:trHeight w:val="230"/>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National Association, as trustee, in respect of the Notes due 2031 (filed as Exhibit 4.1 to Ashland’s Form</w:t>
            </w:r>
          </w:p>
        </w:tc>
      </w:tr>
      <w:tr>
        <w:trPr>
          <w:trHeight w:val="266"/>
        </w:trPr>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 filed on August 18, 2021 (SEC File No. 333-211719), and incorporated herein by reference).</w:t>
            </w:r>
          </w:p>
        </w:tc>
      </w:tr>
    </w:tbl>
    <w:p>
      <w:pPr>
        <w:spacing w:after="0" w:line="102"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following Exhibits 10.1 through 10.67 are contracts or compensatory plans or arrangements or management contracts required to be filed as exhibits pursuant to Items 601(b)(10)(ii)(A) and 601(b)(10)(iii)(A) and (B) of Regulation S-K.</w:t>
      </w:r>
    </w:p>
    <w:p>
      <w:pPr>
        <w:spacing w:after="0" w:line="205"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 Amended and Restated Ashland Inc. Deferred Compensation Plan for Non-Employee Directors (2005) (filed as Exhibit 10.4 to Ashland’s Form 10-K for the fiscal year ended September 30, 2008 (SEC File No. 001-32532), and incorporated herein by reference).</w:t>
      </w:r>
    </w:p>
    <w:p>
      <w:pPr>
        <w:spacing w:after="0" w:line="86"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 Amendment to the Amended and Restated Ashland Inc. Deferred Compensation Plan for Non-Employee Directors (2005) (filed as Exhibit 10.4 to Ashland’s Form 10-Q for the quarter ended March 31, 2015 (SEC File No. 001-32532), and incorporated herein by reference).</w:t>
      </w:r>
    </w:p>
    <w:p>
      <w:pPr>
        <w:spacing w:after="0" w:line="86"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 Amended and Restated Ashland Global Holdings Inc. Deferred Compensation Plan for Non-Employee Directors (2005) effective as of January 1, 2017 (filed as Exhibit 10.4 to Ashland’s Form 10-Q for the quarter ended December 31, 2016 (SEC File No. 333-211719), and incorporated herein by reference).</w:t>
      </w:r>
    </w:p>
    <w:p>
      <w:pPr>
        <w:spacing w:after="0" w:line="86"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 Amended and Restated Ashland Inc. Deferred Compensation Plan for Employees (2005) (filed as Exhibit 10.3 to Ashland’s Form 10-K for the fiscal year ended September 30, 2008 (SEC File No. 001-32532) and incorporated herein by reference).</w:t>
      </w:r>
    </w:p>
    <w:p>
      <w:pPr>
        <w:spacing w:after="0" w:line="86"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 Ashland Global Holdings Inc. Deferred Compensation Plan for Employees (Amended and Restated Effective as of May 22, 2019) (filed as Exhibit 10.1 to Ashland’s Form10-Q for the quarter ended June 30, 2019 (SEC File No. 333-211719), and incorporated herein by reference).</w:t>
      </w:r>
    </w:p>
    <w:p>
      <w:pPr>
        <w:spacing w:after="0" w:line="86"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 Ashland Global Holdings Inc. Deferred Compensation Plan for Non-Employee Directors (Amended and Restated as of May 22, 2019) (filed as Exhibit 10.2 to Ashland’s Form 10-Q for the quarter ended June 30, 2019 (SEC File No. 333-21179), and incorporated herein by reference).</w:t>
      </w:r>
    </w:p>
    <w:p>
      <w:pPr>
        <w:spacing w:after="0" w:line="86" w:lineRule="exact"/>
        <w:rPr>
          <w:sz w:val="20"/>
          <w:szCs w:val="20"/>
          <w:color w:val="auto"/>
        </w:rPr>
      </w:pPr>
    </w:p>
    <w:p>
      <w:pPr>
        <w:jc w:val="both"/>
        <w:ind w:left="1480" w:hanging="1382"/>
        <w:spacing w:after="0" w:line="258" w:lineRule="auto"/>
        <w:tabs>
          <w:tab w:leader="none" w:pos="146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 Ashland Supplemental Defined Contribution Plan for Certain Employees (filed as Exhibit 10.3 to Ashland’s Form 10-Q for the quarter ended March 31, 2011 (SEC File No. 001-32532), and incorporated herein by reference) (Frozen).</w:t>
      </w:r>
    </w:p>
    <w:p>
      <w:pPr>
        <w:spacing w:after="0" w:line="86" w:lineRule="exact"/>
        <w:rPr>
          <w:sz w:val="20"/>
          <w:szCs w:val="20"/>
          <w:color w:val="auto"/>
        </w:rPr>
      </w:pPr>
    </w:p>
    <w:p>
      <w:pPr>
        <w:jc w:val="both"/>
        <w:ind w:left="1480" w:hanging="1382"/>
        <w:spacing w:after="0" w:line="277" w:lineRule="auto"/>
        <w:tabs>
          <w:tab w:leader="none" w:pos="146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 Amended and Restated 2011 Ashland Inc. Incentive Plan (filed as Exhibit 10.2 to Ashland’s Form 8-K filed on February 1, 2013 (SEC File No. 001-32532), and incorporated herein by reference).</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40"/>
          </w:cols>
          <w:pgMar w:left="1000" w:top="930" w:right="1000" w:bottom="175"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Amended and Restated 2015 Ashland Global Holdings Inc. Incentive Plan (filed as Exhibit 10.21 to</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Ashland’s Form 10-K for the fiscal year ended September 30, 2016 (SEC File No. 333-211719), and</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herein).</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Stock Appreciation Rights Award Agreement under the Amended and Restated 2011 Ashland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Incentive Plan (filed as Exhibit 10.16 to Ashland’s Form 10-K for the fiscal year ended September</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30, 2014 (SEC File No. 001-32532), and incorporated herein by 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Stock Appreciation Rights Award Agreement under the Amended and Restated 2015 Ashland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Global Holdings Inc. Incentive Plan (Double-Trigger Form) (filed as Exhibit 10.39 to Ashland’s Form 10-</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 for the fiscal year ended September 30, 2016 (SEC File No. 333-211719), and incorporated by</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reference herein).</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Indemnification Agreement between Ashland and members of its Board of Directors (filed as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10.2 to Ashland’s Form 8-K filed on September 20, 2016 (SEC File No. 333-211719), and</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Cash-Settled Performance Unit (LTIP) Award Agreement under the Amended and Restated 2015</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Global Holdings Inc. Incentive Plan (Double-Trigger Form) (filed as Exhibit 10.59 to Ashland’s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Form 10-K for the fiscal year ended September 30, 2016 (SEC File No. 333-211719), and incorporated by</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reference herein).</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Amended and Restated Hercules Deferred Compensation Plan effective January 1, 2008 (filed as Exhibit</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10.8 to Ashland’s Form 10-K for the fiscal year ended on September 30, 2010 (SEC File No. 001-32532),</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incorporated herein by 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Amendment to the Amended and Restated Hercules Deferred Compensation Plan dated September 30,</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2016 (annuity cash-out) (filed as Exhibit 10.61 to Ashland’s Form 10-K for the fiscal year ended</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September 30, 2016 (SEC File No. 333-211719), and incorporated by reference herein).</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Global Holdings Inc. 2018 Omnibus Incentive Compensation Plan (filed as Exhibit 10.1 to</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Ashland’s Form 8-K filed on January 26, 2018 (SEC File No. 333-211719), and incorporated herein by</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Stock-Settled Restricted Stock Unit Award Agreement under the Ashland Global Holdings Inc.</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2018 Omnibus Incentive Compensation Plan (filed as Exhibit 10.2 to Ashland’s Form 8-K filed on</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January 26, 2018 (SEC File No. 333-211719), and incorporated herein by 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Restricted Stock Award Agreement under the Ashland Global Holdings Inc. 2018 Omnibus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Incentive Compensation Plan (filed as Exhibit 10.3 to Ashland’s Form 8-K filed on January 26, 2018</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 File No. 333-211719), and incorporated herein by 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Stock Appreciation Rights Award Agreement under the Ashland Global Holdings Inc. 2018</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Omnibus Incentive Compensation Plan (filed as Exhibit 10.4 to Ashland’s Form 8-K filed on January 26,</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2018 (SEC File No. 333-211719), and incorporated herein by 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Performance Unit Award Agreement under the Ashland Global Holdings Inc. 2018 Omnibus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Incentive Compensation Plan (filed as Exhibit 10.5 to Ashland’s Form 8-K filed on January 26, 2018</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 File No. 333-211719), and incorporated herein by 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Cash-Settled Restricted Stock Unit Award Agreement under the Ashland Global Holdings Inc.</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2018 Omnibus Incentive Compensation Plan (filed as Exhibit 10.6 to Ashland’s Form 8-K filed on</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January 26, 2018 (SEC File No. 333-211719), and incorporated herein by 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Global Holdings Inc. NonQualified Defined Contribution Plan (Amended and Restated as of</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May 22, 2019) (filed as Exhibit 10.3 to Ashland’s Form 10-Q for the quarter ended June 30, 2019 (SEC</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 No. 333-211719), and incorporated herein by 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Ashland Global Holdings Inc. Supplemental Defined Contribution Plan for Certain Employees (Amended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Restated as of May 22, 2019) (filed as Exhibit 10.39 to Ashland’s Form 10-K filed on November 25,</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2019 (SEC File No. 333-211719) and incorporated herein by reference).</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Restricted Stock Award Agreement under the Ashland Global Holdings Inc. 2018 Omnibus</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Incentive Compensation Plan (with pro-rata vesting upon death, disability and retirement) (filed as</w:t>
            </w:r>
          </w:p>
        </w:tc>
      </w:tr>
    </w:tbl>
    <w:p>
      <w:pPr>
        <w:spacing w:after="0" w:line="200" w:lineRule="exact"/>
        <w:rPr>
          <w:sz w:val="20"/>
          <w:szCs w:val="20"/>
          <w:color w:val="auto"/>
        </w:rPr>
      </w:pPr>
    </w:p>
    <w:p>
      <w:pPr>
        <w:sectPr>
          <w:pgSz w:w="12240" w:h="15840" w:orient="portrait"/>
          <w:cols w:equalWidth="0" w:num="1">
            <w:col w:w="9880"/>
          </w:cols>
          <w:pgMar w:left="1360" w:top="930" w:right="1000" w:bottom="175" w:gutter="0" w:footer="0" w:header="0"/>
        </w:sectPr>
      </w:pPr>
    </w:p>
    <w:p>
      <w:pPr>
        <w:spacing w:after="0" w:line="36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880"/>
          </w:cols>
          <w:pgMar w:left="1360" w:top="930" w:right="1000" w:bottom="175"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10.5 to Ashland’s Form 10-Q for the quarter ended June 30, 2019 (SEC File No. 333-211719),</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10.25</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Stock Appreciation Rights Award Agreement (Stock Settled) under the Ashland Global Holdings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2018 Omnibus Incentive Compensation Plan (with pro-rata vesting upon death, disability and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retirement) (filed as Exhibit 10.6 to Ashland’s Form 10-Q for the quarter ended June 30, 2019 (SEC File</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10.26</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Restricted Stock Unit Award Agreement under the Ashland Global Holdings Inc. 2018 Omnibus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Incentive Compensation Plan (with pro-rata vesting upon death, disability and retirement) (filed as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10.7 to Ashland’s Form 10-Q for the quarter ended June 30, 2019 (SEC File No. 333-211719),</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10.27</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Stock-Settled Performance Unit Award Agreement under the Ashland Global Holdings Inc. 2018</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Omnibus Incentive Compensation Plan (with pro-rata vesting upon death, disability and retirement) (filed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Exhibit 10.8 to Ashland’s Form 10-Q for the quarter ended June 30, 2019 (SEC File No. 333-211719),</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10.28</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Offer Letter dated as of October 8, 2019, entered into by Guillermo Novo and Ashland Global Holdings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(filed as Exhibit 10.1 to Ashland’s Form 8-K filed on October 8, 2019 (SEC File No. 333-211719)</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10.29</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Global Holdings Inc. 2021 Omnibus Incentive Compensation Plan  (filed as Exhibit 10.1 to</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Ashland’s Form 8-K filed on February 3, 2021 (SEC File No. 333-211719) and incorporated herein by</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10.30</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Stock-Settled Restricted Stock Unit Award Agreement (filed as Exhibit 10.2 to Ashland’s Form</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 filed on February 3, 2021 (SEC 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10.31</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Restricted Share Award Agreement (filed as Exhibit 10.3 to Ashland’s Form 8-K filed on</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3, 2021 (SEC 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10.32</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Stock Appreciation Rights Award Agreement (filed as Exhibit 10.4 to Ashland’s Form 8-K filed</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on February 3, 2021 (SEC 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10.33</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Performance Unit Award Agreement (filed as Exhibit 10.5 to Ashland’s Form 8-K filed on</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3, 2021 (SEC 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10.34</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Cash-Settled Restricted Stock Unit Award Agreement (filed as Exhibit 10.6 to Ashland’s Form</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8-K filed on February 3, 2021 (SEC 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10.35</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Cash Settled Restricted Stock Equivalent Award Agreement for Non-U.S. Participants under the</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Global Holdings Inc. 2021 Omnibus Incentive Compensation Plan (filed as Exhibit 10.2 to</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Ashland’s Form 8-K filed on August 6, 2021 (SEC File No. 333-211719) and incorporated herein by</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10.36</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Cash Settled Performance Unit Award Agreement for Non-U.S. Participants under the Ashland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Global Holdings Inc. 2021 Omnibus Incentive Compensation Plan (filed as Exhibit 10.3 to Ashland’s</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8-K filed on August 6, 2021 (SEC 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10.37</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Stock Settled Performance Unit Agreement for U.S. Employees under the Ashland Global</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Holdings Inc. 2021 Omnibus Incentive Compensation Plan (filed as Exhibit 10.4 to Ashland’s Form 8-K</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filed on August 6, 2021 (SEC 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10.38</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Restricted Stock Unit Agreement for U.S. Employees under the Ashland Global Holdings Inc.</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2021 Omnibus Incentive Compensation Plan (filed as Exhibit 10.5 to Ashland’s Form 8-K filed on</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August 6, 2021 (SEC 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10.39</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Stock-Settled Performance Unit Agreement for (Germany) under the Ashland Global Holdings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2021 Omnibus Incentive Compensation Plan (filed as Exhibit 10.6 to Ashland’s Form 8-K filed on</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August 6, 2021 (SEC 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10.40</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Restricted Stock Unit Agreement for (Germany) under the Ashland Global Holdings Inc. 2021</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Omnibus Incentive Compensation Plan (filed as Exhibit 10.7 to Ashland’s Form 8-K filed on August 6,</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2021 (SEC File No. 333-211719) and incorporated herein by reference).</w:t>
            </w:r>
          </w:p>
        </w:tc>
      </w:tr>
    </w:tbl>
    <w:p>
      <w:pPr>
        <w:spacing w:after="0" w:line="200" w:lineRule="exact"/>
        <w:rPr>
          <w:sz w:val="20"/>
          <w:szCs w:val="20"/>
          <w:color w:val="auto"/>
        </w:rPr>
      </w:pPr>
    </w:p>
    <w:p>
      <w:pPr>
        <w:sectPr>
          <w:pgSz w:w="12240" w:h="15840" w:orient="portrait"/>
          <w:cols w:equalWidth="0" w:num="1">
            <w:col w:w="9880"/>
          </w:cols>
          <w:pgMar w:left="1360" w:top="930" w:right="1000" w:bottom="175" w:gutter="0" w:footer="0" w:header="0"/>
        </w:sectPr>
      </w:pPr>
    </w:p>
    <w:p>
      <w:pPr>
        <w:spacing w:after="0" w:line="22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880"/>
          </w:cols>
          <w:pgMar w:left="1360" w:top="930" w:right="1000" w:bottom="175"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10.41</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Chief Executive Officer Change in Control Agreement (filed as Exhibit 10.69 to Ashland's Form</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10-K for the fiscal year ended September 30, 2021, filed on November 22, 2021 (SEC File No. 333-</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211719), and incorporated by reference herein.</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10.42</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Inc. Senior Leadership Severance Plan (effective as of September 19, 2022) filed as Exhibit</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10.60 to Ashland's Form 10-K for the fiscal year ended September 30, 2022, filed on November 21, 2022</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 File No. 333-211719), and incorporated by reference herein.</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10.43</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Stock-Settled Performance Unit Agreement for US Employees, effective as of September 19,</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2022 under the Ashland Global Holdings Inc. 2021 Omnibus Incentive Compensation Plan filed as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10.61 to Ashland's Form 10-K for the fiscal year ended September 30, 2022, filed on November</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21, 2022 (SEC File No. 333-211719), and incorporated by reference herein.</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10.44</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Cash-Settled Performance Unit (PSU) Award Agreement for Non-US Participants, effective as of</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September 19, 2022 under the Ashland Global Holdings Inc. 2021 Omnibus Incentive Compensation Plan</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filed as Exhibit 10.62 to Ashland's Form 10-K for the fiscal year ended September 30, 2022, filed on</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November 21, 2022 (SEC File No. 333-211719), and incorporated by reference herein.</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10.45</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Restricted Stock Unit (RSU) Award Agreement for US Participants, effective as of September</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19, 2022 under the Ashland Global Holdings Inc. 2021 Omnibus Incentive Compensation Plan filed as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10.63 to Ashland's Form 10-K for the fiscal year ended September 30, 2022, filed on November</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21, 2022 (SEC File No. 333-211719), and incorporated by reference herein.</w:t>
            </w:r>
          </w:p>
        </w:tc>
      </w:tr>
      <w:tr>
        <w:trPr>
          <w:trHeight w:val="424"/>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10.46</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Cash-Settled Restricted Equivalent (RSE) Award Agreement for Non-US Participants, effective</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of  September  19,  2022  under  the  Ashland  Global  Holdings  Inc.  2021  Omnibus  Incentive</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Compensation Plan filed as Exhibit 10.64 to Ashland's Form 10-K for the fiscal year ended September 30,</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2022, filed on November 21, 2022 (SEC File No. 333-211719), and incorporated by reference herein.</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10.47</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Amendment No. 1 effective as of November 17, 2022, to the Ashland Global Holdings Inc. Deferred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Compensation Plan for Non-Employee Directors (Amended and Restated as of May 2019) filed as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10.65 to Ashland's Form 10-K for the fiscal year ended September 30, 2022, filed on November</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21, 2022 (SEC File No. 333-211719), and incorporated by reference herein.</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10.48</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Ashland Inc. Independent Director Deferred Compensation Program effective as of November 17, 2022</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filed as Exhibit 10.66 to Ashland's Form 10-K for the fiscal year ended September 30, 2022, filed on</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November 21, 2022 (SEC File No. 333-211719), and incorporated by reference herein.</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10.49</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Form of Restricted Stock Unit Agreement (Independent Directors), effective as of November 17, 2022</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filed as Exhibit 10.67 to Ashland's Form 10-K for the fiscal year ended September 30, 2022, filed on</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November 21, 2022 (SEC File No. 333-211719), and incorporated by reference herein.</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10.50</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Credit Agreement dated as of January 10, 2020, among Ashland Global Holdings Inc., Ashland Chemco</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Ashland LLC, Ashland Services B.V., each lender from time to time party thereto, the Bank of Nova</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Scotia, as administrative agent, swing line lender and a letter of credit issuer, each other letter of credit</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issuer from time to time party thereto and Citibank, N.A., as syndication agent (filed as Exhibit 10.1 to</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Ashland’s Form 8-K filed on January 10, 2020 (SEC File No. 333-211719) and incorporated herein by</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reference).</w:t>
            </w:r>
          </w:p>
        </w:tc>
      </w:tr>
      <w:tr>
        <w:trPr>
          <w:trHeight w:val="56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10.51</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Amended and Restated Credit Agreement dated as of July 22, 2022, among Ashland Global Holdings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Ashland Chemco Inc., Ashland LLC, Ashland Services B.V., each lender from time to time party</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thereto, the Bank of Nova Scotia, Houston Branch, as administrative agent, swing line lender and a letter</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of credit issuer, each other letter of credit issuer from time to time party thereto and Citibank, N.A., as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syndication agent (filed as Exhibit 10.1 to Ashland’s Form 8-K filed on July 22, 2022 (SEC File No. 333-</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211719) and incorporated herein by reference).</w:t>
            </w:r>
          </w:p>
        </w:tc>
      </w:tr>
      <w:tr>
        <w:trPr>
          <w:trHeight w:val="424"/>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10.52</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Second Amended and Restated Purchase and Sale Agreement, dated March 17, 2021, by and among</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LLC and Ashland Specialty Ingredients G.P., as originators, Ashland LLC, as initial servicer,</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CVG Capital III LLC, as purchaser (filed as Exhibit 10.1 to Ashland’s Form 8-K filed on March 18,</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2021 (SEC File No. 333-211719) and incorporated herein by reference).</w:t>
            </w:r>
          </w:p>
        </w:tc>
      </w:tr>
    </w:tbl>
    <w:p>
      <w:pPr>
        <w:spacing w:after="0" w:line="200" w:lineRule="exact"/>
        <w:rPr>
          <w:sz w:val="20"/>
          <w:szCs w:val="20"/>
          <w:color w:val="auto"/>
        </w:rPr>
      </w:pPr>
    </w:p>
    <w:p>
      <w:pPr>
        <w:sectPr>
          <w:pgSz w:w="12240" w:h="15840" w:orient="portrait"/>
          <w:cols w:equalWidth="0" w:num="1">
            <w:col w:w="9880"/>
          </w:cols>
          <w:pgMar w:left="136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880"/>
          </w:cols>
          <w:pgMar w:left="1360" w:top="930" w:right="1000" w:bottom="175"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10.53</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Receivables Purchasing Agreement, dated March 17, 2021, by and among CVG Capital III LLC, PNC</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Bank, National Association, as administrative agent, PNC Bank Capital Markets LLC, as structuring</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agent, Ashland LLC, as initial servicer, and certain other persons from time to time party thereto (filed as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10.2 to Ashland’s Form 8-K filed on March 18, 2021 (SEC File No. 333-211719) and</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424"/>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10.54</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First Amendment as of February 22, 2022, to the Receivables Purchase Agreement dated March 17, 2021,</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by and among CVG Capital III LLC, PNC Bank, National Association, as administrative agent, Ashland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LLC, as initial servicer, and certain other persons identified as Purchasers, LC, LC Participants and Group</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Agents and other persons from time to time identified as parties thereto (filed as Exhibit 10.1 to Ashland’s</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8-K filed on February 28, 2022 (SEC File No. 333-211719) and incorporated herein by reference).</w:t>
            </w:r>
          </w:p>
        </w:tc>
      </w:tr>
      <w:tr>
        <w:trPr>
          <w:trHeight w:val="424"/>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10.55</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Assignment Agreement dated February 22, 2022, between CVG Capital III LLC and Ashland LLC (filed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Exhibit 10.2 to Ashland’s Form 8-K filed on February 28, 2022 (SEC File No. 333-211719) and</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424"/>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10.56</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First Amendment as of August 1, 2022, to the Second Amended and Restated Purchase and Sale</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Agreement, dated March 17, 2021, by and among Ashland Inc. as an originator and servicer, and Ashland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Specialty Ingredients G.P., as originator, and CVG Capital III LLC, as purchaser filed as Exhibit 10.74 to</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Ashland's Form 10-K for the fiscal year ended September 30, 2022, filed on November 21, 2022 (SEC</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 No. 333-211719), and incorporated by reference herein.</w:t>
            </w:r>
          </w:p>
        </w:tc>
      </w:tr>
      <w:tr>
        <w:trPr>
          <w:trHeight w:val="424"/>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10.57</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Second Amendment as of August 1, 2022, to the Receivables Purchase Agreement dated March 17, 2021,</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by and among CVG Capital III LLC, PNC Bank, National Association, as administrative agent, Ashland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in its individual capacity and as initial servicer, and certain other persons identified as Purchasers,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LC, LC Participants and Group Agents and other persons from time to time identified as parties thereto</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filed as Exhibit 10.75 to Ashland's Form 10-K for the fiscal year ended September 30, 2022, filed on</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November 21, 2022 (SEC File No. 333-211719), and incorporated by reference herein.</w:t>
            </w:r>
          </w:p>
        </w:tc>
      </w:tr>
      <w:tr>
        <w:trPr>
          <w:trHeight w:val="424"/>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10.58</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Assumption Agreement dated September 20, 2016, by and between Ashland Global Holdings Inc. and</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Inc. (filed as Exhibit 10.1 to Ashland’s Form 8-K filed on September 20, 2016 (SEC File No.</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10.59</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Separation Agreement dated as of September 22, 2016, between and among Ashland Global Holdings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and Valvoline Inc. (filed as Exhibit 10.1 to Ashland’s Form 8-K filed on September 28, 2016 (SEC</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10.60</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Tax Matters Agreement dated as of September 22, 2016, between and among Ashland Global Holdings</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and Valvoline Inc. (filed as Exhibit 10.4 to Ashland’s Form 8-K filed on September 28, 2016 (SEC</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10.61</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Employee Matters Agreement dated as of September 22, 2016, between and among Ashland Global</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Holdings Inc. and Valvoline Inc. (filed as Exhibit 10.5 to Ashland’s Form 8-K filed on September 28,</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2016 (SEC File No. 333-211719), and incorporated herein by reference).</w:t>
            </w:r>
          </w:p>
        </w:tc>
      </w:tr>
      <w:tr>
        <w:trPr>
          <w:trHeight w:val="332"/>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10.62</w:t>
            </w:r>
          </w:p>
        </w:tc>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Master Confirmation - Uncollared Accelerated Share Repurchase, dated September 2, 2021, between</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Global Holdings Inc. and JPMorgan Chase Bank, National Association (filed as Exhibit 10.1 to</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Ashland’s Form 8-K filed on September 7, 2021 (SEC File No. 333-211719), and incorporated herein by</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reference).</w:t>
            </w:r>
          </w:p>
        </w:tc>
      </w:tr>
      <w:tr>
        <w:trPr>
          <w:trHeight w:val="424"/>
        </w:trPr>
        <w:tc>
          <w:tcPr>
            <w:tcW w:w="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3"/>
              </w:rPr>
              <w:t>10.63</w:t>
            </w: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Amendment dated November 22, 2021 to the Master Confirmation (as supplemented by the Supplemental</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Confirmation) – Uncollared Accelerated Share Repurchase September 2, 2021, between Ashland Global</w:t>
            </w:r>
          </w:p>
        </w:tc>
      </w:tr>
      <w:tr>
        <w:trPr>
          <w:trHeight w:val="230"/>
        </w:trPr>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Holdings Inc. and JPMorgan Chase Bank, National Association (filed as Exhibit 10.1 to Ashland’s Form</w:t>
            </w:r>
          </w:p>
        </w:tc>
      </w:tr>
      <w:tr>
        <w:trPr>
          <w:trHeight w:val="266"/>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10-Q filed on February 3, 2022 (SEC File No. 333-211719), and incorporated herein by reference).</w:t>
            </w:r>
          </w:p>
        </w:tc>
      </w:tr>
    </w:tbl>
    <w:p>
      <w:pPr>
        <w:spacing w:after="0" w:line="200" w:lineRule="exact"/>
        <w:rPr>
          <w:sz w:val="20"/>
          <w:szCs w:val="20"/>
          <w:color w:val="auto"/>
        </w:rPr>
      </w:pPr>
    </w:p>
    <w:p>
      <w:pPr>
        <w:sectPr>
          <w:pgSz w:w="12240" w:h="15840" w:orient="portrait"/>
          <w:cols w:equalWidth="0" w:num="1">
            <w:col w:w="9880"/>
          </w:cols>
          <w:pgMar w:left="136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880"/>
          </w:cols>
          <w:pgMar w:left="1360" w:top="930" w:right="1000" w:bottom="175" w:gutter="0" w:footer="0" w:header="0"/>
          <w:type w:val="continuous"/>
        </w:sectPr>
      </w:pPr>
    </w:p>
    <w:bookmarkStart w:id="54" w:name="page55"/>
    <w:bookmarkEnd w:id="54"/>
    <w:tbl>
      <w:tblPr>
        <w:tblLayout w:type="fixed"/>
        <w:tblInd w:w="366"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10.64</w:t>
            </w:r>
          </w:p>
        </w:tc>
        <w:tc>
          <w:tcPr>
            <w:tcW w:w="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Fourth Amendment to the Receivables Purchase Agreement dated as of September 13, 2024 by and</w:t>
            </w: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among Ashland, Ashland Specialty Ingredients G.P., a Delaware general partnership, CVG Capital III</w:t>
            </w: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LLC, a bankruptcy-remote special purpose entity and subsidiary of Ashland, PNC Bank, National</w:t>
            </w: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Association, as administrative agent, PNC Capital Markets LLC, as structuring agent, Ashland, as initial</w:t>
            </w: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servicer, and certain other persons from time to time named as parties thereto as purchasers, group agents,</w:t>
            </w:r>
          </w:p>
        </w:tc>
      </w:t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LC banks and LC participants (filed as Exhibit 10.1 to Ashland’s Form 8-K filed on September 16, 2024</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 File No. 333-211719), and incorporated herein by reference).</w:t>
            </w: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10.65**</w:t>
            </w:r>
          </w:p>
        </w:tc>
        <w:tc>
          <w:tcPr>
            <w:tcW w:w="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Restricted  Stock  Unit  Agreement  pursuant  to  Ashland  Inc.’s  2021  Omnibus  Incentive</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Compensation Plan, filed herewith.</w:t>
            </w: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10.66**</w:t>
            </w:r>
          </w:p>
        </w:tc>
        <w:tc>
          <w:tcPr>
            <w:tcW w:w="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Cash-Settled Restricted Stock Equivalent Agreement for Non-U.S. Participants pursuant to</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Inc.’s 2021 Omnibus Incentive Compensation Plan, filed herewith.</w:t>
            </w: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10.67**</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Form of Stock-Settled Performance Unit Agreement pursuant to Ashland Inc.’s 2021 Omnibus Incentive</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Compensation Plan, filed herewith.</w:t>
            </w:r>
          </w:p>
        </w:tc>
      </w:tr>
      <w:tr>
        <w:trPr>
          <w:trHeight w:val="42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10.68**</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Form of Cash-Settled Performance Unit Agreement for Non-U.S. Participants pursuant to Ashland Inc.’s</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2021 Omnibus Incentive Compensation Plan, filed herewith.</w:t>
            </w:r>
          </w:p>
        </w:tc>
      </w:tr>
      <w:tr>
        <w:trPr>
          <w:trHeight w:val="42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10.69**</w:t>
            </w:r>
          </w:p>
        </w:tc>
        <w:tc>
          <w:tcPr>
            <w:tcW w:w="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Restricted Stock Unit (Non-Employee Directors) pursuant to Ashland Inc.'s 2021 Omnibus</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Incentive Compensation Plan, filed herewith.</w:t>
            </w:r>
          </w:p>
        </w:tc>
      </w:tr>
      <w:tr>
        <w:trPr>
          <w:trHeight w:val="42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10.70**</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Form of Stock-Settled Appreciation Rights Award Agreement for U.S. Participants pursuant to Ashland</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Inc.'s 2021 Omnibus Incentive Compensation Plan, filed herewith.</w:t>
            </w: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10.71**</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Form of Cash-Settled Stock Appreciation Rights Award Agreement for Non-U.S. Participants pursuant to</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Ashland Inc.'s 2021 Omnibus Incentive Compensation Plan, filed herewith.</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Insider Trading Policy.</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List of Subsidiaries.</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Consent of Ernst &amp; Young LLP.</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Consent of Gnarus Advisors LLC.</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Power of Attorney.</w:t>
            </w: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Guillermo Novo, Chief Executive Officer of Ashland, pursuant to Section 302 of the</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Sarbanes-Oxley Act of 2002.</w:t>
            </w: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Certification of William C. Whitaker, Chief Financial Officer of Ashland, pursuant to Section 302 of the</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Sarbanes-Oxley Act of 2002.</w:t>
            </w: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Certification of Guillermo Novo, Chief Executive Officer of Ashland, and William C. Whitaker, Chief</w:t>
            </w:r>
          </w:p>
        </w:tc>
      </w:tr>
      <w:tr>
        <w:trPr>
          <w:trHeight w:val="266"/>
        </w:trPr>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Officer of Ashland, pursuant to Section 906 of the Sarbanes-Oxley Act of 2002.</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97**</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Ashland, Inc. Dodd-Frank Compensation Recoupment Policy.</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Inline XBRL Instance Document.</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Inline XBRL Taxonomy Extension Schema Document.</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Inline XBRL Taxonomy Extension Calculation Linkbase Document.</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Inline XBRL Taxonomy Extension Definition Linkbase Document.</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Inline XBRL Taxonomy Extension Label Linkbase Document.</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Inline XBRL Taxonomy Extension Presentation Linkbase Document.</w:t>
            </w:r>
          </w:p>
        </w:tc>
      </w:tr>
    </w:tbl>
    <w:p>
      <w:pPr>
        <w:spacing w:after="0" w:line="240" w:lineRule="exact"/>
        <w:rPr>
          <w:sz w:val="20"/>
          <w:szCs w:val="20"/>
          <w:color w:val="auto"/>
        </w:rPr>
      </w:pPr>
    </w:p>
    <w:p>
      <w:pPr>
        <w:ind w:left="1486" w:hanging="1126"/>
        <w:spacing w:after="0"/>
        <w:tabs>
          <w:tab w:leader="none" w:pos="148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Cover Page Interactive Data File (formatted as inline XBRL and contained in Exhibit 101).</w:t>
      </w:r>
    </w:p>
    <w:p>
      <w:pPr>
        <w:spacing w:after="0" w:line="138" w:lineRule="exact"/>
        <w:rPr>
          <w:rFonts w:ascii="Times New Roman" w:cs="Times New Roman" w:eastAsia="Times New Roman" w:hAnsi="Times New Roman"/>
          <w:sz w:val="20"/>
          <w:szCs w:val="20"/>
          <w:color w:val="auto"/>
        </w:rPr>
      </w:pPr>
    </w:p>
    <w:p>
      <w:pPr>
        <w:jc w:val="both"/>
        <w:ind w:left="266" w:hanging="266"/>
        <w:spacing w:after="0" w:line="325" w:lineRule="auto"/>
        <w:tabs>
          <w:tab w:leader="none" w:pos="26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Attached as Exhibit 101 to this report are the following documents formatted in XBRL (Extensible Business Reporting Language): (i) Statements of Consolidated Comprehensive Income (Loss) for years ended September 30, 2025, 2024 and</w:t>
      </w:r>
    </w:p>
    <w:p>
      <w:pPr>
        <w:sectPr>
          <w:pgSz w:w="12240" w:h="15840" w:orient="portrait"/>
          <w:cols w:equalWidth="0" w:num="1">
            <w:col w:w="10246"/>
          </w:cols>
          <w:pgMar w:left="994" w:top="930" w:right="1000" w:bottom="175" w:gutter="0" w:footer="0" w:header="0"/>
        </w:sectPr>
      </w:pPr>
    </w:p>
    <w:p>
      <w:pPr>
        <w:spacing w:after="0" w:line="39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46"/>
          </w:cols>
          <w:pgMar w:left="994" w:top="930" w:right="1000" w:bottom="175" w:gutter="0" w:footer="0" w:header="0"/>
          <w:type w:val="continuous"/>
        </w:sectPr>
      </w:pPr>
    </w:p>
    <w:bookmarkStart w:id="55" w:name="page56"/>
    <w:bookmarkEnd w:id="55"/>
    <w:p>
      <w:pPr>
        <w:jc w:val="both"/>
        <w:ind w:left="260"/>
        <w:spacing w:after="0" w:line="288" w:lineRule="auto"/>
        <w:rPr>
          <w:sz w:val="20"/>
          <w:szCs w:val="20"/>
          <w:color w:val="auto"/>
        </w:rPr>
      </w:pPr>
      <w:r>
        <w:rPr>
          <w:rFonts w:ascii="Times New Roman" w:cs="Times New Roman" w:eastAsia="Times New Roman" w:hAnsi="Times New Roman"/>
          <w:sz w:val="20"/>
          <w:szCs w:val="20"/>
          <w:color w:val="auto"/>
        </w:rPr>
        <w:t>2023; (ii) Consolidated Balance Sheets at September 30, 2025 and 2024; (iii) Statements of Consolidated Equity at September 30, 2025, 2024 and 2023; (iv) Statements of Consolidated Cash Flows for years ended September 30, 2025, 2024 and 2023; and (v) Notes to Consolidated Financial Statements.</w:t>
      </w: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xml:space="preserve"> Service mark, Ashland or its subsidiaries, registered in various countries.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Trademark, Ashland or its subsidiaries, registered in various countries.</w:t>
      </w:r>
    </w:p>
    <w:p>
      <w:pPr>
        <w:spacing w:after="0" w:line="133" w:lineRule="exact"/>
        <w:rPr>
          <w:sz w:val="20"/>
          <w:szCs w:val="20"/>
          <w:color w:val="auto"/>
        </w:rPr>
      </w:pPr>
    </w:p>
    <w:p>
      <w:pPr>
        <w:ind w:left="460" w:hanging="106"/>
        <w:spacing w:after="0"/>
        <w:tabs>
          <w:tab w:leader="none" w:pos="460"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Trademark owned by a third party.</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Upon written or oral request, a copy of the above exhibits will be furnished at cost.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40"/>
          </w:cols>
          <w:pgMar w:left="1000" w:top="930" w:right="1000" w:bottom="175"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ASHLAND INC.</w:t>
      </w:r>
    </w:p>
    <w:p>
      <w:pPr>
        <w:spacing w:after="0" w:line="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(Registrant)</w:t>
      </w:r>
    </w:p>
    <w:p>
      <w:pPr>
        <w:ind w:left="5120"/>
        <w:spacing w:after="0"/>
        <w:rPr>
          <w:sz w:val="20"/>
          <w:szCs w:val="20"/>
          <w:color w:val="auto"/>
        </w:rPr>
      </w:pPr>
      <w:r>
        <w:rPr>
          <w:rFonts w:ascii="Times New Roman" w:cs="Times New Roman" w:eastAsia="Times New Roman" w:hAnsi="Times New Roman"/>
          <w:sz w:val="20"/>
          <w:szCs w:val="20"/>
          <w:color w:val="auto"/>
        </w:rPr>
        <w:t>By:</w:t>
      </w:r>
    </w:p>
    <w:p>
      <w:pPr>
        <w:ind w:left="5120"/>
        <w:spacing w:after="0"/>
        <w:rPr>
          <w:sz w:val="20"/>
          <w:szCs w:val="20"/>
          <w:color w:val="auto"/>
        </w:rPr>
      </w:pPr>
      <w:r>
        <w:rPr>
          <w:rFonts w:ascii="Times New Roman" w:cs="Times New Roman" w:eastAsia="Times New Roman" w:hAnsi="Times New Roman"/>
          <w:sz w:val="20"/>
          <w:szCs w:val="20"/>
          <w:color w:val="auto"/>
        </w:rPr>
        <w:t>/s/ William C. Whitaker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3251200</wp:posOffset>
                </wp:positionH>
                <wp:positionV relativeFrom="paragraph">
                  <wp:posOffset>635</wp:posOffset>
                </wp:positionV>
                <wp:extent cx="325501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550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pt,0.05pt" to="512.3pt,0.05pt" o:allowincell="f" strokecolor="#000000" strokeweight="1pt"/>
            </w:pict>
          </mc:Fallback>
        </mc:AlternateContent>
      </w:r>
    </w:p>
    <w:p>
      <w:pPr>
        <w:ind w:left="5120"/>
        <w:spacing w:after="0"/>
        <w:rPr>
          <w:sz w:val="20"/>
          <w:szCs w:val="20"/>
          <w:color w:val="auto"/>
        </w:rPr>
      </w:pPr>
      <w:r>
        <w:rPr>
          <w:rFonts w:ascii="Times New Roman" w:cs="Times New Roman" w:eastAsia="Times New Roman" w:hAnsi="Times New Roman"/>
          <w:sz w:val="20"/>
          <w:szCs w:val="20"/>
          <w:color w:val="auto"/>
        </w:rPr>
        <w:t>William C. Whitaker</w:t>
      </w:r>
    </w:p>
    <w:p>
      <w:pPr>
        <w:spacing w:after="0" w:line="1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p>
      <w:pPr>
        <w:ind w:left="5120"/>
        <w:spacing w:after="0"/>
        <w:rPr>
          <w:sz w:val="20"/>
          <w:szCs w:val="20"/>
          <w:color w:val="auto"/>
        </w:rPr>
      </w:pPr>
      <w:r>
        <w:rPr>
          <w:rFonts w:ascii="Times New Roman" w:cs="Times New Roman" w:eastAsia="Times New Roman" w:hAnsi="Times New Roman"/>
          <w:sz w:val="20"/>
          <w:szCs w:val="20"/>
          <w:color w:val="auto"/>
        </w:rPr>
        <w:t>Date: November 20, 2025</w:t>
      </w:r>
    </w:p>
    <w:p>
      <w:pPr>
        <w:spacing w:after="0" w:line="110"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indicated, on November 20,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tc>
        <w:tc>
          <w:tcPr>
            <w:tcW w:w="2000" w:type="dxa"/>
            <w:vAlign w:val="bottom"/>
            <w:gridSpan w:val="2"/>
          </w:tcPr>
          <w:p>
            <w:pPr>
              <w:spacing w:after="0"/>
              <w:rPr>
                <w:sz w:val="21"/>
                <w:szCs w:val="21"/>
                <w:color w:val="auto"/>
              </w:rPr>
            </w:pPr>
          </w:p>
        </w:tc>
        <w:tc>
          <w:tcPr>
            <w:tcW w:w="238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Capacity</w:t>
            </w:r>
          </w:p>
        </w:tc>
      </w:tr>
      <w:tr>
        <w:trPr>
          <w:trHeight w:val="20"/>
        </w:trPr>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82"/>
        </w:trPr>
        <w:tc>
          <w:tcPr>
            <w:tcW w:w="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20"/>
                <w:szCs w:val="20"/>
                <w:color w:val="auto"/>
              </w:rPr>
              <w:t>/s/ Guillermo Novo</w:t>
            </w: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Chair of the Board, Chief Executive Officer and Director</w:t>
            </w:r>
          </w:p>
        </w:tc>
      </w:tr>
      <w:tr>
        <w:trPr>
          <w:trHeight w:val="267"/>
        </w:trPr>
        <w:tc>
          <w:tcPr>
            <w:tcW w:w="600" w:type="dxa"/>
            <w:vAlign w:val="bottom"/>
          </w:tcPr>
          <w:p>
            <w:pPr>
              <w:spacing w:after="0"/>
              <w:rPr>
                <w:sz w:val="23"/>
                <w:szCs w:val="23"/>
                <w:color w:val="auto"/>
              </w:rPr>
            </w:pPr>
          </w:p>
        </w:tc>
        <w:tc>
          <w:tcPr>
            <w:tcW w:w="4320" w:type="dxa"/>
            <w:vAlign w:val="bottom"/>
            <w:gridSpan w:val="4"/>
          </w:tcPr>
          <w:p>
            <w:pPr>
              <w:jc w:val="center"/>
              <w:ind w:right="600"/>
              <w:spacing w:after="0"/>
              <w:rPr>
                <w:sz w:val="20"/>
                <w:szCs w:val="20"/>
                <w:color w:val="auto"/>
              </w:rPr>
            </w:pPr>
            <w:r>
              <w:rPr>
                <w:rFonts w:ascii="Times New Roman" w:cs="Times New Roman" w:eastAsia="Times New Roman" w:hAnsi="Times New Roman"/>
                <w:sz w:val="20"/>
                <w:szCs w:val="20"/>
                <w:color w:val="auto"/>
              </w:rPr>
              <w:t>Guillermo Novo</w:t>
            </w: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273"/>
        </w:trPr>
        <w:tc>
          <w:tcPr>
            <w:tcW w:w="60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20"/>
                <w:szCs w:val="20"/>
                <w:color w:val="auto"/>
                <w:w w:val="99"/>
              </w:rPr>
              <w:t>/s/ William C. Whitaker</w:t>
            </w: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tc>
      </w:tr>
      <w:tr>
        <w:trPr>
          <w:trHeight w:val="267"/>
        </w:trPr>
        <w:tc>
          <w:tcPr>
            <w:tcW w:w="600" w:type="dxa"/>
            <w:vAlign w:val="bottom"/>
          </w:tcPr>
          <w:p>
            <w:pPr>
              <w:spacing w:after="0"/>
              <w:rPr>
                <w:sz w:val="23"/>
                <w:szCs w:val="23"/>
                <w:color w:val="auto"/>
              </w:rPr>
            </w:pPr>
          </w:p>
        </w:tc>
        <w:tc>
          <w:tcPr>
            <w:tcW w:w="4320" w:type="dxa"/>
            <w:vAlign w:val="bottom"/>
            <w:gridSpan w:val="4"/>
          </w:tcPr>
          <w:p>
            <w:pPr>
              <w:jc w:val="center"/>
              <w:ind w:right="600"/>
              <w:spacing w:after="0"/>
              <w:rPr>
                <w:sz w:val="20"/>
                <w:szCs w:val="20"/>
                <w:color w:val="auto"/>
              </w:rPr>
            </w:pPr>
            <w:r>
              <w:rPr>
                <w:rFonts w:ascii="Times New Roman" w:cs="Times New Roman" w:eastAsia="Times New Roman" w:hAnsi="Times New Roman"/>
                <w:sz w:val="20"/>
                <w:szCs w:val="20"/>
                <w:color w:val="auto"/>
                <w:w w:val="99"/>
              </w:rPr>
              <w:t>William C. Whitaker</w:t>
            </w: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273"/>
        </w:trPr>
        <w:tc>
          <w:tcPr>
            <w:tcW w:w="60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20"/>
                <w:szCs w:val="20"/>
                <w:color w:val="auto"/>
                <w:w w:val="99"/>
              </w:rPr>
              <w:t>/s/ Samuel A. Richardson</w:t>
            </w: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9"/>
              </w:rPr>
              <w:t>Vice President, Controller and Principal Accounting Officer</w:t>
            </w:r>
          </w:p>
        </w:tc>
      </w:tr>
      <w:tr>
        <w:trPr>
          <w:trHeight w:val="267"/>
        </w:trPr>
        <w:tc>
          <w:tcPr>
            <w:tcW w:w="600" w:type="dxa"/>
            <w:vAlign w:val="bottom"/>
          </w:tcPr>
          <w:p>
            <w:pPr>
              <w:spacing w:after="0"/>
              <w:rPr>
                <w:sz w:val="23"/>
                <w:szCs w:val="23"/>
                <w:color w:val="auto"/>
              </w:rPr>
            </w:pPr>
          </w:p>
        </w:tc>
        <w:tc>
          <w:tcPr>
            <w:tcW w:w="4320" w:type="dxa"/>
            <w:vAlign w:val="bottom"/>
            <w:gridSpan w:val="4"/>
          </w:tcPr>
          <w:p>
            <w:pPr>
              <w:jc w:val="center"/>
              <w:ind w:right="600"/>
              <w:spacing w:after="0"/>
              <w:rPr>
                <w:sz w:val="20"/>
                <w:szCs w:val="20"/>
                <w:color w:val="auto"/>
              </w:rPr>
            </w:pPr>
            <w:r>
              <w:rPr>
                <w:rFonts w:ascii="Times New Roman" w:cs="Times New Roman" w:eastAsia="Times New Roman" w:hAnsi="Times New Roman"/>
                <w:sz w:val="20"/>
                <w:szCs w:val="20"/>
                <w:color w:val="auto"/>
                <w:w w:val="99"/>
              </w:rPr>
              <w:t>Samuel A. Richardson</w:t>
            </w: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(Principal Accounting Officer)</w:t>
            </w:r>
          </w:p>
        </w:tc>
      </w:tr>
      <w:tr>
        <w:trPr>
          <w:trHeight w:val="500"/>
        </w:trPr>
        <w:tc>
          <w:tcPr>
            <w:tcW w:w="2920" w:type="dxa"/>
            <w:vAlign w:val="bottom"/>
            <w:gridSpan w:val="3"/>
          </w:tcPr>
          <w:p>
            <w:pPr>
              <w:jc w:val="center"/>
              <w:ind w:left="188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3"/>
        </w:trPr>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62"/>
        </w:trPr>
        <w:tc>
          <w:tcPr>
            <w:tcW w:w="600" w:type="dxa"/>
            <w:vAlign w:val="bottom"/>
          </w:tcPr>
          <w:p>
            <w:pPr>
              <w:spacing w:after="0"/>
              <w:rPr>
                <w:sz w:val="22"/>
                <w:szCs w:val="22"/>
                <w:color w:val="auto"/>
              </w:rPr>
            </w:pPr>
          </w:p>
        </w:tc>
        <w:tc>
          <w:tcPr>
            <w:tcW w:w="4320" w:type="dxa"/>
            <w:vAlign w:val="bottom"/>
            <w:gridSpan w:val="4"/>
          </w:tcPr>
          <w:p>
            <w:pPr>
              <w:jc w:val="center"/>
              <w:ind w:right="600"/>
              <w:spacing w:after="0"/>
              <w:rPr>
                <w:sz w:val="20"/>
                <w:szCs w:val="20"/>
                <w:color w:val="auto"/>
              </w:rPr>
            </w:pPr>
            <w:r>
              <w:rPr>
                <w:rFonts w:ascii="Times New Roman" w:cs="Times New Roman" w:eastAsia="Times New Roman" w:hAnsi="Times New Roman"/>
                <w:sz w:val="20"/>
                <w:szCs w:val="20"/>
                <w:color w:val="auto"/>
                <w:w w:val="99"/>
              </w:rPr>
              <w:t>Steven D. Bishop</w:t>
            </w:r>
          </w:p>
        </w:tc>
        <w:tc>
          <w:tcPr>
            <w:tcW w:w="2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73"/>
        </w:trPr>
        <w:tc>
          <w:tcPr>
            <w:tcW w:w="2920" w:type="dxa"/>
            <w:vAlign w:val="bottom"/>
            <w:tcBorders>
              <w:bottom w:val="single" w:sz="8" w:color="auto"/>
            </w:tcBorders>
            <w:gridSpan w:val="3"/>
          </w:tcPr>
          <w:p>
            <w:pPr>
              <w:jc w:val="center"/>
              <w:ind w:left="188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600" w:type="dxa"/>
            <w:vAlign w:val="bottom"/>
          </w:tcPr>
          <w:p>
            <w:pPr>
              <w:spacing w:after="0"/>
              <w:rPr>
                <w:sz w:val="23"/>
                <w:szCs w:val="23"/>
                <w:color w:val="auto"/>
              </w:rPr>
            </w:pPr>
          </w:p>
        </w:tc>
        <w:tc>
          <w:tcPr>
            <w:tcW w:w="4320" w:type="dxa"/>
            <w:vAlign w:val="bottom"/>
            <w:gridSpan w:val="4"/>
          </w:tcPr>
          <w:p>
            <w:pPr>
              <w:jc w:val="center"/>
              <w:ind w:right="620"/>
              <w:spacing w:after="0"/>
              <w:rPr>
                <w:sz w:val="20"/>
                <w:szCs w:val="20"/>
                <w:color w:val="auto"/>
              </w:rPr>
            </w:pPr>
            <w:r>
              <w:rPr>
                <w:rFonts w:ascii="Times New Roman" w:cs="Times New Roman" w:eastAsia="Times New Roman" w:hAnsi="Times New Roman"/>
                <w:sz w:val="20"/>
                <w:szCs w:val="20"/>
                <w:color w:val="auto"/>
                <w:w w:val="99"/>
              </w:rPr>
              <w:t>Sanat Chattopadhyay</w:t>
            </w:r>
          </w:p>
        </w:tc>
        <w:tc>
          <w:tcPr>
            <w:tcW w:w="2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73"/>
        </w:trPr>
        <w:tc>
          <w:tcPr>
            <w:tcW w:w="2920" w:type="dxa"/>
            <w:vAlign w:val="bottom"/>
            <w:tcBorders>
              <w:bottom w:val="single" w:sz="8" w:color="auto"/>
            </w:tcBorders>
            <w:gridSpan w:val="3"/>
          </w:tcPr>
          <w:p>
            <w:pPr>
              <w:jc w:val="center"/>
              <w:ind w:left="188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600" w:type="dxa"/>
            <w:vAlign w:val="bottom"/>
          </w:tcPr>
          <w:p>
            <w:pPr>
              <w:spacing w:after="0"/>
              <w:rPr>
                <w:sz w:val="23"/>
                <w:szCs w:val="23"/>
                <w:color w:val="auto"/>
              </w:rPr>
            </w:pPr>
          </w:p>
        </w:tc>
        <w:tc>
          <w:tcPr>
            <w:tcW w:w="4320" w:type="dxa"/>
            <w:vAlign w:val="bottom"/>
            <w:gridSpan w:val="4"/>
          </w:tcPr>
          <w:p>
            <w:pPr>
              <w:jc w:val="center"/>
              <w:ind w:right="620"/>
              <w:spacing w:after="0"/>
              <w:rPr>
                <w:sz w:val="20"/>
                <w:szCs w:val="20"/>
                <w:color w:val="auto"/>
              </w:rPr>
            </w:pPr>
            <w:r>
              <w:rPr>
                <w:rFonts w:ascii="Times New Roman" w:cs="Times New Roman" w:eastAsia="Times New Roman" w:hAnsi="Times New Roman"/>
                <w:sz w:val="20"/>
                <w:szCs w:val="20"/>
                <w:color w:val="auto"/>
              </w:rPr>
              <w:t>Suzan F. Harrison</w:t>
            </w:r>
          </w:p>
        </w:tc>
        <w:tc>
          <w:tcPr>
            <w:tcW w:w="2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72"/>
        </w:trPr>
        <w:tc>
          <w:tcPr>
            <w:tcW w:w="2920" w:type="dxa"/>
            <w:vAlign w:val="bottom"/>
            <w:tcBorders>
              <w:bottom w:val="single" w:sz="8" w:color="auto"/>
            </w:tcBorders>
            <w:gridSpan w:val="3"/>
          </w:tcPr>
          <w:p>
            <w:pPr>
              <w:jc w:val="center"/>
              <w:ind w:left="188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58"/>
        </w:trPr>
        <w:tc>
          <w:tcPr>
            <w:tcW w:w="600" w:type="dxa"/>
            <w:vAlign w:val="bottom"/>
          </w:tcPr>
          <w:p>
            <w:pPr>
              <w:spacing w:after="0"/>
              <w:rPr>
                <w:sz w:val="22"/>
                <w:szCs w:val="22"/>
                <w:color w:val="auto"/>
              </w:rPr>
            </w:pPr>
          </w:p>
        </w:tc>
        <w:tc>
          <w:tcPr>
            <w:tcW w:w="4320" w:type="dxa"/>
            <w:vAlign w:val="bottom"/>
            <w:gridSpan w:val="4"/>
          </w:tcPr>
          <w:p>
            <w:pPr>
              <w:jc w:val="center"/>
              <w:ind w:right="600"/>
              <w:spacing w:after="0"/>
              <w:rPr>
                <w:sz w:val="20"/>
                <w:szCs w:val="20"/>
                <w:color w:val="auto"/>
              </w:rPr>
            </w:pPr>
            <w:r>
              <w:rPr>
                <w:rFonts w:ascii="Times New Roman" w:cs="Times New Roman" w:eastAsia="Times New Roman" w:hAnsi="Times New Roman"/>
                <w:sz w:val="20"/>
                <w:szCs w:val="20"/>
                <w:color w:val="auto"/>
                <w:w w:val="99"/>
              </w:rPr>
              <w:t>Ashish K. Kulkarni</w:t>
            </w:r>
          </w:p>
        </w:tc>
        <w:tc>
          <w:tcPr>
            <w:tcW w:w="2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73"/>
        </w:trPr>
        <w:tc>
          <w:tcPr>
            <w:tcW w:w="2920" w:type="dxa"/>
            <w:vAlign w:val="bottom"/>
            <w:tcBorders>
              <w:bottom w:val="single" w:sz="8" w:color="auto"/>
            </w:tcBorders>
            <w:gridSpan w:val="3"/>
          </w:tcPr>
          <w:p>
            <w:pPr>
              <w:jc w:val="center"/>
              <w:ind w:left="188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600" w:type="dxa"/>
            <w:vAlign w:val="bottom"/>
          </w:tcPr>
          <w:p>
            <w:pPr>
              <w:spacing w:after="0"/>
              <w:rPr>
                <w:sz w:val="23"/>
                <w:szCs w:val="23"/>
                <w:color w:val="auto"/>
              </w:rPr>
            </w:pPr>
          </w:p>
        </w:tc>
        <w:tc>
          <w:tcPr>
            <w:tcW w:w="4320" w:type="dxa"/>
            <w:vAlign w:val="bottom"/>
            <w:gridSpan w:val="4"/>
          </w:tcPr>
          <w:p>
            <w:pPr>
              <w:jc w:val="center"/>
              <w:ind w:right="620"/>
              <w:spacing w:after="0"/>
              <w:rPr>
                <w:sz w:val="20"/>
                <w:szCs w:val="20"/>
                <w:color w:val="auto"/>
              </w:rPr>
            </w:pPr>
            <w:r>
              <w:rPr>
                <w:rFonts w:ascii="Times New Roman" w:cs="Times New Roman" w:eastAsia="Times New Roman" w:hAnsi="Times New Roman"/>
                <w:sz w:val="20"/>
                <w:szCs w:val="20"/>
                <w:color w:val="auto"/>
              </w:rPr>
              <w:t>Susan L. Main</w:t>
            </w:r>
          </w:p>
        </w:tc>
        <w:tc>
          <w:tcPr>
            <w:tcW w:w="2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73"/>
        </w:trPr>
        <w:tc>
          <w:tcPr>
            <w:tcW w:w="2920" w:type="dxa"/>
            <w:vAlign w:val="bottom"/>
            <w:tcBorders>
              <w:bottom w:val="single" w:sz="8" w:color="auto"/>
            </w:tcBorders>
            <w:gridSpan w:val="3"/>
          </w:tcPr>
          <w:p>
            <w:pPr>
              <w:jc w:val="center"/>
              <w:ind w:left="188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600" w:type="dxa"/>
            <w:vAlign w:val="bottom"/>
          </w:tcPr>
          <w:p>
            <w:pPr>
              <w:spacing w:after="0"/>
              <w:rPr>
                <w:sz w:val="23"/>
                <w:szCs w:val="23"/>
                <w:color w:val="auto"/>
              </w:rPr>
            </w:pPr>
          </w:p>
        </w:tc>
        <w:tc>
          <w:tcPr>
            <w:tcW w:w="4320" w:type="dxa"/>
            <w:vAlign w:val="bottom"/>
            <w:gridSpan w:val="4"/>
          </w:tcPr>
          <w:p>
            <w:pPr>
              <w:jc w:val="center"/>
              <w:ind w:right="620"/>
              <w:spacing w:after="0"/>
              <w:rPr>
                <w:sz w:val="20"/>
                <w:szCs w:val="20"/>
                <w:color w:val="auto"/>
              </w:rPr>
            </w:pPr>
            <w:r>
              <w:rPr>
                <w:rFonts w:ascii="Times New Roman" w:cs="Times New Roman" w:eastAsia="Times New Roman" w:hAnsi="Times New Roman"/>
                <w:sz w:val="20"/>
                <w:szCs w:val="20"/>
                <w:color w:val="auto"/>
              </w:rPr>
              <w:t>Jerome A. Peribere</w:t>
            </w:r>
          </w:p>
        </w:tc>
        <w:tc>
          <w:tcPr>
            <w:tcW w:w="2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73"/>
        </w:trPr>
        <w:tc>
          <w:tcPr>
            <w:tcW w:w="2920" w:type="dxa"/>
            <w:vAlign w:val="bottom"/>
            <w:tcBorders>
              <w:bottom w:val="single" w:sz="8" w:color="auto"/>
            </w:tcBorders>
            <w:gridSpan w:val="3"/>
          </w:tcPr>
          <w:p>
            <w:pPr>
              <w:jc w:val="center"/>
              <w:ind w:left="188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600" w:type="dxa"/>
            <w:vAlign w:val="bottom"/>
          </w:tcPr>
          <w:p>
            <w:pPr>
              <w:spacing w:after="0"/>
              <w:rPr>
                <w:sz w:val="23"/>
                <w:szCs w:val="23"/>
                <w:color w:val="auto"/>
              </w:rPr>
            </w:pPr>
          </w:p>
        </w:tc>
        <w:tc>
          <w:tcPr>
            <w:tcW w:w="4320" w:type="dxa"/>
            <w:vAlign w:val="bottom"/>
            <w:gridSpan w:val="4"/>
          </w:tcPr>
          <w:p>
            <w:pPr>
              <w:jc w:val="center"/>
              <w:ind w:right="620"/>
              <w:spacing w:after="0"/>
              <w:rPr>
                <w:sz w:val="20"/>
                <w:szCs w:val="20"/>
                <w:color w:val="auto"/>
              </w:rPr>
            </w:pPr>
            <w:r>
              <w:rPr>
                <w:rFonts w:ascii="Times New Roman" w:cs="Times New Roman" w:eastAsia="Times New Roman" w:hAnsi="Times New Roman"/>
                <w:sz w:val="20"/>
                <w:szCs w:val="20"/>
                <w:color w:val="auto"/>
                <w:w w:val="99"/>
              </w:rPr>
              <w:t>Scott A. Tozier</w:t>
            </w:r>
          </w:p>
        </w:tc>
        <w:tc>
          <w:tcPr>
            <w:tcW w:w="2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773"/>
        </w:trPr>
        <w:tc>
          <w:tcPr>
            <w:tcW w:w="4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  /s/ Robin E. Lampkin</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1"/>
        </w:trPr>
        <w:tc>
          <w:tcPr>
            <w:tcW w:w="600" w:type="dxa"/>
            <w:vAlign w:val="bottom"/>
          </w:tcPr>
          <w:p>
            <w:pPr>
              <w:spacing w:after="0"/>
              <w:rPr>
                <w:sz w:val="18"/>
                <w:szCs w:val="18"/>
                <w:color w:val="auto"/>
              </w:rPr>
            </w:pPr>
          </w:p>
        </w:tc>
        <w:tc>
          <w:tcPr>
            <w:tcW w:w="3080" w:type="dxa"/>
            <w:vAlign w:val="bottom"/>
            <w:tcBorders>
              <w:top w:val="single" w:sz="8" w:color="auto"/>
            </w:tcBorders>
            <w:gridSpan w:val="3"/>
          </w:tcPr>
          <w:p>
            <w:pPr>
              <w:spacing w:after="0" w:line="210" w:lineRule="exact"/>
              <w:rPr>
                <w:sz w:val="20"/>
                <w:szCs w:val="20"/>
                <w:color w:val="auto"/>
              </w:rPr>
            </w:pPr>
            <w:r>
              <w:rPr>
                <w:rFonts w:ascii="Times New Roman" w:cs="Times New Roman" w:eastAsia="Times New Roman" w:hAnsi="Times New Roman"/>
                <w:sz w:val="20"/>
                <w:szCs w:val="20"/>
                <w:color w:val="auto"/>
              </w:rPr>
              <w:t>Robin E. Lampkin</w:t>
            </w:r>
          </w:p>
        </w:tc>
        <w:tc>
          <w:tcPr>
            <w:tcW w:w="1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66"/>
        </w:trPr>
        <w:tc>
          <w:tcPr>
            <w:tcW w:w="600" w:type="dxa"/>
            <w:vAlign w:val="bottom"/>
          </w:tcPr>
          <w:p>
            <w:pPr>
              <w:spacing w:after="0"/>
              <w:rPr>
                <w:sz w:val="23"/>
                <w:szCs w:val="23"/>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Attorney-in-Fact</w:t>
            </w:r>
          </w:p>
        </w:tc>
        <w:tc>
          <w:tcPr>
            <w:tcW w:w="2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368"/>
        </w:trPr>
        <w:tc>
          <w:tcPr>
            <w:tcW w:w="4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Date:  November 20, 2025</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3121025</wp:posOffset>
                </wp:positionH>
                <wp:positionV relativeFrom="paragraph">
                  <wp:posOffset>-4565015</wp:posOffset>
                </wp:positionV>
                <wp:extent cx="13017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75pt,-359.4499pt" to="256pt,-359.44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3121025</wp:posOffset>
                </wp:positionH>
                <wp:positionV relativeFrom="paragraph">
                  <wp:posOffset>-4209415</wp:posOffset>
                </wp:positionV>
                <wp:extent cx="13017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75pt,-331.4499pt" to="256pt,-331.44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3121025</wp:posOffset>
                </wp:positionH>
                <wp:positionV relativeFrom="paragraph">
                  <wp:posOffset>-3853815</wp:posOffset>
                </wp:positionV>
                <wp:extent cx="13017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75pt,-303.4499pt" to="256pt,-303.44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3121025</wp:posOffset>
                </wp:positionH>
                <wp:positionV relativeFrom="paragraph">
                  <wp:posOffset>-2631440</wp:posOffset>
                </wp:positionV>
                <wp:extent cx="13017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75pt,-207.1999pt" to="256pt,-207.19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3121025</wp:posOffset>
                </wp:positionH>
                <wp:positionV relativeFrom="paragraph">
                  <wp:posOffset>-1926590</wp:posOffset>
                </wp:positionV>
                <wp:extent cx="13017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75pt,-151.6999pt" to="256pt,-151.69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3121025</wp:posOffset>
                </wp:positionH>
                <wp:positionV relativeFrom="paragraph">
                  <wp:posOffset>-1570990</wp:posOffset>
                </wp:positionV>
                <wp:extent cx="13017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75pt,-123.6999pt" to="256pt,-123.69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3121025</wp:posOffset>
                </wp:positionH>
                <wp:positionV relativeFrom="paragraph">
                  <wp:posOffset>-1215390</wp:posOffset>
                </wp:positionV>
                <wp:extent cx="13017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1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75pt,-95.6999pt" to="256pt,-95.6999pt" o:allowincell="f" strokecolor="#FFFFFF" strokeweight="1pt"/>
            </w:pict>
          </mc:Fallback>
        </mc:AlternateConten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40"/>
          </w:cols>
          <w:pgMar w:left="1000" w:top="926" w:right="1000" w:bottom="175"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40" w:right="1440" w:bottom="175" w:gutter="0" w:footer="0" w:header="0"/>
          <w:type w:val="continuous"/>
        </w:sectPr>
      </w:pPr>
    </w:p>
    <w:bookmarkStart w:id="58" w:name="page59"/>
    <w:bookmarkEnd w:id="58"/>
    <w:p>
      <w:pPr>
        <w:jc w:val="both"/>
        <w:ind w:left="6"/>
        <w:spacing w:after="0" w:line="334"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36" w:lineRule="exact"/>
        <w:rPr>
          <w:sz w:val="20"/>
          <w:szCs w:val="20"/>
          <w:color w:val="auto"/>
        </w:rPr>
      </w:pPr>
    </w:p>
    <w:p>
      <w:pPr>
        <w:jc w:val="both"/>
        <w:ind w:left="6" w:firstLine="360"/>
        <w:spacing w:after="0" w:line="325"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the Consolidated Financial Statements and the accompanying Notes to Consolidated Financial Statements for the years ended September 30, 2025, 2024 and 2023.</w:t>
      </w:r>
    </w:p>
    <w:p>
      <w:pPr>
        <w:spacing w:after="0" w:line="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1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Ashland profile</w:t>
      </w:r>
    </w:p>
    <w:p>
      <w:pPr>
        <w:spacing w:after="0" w:line="170"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Ashland is a global additives and specialty ingredients company with a conscious and proactive mindset for sustainability. The Company serves customers in a wide range of consumer and industrial markets, including architectural coatings, construction, energy, food and beverage, personal care and pharmaceutical. With approximately 2,900 employees worldwide, Ashland serves customers in more than 100 countries.</w:t>
      </w:r>
    </w:p>
    <w:p>
      <w:pPr>
        <w:spacing w:after="0" w:line="74" w:lineRule="exact"/>
        <w:rPr>
          <w:sz w:val="20"/>
          <w:szCs w:val="20"/>
          <w:color w:val="auto"/>
        </w:rPr>
      </w:pPr>
    </w:p>
    <w:p>
      <w:pPr>
        <w:jc w:val="both"/>
        <w:ind w:left="6" w:firstLine="360"/>
        <w:spacing w:after="0" w:line="325" w:lineRule="auto"/>
        <w:rPr>
          <w:sz w:val="20"/>
          <w:szCs w:val="20"/>
          <w:color w:val="auto"/>
        </w:rPr>
      </w:pPr>
      <w:r>
        <w:rPr>
          <w:rFonts w:ascii="Times New Roman" w:cs="Times New Roman" w:eastAsia="Times New Roman" w:hAnsi="Times New Roman"/>
          <w:sz w:val="20"/>
          <w:szCs w:val="20"/>
          <w:color w:val="auto"/>
        </w:rPr>
        <w:t>Ashland’s sales generated outside of North America were 73%, 69% and 69% in 2025, 2024 and 2023, respectively. Sales by region expressed as a percentage of total consolidated sales for the years ended September 30,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6412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32">
                      <a:extLst>
                        <a:ext uri="{28A0092B-C50C-407E-A947-70E740481C1C}"/>
                      </a:extLst>
                    </a:blip>
                    <a:srcRect/>
                    <a:stretch>
                      <a:fillRect/>
                    </a:stretch>
                  </pic:blipFill>
                  <pic:spPr bwMode="auto">
                    <a:xfrm>
                      <a:off x="0" y="0"/>
                      <a:ext cx="6412865" cy="38100"/>
                    </a:xfrm>
                    <a:prstGeom prst="rect">
                      <a:avLst/>
                    </a:prstGeom>
                    <a:noFill/>
                  </pic:spPr>
                </pic:pic>
              </a:graphicData>
            </a:graphic>
          </wp:anchor>
        </w:drawing>
      </w:r>
    </w:p>
    <w:p>
      <w:pPr>
        <w:spacing w:after="0" w:line="29" w:lineRule="exact"/>
        <w:rPr>
          <w:sz w:val="20"/>
          <w:szCs w:val="20"/>
          <w:color w:val="auto"/>
        </w:rPr>
      </w:pPr>
    </w:p>
    <w:tbl>
      <w:tblPr>
        <w:tblLayout w:type="fixed"/>
        <w:tblInd w:w="6" w:type="dxa"/>
        <w:tblCellMar>
          <w:top w:w="0" w:type="dxa"/>
          <w:left w:w="0" w:type="dxa"/>
          <w:bottom w:w="0" w:type="dxa"/>
          <w:right w:w="0" w:type="dxa"/>
        </w:tblCellMar>
      </w:tblPr>
      <w:tr>
        <w:trPr>
          <w:trHeight w:val="245"/>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Sales by Geography</w:t>
            </w:r>
          </w:p>
        </w:tc>
        <w:tc>
          <w:tcPr>
            <w:tcW w:w="138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2025</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200" w:type="dxa"/>
            <w:vAlign w:val="bottom"/>
            <w:tcBorders>
              <w:top w:val="single" w:sz="8" w:color="auto"/>
              <w:bottom w:val="single" w:sz="8" w:color="auto"/>
            </w:tcBorders>
          </w:tcPr>
          <w:p>
            <w:pPr>
              <w:spacing w:after="0"/>
              <w:rPr>
                <w:sz w:val="21"/>
                <w:szCs w:val="21"/>
                <w:color w:val="auto"/>
              </w:rPr>
            </w:pPr>
          </w:p>
        </w:tc>
      </w:tr>
      <w:tr>
        <w:trPr>
          <w:trHeight w:val="225"/>
        </w:trPr>
        <w:tc>
          <w:tcPr>
            <w:tcW w:w="5880" w:type="dxa"/>
            <w:vAlign w:val="bottom"/>
            <w:shd w:val="clear" w:color="auto" w:fill="D5EFF4"/>
          </w:tcPr>
          <w:p>
            <w:pPr>
              <w:spacing w:after="0" w:line="224" w:lineRule="exact"/>
              <w:rPr>
                <w:sz w:val="20"/>
                <w:szCs w:val="20"/>
                <w:color w:val="auto"/>
              </w:rPr>
            </w:pPr>
            <w:r>
              <w:rPr>
                <w:rFonts w:ascii="Times New Roman" w:cs="Times New Roman" w:eastAsia="Times New Roman" w:hAnsi="Times New Roman"/>
                <w:sz w:val="20"/>
                <w:szCs w:val="20"/>
                <w:color w:val="auto"/>
              </w:rPr>
              <w:t>North America</w:t>
            </w:r>
            <w:r>
              <w:rPr>
                <w:rFonts w:ascii="Times New Roman" w:cs="Times New Roman" w:eastAsia="Times New Roman" w:hAnsi="Times New Roman"/>
                <w:sz w:val="25"/>
                <w:szCs w:val="25"/>
                <w:color w:val="auto"/>
                <w:vertAlign w:val="superscript"/>
              </w:rPr>
              <w:t>(a)</w:t>
            </w:r>
          </w:p>
        </w:tc>
        <w:tc>
          <w:tcPr>
            <w:tcW w:w="13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27%</w:t>
            </w:r>
          </w:p>
        </w:tc>
        <w:tc>
          <w:tcPr>
            <w:tcW w:w="1500" w:type="dxa"/>
            <w:vAlign w:val="bottom"/>
            <w:gridSpan w:val="2"/>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31%</w:t>
            </w:r>
          </w:p>
        </w:tc>
        <w:tc>
          <w:tcPr>
            <w:tcW w:w="1480" w:type="dxa"/>
            <w:vAlign w:val="bottom"/>
            <w:gridSpan w:val="3"/>
            <w:shd w:val="clear" w:color="auto" w:fill="D5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31%</w:t>
            </w:r>
          </w:p>
        </w:tc>
      </w:tr>
      <w:tr>
        <w:trPr>
          <w:trHeight w:val="230"/>
        </w:trPr>
        <w:tc>
          <w:tcPr>
            <w:tcW w:w="588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Europe</w:t>
            </w:r>
            <w:r>
              <w:rPr>
                <w:rFonts w:ascii="Times New Roman" w:cs="Times New Roman" w:eastAsia="Times New Roman" w:hAnsi="Times New Roman"/>
                <w:sz w:val="25"/>
                <w:szCs w:val="25"/>
                <w:color w:val="auto"/>
                <w:vertAlign w:val="superscript"/>
              </w:rPr>
              <w:t>(a)</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36%</w:t>
            </w:r>
          </w:p>
        </w:tc>
      </w:tr>
      <w:tr>
        <w:trPr>
          <w:trHeight w:val="230"/>
        </w:trPr>
        <w:tc>
          <w:tcPr>
            <w:tcW w:w="58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Asia Pacific</w:t>
            </w:r>
          </w:p>
        </w:tc>
        <w:tc>
          <w:tcPr>
            <w:tcW w:w="13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50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480" w:type="dxa"/>
            <w:vAlign w:val="bottom"/>
            <w:gridSpan w:val="3"/>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Latin America &amp; other</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w:t>
            </w:r>
          </w:p>
        </w:tc>
      </w:tr>
      <w:tr>
        <w:trPr>
          <w:trHeight w:val="245"/>
        </w:trPr>
        <w:tc>
          <w:tcPr>
            <w:tcW w:w="5880" w:type="dxa"/>
            <w:vAlign w:val="bottom"/>
            <w:tcBorders>
              <w:top w:val="single" w:sz="8" w:color="D5EFF4"/>
              <w:bottom w:val="single" w:sz="8" w:color="D5EFF4"/>
            </w:tcBorders>
            <w:shd w:val="clear" w:color="auto" w:fill="D5EFF4"/>
          </w:tcPr>
          <w:p>
            <w:pPr>
              <w:spacing w:after="0"/>
              <w:rPr>
                <w:sz w:val="21"/>
                <w:szCs w:val="21"/>
                <w:color w:val="auto"/>
              </w:rPr>
            </w:pPr>
          </w:p>
        </w:tc>
        <w:tc>
          <w:tcPr>
            <w:tcW w:w="1380" w:type="dxa"/>
            <w:vAlign w:val="bottom"/>
            <w:tcBorders>
              <w:top w:val="single" w:sz="8" w:color="auto"/>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100%</w:t>
            </w:r>
          </w:p>
        </w:tc>
        <w:tc>
          <w:tcPr>
            <w:tcW w:w="120" w:type="dxa"/>
            <w:vAlign w:val="bottom"/>
            <w:tcBorders>
              <w:top w:val="single" w:sz="8" w:color="D5EFF4"/>
              <w:bottom w:val="single" w:sz="8" w:color="D5EFF4"/>
            </w:tcBorders>
            <w:shd w:val="clear" w:color="auto" w:fill="D5EFF4"/>
          </w:tcPr>
          <w:p>
            <w:pPr>
              <w:spacing w:after="0"/>
              <w:rPr>
                <w:sz w:val="21"/>
                <w:szCs w:val="21"/>
                <w:color w:val="auto"/>
              </w:rPr>
            </w:pPr>
          </w:p>
        </w:tc>
        <w:tc>
          <w:tcPr>
            <w:tcW w:w="1380" w:type="dxa"/>
            <w:vAlign w:val="bottom"/>
            <w:tcBorders>
              <w:top w:val="single" w:sz="8" w:color="auto"/>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100%</w:t>
            </w:r>
          </w:p>
        </w:tc>
        <w:tc>
          <w:tcPr>
            <w:tcW w:w="100" w:type="dxa"/>
            <w:vAlign w:val="bottom"/>
            <w:tcBorders>
              <w:top w:val="single" w:sz="8" w:color="D5EFF4"/>
              <w:bottom w:val="single" w:sz="8" w:color="D5EFF4"/>
            </w:tcBorders>
            <w:shd w:val="clear" w:color="auto" w:fill="D5EFF4"/>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D5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100%</w:t>
            </w:r>
          </w:p>
        </w:tc>
      </w:tr>
      <w:tr>
        <w:trPr>
          <w:trHeight w:val="20"/>
        </w:trPr>
        <w:tc>
          <w:tcPr>
            <w:tcW w:w="5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34"/>
        </w:trPr>
        <w:tc>
          <w:tcPr>
            <w:tcW w:w="5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-844550</wp:posOffset>
            </wp:positionV>
            <wp:extent cx="6412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3">
                      <a:extLst>
                        <a:ext uri="{28A0092B-C50C-407E-A947-70E740481C1C}"/>
                      </a:extLst>
                    </a:blip>
                    <a:srcRect/>
                    <a:stretch>
                      <a:fillRect/>
                    </a:stretch>
                  </pic:blipFill>
                  <pic:spPr bwMode="auto">
                    <a:xfrm>
                      <a:off x="0" y="0"/>
                      <a:ext cx="641286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12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34">
                      <a:extLst>
                        <a:ext uri="{28A0092B-C50C-407E-A947-70E740481C1C}"/>
                      </a:extLst>
                    </a:blip>
                    <a:srcRect/>
                    <a:stretch>
                      <a:fillRect/>
                    </a:stretch>
                  </pic:blipFill>
                  <pic:spPr bwMode="auto">
                    <a:xfrm>
                      <a:off x="0" y="0"/>
                      <a:ext cx="6412865" cy="38100"/>
                    </a:xfrm>
                    <a:prstGeom prst="rect">
                      <a:avLst/>
                    </a:prstGeom>
                    <a:noFill/>
                  </pic:spPr>
                </pic:pic>
              </a:graphicData>
            </a:graphic>
          </wp:anchor>
        </w:drawing>
      </w:r>
    </w:p>
    <w:p>
      <w:pPr>
        <w:spacing w:after="0" w:line="5" w:lineRule="exact"/>
        <w:rPr>
          <w:sz w:val="20"/>
          <w:szCs w:val="20"/>
          <w:color w:val="auto"/>
        </w:rPr>
      </w:pPr>
    </w:p>
    <w:p>
      <w:pPr>
        <w:ind w:left="566" w:hanging="566"/>
        <w:spacing w:after="0"/>
        <w:tabs>
          <w:tab w:leader="none" w:pos="56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Ashland includes only U.S. and Canada in its North America designation and includes Europe, the Middle East and Africa in its Europe designation.</w:t>
      </w:r>
    </w:p>
    <w:p>
      <w:pPr>
        <w:spacing w:after="0" w:line="11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170" w:lineRule="exact"/>
        <w:rPr>
          <w:sz w:val="20"/>
          <w:szCs w:val="20"/>
          <w:color w:val="auto"/>
        </w:rPr>
      </w:pPr>
    </w:p>
    <w:p>
      <w:pPr>
        <w:jc w:val="both"/>
        <w:ind w:left="6" w:firstLine="360"/>
        <w:spacing w:after="0" w:line="306" w:lineRule="auto"/>
        <w:rPr>
          <w:sz w:val="20"/>
          <w:szCs w:val="20"/>
          <w:color w:val="auto"/>
        </w:rPr>
      </w:pPr>
      <w:r>
        <w:rPr>
          <w:rFonts w:ascii="Times New Roman" w:cs="Times New Roman" w:eastAsia="Times New Roman" w:hAnsi="Times New Roman"/>
          <w:sz w:val="20"/>
          <w:szCs w:val="20"/>
          <w:color w:val="auto"/>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for the years ended September 30,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41275</wp:posOffset>
            </wp:positionV>
            <wp:extent cx="641350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35">
                      <a:extLst>
                        <a:ext uri="{28A0092B-C50C-407E-A947-70E740481C1C}"/>
                      </a:extLst>
                    </a:blip>
                    <a:srcRect/>
                    <a:stretch>
                      <a:fillRect/>
                    </a:stretch>
                  </pic:blipFill>
                  <pic:spPr bwMode="auto">
                    <a:xfrm>
                      <a:off x="0" y="0"/>
                      <a:ext cx="6413500" cy="38100"/>
                    </a:xfrm>
                    <a:prstGeom prst="rect">
                      <a:avLst/>
                    </a:prstGeom>
                    <a:noFill/>
                  </pic:spPr>
                </pic:pic>
              </a:graphicData>
            </a:graphic>
          </wp:anchor>
        </w:drawing>
      </w:r>
    </w:p>
    <w:p>
      <w:pPr>
        <w:spacing w:after="0" w:line="48" w:lineRule="exact"/>
        <w:rPr>
          <w:sz w:val="20"/>
          <w:szCs w:val="20"/>
          <w:color w:val="auto"/>
        </w:rPr>
      </w:pPr>
    </w:p>
    <w:tbl>
      <w:tblPr>
        <w:tblLayout w:type="fixed"/>
        <w:tblInd w:w="6" w:type="dxa"/>
        <w:tblCellMar>
          <w:top w:w="0" w:type="dxa"/>
          <w:left w:w="0" w:type="dxa"/>
          <w:bottom w:w="0" w:type="dxa"/>
          <w:right w:w="0" w:type="dxa"/>
        </w:tblCellMar>
      </w:tblPr>
      <w:tr>
        <w:trPr>
          <w:trHeight w:val="245"/>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Sales by Reportable Segment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2024</w:t>
            </w:r>
          </w:p>
        </w:tc>
        <w:tc>
          <w:tcPr>
            <w:tcW w:w="5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200" w:type="dxa"/>
            <w:vAlign w:val="bottom"/>
            <w:tcBorders>
              <w:top w:val="single" w:sz="8" w:color="auto"/>
              <w:bottom w:val="single" w:sz="8" w:color="auto"/>
            </w:tcBorders>
          </w:tcPr>
          <w:p>
            <w:pPr>
              <w:spacing w:after="0"/>
              <w:rPr>
                <w:sz w:val="21"/>
                <w:szCs w:val="21"/>
                <w:color w:val="auto"/>
              </w:rPr>
            </w:pPr>
          </w:p>
        </w:tc>
      </w:tr>
      <w:tr>
        <w:trPr>
          <w:trHeight w:val="225"/>
        </w:trPr>
        <w:tc>
          <w:tcPr>
            <w:tcW w:w="592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Life Sciences</w:t>
            </w:r>
          </w:p>
        </w:tc>
        <w:tc>
          <w:tcPr>
            <w:tcW w:w="800" w:type="dxa"/>
            <w:vAlign w:val="bottom"/>
            <w:shd w:val="clear" w:color="auto" w:fill="D5EFF4"/>
          </w:tcPr>
          <w:p>
            <w:pPr>
              <w:spacing w:after="0"/>
              <w:rPr>
                <w:sz w:val="19"/>
                <w:szCs w:val="19"/>
                <w:color w:val="auto"/>
              </w:rPr>
            </w:pPr>
          </w:p>
        </w:tc>
        <w:tc>
          <w:tcPr>
            <w:tcW w:w="5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35%</w:t>
            </w:r>
          </w:p>
        </w:tc>
        <w:tc>
          <w:tcPr>
            <w:tcW w:w="140" w:type="dxa"/>
            <w:vAlign w:val="bottom"/>
            <w:shd w:val="clear" w:color="auto" w:fill="D5EFF4"/>
          </w:tcPr>
          <w:p>
            <w:pPr>
              <w:spacing w:after="0"/>
              <w:rPr>
                <w:sz w:val="19"/>
                <w:szCs w:val="19"/>
                <w:color w:val="auto"/>
              </w:rPr>
            </w:pPr>
          </w:p>
        </w:tc>
        <w:tc>
          <w:tcPr>
            <w:tcW w:w="800" w:type="dxa"/>
            <w:vAlign w:val="bottom"/>
            <w:shd w:val="clear" w:color="auto" w:fill="D5EFF4"/>
          </w:tcPr>
          <w:p>
            <w:pPr>
              <w:spacing w:after="0"/>
              <w:rPr>
                <w:sz w:val="19"/>
                <w:szCs w:val="19"/>
                <w:color w:val="auto"/>
              </w:rPr>
            </w:pPr>
          </w:p>
        </w:tc>
        <w:tc>
          <w:tcPr>
            <w:tcW w:w="56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38%</w:t>
            </w:r>
          </w:p>
        </w:tc>
        <w:tc>
          <w:tcPr>
            <w:tcW w:w="1480" w:type="dxa"/>
            <w:vAlign w:val="bottom"/>
            <w:gridSpan w:val="3"/>
            <w:shd w:val="clear" w:color="auto" w:fill="D5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40%</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Personal Care</w:t>
            </w:r>
          </w:p>
        </w:tc>
        <w:tc>
          <w:tcPr>
            <w:tcW w:w="8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59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Specialty Additives</w:t>
            </w:r>
          </w:p>
        </w:tc>
        <w:tc>
          <w:tcPr>
            <w:tcW w:w="800" w:type="dxa"/>
            <w:vAlign w:val="bottom"/>
            <w:shd w:val="clear" w:color="auto" w:fill="D5EFF4"/>
          </w:tcPr>
          <w:p>
            <w:pPr>
              <w:spacing w:after="0"/>
              <w:rPr>
                <w:sz w:val="20"/>
                <w:szCs w:val="20"/>
                <w:color w:val="auto"/>
              </w:rPr>
            </w:pPr>
          </w:p>
        </w:tc>
        <w:tc>
          <w:tcPr>
            <w:tcW w:w="5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40" w:type="dxa"/>
            <w:vAlign w:val="bottom"/>
            <w:shd w:val="clear" w:color="auto" w:fill="D5EFF4"/>
          </w:tcPr>
          <w:p>
            <w:pPr>
              <w:spacing w:after="0"/>
              <w:rPr>
                <w:sz w:val="20"/>
                <w:szCs w:val="20"/>
                <w:color w:val="auto"/>
              </w:rPr>
            </w:pPr>
          </w:p>
        </w:tc>
        <w:tc>
          <w:tcPr>
            <w:tcW w:w="800" w:type="dxa"/>
            <w:vAlign w:val="bottom"/>
            <w:shd w:val="clear" w:color="auto" w:fill="D5EFF4"/>
          </w:tcPr>
          <w:p>
            <w:pPr>
              <w:spacing w:after="0"/>
              <w:rPr>
                <w:sz w:val="20"/>
                <w:szCs w:val="20"/>
                <w:color w:val="auto"/>
              </w:rPr>
            </w:pPr>
          </w:p>
        </w:tc>
        <w:tc>
          <w:tcPr>
            <w:tcW w:w="5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480" w:type="dxa"/>
            <w:vAlign w:val="bottom"/>
            <w:gridSpan w:val="3"/>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Intermediates</w:t>
            </w:r>
          </w:p>
        </w:tc>
        <w:tc>
          <w:tcPr>
            <w:tcW w:w="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w:t>
            </w:r>
          </w:p>
        </w:tc>
      </w:tr>
      <w:tr>
        <w:trPr>
          <w:trHeight w:val="245"/>
        </w:trPr>
        <w:tc>
          <w:tcPr>
            <w:tcW w:w="5920" w:type="dxa"/>
            <w:vAlign w:val="bottom"/>
            <w:tcBorders>
              <w:top w:val="single" w:sz="8" w:color="D5EFF4"/>
              <w:bottom w:val="single" w:sz="8" w:color="D5EFF4"/>
            </w:tcBorders>
            <w:shd w:val="clear" w:color="auto" w:fill="D5EFF4"/>
          </w:tcPr>
          <w:p>
            <w:pPr>
              <w:spacing w:after="0"/>
              <w:rPr>
                <w:sz w:val="21"/>
                <w:szCs w:val="21"/>
                <w:color w:val="auto"/>
              </w:rPr>
            </w:pPr>
          </w:p>
        </w:tc>
        <w:tc>
          <w:tcPr>
            <w:tcW w:w="800" w:type="dxa"/>
            <w:vAlign w:val="bottom"/>
            <w:tcBorders>
              <w:top w:val="single" w:sz="8" w:color="auto"/>
              <w:bottom w:val="single" w:sz="8" w:color="auto"/>
            </w:tcBorders>
            <w:shd w:val="clear" w:color="auto" w:fill="D5EFF4"/>
          </w:tcPr>
          <w:p>
            <w:pPr>
              <w:spacing w:after="0"/>
              <w:rPr>
                <w:sz w:val="21"/>
                <w:szCs w:val="21"/>
                <w:color w:val="auto"/>
              </w:rPr>
            </w:pPr>
          </w:p>
        </w:tc>
        <w:tc>
          <w:tcPr>
            <w:tcW w:w="540" w:type="dxa"/>
            <w:vAlign w:val="bottom"/>
            <w:tcBorders>
              <w:top w:val="single" w:sz="8" w:color="auto"/>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100%</w:t>
            </w:r>
          </w:p>
        </w:tc>
        <w:tc>
          <w:tcPr>
            <w:tcW w:w="140" w:type="dxa"/>
            <w:vAlign w:val="bottom"/>
            <w:tcBorders>
              <w:top w:val="single" w:sz="8" w:color="D5EFF4"/>
              <w:bottom w:val="single" w:sz="8" w:color="D5EFF4"/>
            </w:tcBorders>
            <w:shd w:val="clear" w:color="auto" w:fill="D5EFF4"/>
          </w:tcPr>
          <w:p>
            <w:pPr>
              <w:spacing w:after="0"/>
              <w:rPr>
                <w:sz w:val="21"/>
                <w:szCs w:val="21"/>
                <w:color w:val="auto"/>
              </w:rPr>
            </w:pPr>
          </w:p>
        </w:tc>
        <w:tc>
          <w:tcPr>
            <w:tcW w:w="800" w:type="dxa"/>
            <w:vAlign w:val="bottom"/>
            <w:tcBorders>
              <w:top w:val="single" w:sz="8" w:color="auto"/>
              <w:bottom w:val="single" w:sz="8" w:color="auto"/>
            </w:tcBorders>
            <w:shd w:val="clear" w:color="auto" w:fill="D5EFF4"/>
          </w:tcPr>
          <w:p>
            <w:pPr>
              <w:spacing w:after="0"/>
              <w:rPr>
                <w:sz w:val="21"/>
                <w:szCs w:val="21"/>
                <w:color w:val="auto"/>
              </w:rPr>
            </w:pPr>
          </w:p>
        </w:tc>
        <w:tc>
          <w:tcPr>
            <w:tcW w:w="560" w:type="dxa"/>
            <w:vAlign w:val="bottom"/>
            <w:tcBorders>
              <w:top w:val="single" w:sz="8" w:color="auto"/>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100%</w:t>
            </w:r>
          </w:p>
        </w:tc>
        <w:tc>
          <w:tcPr>
            <w:tcW w:w="120" w:type="dxa"/>
            <w:vAlign w:val="bottom"/>
            <w:tcBorders>
              <w:top w:val="single" w:sz="8" w:color="D5EFF4"/>
              <w:bottom w:val="single" w:sz="8" w:color="D5EFF4"/>
            </w:tcBorders>
            <w:shd w:val="clear" w:color="auto" w:fill="D5EFF4"/>
          </w:tcPr>
          <w:p>
            <w:pPr>
              <w:spacing w:after="0"/>
              <w:rPr>
                <w:sz w:val="21"/>
                <w:szCs w:val="21"/>
                <w:color w:val="auto"/>
              </w:rPr>
            </w:pPr>
          </w:p>
        </w:tc>
        <w:tc>
          <w:tcPr>
            <w:tcW w:w="1360" w:type="dxa"/>
            <w:vAlign w:val="bottom"/>
            <w:tcBorders>
              <w:top w:val="single" w:sz="8" w:color="auto"/>
              <w:bottom w:val="single" w:sz="8" w:color="auto"/>
            </w:tcBorders>
            <w:gridSpan w:val="2"/>
            <w:shd w:val="clear" w:color="auto" w:fill="D5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100%</w:t>
            </w:r>
          </w:p>
        </w:tc>
      </w:tr>
      <w:tr>
        <w:trPr>
          <w:trHeight w:val="20"/>
        </w:trPr>
        <w:tc>
          <w:tcPr>
            <w:tcW w:w="5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34"/>
        </w:trPr>
        <w:tc>
          <w:tcPr>
            <w:tcW w:w="5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-844550</wp:posOffset>
            </wp:positionV>
            <wp:extent cx="641350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36">
                      <a:extLst>
                        <a:ext uri="{28A0092B-C50C-407E-A947-70E740481C1C}"/>
                      </a:extLst>
                    </a:blip>
                    <a:srcRect/>
                    <a:stretch>
                      <a:fillRect/>
                    </a:stretch>
                  </pic:blipFill>
                  <pic:spPr bwMode="auto">
                    <a:xfrm>
                      <a:off x="0" y="0"/>
                      <a:ext cx="641350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1350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37">
                      <a:extLst>
                        <a:ext uri="{28A0092B-C50C-407E-A947-70E740481C1C}"/>
                      </a:extLst>
                    </a:blip>
                    <a:srcRect/>
                    <a:stretch>
                      <a:fillRect/>
                    </a:stretch>
                  </pic:blipFill>
                  <pic:spPr bwMode="auto">
                    <a:xfrm>
                      <a:off x="0" y="0"/>
                      <a:ext cx="6413500" cy="38100"/>
                    </a:xfrm>
                    <a:prstGeom prst="rect">
                      <a:avLst/>
                    </a:prstGeom>
                    <a:noFill/>
                  </pic:spPr>
                </pic:pic>
              </a:graphicData>
            </a:graphic>
          </wp:anchor>
        </w:drawing>
      </w:r>
    </w:p>
    <w:p>
      <w:pPr>
        <w:spacing w:after="0" w:line="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KEY DEVELOPMENTS</w:t>
      </w:r>
    </w:p>
    <w:p>
      <w:pPr>
        <w:spacing w:after="0" w:line="1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Uncertainty related to tariffs and global trade policy changes</w:t>
      </w:r>
    </w:p>
    <w:p>
      <w:pPr>
        <w:spacing w:after="0" w:line="170" w:lineRule="exact"/>
        <w:rPr>
          <w:sz w:val="20"/>
          <w:szCs w:val="20"/>
          <w:color w:val="auto"/>
        </w:rPr>
      </w:pPr>
    </w:p>
    <w:p>
      <w:pPr>
        <w:jc w:val="both"/>
        <w:ind w:left="6" w:firstLine="360"/>
        <w:spacing w:after="0" w:line="294" w:lineRule="auto"/>
        <w:rPr>
          <w:sz w:val="20"/>
          <w:szCs w:val="20"/>
          <w:color w:val="auto"/>
        </w:rPr>
      </w:pPr>
      <w:r>
        <w:rPr>
          <w:rFonts w:ascii="Times New Roman" w:cs="Times New Roman" w:eastAsia="Times New Roman" w:hAnsi="Times New Roman"/>
          <w:sz w:val="20"/>
          <w:szCs w:val="20"/>
          <w:color w:val="auto"/>
        </w:rPr>
        <w:t>Fiscal 2025 saw increased and continuing regulatory activity involving notable changes to U.S. and foreign trade policy, leading to significant uncertainty in the macroeconomic and geopolitical environments. Beginning in the second quarter of 2025, the U.S. instituted a series of tariffs on imports from China, the E.U., India, and other countries which has resulted in the imposition of retaliatory measures against U.S. goods. As a global business, we are exposed to risks associated with tariffs and other trade conflicts. Such risks may include, but are not limited to, (i) changes to and strains on the global supply chain and our ability to source materials; (ii) increased sourcing and manufacturing costs; (iii) decreased demand for Ashland’s products in affected markets; and (iv) other impacts on Ashland’s ability to operate optimally.</w:t>
      </w:r>
    </w:p>
    <w:p>
      <w:pPr>
        <w:spacing w:after="0" w:line="80" w:lineRule="exact"/>
        <w:rPr>
          <w:sz w:val="20"/>
          <w:szCs w:val="20"/>
          <w:color w:val="auto"/>
        </w:rPr>
      </w:pPr>
    </w:p>
    <w:p>
      <w:pPr>
        <w:jc w:val="both"/>
        <w:ind w:left="6" w:firstLine="360"/>
        <w:spacing w:after="0" w:line="295" w:lineRule="auto"/>
        <w:rPr>
          <w:sz w:val="20"/>
          <w:szCs w:val="20"/>
          <w:color w:val="auto"/>
        </w:rPr>
      </w:pPr>
      <w:r>
        <w:rPr>
          <w:rFonts w:ascii="Times New Roman" w:cs="Times New Roman" w:eastAsia="Times New Roman" w:hAnsi="Times New Roman"/>
          <w:sz w:val="20"/>
          <w:szCs w:val="20"/>
          <w:color w:val="auto"/>
        </w:rPr>
        <w:t>The ultimate impact of these recent tariffs and trade disputes on general economic conditions, and on Ashland’s business, financial performance, and results of operations, is uncertain and depends on various factors, including the duration of the tariffs and disputes, negotiations between the U.S. and affected countries, whether additional or incremental tariffs are imposed and the responses of other countries or regions, and the potential for trade restriction-related exemptions. Given the dynamic nature of the situation, Ashland continues to monitor tariff developments as well as the broader global trade landscape and is working to mitigate potential impacts on its business.</w:t>
      </w:r>
    </w:p>
    <w:p>
      <w:pPr>
        <w:spacing w:after="0" w:line="27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M-1</w:t>
      </w:r>
    </w:p>
    <w:p>
      <w:pPr>
        <w:sectPr>
          <w:pgSz w:w="12240" w:h="15840" w:orient="portrait"/>
          <w:cols w:equalWidth="0" w:num="1">
            <w:col w:w="10246"/>
          </w:cols>
          <w:pgMar w:left="994" w:top="1104" w:right="1000" w:bottom="175"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Uncertainty relating to the ongoing Israel/Iran, Ukraine/Russia and Israel/Hamas conflict</w:t>
      </w:r>
    </w:p>
    <w:p>
      <w:pPr>
        <w:spacing w:after="0" w:line="17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Business disruptions, including those related to the ongoing conflicts between Israel/Iran, Ukraine/Russia, and Israel/Hamas continue to impact businesses around the globe. While it is impossible to predict the effects of the conflicts, they may include escalating geopolitical tensions (including the imposition of existing and additional sanctions by the U.S. and the EU on Russia), worsening macroeconomic and general business conditions, supply chain interruptions and unfavorable energy markets, and the impact to Ashland could be material. Ashland is closely monitoring these situations and maintains business continuity plans that are intended to continue operations and mitigate the effects of events that could disrupt its business.</w:t>
      </w:r>
    </w:p>
    <w:p>
      <w:pPr>
        <w:spacing w:after="0" w:line="80"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Ashland does not have manufacturing operations in Israel, Russia, Ukraine,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Israel, Ukraine, Russia, and Belarus represent less than 1% of total consolidated sales and less than 1% of total consolidated assets (related to accounts receivable).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significant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repurchase program agreements</w:t>
      </w:r>
    </w:p>
    <w:p>
      <w:pPr>
        <w:spacing w:after="0" w:line="164"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During fiscal 2025, under the Company's current common share repurchase program (the "2023 Stock Repurchase Program"), Ashland initiated and completed a number of Rule 10b5-1 trading plan agreements. Ashland paid a total of $100 million and repurchased a total of 1.5 million shares. During the most recent three fiscal years, Ashland paid a total of $780 million and received a total of 8.9 million shares. See Note N of the Notes to Consolidated Financial Statements for more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programs</w:t>
      </w:r>
    </w:p>
    <w:p>
      <w:pPr>
        <w:spacing w:after="0" w:line="164"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 previously announced, Ashland initiated a new $30 million pre-tax restructuring plan to offset the impact from the Nutraceuticals business sale, completed in fiscal 2024, and other portfolio optimization actions, which were expected to be realized 50 percent in fiscal 2025 and 50 percent in fiscal 2026. Ashland realized approximately $20 million or 67% of the total targeted savings in fiscal 2025.</w:t>
      </w:r>
    </w:p>
    <w:p>
      <w:pPr>
        <w:spacing w:after="0" w:line="74"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is also advancing a multi-year manufacturing optimization restructuring plan to improve operational cost and strengthen its competitive position. This optimization plan is expected to generate pre-tax savings of $50 million to $55 million with $60 million being achievable as market conditions improve, particularly within China. Ashland realized approximately $5 million in savings in fiscal 2025.</w:t>
      </w:r>
    </w:p>
    <w:p>
      <w:pPr>
        <w:spacing w:after="0" w:line="74"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Ashland is also continuing to execute its fiscal 2024 portfolio and plant optimization actions to further strengthen Ashland’s resilience and improve margins and returns. These previously announced actions include initiatives focused on carboxymethylcellulose (CMC), methylcellulose (MC), Nutraceuticals and Avoca Portfolio Optimization (collectively, Portfolio Optimization). Overall, these Portfolio Optimization actions reduced sales and operating income (loss) by approximately $208 million and $29 million, respectively, for fiscal 2025, as compared to the prior year. Adjusted EBITDA was also reduced by $45 million in fiscal 2025, as compared to the prior year.</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expense impact of the Portfolio Optimization actions for the years ended September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30:</w:t>
            </w: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4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400" w:type="dxa"/>
            <w:vAlign w:val="bottom"/>
          </w:tcPr>
          <w:p>
            <w:pPr>
              <w:spacing w:after="0"/>
              <w:rPr>
                <w:sz w:val="2"/>
                <w:szCs w:val="2"/>
                <w:color w:val="auto"/>
              </w:rPr>
            </w:pPr>
          </w:p>
        </w:tc>
        <w:tc>
          <w:tcPr>
            <w:tcW w:w="1500" w:type="dxa"/>
            <w:vAlign w:val="bottom"/>
            <w:vMerge w:val="restart"/>
          </w:tcPr>
          <w:p>
            <w:pPr>
              <w:jc w:val="right"/>
              <w:ind w:right="72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vMerge w:val="restart"/>
          </w:tcPr>
          <w:p>
            <w:pPr>
              <w:jc w:val="right"/>
              <w:ind w:right="720"/>
              <w:spacing w:after="0"/>
              <w:rPr>
                <w:sz w:val="20"/>
                <w:szCs w:val="20"/>
                <w:color w:val="auto"/>
              </w:rPr>
            </w:pPr>
            <w:r>
              <w:rPr>
                <w:rFonts w:ascii="Times New Roman" w:cs="Times New Roman" w:eastAsia="Times New Roman" w:hAnsi="Times New Roman"/>
                <w:sz w:val="20"/>
                <w:szCs w:val="20"/>
                <w:color w:val="auto"/>
              </w:rPr>
              <w:t>2024</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vMerge w:val="restart"/>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42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0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Accelerated Depreciation</w:t>
            </w:r>
          </w:p>
        </w:tc>
        <w:tc>
          <w:tcPr>
            <w:tcW w:w="400" w:type="dxa"/>
            <w:vAlign w:val="bottom"/>
            <w:shd w:val="clear" w:color="auto" w:fill="D5EFF4"/>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41</w:t>
            </w:r>
          </w:p>
        </w:tc>
        <w:tc>
          <w:tcPr>
            <w:tcW w:w="580" w:type="dxa"/>
            <w:vAlign w:val="bottom"/>
            <w:gridSpan w:val="3"/>
            <w:shd w:val="clear" w:color="auto" w:fill="D5EFF4"/>
          </w:tcPr>
          <w:p>
            <w:pPr>
              <w:jc w:val="right"/>
              <w:ind w:right="215"/>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57</w:t>
            </w:r>
          </w:p>
        </w:tc>
        <w:tc>
          <w:tcPr>
            <w:tcW w:w="580" w:type="dxa"/>
            <w:vAlign w:val="bottom"/>
            <w:gridSpan w:val="3"/>
            <w:shd w:val="clear" w:color="auto" w:fill="D5EFF4"/>
          </w:tcPr>
          <w:p>
            <w:pPr>
              <w:jc w:val="right"/>
              <w:ind w:right="215"/>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3"/>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separation and other costs</w:t>
            </w:r>
          </w:p>
        </w:tc>
        <w:tc>
          <w:tcPr>
            <w:tcW w:w="40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0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Other plant optimization costs</w:t>
            </w:r>
          </w:p>
        </w:tc>
        <w:tc>
          <w:tcPr>
            <w:tcW w:w="400" w:type="dxa"/>
            <w:vAlign w:val="bottom"/>
            <w:shd w:val="clear" w:color="auto" w:fill="D5EFF4"/>
          </w:tcPr>
          <w:p>
            <w:pPr>
              <w:spacing w:after="0"/>
              <w:rPr>
                <w:sz w:val="21"/>
                <w:szCs w:val="21"/>
                <w:color w:val="auto"/>
              </w:rPr>
            </w:pPr>
          </w:p>
        </w:tc>
        <w:tc>
          <w:tcPr>
            <w:tcW w:w="1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380" w:type="dxa"/>
            <w:vAlign w:val="bottom"/>
            <w:shd w:val="clear" w:color="auto" w:fill="D5EFF4"/>
          </w:tcPr>
          <w:p>
            <w:pPr>
              <w:spacing w:after="0"/>
              <w:rPr>
                <w:sz w:val="21"/>
                <w:szCs w:val="21"/>
                <w:color w:val="auto"/>
              </w:rPr>
            </w:pPr>
          </w:p>
        </w:tc>
        <w:tc>
          <w:tcPr>
            <w:tcW w:w="15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380" w:type="dxa"/>
            <w:vAlign w:val="bottom"/>
            <w:shd w:val="clear" w:color="auto" w:fill="D5EFF4"/>
          </w:tcPr>
          <w:p>
            <w:pPr>
              <w:spacing w:after="0"/>
              <w:rPr>
                <w:sz w:val="21"/>
                <w:szCs w:val="21"/>
                <w:color w:val="auto"/>
              </w:rPr>
            </w:pPr>
          </w:p>
        </w:tc>
        <w:tc>
          <w:tcPr>
            <w:tcW w:w="1480" w:type="dxa"/>
            <w:vAlign w:val="bottom"/>
            <w:gridSpan w:val="3"/>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42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85</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97</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4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-908050</wp:posOffset>
            </wp:positionV>
            <wp:extent cx="650811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38">
                      <a:extLst>
                        <a:ext uri="{28A0092B-C50C-407E-A947-70E740481C1C}"/>
                      </a:extLst>
                    </a:blip>
                    <a:srcRect/>
                    <a:stretch>
                      <a:fillRect/>
                    </a:stretch>
                  </pic:blipFill>
                  <pic:spPr bwMode="auto">
                    <a:xfrm>
                      <a:off x="0" y="0"/>
                      <a:ext cx="6508115" cy="3810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-743585</wp:posOffset>
            </wp:positionV>
            <wp:extent cx="650811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39">
                      <a:extLst>
                        <a:ext uri="{28A0092B-C50C-407E-A947-70E740481C1C}"/>
                      </a:extLst>
                    </a:blip>
                    <a:srcRect/>
                    <a:stretch>
                      <a:fillRect/>
                    </a:stretch>
                  </pic:blipFill>
                  <pic:spPr bwMode="auto">
                    <a:xfrm>
                      <a:off x="0" y="0"/>
                      <a:ext cx="6508115" cy="3810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-23495</wp:posOffset>
            </wp:positionV>
            <wp:extent cx="650811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40">
                      <a:extLst>
                        <a:ext uri="{28A0092B-C50C-407E-A947-70E740481C1C}"/>
                      </a:extLst>
                    </a:blip>
                    <a:srcRect/>
                    <a:stretch>
                      <a:fillRect/>
                    </a:stretch>
                  </pic:blipFill>
                  <pic:spPr bwMode="auto">
                    <a:xfrm>
                      <a:off x="0" y="0"/>
                      <a:ext cx="6508115" cy="38100"/>
                    </a:xfrm>
                    <a:prstGeom prst="rect">
                      <a:avLst/>
                    </a:prstGeom>
                    <a:noFill/>
                  </pic:spPr>
                </pic:pic>
              </a:graphicData>
            </a:graphic>
          </wp:anchor>
        </w:drawing>
      </w:r>
    </w:p>
    <w:p>
      <w:pPr>
        <w:sectPr>
          <w:pgSz w:w="12240" w:h="15840" w:orient="portrait"/>
          <w:cols w:equalWidth="0" w:num="1">
            <w:col w:w="10240"/>
          </w:cols>
          <w:pgMar w:left="1000" w:top="984" w:right="1000" w:bottom="175"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M-2</w:t>
      </w:r>
    </w:p>
    <w:p>
      <w:pPr>
        <w:sectPr>
          <w:pgSz w:w="12240" w:h="15840" w:orient="portrait"/>
          <w:cols w:equalWidth="0" w:num="1">
            <w:col w:w="10240"/>
          </w:cols>
          <w:pgMar w:left="1000" w:top="984" w:right="1000" w:bottom="175" w:gutter="0" w:footer="0" w:header="0"/>
          <w:type w:val="continuous"/>
        </w:sectPr>
      </w:pPr>
    </w:p>
    <w:bookmarkStart w:id="60" w:name="page61"/>
    <w:bookmarkEnd w:id="60"/>
    <w:p>
      <w:pPr>
        <w:ind w:left="6"/>
        <w:spacing w:after="0"/>
        <w:rPr>
          <w:sz w:val="20"/>
          <w:szCs w:val="20"/>
          <w:color w:val="auto"/>
        </w:rPr>
      </w:pPr>
      <w:r>
        <w:rPr>
          <w:rFonts w:ascii="Times New Roman" w:cs="Times New Roman" w:eastAsia="Times New Roman" w:hAnsi="Times New Roman"/>
          <w:sz w:val="20"/>
          <w:szCs w:val="20"/>
          <w:i w:val="1"/>
          <w:iCs w:val="1"/>
          <w:color w:val="auto"/>
        </w:rPr>
        <w:t>Avoca business sale</w:t>
      </w:r>
    </w:p>
    <w:p>
      <w:pPr>
        <w:spacing w:after="0" w:line="164"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During fiscal 2025, Ashland completed the sale of its Avoca business to Mane SA. Proceeds from the sale were $16 million, net of transaction costs. The Avoca business was included within Ashland's Personal Care reportable segment. Ashland determined this transaction did not qualify for discontinued operations treatment since it neither represented a strategic shift nor did it have a major effect on Ashland's operations and financial results.</w:t>
      </w:r>
    </w:p>
    <w:p>
      <w:pPr>
        <w:spacing w:after="0" w:line="74" w:lineRule="exact"/>
        <w:rPr>
          <w:sz w:val="20"/>
          <w:szCs w:val="20"/>
          <w:color w:val="auto"/>
        </w:rPr>
      </w:pPr>
    </w:p>
    <w:p>
      <w:pPr>
        <w:jc w:val="both"/>
        <w:ind w:left="6" w:firstLine="360"/>
        <w:spacing w:after="0" w:line="292" w:lineRule="auto"/>
        <w:rPr>
          <w:sz w:val="20"/>
          <w:szCs w:val="20"/>
          <w:color w:val="auto"/>
        </w:rPr>
      </w:pPr>
      <w:r>
        <w:rPr>
          <w:rFonts w:ascii="Times New Roman" w:cs="Times New Roman" w:eastAsia="Times New Roman" w:hAnsi="Times New Roman"/>
          <w:sz w:val="20"/>
          <w:szCs w:val="20"/>
          <w:color w:val="auto"/>
        </w:rPr>
        <w:t>Ashland recorded an impairment charge of $183 million ($1 million allocated to goodwill, $134 million to other intangible assets, $33 million to property, plant and equipment, $14 million to operating lease assets, net and $1 million to other current assets) during the year ended September 30, 2025, within the income (loss) on acquisitions and divestitures, net caption of the Statement of Consolidated Comprehensive Income (Loss). The tax benefit associated with the sale is included within the income tax expense (benefit) caption of the Statement of Consolidated Comprehensive Income (Loss) for the year ended September 30, 2025. See Note K of the Notes to Consolidated Financial Statements for tax details associated with the transaction. Ashland also recorded a pre-tax gain on sale of $8 million following the completion of this sale, mainly related to working capital movements, within the income (loss) on acquisitions and divestitures, net caption of the Statement of Consolidated Comprehensive Income (Loss) during the year ended September 30, 2025.</w:t>
      </w:r>
    </w:p>
    <w:p>
      <w:pPr>
        <w:spacing w:after="0" w:line="8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Goodwill impairment</w:t>
      </w:r>
    </w:p>
    <w:p>
      <w:pPr>
        <w:spacing w:after="0" w:line="164" w:lineRule="exact"/>
        <w:rPr>
          <w:sz w:val="20"/>
          <w:szCs w:val="20"/>
          <w:color w:val="auto"/>
        </w:rPr>
      </w:pPr>
    </w:p>
    <w:p>
      <w:pPr>
        <w:jc w:val="both"/>
        <w:ind w:left="6" w:firstLine="360"/>
        <w:spacing w:after="0" w:line="292" w:lineRule="auto"/>
        <w:rPr>
          <w:sz w:val="20"/>
          <w:szCs w:val="20"/>
          <w:color w:val="auto"/>
        </w:rPr>
      </w:pPr>
      <w:r>
        <w:rPr>
          <w:rFonts w:ascii="Times New Roman" w:cs="Times New Roman" w:eastAsia="Times New Roman" w:hAnsi="Times New Roman"/>
          <w:sz w:val="20"/>
          <w:szCs w:val="20"/>
          <w:color w:val="auto"/>
        </w:rPr>
        <w:t>During the third quarter of fiscal 2025, Ashland experienced a continued decline in the market price of its Common Stock. Ashland also experienced slowing growth due to a weakening macroeconomic environment that is dampening consumer sentiment and demand globally which resulted in lower growth and lower margins for the Life Sciences and Specialty Additives reportable segments (and reporting units) than what was previously expected. These factors led Ashland to determine that triggering events occurred, and a quantitative goodwill impairment assessment was performed during the third quarter of fiscal 2025. Following the aforementioned quantitative analysis, the carrying value of the Life Sciences and the Specialty Additives reporting units exceeded their fair value, resulting in non-cash goodwill impairment charges of $375 million and $331 million, respectively, for a total goodwill impairment charge of $706 million, which was recorded during the year ended September 30, 2025, within the goodwill impairment caption of the Statement of Consolidated Comprehensive Income (Loss). No subsequent indicators of impairment have been identified.</w:t>
      </w:r>
    </w:p>
    <w:p>
      <w:pPr>
        <w:spacing w:after="0" w:line="7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RESULTS OF OPERATIONS – CONSOLIDATED REVIEW</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Consolidated review</w:t>
      </w:r>
    </w:p>
    <w:p>
      <w:pPr>
        <w:spacing w:after="0" w:line="16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64"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auto"/>
        </w:rPr>
        <w:t>Key financial results for fiscal 2025, 2024 and 2023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652970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41">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244"/>
        </w:trPr>
        <w:tc>
          <w:tcPr>
            <w:tcW w:w="5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21"/>
                <w:szCs w:val="21"/>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1"/>
                <w:szCs w:val="21"/>
                <w:color w:val="auto"/>
              </w:rPr>
            </w:pPr>
          </w:p>
        </w:tc>
      </w:tr>
      <w:tr>
        <w:trPr>
          <w:trHeight w:val="24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(In millions except per share data)</w:t>
            </w:r>
          </w:p>
        </w:tc>
        <w:tc>
          <w:tcPr>
            <w:tcW w:w="12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21"/>
                <w:szCs w:val="21"/>
                <w:color w:val="auto"/>
              </w:rPr>
            </w:pP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21"/>
                <w:szCs w:val="21"/>
                <w:color w:val="auto"/>
              </w:rPr>
            </w:pP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2023</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change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change</w:t>
            </w:r>
          </w:p>
        </w:tc>
        <w:tc>
          <w:tcPr>
            <w:tcW w:w="80" w:type="dxa"/>
            <w:vAlign w:val="bottom"/>
            <w:tcBorders>
              <w:bottom w:val="single" w:sz="8" w:color="auto"/>
            </w:tcBorders>
          </w:tcPr>
          <w:p>
            <w:pPr>
              <w:spacing w:after="0"/>
              <w:rPr>
                <w:sz w:val="21"/>
                <w:szCs w:val="21"/>
                <w:color w:val="auto"/>
              </w:rPr>
            </w:pPr>
          </w:p>
        </w:tc>
      </w:tr>
      <w:tr>
        <w:trPr>
          <w:trHeight w:val="239"/>
        </w:trPr>
        <w:tc>
          <w:tcPr>
            <w:tcW w:w="53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   (845)</w:t>
            </w:r>
          </w:p>
        </w:tc>
        <w:tc>
          <w:tcPr>
            <w:tcW w:w="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169</w:t>
            </w:r>
          </w:p>
        </w:tc>
        <w:tc>
          <w:tcPr>
            <w:tcW w:w="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178</w:t>
            </w: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 (1,014)</w:t>
            </w:r>
          </w:p>
        </w:tc>
        <w:tc>
          <w:tcPr>
            <w:tcW w:w="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r>
      <w:tr>
        <w:trPr>
          <w:trHeight w:val="283"/>
        </w:trPr>
        <w:tc>
          <w:tcPr>
            <w:tcW w:w="532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Diluted earnings per share (EPS) net income (loss)</w:t>
            </w:r>
            <w:r>
              <w:rPr>
                <w:rFonts w:ascii="Times New Roman" w:cs="Times New Roman" w:eastAsia="Times New Roman" w:hAnsi="Times New Roman"/>
                <w:sz w:val="25"/>
                <w:szCs w:val="25"/>
                <w:color w:val="auto"/>
                <w:vertAlign w:val="superscript"/>
              </w:rPr>
              <w:t>(a)</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w:t>
            </w:r>
          </w:p>
        </w:tc>
        <w:tc>
          <w:tcPr>
            <w:tcW w:w="20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3.36</w:t>
            </w:r>
          </w:p>
        </w:tc>
        <w:tc>
          <w:tcPr>
            <w:tcW w:w="20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3.31</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(21.59)</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80" w:type="dxa"/>
            <w:vAlign w:val="bottom"/>
          </w:tcPr>
          <w:p>
            <w:pPr>
              <w:spacing w:after="0"/>
              <w:rPr>
                <w:sz w:val="24"/>
                <w:szCs w:val="24"/>
                <w:color w:val="auto"/>
              </w:rPr>
            </w:pPr>
          </w:p>
        </w:tc>
      </w:tr>
      <w:tr>
        <w:trPr>
          <w:trHeight w:val="283"/>
        </w:trPr>
        <w:tc>
          <w:tcPr>
            <w:tcW w:w="53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(822)</w:t>
            </w:r>
          </w:p>
        </w:tc>
        <w:tc>
          <w:tcPr>
            <w:tcW w:w="200" w:type="dxa"/>
            <w:vAlign w:val="bottom"/>
            <w:shd w:val="clear" w:color="auto" w:fill="D4EFF4"/>
          </w:tcPr>
          <w:p>
            <w:pPr>
              <w:spacing w:after="0"/>
              <w:rPr>
                <w:sz w:val="24"/>
                <w:szCs w:val="24"/>
                <w:color w:val="auto"/>
              </w:rPr>
            </w:pPr>
          </w:p>
        </w:tc>
        <w:tc>
          <w:tcPr>
            <w:tcW w:w="740" w:type="dxa"/>
            <w:vAlign w:val="bottom"/>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199</w:t>
            </w:r>
          </w:p>
        </w:tc>
        <w:tc>
          <w:tcPr>
            <w:tcW w:w="200" w:type="dxa"/>
            <w:vAlign w:val="bottom"/>
            <w:shd w:val="clear" w:color="auto" w:fill="D4EFF4"/>
          </w:tcPr>
          <w:p>
            <w:pPr>
              <w:spacing w:after="0"/>
              <w:rPr>
                <w:sz w:val="24"/>
                <w:szCs w:val="24"/>
                <w:color w:val="auto"/>
              </w:rPr>
            </w:pPr>
          </w:p>
        </w:tc>
        <w:tc>
          <w:tcPr>
            <w:tcW w:w="7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168</w:t>
            </w: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(1,021)</w:t>
            </w:r>
          </w:p>
        </w:tc>
        <w:tc>
          <w:tcPr>
            <w:tcW w:w="200" w:type="dxa"/>
            <w:vAlign w:val="bottom"/>
            <w:shd w:val="clear" w:color="auto" w:fill="D4EFF4"/>
          </w:tcPr>
          <w:p>
            <w:pPr>
              <w:spacing w:after="0"/>
              <w:rPr>
                <w:sz w:val="24"/>
                <w:szCs w:val="24"/>
                <w:color w:val="auto"/>
              </w:rPr>
            </w:pPr>
          </w:p>
        </w:tc>
        <w:tc>
          <w:tcPr>
            <w:tcW w:w="6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shd w:val="clear" w:color="auto" w:fill="D4EFF4"/>
          </w:tcPr>
          <w:p>
            <w:pPr>
              <w:spacing w:after="0"/>
              <w:rPr>
                <w:sz w:val="24"/>
                <w:szCs w:val="24"/>
                <w:color w:val="auto"/>
              </w:rPr>
            </w:pPr>
          </w:p>
        </w:tc>
      </w:tr>
      <w:tr>
        <w:trPr>
          <w:trHeight w:val="283"/>
        </w:trPr>
        <w:tc>
          <w:tcPr>
            <w:tcW w:w="532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Diluted EPS income (loss) from continuing operations</w:t>
            </w:r>
            <w:r>
              <w:rPr>
                <w:rFonts w:ascii="Times New Roman" w:cs="Times New Roman" w:eastAsia="Times New Roman" w:hAnsi="Times New Roman"/>
                <w:sz w:val="25"/>
                <w:szCs w:val="25"/>
                <w:color w:val="auto"/>
                <w:vertAlign w:val="superscript"/>
              </w:rPr>
              <w:t>(a)</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(17.74)</w:t>
            </w:r>
          </w:p>
        </w:tc>
        <w:tc>
          <w:tcPr>
            <w:tcW w:w="20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3.95</w:t>
            </w:r>
          </w:p>
        </w:tc>
        <w:tc>
          <w:tcPr>
            <w:tcW w:w="20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3.13</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(21.69)</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0.82</w:t>
            </w:r>
          </w:p>
        </w:tc>
        <w:tc>
          <w:tcPr>
            <w:tcW w:w="80" w:type="dxa"/>
            <w:vAlign w:val="bottom"/>
          </w:tcPr>
          <w:p>
            <w:pPr>
              <w:spacing w:after="0"/>
              <w:rPr>
                <w:sz w:val="24"/>
                <w:szCs w:val="24"/>
                <w:color w:val="auto"/>
              </w:rPr>
            </w:pPr>
          </w:p>
        </w:tc>
      </w:tr>
      <w:tr>
        <w:trPr>
          <w:trHeight w:val="244"/>
        </w:trPr>
        <w:tc>
          <w:tcPr>
            <w:tcW w:w="53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Operating income (loss)</w:t>
            </w: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(775)</w:t>
            </w:r>
          </w:p>
        </w:tc>
        <w:tc>
          <w:tcPr>
            <w:tcW w:w="200" w:type="dxa"/>
            <w:vAlign w:val="bottom"/>
            <w:shd w:val="clear" w:color="auto" w:fill="D4EFF4"/>
          </w:tcPr>
          <w:p>
            <w:pPr>
              <w:spacing w:after="0"/>
              <w:rPr>
                <w:sz w:val="21"/>
                <w:szCs w:val="21"/>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0" w:type="dxa"/>
            <w:vAlign w:val="bottom"/>
            <w:shd w:val="clear" w:color="auto" w:fill="D4EFF4"/>
          </w:tcPr>
          <w:p>
            <w:pPr>
              <w:spacing w:after="0"/>
              <w:rPr>
                <w:sz w:val="21"/>
                <w:szCs w:val="21"/>
                <w:color w:val="auto"/>
              </w:rPr>
            </w:pPr>
          </w:p>
        </w:tc>
        <w:tc>
          <w:tcPr>
            <w:tcW w:w="7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172</w:t>
            </w: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200" w:type="dxa"/>
            <w:vAlign w:val="bottom"/>
            <w:shd w:val="clear" w:color="auto" w:fill="D4EFF4"/>
          </w:tcPr>
          <w:p>
            <w:pPr>
              <w:spacing w:after="0"/>
              <w:rPr>
                <w:sz w:val="21"/>
                <w:szCs w:val="21"/>
                <w:color w:val="auto"/>
              </w:rPr>
            </w:pPr>
          </w:p>
        </w:tc>
        <w:tc>
          <w:tcPr>
            <w:tcW w:w="68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(198)</w:t>
            </w:r>
          </w:p>
        </w:tc>
      </w:tr>
      <w:tr>
        <w:trPr>
          <w:trHeight w:val="244"/>
        </w:trPr>
        <w:tc>
          <w:tcPr>
            <w:tcW w:w="532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EBITDA</w:t>
            </w:r>
            <w:r>
              <w:rPr>
                <w:rFonts w:ascii="Times New Roman" w:cs="Times New Roman" w:eastAsia="Times New Roman" w:hAnsi="Times New Roman"/>
                <w:sz w:val="25"/>
                <w:szCs w:val="25"/>
                <w:color w:val="auto"/>
                <w:vertAlign w:val="superscript"/>
              </w:rPr>
              <w:t>(b)</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200" w:type="dxa"/>
            <w:vAlign w:val="bottom"/>
          </w:tcPr>
          <w:p>
            <w:pPr>
              <w:spacing w:after="0"/>
              <w:rPr>
                <w:sz w:val="21"/>
                <w:szCs w:val="21"/>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142</w:t>
            </w:r>
          </w:p>
        </w:tc>
        <w:tc>
          <w:tcPr>
            <w:tcW w:w="20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419</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w:t>
            </w:r>
          </w:p>
        </w:tc>
        <w:tc>
          <w:tcPr>
            <w:tcW w:w="20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(277)</w:t>
            </w:r>
          </w:p>
        </w:tc>
      </w:tr>
      <w:tr>
        <w:trPr>
          <w:trHeight w:val="244"/>
        </w:trPr>
        <w:tc>
          <w:tcPr>
            <w:tcW w:w="5320" w:type="dxa"/>
            <w:vAlign w:val="bottom"/>
            <w:shd w:val="clear" w:color="auto" w:fill="D4EFF4"/>
          </w:tcPr>
          <w:p>
            <w:pPr>
              <w:spacing w:after="0" w:line="244" w:lineRule="exact"/>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(b)</w:t>
            </w:r>
          </w:p>
        </w:tc>
        <w:tc>
          <w:tcPr>
            <w:tcW w:w="1220" w:type="dxa"/>
            <w:vAlign w:val="bottom"/>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401</w:t>
            </w:r>
          </w:p>
        </w:tc>
        <w:tc>
          <w:tcPr>
            <w:tcW w:w="200" w:type="dxa"/>
            <w:vAlign w:val="bottom"/>
            <w:shd w:val="clear" w:color="auto" w:fill="D4EFF4"/>
          </w:tcPr>
          <w:p>
            <w:pPr>
              <w:spacing w:after="0"/>
              <w:rPr>
                <w:sz w:val="21"/>
                <w:szCs w:val="21"/>
                <w:color w:val="auto"/>
              </w:rPr>
            </w:pPr>
          </w:p>
        </w:tc>
        <w:tc>
          <w:tcPr>
            <w:tcW w:w="740" w:type="dxa"/>
            <w:vAlign w:val="bottom"/>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459</w:t>
            </w:r>
          </w:p>
        </w:tc>
        <w:tc>
          <w:tcPr>
            <w:tcW w:w="200" w:type="dxa"/>
            <w:vAlign w:val="bottom"/>
            <w:shd w:val="clear" w:color="auto" w:fill="D4EFF4"/>
          </w:tcPr>
          <w:p>
            <w:pPr>
              <w:spacing w:after="0"/>
              <w:rPr>
                <w:sz w:val="21"/>
                <w:szCs w:val="21"/>
                <w:color w:val="auto"/>
              </w:rPr>
            </w:pPr>
          </w:p>
        </w:tc>
        <w:tc>
          <w:tcPr>
            <w:tcW w:w="7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459</w:t>
            </w: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00" w:type="dxa"/>
            <w:vAlign w:val="bottom"/>
            <w:shd w:val="clear" w:color="auto" w:fill="D4EFF4"/>
          </w:tcPr>
          <w:p>
            <w:pPr>
              <w:spacing w:after="0"/>
              <w:rPr>
                <w:sz w:val="21"/>
                <w:szCs w:val="21"/>
                <w:color w:val="auto"/>
              </w:rPr>
            </w:pPr>
          </w:p>
        </w:tc>
        <w:tc>
          <w:tcPr>
            <w:tcW w:w="6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21"/>
                <w:szCs w:val="21"/>
                <w:color w:val="auto"/>
              </w:rPr>
            </w:pPr>
          </w:p>
        </w:tc>
      </w:tr>
      <w:tr>
        <w:trPr>
          <w:trHeight w:val="225"/>
        </w:trPr>
        <w:tc>
          <w:tcPr>
            <w:tcW w:w="53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Adjusted Diluted EPS from Continuing Operations Excluding</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48"/>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Intangibles Amortization Expense</w:t>
            </w:r>
            <w:r>
              <w:rPr>
                <w:rFonts w:ascii="Times New Roman" w:cs="Times New Roman" w:eastAsia="Times New Roman" w:hAnsi="Times New Roman"/>
                <w:sz w:val="25"/>
                <w:szCs w:val="25"/>
                <w:color w:val="auto"/>
                <w:vertAlign w:val="superscript"/>
              </w:rPr>
              <w:t>(b)</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3.38</w:t>
            </w:r>
          </w:p>
        </w:tc>
        <w:tc>
          <w:tcPr>
            <w:tcW w:w="20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4.45</w:t>
            </w:r>
          </w:p>
        </w:tc>
        <w:tc>
          <w:tcPr>
            <w:tcW w:w="20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4.07</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0.38</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-1544955</wp:posOffset>
            </wp:positionV>
            <wp:extent cx="649541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42">
                      <a:extLst>
                        <a:ext uri="{28A0092B-C50C-407E-A947-70E740481C1C}"/>
                      </a:extLst>
                    </a:blip>
                    <a:srcRect/>
                    <a:stretch>
                      <a:fillRect/>
                    </a:stretch>
                  </pic:blipFill>
                  <pic:spPr bwMode="auto">
                    <a:xfrm>
                      <a:off x="0" y="0"/>
                      <a:ext cx="649541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-20955</wp:posOffset>
            </wp:positionV>
            <wp:extent cx="652970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43">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9" w:lineRule="exact"/>
        <w:rPr>
          <w:sz w:val="20"/>
          <w:szCs w:val="20"/>
          <w:color w:val="auto"/>
        </w:rPr>
      </w:pPr>
    </w:p>
    <w:p>
      <w:pPr>
        <w:ind w:left="566" w:hanging="566"/>
        <w:spacing w:after="0" w:line="266" w:lineRule="auto"/>
        <w:tabs>
          <w:tab w:leader="none" w:pos="56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loss from continuing operations attributable to Ashland during fiscal 2025, the effect of the share-based awards convertible to common stock would be antidilutive and have been excluded from the diluted EPS calculation.</w:t>
      </w:r>
    </w:p>
    <w:p>
      <w:pPr>
        <w:ind w:left="566" w:hanging="566"/>
        <w:spacing w:after="0"/>
        <w:tabs>
          <w:tab w:leader="none" w:pos="56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are non-GAAP financial measures. See "Use of Non-GAAP Financial Measures" section below for reconciliations to U.S. GAAP.</w:t>
      </w:r>
    </w:p>
    <w:p>
      <w:pPr>
        <w:spacing w:after="0" w:line="116" w:lineRule="exact"/>
        <w:rPr>
          <w:sz w:val="20"/>
          <w:szCs w:val="20"/>
          <w:color w:val="auto"/>
        </w:rPr>
      </w:pPr>
    </w:p>
    <w:p>
      <w:pPr>
        <w:jc w:val="both"/>
        <w:ind w:left="6" w:firstLine="360"/>
        <w:spacing w:after="0" w:line="306" w:lineRule="auto"/>
        <w:rPr>
          <w:sz w:val="20"/>
          <w:szCs w:val="20"/>
          <w:color w:val="auto"/>
        </w:rPr>
      </w:pPr>
      <w:r>
        <w:rPr>
          <w:rFonts w:ascii="Times New Roman" w:cs="Times New Roman" w:eastAsia="Times New Roman" w:hAnsi="Times New Roman"/>
          <w:sz w:val="20"/>
          <w:szCs w:val="20"/>
          <w:color w:val="auto"/>
        </w:rPr>
        <w:t>Ashland’s net loss of $845 million (loss of $18.23 diluted earnings per share) in 2025, and net income of $169 million ($3.36 diluted earnings per share) in 2024 and $178 million ($3.31 diluted earnings per share) in 2023 included a loss from discontinued operations of $23 million, (loss of $0.49 diluted earnings per share) in 2025, and $30 million ($0.59 diluted</w:t>
      </w:r>
    </w:p>
    <w:p>
      <w:pPr>
        <w:spacing w:after="0" w:line="2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M-3</w:t>
      </w:r>
    </w:p>
    <w:p>
      <w:pPr>
        <w:sectPr>
          <w:pgSz w:w="12240" w:h="15840" w:orient="portrait"/>
          <w:cols w:equalWidth="0" w:num="1">
            <w:col w:w="10246"/>
          </w:cols>
          <w:pgMar w:left="994" w:top="990" w:right="1000" w:bottom="175" w:gutter="0" w:footer="0" w:header="0"/>
        </w:sectPr>
      </w:pPr>
    </w:p>
    <w:bookmarkStart w:id="61" w:name="page62"/>
    <w:bookmarkEnd w:id="61"/>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earnings per share) in 2024, and a net income from discontinued operations of $10 million ($0.18 diluted earnings per share) in 2023.</w:t>
      </w:r>
    </w:p>
    <w:p>
      <w:pPr>
        <w:spacing w:after="0" w:line="49" w:lineRule="exact"/>
        <w:rPr>
          <w:sz w:val="20"/>
          <w:szCs w:val="20"/>
          <w:color w:val="auto"/>
        </w:rPr>
      </w:pPr>
    </w:p>
    <w:p>
      <w:pPr>
        <w:jc w:val="both"/>
        <w:ind w:right="20" w:firstLine="360"/>
        <w:spacing w:after="0" w:line="290" w:lineRule="auto"/>
        <w:rPr>
          <w:sz w:val="20"/>
          <w:szCs w:val="20"/>
          <w:color w:val="auto"/>
        </w:rPr>
      </w:pPr>
      <w:r>
        <w:rPr>
          <w:rFonts w:ascii="Times New Roman" w:cs="Times New Roman" w:eastAsia="Times New Roman" w:hAnsi="Times New Roman"/>
          <w:sz w:val="20"/>
          <w:szCs w:val="20"/>
          <w:color w:val="auto"/>
        </w:rPr>
        <w:t>Results for Ashland’s continuing operations, diluted earnings (loss) per share from continuing operations and operating income (loss) for fiscal 2025, 2024 and 2023 included certain key items that were excluded to arrive at Adjusted EBITDA and are quantified in the “Use of Non-GAAP Financial Measures” section of this Annual Report on Form 10-K. These pre-tax key items totaled expense of $959 million, $227 million and $21 million in fiscal 2025, 2024 and 2023, respectively, impacting continuing operations, including a non-cash goodwill impairment charge of $706 million in fiscal 2025 ($375 million for the Life Sciences and $331 million for the Specialty Additives reportable segments). Continuing operations was also impacted by unfavorable discrete tax items totaling $31 million in 2025 and favorable discrete items totaling $234 million and $44 million in 2024 and 2023, respectively, for various tax specific key items for uncertain tax positions, valuation allowances, restructuring and separation activity and tax reform related activity. The pre-tax key items impacting operating income (loss) totaled expense of $982 million, $273 million, and $52 million in fiscal 2025, 2024 and 2023, respectively. Excluding these key items, continuing operations, diluted earnings per share from continuing operations and operating income (loss) decreased from fiscal 2024 to 2025, driven by Portfolio Optimization actions, reduced volume, and lower pricing. This was partially offset by lower selling, administrative, research and development costs. The increase in income from continuing operations, diluted earnings per share from continuing operations and operating income (loss) from fiscal 2023 to 2024 was primarily due to deflationary raw materials offset by unfavorable pricing and lower volume. In addition, diluted earnings per share from continuing operations was also impacted by common share reductions from repurchases of Ashland common stock in the amount of $100 million in 2025, $380 million in 2024 and $300 million in 2023. These common stock repurchases reduced the number of weighted average shares from 54 million diluted shares in 2023 to 50 million diluted shares in 2024 and to 47 million diluted shares in 2025.</w:t>
      </w:r>
    </w:p>
    <w:p>
      <w:pPr>
        <w:spacing w:after="0" w:line="84"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Ashland’s Adjusted EBITDA was $401 million for 2025 and $459 for both 2024 and 2023 (see U.S. GAAP reconciliation under “Use of Non-GAAP Financial Measures” below). Adjusted EBITDA decreased from fiscal 2024 to 2025 primarily due to Portfolio Optimization actions, reduced volume, and lower pricing. This was partially offset by lower selling, administrative, research and development costs. Adjusted EBITDA remained consistent from fiscal 2023 to 2024 primarily due to deflationary raw materials, unfavorable product mix and favorable foreign exchange currency, offset by unfavorable pricing and lower volume. Adjusted Diluted EPS from Continuing Operations (non-GAAP) Excluding Intangibles Amortization Expense was also impacted by these key factors along with the impact of common share repurchases noted above.</w:t>
      </w:r>
    </w:p>
    <w:p>
      <w:pPr>
        <w:spacing w:after="0" w:line="80" w:lineRule="exact"/>
        <w:rPr>
          <w:sz w:val="20"/>
          <w:szCs w:val="20"/>
          <w:color w:val="auto"/>
        </w:rPr>
      </w:pPr>
    </w:p>
    <w:p>
      <w:pPr>
        <w:jc w:val="both"/>
        <w:ind w:right="20" w:firstLine="360"/>
        <w:spacing w:after="0" w:line="325" w:lineRule="auto"/>
        <w:rPr>
          <w:sz w:val="20"/>
          <w:szCs w:val="20"/>
          <w:color w:val="auto"/>
        </w:rPr>
      </w:pPr>
      <w:r>
        <w:rPr>
          <w:rFonts w:ascii="Times New Roman" w:cs="Times New Roman" w:eastAsia="Times New Roman" w:hAnsi="Times New Roman"/>
          <w:sz w:val="20"/>
          <w:szCs w:val="20"/>
          <w:color w:val="auto"/>
        </w:rPr>
        <w:t>For further information on the items reported above, see the discussion in the comparative Statements of Consolidated Comprehensive Income (Loss) caption review.</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Statements of Consolidated Comprehensive Income (Loss) – caption review</w:t>
      </w:r>
    </w:p>
    <w:p>
      <w:pPr>
        <w:spacing w:after="0" w:line="164" w:lineRule="exact"/>
        <w:rPr>
          <w:sz w:val="20"/>
          <w:szCs w:val="20"/>
          <w:color w:val="auto"/>
        </w:rPr>
      </w:pPr>
    </w:p>
    <w:p>
      <w:pPr>
        <w:jc w:val="both"/>
        <w:ind w:right="20" w:firstLine="360"/>
        <w:spacing w:after="0" w:line="325" w:lineRule="auto"/>
        <w:rPr>
          <w:sz w:val="20"/>
          <w:szCs w:val="20"/>
          <w:color w:val="auto"/>
        </w:rPr>
      </w:pPr>
      <w:r>
        <w:rPr>
          <w:rFonts w:ascii="Times New Roman" w:cs="Times New Roman" w:eastAsia="Times New Roman" w:hAnsi="Times New Roman"/>
          <w:sz w:val="20"/>
          <w:szCs w:val="20"/>
          <w:color w:val="auto"/>
        </w:rPr>
        <w:t>A comparative analysis of the Statements of Consolidated Comprehensive Income (Loss) by caption is provided as follows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649478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44">
                      <a:extLst>
                        <a:ext uri="{28A0092B-C50C-407E-A947-70E740481C1C}"/>
                      </a:extLst>
                    </a:blip>
                    <a:srcRect/>
                    <a:stretch>
                      <a:fillRect/>
                    </a:stretch>
                  </pic:blipFill>
                  <pic:spPr bwMode="auto">
                    <a:xfrm>
                      <a:off x="0" y="0"/>
                      <a:ext cx="6494780" cy="381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0"/>
              <w:spacing w:after="0" w:line="226" w:lineRule="exact"/>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19"/>
                <w:szCs w:val="19"/>
                <w:color w:val="auto"/>
              </w:rPr>
            </w:pPr>
          </w:p>
        </w:tc>
        <w:tc>
          <w:tcPr>
            <w:tcW w:w="800" w:type="dxa"/>
            <w:vAlign w:val="bottom"/>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top w:val="single" w:sz="8" w:color="auto"/>
            </w:tcBorders>
          </w:tcPr>
          <w:p>
            <w:pPr>
              <w:spacing w:after="0"/>
              <w:rPr>
                <w:sz w:val="19"/>
                <w:szCs w:val="19"/>
                <w:color w:val="auto"/>
              </w:rPr>
            </w:pPr>
          </w:p>
        </w:tc>
      </w:tr>
      <w:tr>
        <w:trPr>
          <w:trHeight w:val="249"/>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98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28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240" w:type="dxa"/>
            <w:vAlign w:val="bottom"/>
          </w:tcPr>
          <w:p>
            <w:pPr>
              <w:spacing w:after="0"/>
              <w:rPr>
                <w:sz w:val="21"/>
                <w:szCs w:val="21"/>
                <w:color w:val="auto"/>
              </w:rPr>
            </w:pPr>
          </w:p>
        </w:tc>
        <w:tc>
          <w:tcPr>
            <w:tcW w:w="94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rPr>
              <w:t>change</w:t>
            </w:r>
          </w:p>
        </w:tc>
        <w:tc>
          <w:tcPr>
            <w:tcW w:w="200" w:type="dxa"/>
            <w:vAlign w:val="bottom"/>
          </w:tcPr>
          <w:p>
            <w:pPr>
              <w:spacing w:after="0"/>
              <w:rPr>
                <w:sz w:val="21"/>
                <w:szCs w:val="21"/>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change</w:t>
            </w:r>
          </w:p>
        </w:tc>
        <w:tc>
          <w:tcPr>
            <w:tcW w:w="80" w:type="dxa"/>
            <w:vAlign w:val="bottom"/>
            <w:tcBorders>
              <w:bottom w:val="single" w:sz="8" w:color="auto"/>
            </w:tcBorders>
          </w:tcPr>
          <w:p>
            <w:pPr>
              <w:spacing w:after="0"/>
              <w:rPr>
                <w:sz w:val="21"/>
                <w:szCs w:val="21"/>
                <w:color w:val="auto"/>
              </w:rPr>
            </w:pPr>
          </w:p>
        </w:tc>
      </w:tr>
      <w:tr>
        <w:trPr>
          <w:trHeight w:val="225"/>
        </w:trPr>
        <w:tc>
          <w:tcPr>
            <w:tcW w:w="280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Sales</w:t>
            </w:r>
          </w:p>
        </w:tc>
        <w:tc>
          <w:tcPr>
            <w:tcW w:w="19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1,824</w:t>
            </w:r>
          </w:p>
        </w:tc>
        <w:tc>
          <w:tcPr>
            <w:tcW w:w="2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2,113</w:t>
            </w:r>
          </w:p>
        </w:tc>
        <w:tc>
          <w:tcPr>
            <w:tcW w:w="2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2,191</w:t>
            </w:r>
          </w:p>
        </w:tc>
        <w:tc>
          <w:tcPr>
            <w:tcW w:w="2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(289)</w:t>
            </w:r>
          </w:p>
        </w:tc>
        <w:tc>
          <w:tcPr>
            <w:tcW w:w="20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(78)</w:t>
            </w:r>
          </w:p>
        </w:tc>
      </w:tr>
      <w:tr>
        <w:trPr>
          <w:trHeight w:val="69"/>
        </w:trPr>
        <w:tc>
          <w:tcPr>
            <w:tcW w:w="28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-222885</wp:posOffset>
            </wp:positionV>
            <wp:extent cx="649478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45">
                      <a:extLst>
                        <a:ext uri="{28A0092B-C50C-407E-A947-70E740481C1C}"/>
                      </a:extLst>
                    </a:blip>
                    <a:srcRect/>
                    <a:stretch>
                      <a:fillRect/>
                    </a:stretch>
                  </pic:blipFill>
                  <pic:spPr bwMode="auto">
                    <a:xfrm>
                      <a:off x="0" y="0"/>
                      <a:ext cx="6494780"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-23495</wp:posOffset>
            </wp:positionV>
            <wp:extent cx="649478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46">
                      <a:extLst>
                        <a:ext uri="{28A0092B-C50C-407E-A947-70E740481C1C}"/>
                      </a:extLst>
                    </a:blip>
                    <a:srcRect/>
                    <a:stretch>
                      <a:fillRect/>
                    </a:stretch>
                  </pic:blipFill>
                  <pic:spPr bwMode="auto">
                    <a:xfrm>
                      <a:off x="0" y="0"/>
                      <a:ext cx="6494780" cy="38100"/>
                    </a:xfrm>
                    <a:prstGeom prst="rect">
                      <a:avLst/>
                    </a:prstGeom>
                    <a:noFill/>
                  </pic:spPr>
                </pic:pic>
              </a:graphicData>
            </a:graphic>
          </wp:anchor>
        </w:drawing>
      </w:r>
    </w:p>
    <w:p>
      <w:pPr>
        <w:spacing w:after="0" w:line="81" w:lineRule="exact"/>
        <w:rPr>
          <w:sz w:val="20"/>
          <w:szCs w:val="20"/>
          <w:color w:val="auto"/>
        </w:rPr>
      </w:pPr>
    </w:p>
    <w:p>
      <w:pPr>
        <w:jc w:val="both"/>
        <w:ind w:right="20"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sales between fiscal years 2025 and 2024 and between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649414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47">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2025 change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 change</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468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Sales change</w:t>
            </w:r>
          </w:p>
        </w:tc>
        <w:tc>
          <w:tcPr>
            <w:tcW w:w="2300" w:type="dxa"/>
            <w:vAlign w:val="bottom"/>
            <w:shd w:val="clear" w:color="auto" w:fill="D5EFF4"/>
          </w:tcPr>
          <w:p>
            <w:pPr>
              <w:spacing w:after="0"/>
              <w:rPr>
                <w:sz w:val="19"/>
                <w:szCs w:val="19"/>
                <w:color w:val="auto"/>
              </w:rPr>
            </w:pPr>
          </w:p>
        </w:tc>
        <w:tc>
          <w:tcPr>
            <w:tcW w:w="180" w:type="dxa"/>
            <w:vAlign w:val="bottom"/>
            <w:shd w:val="clear" w:color="auto" w:fill="D5EFF4"/>
          </w:tcPr>
          <w:p>
            <w:pPr>
              <w:spacing w:after="0"/>
              <w:rPr>
                <w:sz w:val="19"/>
                <w:szCs w:val="19"/>
                <w:color w:val="auto"/>
              </w:rPr>
            </w:pPr>
          </w:p>
        </w:tc>
        <w:tc>
          <w:tcPr>
            <w:tcW w:w="140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160" w:type="dxa"/>
            <w:vAlign w:val="bottom"/>
            <w:shd w:val="clear" w:color="auto" w:fill="D5EFF4"/>
          </w:tcPr>
          <w:p>
            <w:pPr>
              <w:spacing w:after="0"/>
              <w:rPr>
                <w:sz w:val="19"/>
                <w:szCs w:val="19"/>
                <w:color w:val="auto"/>
              </w:rPr>
            </w:pPr>
          </w:p>
        </w:tc>
        <w:tc>
          <w:tcPr>
            <w:tcW w:w="1300" w:type="dxa"/>
            <w:vAlign w:val="bottom"/>
            <w:shd w:val="clear" w:color="auto" w:fill="D5EFF4"/>
          </w:tcPr>
          <w:p>
            <w:pPr>
              <w:spacing w:after="0"/>
              <w:rPr>
                <w:sz w:val="19"/>
                <w:szCs w:val="19"/>
                <w:color w:val="auto"/>
              </w:rPr>
            </w:pPr>
          </w:p>
        </w:tc>
        <w:tc>
          <w:tcPr>
            <w:tcW w:w="80" w:type="dxa"/>
            <w:vAlign w:val="bottom"/>
            <w:shd w:val="clear" w:color="auto" w:fill="D5EFF4"/>
          </w:tcPr>
          <w:p>
            <w:pPr>
              <w:spacing w:after="0"/>
              <w:rPr>
                <w:sz w:val="19"/>
                <w:szCs w:val="19"/>
                <w:color w:val="auto"/>
              </w:rPr>
            </w:pPr>
          </w:p>
        </w:tc>
      </w:tr>
      <w:tr>
        <w:trPr>
          <w:trHeight w:val="230"/>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Divestitures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46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Volume</w:t>
            </w:r>
          </w:p>
        </w:tc>
        <w:tc>
          <w:tcPr>
            <w:tcW w:w="2300" w:type="dxa"/>
            <w:vAlign w:val="bottom"/>
            <w:shd w:val="clear" w:color="auto" w:fill="D5EFF4"/>
          </w:tcPr>
          <w:p>
            <w:pPr>
              <w:spacing w:after="0"/>
              <w:rPr>
                <w:sz w:val="20"/>
                <w:szCs w:val="20"/>
                <w:color w:val="auto"/>
              </w:rPr>
            </w:pPr>
          </w:p>
        </w:tc>
        <w:tc>
          <w:tcPr>
            <w:tcW w:w="180" w:type="dxa"/>
            <w:vAlign w:val="bottom"/>
            <w:shd w:val="clear" w:color="auto" w:fill="D5EFF4"/>
          </w:tcPr>
          <w:p>
            <w:pPr>
              <w:spacing w:after="0"/>
              <w:rPr>
                <w:sz w:val="20"/>
                <w:szCs w:val="20"/>
                <w:color w:val="auto"/>
              </w:rPr>
            </w:pPr>
          </w:p>
        </w:tc>
        <w:tc>
          <w:tcPr>
            <w:tcW w:w="14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4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1380" w:type="dxa"/>
            <w:vAlign w:val="bottom"/>
            <w:gridSpan w:val="2"/>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Price/mix</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(78)</w:t>
            </w:r>
          </w:p>
        </w:tc>
      </w:tr>
      <w:tr>
        <w:trPr>
          <w:trHeight w:val="230"/>
        </w:trPr>
        <w:tc>
          <w:tcPr>
            <w:tcW w:w="46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Foreign currency exchange</w:t>
            </w:r>
          </w:p>
        </w:tc>
        <w:tc>
          <w:tcPr>
            <w:tcW w:w="2300" w:type="dxa"/>
            <w:vAlign w:val="bottom"/>
            <w:shd w:val="clear" w:color="auto" w:fill="D5EFF4"/>
          </w:tcPr>
          <w:p>
            <w:pPr>
              <w:spacing w:after="0"/>
              <w:rPr>
                <w:sz w:val="20"/>
                <w:szCs w:val="20"/>
                <w:color w:val="auto"/>
              </w:rPr>
            </w:pPr>
          </w:p>
        </w:tc>
        <w:tc>
          <w:tcPr>
            <w:tcW w:w="180" w:type="dxa"/>
            <w:vAlign w:val="bottom"/>
            <w:tcBorders>
              <w:bottom w:val="single" w:sz="8" w:color="auto"/>
            </w:tcBorders>
            <w:shd w:val="clear" w:color="auto" w:fill="D5EFF4"/>
          </w:tcPr>
          <w:p>
            <w:pPr>
              <w:spacing w:after="0"/>
              <w:rPr>
                <w:sz w:val="20"/>
                <w:szCs w:val="20"/>
                <w:color w:val="auto"/>
              </w:rPr>
            </w:pPr>
          </w:p>
        </w:tc>
        <w:tc>
          <w:tcPr>
            <w:tcW w:w="140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c>
          <w:tcPr>
            <w:tcW w:w="140" w:type="dxa"/>
            <w:vAlign w:val="bottom"/>
            <w:shd w:val="clear" w:color="auto" w:fill="D5EFF4"/>
          </w:tcPr>
          <w:p>
            <w:pPr>
              <w:spacing w:after="0"/>
              <w:rPr>
                <w:sz w:val="20"/>
                <w:szCs w:val="20"/>
                <w:color w:val="auto"/>
              </w:rPr>
            </w:pPr>
          </w:p>
        </w:tc>
        <w:tc>
          <w:tcPr>
            <w:tcW w:w="160" w:type="dxa"/>
            <w:vAlign w:val="bottom"/>
            <w:tcBorders>
              <w:bottom w:val="single" w:sz="8" w:color="auto"/>
            </w:tcBorders>
            <w:shd w:val="clear" w:color="auto" w:fill="D5EFF4"/>
          </w:tcPr>
          <w:p>
            <w:pPr>
              <w:spacing w:after="0"/>
              <w:rPr>
                <w:sz w:val="20"/>
                <w:szCs w:val="20"/>
                <w:color w:val="auto"/>
              </w:rPr>
            </w:pPr>
          </w:p>
        </w:tc>
        <w:tc>
          <w:tcPr>
            <w:tcW w:w="1380" w:type="dxa"/>
            <w:vAlign w:val="bottom"/>
            <w:tcBorders>
              <w:bottom w:val="single" w:sz="8" w:color="auto"/>
            </w:tcBorders>
            <w:gridSpan w:val="2"/>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r>
      <w:tr>
        <w:trPr>
          <w:trHeight w:val="225"/>
        </w:trPr>
        <w:tc>
          <w:tcPr>
            <w:tcW w:w="4680" w:type="dxa"/>
            <w:vAlign w:val="bottom"/>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Change in sales</w:t>
            </w:r>
          </w:p>
        </w:tc>
        <w:tc>
          <w:tcPr>
            <w:tcW w:w="230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(289)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(78)</w:t>
            </w: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46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-991235</wp:posOffset>
            </wp:positionV>
            <wp:extent cx="649414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48">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-23495</wp:posOffset>
            </wp:positionV>
            <wp:extent cx="649414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49">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ectPr>
          <w:pgSz w:w="12240" w:h="15840" w:orient="portrait"/>
          <w:cols w:equalWidth="0" w:num="1">
            <w:col w:w="10260"/>
          </w:cols>
          <w:pgMar w:left="1000" w:top="988"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M-4</w:t>
      </w:r>
    </w:p>
    <w:p>
      <w:pPr>
        <w:sectPr>
          <w:pgSz w:w="12240" w:h="15840" w:orient="portrait"/>
          <w:cols w:equalWidth="0" w:num="1">
            <w:col w:w="10260"/>
          </w:cols>
          <w:pgMar w:left="1000" w:top="988" w:right="980" w:bottom="175" w:gutter="0" w:footer="0" w:header="0"/>
          <w:type w:val="continuous"/>
        </w:sectPr>
      </w:pPr>
    </w:p>
    <w:bookmarkStart w:id="62" w:name="page63"/>
    <w:bookmarkEnd w:id="62"/>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Sales for 2025 decreased $289 million, or 14%, compared to 2024. The decrease was driven by the unfavorable impact of divestitures, lower volume, and unfavorable pricing, which was partially offset by favorable foreign currency exchange. Portfolio optimization initiatives had an approximate $208 million impact on sales in the current year compared to the prior year, primarily within divestitures and volume caption changes.</w:t>
      </w:r>
    </w:p>
    <w:p>
      <w:pPr>
        <w:spacing w:after="0" w:line="74"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Sales for 2024 decreased $78 million, or 4%, compared to 2023 primarily from unfavorable pricing. Pricing was softer as compared to the prior year in a moderately deflationary raw material environment. CMC and MC portfolio optimization initiatives and the Nutraceuticals business sale reduced sales by approximately $30 million during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41275</wp:posOffset>
            </wp:positionV>
            <wp:extent cx="649605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50">
                      <a:extLst>
                        <a:ext uri="{28A0092B-C50C-407E-A947-70E740481C1C}"/>
                      </a:extLst>
                    </a:blip>
                    <a:srcRect/>
                    <a:stretch>
                      <a:fillRect/>
                    </a:stretch>
                  </pic:blipFill>
                  <pic:spPr bwMode="auto">
                    <a:xfrm>
                      <a:off x="0" y="0"/>
                      <a:ext cx="6496050" cy="3810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00"/>
              <w:spacing w:after="0" w:line="226" w:lineRule="exact"/>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19"/>
                <w:szCs w:val="19"/>
                <w:color w:val="auto"/>
              </w:rPr>
            </w:pPr>
          </w:p>
        </w:tc>
        <w:tc>
          <w:tcPr>
            <w:tcW w:w="800" w:type="dxa"/>
            <w:vAlign w:val="bottom"/>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top w:val="single" w:sz="8" w:color="auto"/>
            </w:tcBorders>
          </w:tcPr>
          <w:p>
            <w:pPr>
              <w:spacing w:after="0"/>
              <w:rPr>
                <w:sz w:val="19"/>
                <w:szCs w:val="19"/>
                <w:color w:val="auto"/>
              </w:rPr>
            </w:pPr>
          </w:p>
        </w:tc>
      </w:tr>
      <w:tr>
        <w:trPr>
          <w:trHeight w:val="249"/>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0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2025</w:t>
            </w:r>
          </w:p>
        </w:tc>
        <w:tc>
          <w:tcPr>
            <w:tcW w:w="114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11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Pr>
          <w:p>
            <w:pPr>
              <w:spacing w:after="0"/>
              <w:rPr>
                <w:sz w:val="21"/>
                <w:szCs w:val="21"/>
                <w:color w:val="auto"/>
              </w:rPr>
            </w:pPr>
          </w:p>
        </w:tc>
        <w:tc>
          <w:tcPr>
            <w:tcW w:w="92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8"/>
              </w:rPr>
              <w:t>change</w:t>
            </w:r>
          </w:p>
        </w:tc>
        <w:tc>
          <w:tcPr>
            <w:tcW w:w="220" w:type="dxa"/>
            <w:vAlign w:val="bottom"/>
          </w:tcPr>
          <w:p>
            <w:pPr>
              <w:spacing w:after="0"/>
              <w:rPr>
                <w:sz w:val="21"/>
                <w:szCs w:val="21"/>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change</w:t>
            </w:r>
          </w:p>
        </w:tc>
        <w:tc>
          <w:tcPr>
            <w:tcW w:w="80" w:type="dxa"/>
            <w:vAlign w:val="bottom"/>
            <w:tcBorders>
              <w:bottom w:val="single" w:sz="8" w:color="auto"/>
            </w:tcBorders>
          </w:tcPr>
          <w:p>
            <w:pPr>
              <w:spacing w:after="0"/>
              <w:rPr>
                <w:sz w:val="21"/>
                <w:szCs w:val="21"/>
                <w:color w:val="auto"/>
              </w:rPr>
            </w:pPr>
          </w:p>
        </w:tc>
      </w:tr>
      <w:tr>
        <w:trPr>
          <w:trHeight w:val="225"/>
        </w:trPr>
        <w:tc>
          <w:tcPr>
            <w:tcW w:w="370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Cost of sales</w:t>
            </w:r>
          </w:p>
        </w:tc>
        <w:tc>
          <w:tcPr>
            <w:tcW w:w="2000" w:type="dxa"/>
            <w:vAlign w:val="bottom"/>
            <w:shd w:val="clear" w:color="auto" w:fill="D5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   1,275</w:t>
            </w:r>
          </w:p>
        </w:tc>
        <w:tc>
          <w:tcPr>
            <w:tcW w:w="1140" w:type="dxa"/>
            <w:vAlign w:val="bottom"/>
            <w:shd w:val="clear" w:color="auto" w:fill="D5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   1,495</w:t>
            </w:r>
          </w:p>
        </w:tc>
        <w:tc>
          <w:tcPr>
            <w:tcW w:w="1160" w:type="dxa"/>
            <w:vAlign w:val="bottom"/>
            <w:shd w:val="clear" w:color="auto" w:fill="D5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   1,523</w:t>
            </w:r>
          </w:p>
        </w:tc>
        <w:tc>
          <w:tcPr>
            <w:tcW w:w="22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(220)</w:t>
            </w:r>
          </w:p>
        </w:tc>
        <w:tc>
          <w:tcPr>
            <w:tcW w:w="22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(28)</w:t>
            </w:r>
          </w:p>
        </w:tc>
      </w:tr>
      <w:tr>
        <w:trPr>
          <w:trHeight w:val="274"/>
        </w:trPr>
        <w:tc>
          <w:tcPr>
            <w:tcW w:w="3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Gross profit as a percent of sales</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
        </w:trPr>
        <w:tc>
          <w:tcPr>
            <w:tcW w:w="3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-368300</wp:posOffset>
            </wp:positionV>
            <wp:extent cx="649605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51">
                      <a:extLst>
                        <a:ext uri="{28A0092B-C50C-407E-A947-70E740481C1C}"/>
                      </a:extLst>
                    </a:blip>
                    <a:srcRect/>
                    <a:stretch>
                      <a:fillRect/>
                    </a:stretch>
                  </pic:blipFill>
                  <pic:spPr bwMode="auto">
                    <a:xfrm>
                      <a:off x="0" y="0"/>
                      <a:ext cx="6496050" cy="3810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-22860</wp:posOffset>
            </wp:positionV>
            <wp:extent cx="649605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52">
                      <a:extLst>
                        <a:ext uri="{28A0092B-C50C-407E-A947-70E740481C1C}"/>
                      </a:extLst>
                    </a:blip>
                    <a:srcRect/>
                    <a:stretch>
                      <a:fillRect/>
                    </a:stretch>
                  </pic:blipFill>
                  <pic:spPr bwMode="auto">
                    <a:xfrm>
                      <a:off x="0" y="0"/>
                      <a:ext cx="6496050"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Fluctuations in cost of sales were impacted by product line and plant optimization costs in 2025 and 2024 and the effects of challenges in shipping and logistics in 2023. In addition, divestitures and other certain charges incurred relating to restructuring activities contributed to a significant impact in 2025.</w:t>
      </w:r>
    </w:p>
    <w:p>
      <w:pPr>
        <w:spacing w:after="0" w:line="68" w:lineRule="exact"/>
        <w:rPr>
          <w:sz w:val="20"/>
          <w:szCs w:val="20"/>
          <w:color w:val="auto"/>
        </w:rPr>
      </w:pPr>
    </w:p>
    <w:p>
      <w:pPr>
        <w:jc w:val="both"/>
        <w:ind w:right="20"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changes in cost of sales between fiscal years 2025 and 2024 and between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649414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53">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2025 change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 change</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468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Cost of sales change</w:t>
            </w:r>
          </w:p>
        </w:tc>
        <w:tc>
          <w:tcPr>
            <w:tcW w:w="2300" w:type="dxa"/>
            <w:vAlign w:val="bottom"/>
            <w:shd w:val="clear" w:color="auto" w:fill="D5EFF4"/>
          </w:tcPr>
          <w:p>
            <w:pPr>
              <w:spacing w:after="0"/>
              <w:rPr>
                <w:sz w:val="19"/>
                <w:szCs w:val="19"/>
                <w:color w:val="auto"/>
              </w:rPr>
            </w:pPr>
          </w:p>
        </w:tc>
        <w:tc>
          <w:tcPr>
            <w:tcW w:w="180" w:type="dxa"/>
            <w:vAlign w:val="bottom"/>
            <w:shd w:val="clear" w:color="auto" w:fill="D5EFF4"/>
          </w:tcPr>
          <w:p>
            <w:pPr>
              <w:spacing w:after="0"/>
              <w:rPr>
                <w:sz w:val="19"/>
                <w:szCs w:val="19"/>
                <w:color w:val="auto"/>
              </w:rPr>
            </w:pPr>
          </w:p>
        </w:tc>
        <w:tc>
          <w:tcPr>
            <w:tcW w:w="140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160" w:type="dxa"/>
            <w:vAlign w:val="bottom"/>
            <w:shd w:val="clear" w:color="auto" w:fill="D5EFF4"/>
          </w:tcPr>
          <w:p>
            <w:pPr>
              <w:spacing w:after="0"/>
              <w:rPr>
                <w:sz w:val="19"/>
                <w:szCs w:val="19"/>
                <w:color w:val="auto"/>
              </w:rPr>
            </w:pPr>
          </w:p>
        </w:tc>
        <w:tc>
          <w:tcPr>
            <w:tcW w:w="1300" w:type="dxa"/>
            <w:vAlign w:val="bottom"/>
            <w:shd w:val="clear" w:color="auto" w:fill="D5EFF4"/>
          </w:tcPr>
          <w:p>
            <w:pPr>
              <w:spacing w:after="0"/>
              <w:rPr>
                <w:sz w:val="19"/>
                <w:szCs w:val="19"/>
                <w:color w:val="auto"/>
              </w:rPr>
            </w:pPr>
          </w:p>
        </w:tc>
        <w:tc>
          <w:tcPr>
            <w:tcW w:w="80" w:type="dxa"/>
            <w:vAlign w:val="bottom"/>
            <w:shd w:val="clear" w:color="auto" w:fill="D5EFF4"/>
          </w:tcPr>
          <w:p>
            <w:pPr>
              <w:spacing w:after="0"/>
              <w:rPr>
                <w:sz w:val="19"/>
                <w:szCs w:val="19"/>
                <w:color w:val="auto"/>
              </w:rPr>
            </w:pPr>
          </w:p>
        </w:tc>
      </w:tr>
      <w:tr>
        <w:trPr>
          <w:trHeight w:val="230"/>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Divestiture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46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Volume</w:t>
            </w:r>
          </w:p>
        </w:tc>
        <w:tc>
          <w:tcPr>
            <w:tcW w:w="2300" w:type="dxa"/>
            <w:vAlign w:val="bottom"/>
            <w:shd w:val="clear" w:color="auto" w:fill="D5EFF4"/>
          </w:tcPr>
          <w:p>
            <w:pPr>
              <w:spacing w:after="0"/>
              <w:rPr>
                <w:sz w:val="20"/>
                <w:szCs w:val="20"/>
                <w:color w:val="auto"/>
              </w:rPr>
            </w:pPr>
          </w:p>
        </w:tc>
        <w:tc>
          <w:tcPr>
            <w:tcW w:w="180" w:type="dxa"/>
            <w:vAlign w:val="bottom"/>
            <w:shd w:val="clear" w:color="auto" w:fill="D5EFF4"/>
          </w:tcPr>
          <w:p>
            <w:pPr>
              <w:spacing w:after="0"/>
              <w:rPr>
                <w:sz w:val="20"/>
                <w:szCs w:val="20"/>
                <w:color w:val="auto"/>
              </w:rPr>
            </w:pPr>
          </w:p>
        </w:tc>
        <w:tc>
          <w:tcPr>
            <w:tcW w:w="14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4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1380" w:type="dxa"/>
            <w:vAlign w:val="bottom"/>
            <w:gridSpan w:val="2"/>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costs</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w:t>
            </w:r>
          </w:p>
        </w:tc>
      </w:tr>
      <w:tr>
        <w:trPr>
          <w:trHeight w:val="230"/>
        </w:trPr>
        <w:tc>
          <w:tcPr>
            <w:tcW w:w="46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Foreign currency exchange</w:t>
            </w:r>
          </w:p>
        </w:tc>
        <w:tc>
          <w:tcPr>
            <w:tcW w:w="2300" w:type="dxa"/>
            <w:vAlign w:val="bottom"/>
            <w:shd w:val="clear" w:color="auto" w:fill="D5EFF4"/>
          </w:tcPr>
          <w:p>
            <w:pPr>
              <w:spacing w:after="0"/>
              <w:rPr>
                <w:sz w:val="20"/>
                <w:szCs w:val="20"/>
                <w:color w:val="auto"/>
              </w:rPr>
            </w:pPr>
          </w:p>
        </w:tc>
        <w:tc>
          <w:tcPr>
            <w:tcW w:w="180" w:type="dxa"/>
            <w:vAlign w:val="bottom"/>
            <w:shd w:val="clear" w:color="auto" w:fill="D5EFF4"/>
          </w:tcPr>
          <w:p>
            <w:pPr>
              <w:spacing w:after="0"/>
              <w:rPr>
                <w:sz w:val="20"/>
                <w:szCs w:val="20"/>
                <w:color w:val="auto"/>
              </w:rPr>
            </w:pPr>
          </w:p>
        </w:tc>
        <w:tc>
          <w:tcPr>
            <w:tcW w:w="14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1380" w:type="dxa"/>
            <w:vAlign w:val="bottom"/>
            <w:gridSpan w:val="2"/>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4680" w:type="dxa"/>
            <w:vAlign w:val="bottom"/>
            <w:tcBorders>
              <w:bottom w:val="single" w:sz="8" w:color="D5EFF4"/>
            </w:tcBorders>
          </w:tcPr>
          <w:p>
            <w:pPr>
              <w:ind w:left="200"/>
              <w:spacing w:after="0"/>
              <w:rPr>
                <w:sz w:val="20"/>
                <w:szCs w:val="20"/>
                <w:color w:val="auto"/>
              </w:rPr>
            </w:pPr>
            <w:r>
              <w:rPr>
                <w:rFonts w:ascii="Times New Roman" w:cs="Times New Roman" w:eastAsia="Times New Roman" w:hAnsi="Times New Roman"/>
                <w:sz w:val="20"/>
                <w:szCs w:val="20"/>
                <w:color w:val="auto"/>
              </w:rPr>
              <w:t>Price/mix</w:t>
            </w:r>
          </w:p>
        </w:tc>
        <w:tc>
          <w:tcPr>
            <w:tcW w:w="2300" w:type="dxa"/>
            <w:vAlign w:val="bottom"/>
            <w:tcBorders>
              <w:bottom w:val="single" w:sz="8" w:color="D5EF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c>
          <w:tcPr>
            <w:tcW w:w="140" w:type="dxa"/>
            <w:vAlign w:val="bottom"/>
            <w:tcBorders>
              <w:bottom w:val="single" w:sz="8" w:color="D5EFF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(56)</w:t>
            </w:r>
          </w:p>
        </w:tc>
      </w:tr>
      <w:tr>
        <w:trPr>
          <w:trHeight w:val="245"/>
        </w:trPr>
        <w:tc>
          <w:tcPr>
            <w:tcW w:w="4680" w:type="dxa"/>
            <w:vAlign w:val="bottom"/>
            <w:tcBorders>
              <w:bottom w:val="single" w:sz="8" w:color="D5EFF4"/>
            </w:tcBorders>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Change in cost of sales</w:t>
            </w:r>
          </w:p>
        </w:tc>
        <w:tc>
          <w:tcPr>
            <w:tcW w:w="2300" w:type="dxa"/>
            <w:vAlign w:val="bottom"/>
            <w:tcBorders>
              <w:bottom w:val="single" w:sz="8" w:color="D5EFF4"/>
            </w:tcBorders>
            <w:shd w:val="clear" w:color="auto" w:fill="D5EFF4"/>
          </w:tcPr>
          <w:p>
            <w:pPr>
              <w:spacing w:after="0"/>
              <w:rPr>
                <w:sz w:val="21"/>
                <w:szCs w:val="21"/>
                <w:color w:val="auto"/>
              </w:rPr>
            </w:pPr>
          </w:p>
        </w:tc>
        <w:tc>
          <w:tcPr>
            <w:tcW w:w="18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(220)</w:t>
            </w:r>
          </w:p>
        </w:tc>
        <w:tc>
          <w:tcPr>
            <w:tcW w:w="140" w:type="dxa"/>
            <w:vAlign w:val="bottom"/>
            <w:tcBorders>
              <w:bottom w:val="single" w:sz="8" w:color="D5EFF4"/>
            </w:tcBorders>
            <w:shd w:val="clear" w:color="auto" w:fill="D5EFF4"/>
          </w:tcPr>
          <w:p>
            <w:pPr>
              <w:spacing w:after="0"/>
              <w:rPr>
                <w:sz w:val="21"/>
                <w:szCs w:val="21"/>
                <w:color w:val="auto"/>
              </w:rPr>
            </w:pPr>
          </w:p>
        </w:tc>
        <w:tc>
          <w:tcPr>
            <w:tcW w:w="16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(28)</w:t>
            </w: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4"/>
        </w:trPr>
        <w:tc>
          <w:tcPr>
            <w:tcW w:w="4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-1136650</wp:posOffset>
            </wp:positionV>
            <wp:extent cx="649414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54">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wp:posOffset>
            </wp:positionV>
            <wp:extent cx="649414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55">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81" w:lineRule="exact"/>
        <w:rPr>
          <w:sz w:val="20"/>
          <w:szCs w:val="20"/>
          <w:color w:val="auto"/>
        </w:rPr>
      </w:pPr>
    </w:p>
    <w:p>
      <w:pPr>
        <w:jc w:val="both"/>
        <w:ind w:right="20" w:firstLine="360"/>
        <w:spacing w:after="0" w:line="292" w:lineRule="auto"/>
        <w:rPr>
          <w:sz w:val="20"/>
          <w:szCs w:val="20"/>
          <w:color w:val="auto"/>
        </w:rPr>
      </w:pPr>
      <w:r>
        <w:rPr>
          <w:rFonts w:ascii="Times New Roman" w:cs="Times New Roman" w:eastAsia="Times New Roman" w:hAnsi="Times New Roman"/>
          <w:sz w:val="20"/>
          <w:szCs w:val="20"/>
          <w:color w:val="auto"/>
        </w:rPr>
        <w:t>Cost of sales for 2025 decreased $220 million compared to 2024. The decrease was primarily driven by the favorable impact of divestitures, lower sales volume, and lower operating costs, partially offset by unfavorable pricing and unfavorable foreign exchange currency. The current year operating costs were affected by $41 million of accelerated depreciation for product line optimization activities at manufacturing facilities within the Life Sciences, Personal Care and Specialty Additives reportable segments and $22 million of other plant optimization costs while the prior year period included $57 million of accelerated depreciation for product line optimization activities at two Specialty Additives manufacturing plants and one Personal Care manufacturing plant, and $10 million of other plant optimization costs. Gross profit as a percentage of sales increased 0.9 percentage points primarily due to production volume recovery versus inventory corrective actions and decreased accelerated depreciation compared to the prior year period.</w:t>
      </w:r>
    </w:p>
    <w:p>
      <w:pPr>
        <w:spacing w:after="0" w:line="86"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Cost of sales for 2024 decreased $28 million compared to 2023. Favorable product price/mix was the primary factor for the decrease. This decrease was partially offset by higher operating costs driven by higher unit manufacturing costs associated with decreased plant loading to produce to demand in the first half of fiscal 2024, $57 million of accelerated depreciation for product line optimization activities associated with two Specialty Additives manufacturing facilities and one Personal Care manufacturing facility, $10 million of other plant optimization costs, and higher volume compared to inventory control measures in the prior year. Gross profit as a percentage of sales decreased 1.3 percentage points primarily as a result of higher operating costs including higher unit manufacturing cost and product line optimization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650367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56">
                      <a:extLst>
                        <a:ext uri="{28A0092B-C50C-407E-A947-70E740481C1C}"/>
                      </a:extLst>
                    </a:blip>
                    <a:srcRect/>
                    <a:stretch>
                      <a:fillRect/>
                    </a:stretch>
                  </pic:blipFill>
                  <pic:spPr bwMode="auto">
                    <a:xfrm>
                      <a:off x="0" y="0"/>
                      <a:ext cx="6503670" cy="3810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20"/>
              <w:spacing w:after="0" w:line="226" w:lineRule="exact"/>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19"/>
                <w:szCs w:val="19"/>
                <w:color w:val="auto"/>
              </w:rPr>
            </w:pPr>
          </w:p>
        </w:tc>
        <w:tc>
          <w:tcPr>
            <w:tcW w:w="800" w:type="dxa"/>
            <w:vAlign w:val="bottom"/>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top w:val="single" w:sz="8" w:color="auto"/>
            </w:tcBorders>
          </w:tcPr>
          <w:p>
            <w:pPr>
              <w:spacing w:after="0"/>
              <w:rPr>
                <w:sz w:val="19"/>
                <w:szCs w:val="19"/>
                <w:color w:val="auto"/>
              </w:rPr>
            </w:pPr>
          </w:p>
        </w:tc>
      </w:tr>
      <w:tr>
        <w:trPr>
          <w:trHeight w:val="249"/>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620" w:type="dxa"/>
            <w:vAlign w:val="bottom"/>
          </w:tcPr>
          <w:p>
            <w:pPr>
              <w:spacing w:after="0"/>
              <w:rPr>
                <w:sz w:val="21"/>
                <w:szCs w:val="21"/>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21"/>
                <w:szCs w:val="21"/>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240" w:type="dxa"/>
            <w:vAlign w:val="bottom"/>
          </w:tcPr>
          <w:p>
            <w:pPr>
              <w:spacing w:after="0"/>
              <w:rPr>
                <w:sz w:val="21"/>
                <w:szCs w:val="21"/>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Pr>
          <w:p>
            <w:pPr>
              <w:spacing w:after="0"/>
              <w:rPr>
                <w:sz w:val="21"/>
                <w:szCs w:val="21"/>
                <w:color w:val="auto"/>
              </w:rPr>
            </w:pPr>
          </w:p>
        </w:tc>
        <w:tc>
          <w:tcPr>
            <w:tcW w:w="94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rPr>
              <w:t>change</w:t>
            </w:r>
          </w:p>
        </w:tc>
        <w:tc>
          <w:tcPr>
            <w:tcW w:w="220" w:type="dxa"/>
            <w:vAlign w:val="bottom"/>
          </w:tcPr>
          <w:p>
            <w:pPr>
              <w:spacing w:after="0"/>
              <w:rPr>
                <w:sz w:val="21"/>
                <w:szCs w:val="21"/>
                <w:color w:val="auto"/>
              </w:rPr>
            </w:pPr>
          </w:p>
        </w:tc>
        <w:tc>
          <w:tcPr>
            <w:tcW w:w="80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8"/>
              </w:rPr>
              <w:t>change</w:t>
            </w:r>
          </w:p>
        </w:tc>
        <w:tc>
          <w:tcPr>
            <w:tcW w:w="60" w:type="dxa"/>
            <w:vAlign w:val="bottom"/>
            <w:tcBorders>
              <w:bottom w:val="single" w:sz="8" w:color="auto"/>
            </w:tcBorders>
          </w:tcPr>
          <w:p>
            <w:pPr>
              <w:spacing w:after="0"/>
              <w:rPr>
                <w:sz w:val="21"/>
                <w:szCs w:val="21"/>
                <w:color w:val="auto"/>
              </w:rPr>
            </w:pPr>
          </w:p>
        </w:tc>
      </w:tr>
      <w:tr>
        <w:trPr>
          <w:trHeight w:val="225"/>
        </w:trPr>
        <w:tc>
          <w:tcPr>
            <w:tcW w:w="416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Selling, general and administrative expense</w:t>
            </w:r>
          </w:p>
        </w:tc>
        <w:tc>
          <w:tcPr>
            <w:tcW w:w="62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344</w:t>
            </w:r>
          </w:p>
        </w:tc>
        <w:tc>
          <w:tcPr>
            <w:tcW w:w="22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404</w:t>
            </w:r>
          </w:p>
        </w:tc>
        <w:tc>
          <w:tcPr>
            <w:tcW w:w="2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365</w:t>
            </w:r>
          </w:p>
        </w:tc>
        <w:tc>
          <w:tcPr>
            <w:tcW w:w="22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(60)</w:t>
            </w:r>
          </w:p>
        </w:tc>
        <w:tc>
          <w:tcPr>
            <w:tcW w:w="22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shd w:val="clear" w:color="auto" w:fill="D5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39</w:t>
            </w:r>
          </w:p>
        </w:tc>
      </w:tr>
      <w:tr>
        <w:trPr>
          <w:trHeight w:val="274"/>
        </w:trPr>
        <w:tc>
          <w:tcPr>
            <w:tcW w:w="4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a percent of sales</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5"/>
        </w:trPr>
        <w:tc>
          <w:tcPr>
            <w:tcW w:w="4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-368300</wp:posOffset>
            </wp:positionV>
            <wp:extent cx="650367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57">
                      <a:extLst>
                        <a:ext uri="{28A0092B-C50C-407E-A947-70E740481C1C}"/>
                      </a:extLst>
                    </a:blip>
                    <a:srcRect/>
                    <a:stretch>
                      <a:fillRect/>
                    </a:stretch>
                  </pic:blipFill>
                  <pic:spPr bwMode="auto">
                    <a:xfrm>
                      <a:off x="0" y="0"/>
                      <a:ext cx="6503670"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wp:posOffset>
            </wp:positionV>
            <wp:extent cx="650367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58">
                      <a:extLst>
                        <a:ext uri="{28A0092B-C50C-407E-A947-70E740481C1C}"/>
                      </a:extLst>
                    </a:blip>
                    <a:srcRect/>
                    <a:stretch>
                      <a:fillRect/>
                    </a:stretch>
                  </pic:blipFill>
                  <pic:spPr bwMode="auto">
                    <a:xfrm>
                      <a:off x="0" y="0"/>
                      <a:ext cx="6503670" cy="38100"/>
                    </a:xfrm>
                    <a:prstGeom prst="rect">
                      <a:avLst/>
                    </a:prstGeom>
                    <a:noFill/>
                  </pic:spPr>
                </pic:pic>
              </a:graphicData>
            </a:graphic>
          </wp:anchor>
        </w:drawing>
      </w:r>
    </w:p>
    <w:p>
      <w:pPr>
        <w:sectPr>
          <w:pgSz w:w="12240" w:h="15840" w:orient="portrait"/>
          <w:cols w:equalWidth="0" w:num="1">
            <w:col w:w="10260"/>
          </w:cols>
          <w:pgMar w:left="1000" w:top="988"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M-5</w:t>
      </w:r>
    </w:p>
    <w:p>
      <w:pPr>
        <w:sectPr>
          <w:pgSz w:w="12240" w:h="15840" w:orient="portrait"/>
          <w:cols w:equalWidth="0" w:num="1">
            <w:col w:w="10260"/>
          </w:cols>
          <w:pgMar w:left="1000" w:top="988" w:right="980" w:bottom="175" w:gutter="0" w:footer="0" w:header="0"/>
          <w:type w:val="continuous"/>
        </w:sectPr>
      </w:pPr>
    </w:p>
    <w:bookmarkStart w:id="63" w:name="page64"/>
    <w:bookmarkEnd w:id="63"/>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Selling, general and administrative expense for 2025 decreased $60 million compared to 2024, while expenses as a percent of sales decreased 0.2 percentage points. Key drivers of the fluctuation in selling, general and administrative expense compared to 2024 were:</w:t>
      </w:r>
    </w:p>
    <w:p>
      <w:pPr>
        <w:spacing w:after="0" w:line="83" w:lineRule="exact"/>
        <w:rPr>
          <w:sz w:val="20"/>
          <w:szCs w:val="20"/>
          <w:color w:val="auto"/>
        </w:rPr>
      </w:pPr>
    </w:p>
    <w:p>
      <w:pPr>
        <w:ind w:left="720" w:hanging="366"/>
        <w:spacing w:after="0" w:line="324"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Expense of $22 million and $30 million comprised of key items for severance, lease abandonment and other restructuring costs during 2025 and 2024, respectively;</w:t>
      </w:r>
    </w:p>
    <w:p>
      <w:pPr>
        <w:spacing w:after="0" w:line="64" w:lineRule="exact"/>
        <w:rPr>
          <w:rFonts w:ascii="Arial" w:cs="Arial" w:eastAsia="Arial" w:hAnsi="Arial"/>
          <w:sz w:val="20"/>
          <w:szCs w:val="20"/>
          <w:color w:val="auto"/>
        </w:rPr>
      </w:pPr>
    </w:p>
    <w:p>
      <w:pPr>
        <w:ind w:left="720" w:hanging="366"/>
        <w:spacing w:after="0" w:line="324"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$34 million and $45 million in net environmental-related expenses during 2025 and 2024, respectively (see Note M of the Notes to Consolidated Financial Statements for more information);</w:t>
      </w:r>
    </w:p>
    <w:p>
      <w:pPr>
        <w:spacing w:after="0" w:line="64" w:lineRule="exact"/>
        <w:rPr>
          <w:rFonts w:ascii="Arial" w:cs="Arial" w:eastAsia="Arial" w:hAnsi="Arial"/>
          <w:sz w:val="20"/>
          <w:szCs w:val="20"/>
          <w:color w:val="auto"/>
        </w:rPr>
      </w:pPr>
    </w:p>
    <w:p>
      <w:pPr>
        <w:ind w:left="720" w:hanging="366"/>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$11 million capital project impairment charge in 2024;</w:t>
      </w:r>
    </w:p>
    <w:p>
      <w:pPr>
        <w:spacing w:after="0" w:line="179" w:lineRule="exact"/>
        <w:rPr>
          <w:rFonts w:ascii="Arial" w:cs="Arial" w:eastAsia="Arial" w:hAnsi="Arial"/>
          <w:sz w:val="20"/>
          <w:szCs w:val="20"/>
          <w:color w:val="auto"/>
        </w:rPr>
      </w:pPr>
    </w:p>
    <w:p>
      <w:pPr>
        <w:ind w:left="720" w:hanging="366"/>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 $5 million charge associated with the impact of a currency devaluation in Argentina during 2024;</w:t>
      </w:r>
    </w:p>
    <w:p>
      <w:pPr>
        <w:spacing w:after="0" w:line="179" w:lineRule="exact"/>
        <w:rPr>
          <w:rFonts w:ascii="Arial" w:cs="Arial" w:eastAsia="Arial" w:hAnsi="Arial"/>
          <w:sz w:val="20"/>
          <w:szCs w:val="20"/>
          <w:color w:val="auto"/>
        </w:rPr>
      </w:pPr>
    </w:p>
    <w:p>
      <w:pPr>
        <w:ind w:left="720" w:hanging="366"/>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 $4 million legal settlement during 2024;</w:t>
      </w:r>
    </w:p>
    <w:p>
      <w:pPr>
        <w:spacing w:after="0" w:line="179" w:lineRule="exact"/>
        <w:rPr>
          <w:rFonts w:ascii="Arial" w:cs="Arial" w:eastAsia="Arial" w:hAnsi="Arial"/>
          <w:sz w:val="20"/>
          <w:szCs w:val="20"/>
          <w:color w:val="auto"/>
        </w:rPr>
      </w:pPr>
    </w:p>
    <w:p>
      <w:pPr>
        <w:ind w:left="720" w:hanging="366"/>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 $3 million benefit related to domestic tax credits in 2025; and</w:t>
      </w:r>
    </w:p>
    <w:p>
      <w:pPr>
        <w:spacing w:after="0" w:line="179" w:lineRule="exact"/>
        <w:rPr>
          <w:rFonts w:ascii="Arial" w:cs="Arial" w:eastAsia="Arial" w:hAnsi="Arial"/>
          <w:sz w:val="20"/>
          <w:szCs w:val="20"/>
          <w:color w:val="auto"/>
        </w:rPr>
      </w:pPr>
    </w:p>
    <w:p>
      <w:pPr>
        <w:ind w:left="720" w:hanging="366"/>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Decreases associated with the following:</w:t>
      </w:r>
    </w:p>
    <w:p>
      <w:pPr>
        <w:spacing w:after="0" w:line="180" w:lineRule="exact"/>
        <w:rPr>
          <w:sz w:val="20"/>
          <w:szCs w:val="20"/>
          <w:color w:val="auto"/>
        </w:rPr>
      </w:pPr>
    </w:p>
    <w:p>
      <w:pPr>
        <w:ind w:left="1460" w:hanging="487"/>
        <w:spacing w:after="0"/>
        <w:tabs>
          <w:tab w:leader="none" w:pos="14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Lower variable compensation and stock based compensation expense;</w:t>
      </w:r>
    </w:p>
    <w:p>
      <w:pPr>
        <w:spacing w:after="0" w:line="179" w:lineRule="exact"/>
        <w:rPr>
          <w:rFonts w:ascii="Arial" w:cs="Arial" w:eastAsia="Arial" w:hAnsi="Arial"/>
          <w:sz w:val="20"/>
          <w:szCs w:val="20"/>
          <w:color w:val="auto"/>
        </w:rPr>
      </w:pPr>
    </w:p>
    <w:p>
      <w:pPr>
        <w:ind w:left="1460" w:hanging="487"/>
        <w:spacing w:after="0"/>
        <w:tabs>
          <w:tab w:leader="none" w:pos="14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favorable impact of divestitures in the current year;</w:t>
      </w:r>
    </w:p>
    <w:p>
      <w:pPr>
        <w:spacing w:after="0" w:line="165"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0"/>
          <w:szCs w:val="20"/>
          <w:color w:val="auto"/>
        </w:rPr>
        <w:t>o</w:t>
      </w:r>
      <w:r>
        <w:rPr>
          <w:sz w:val="20"/>
          <w:szCs w:val="20"/>
          <w:color w:val="auto"/>
        </w:rPr>
        <w:tab/>
      </w:r>
      <w:r>
        <w:rPr>
          <w:rFonts w:ascii="Times New Roman" w:cs="Times New Roman" w:eastAsia="Times New Roman" w:hAnsi="Times New Roman"/>
          <w:sz w:val="20"/>
          <w:szCs w:val="20"/>
          <w:color w:val="auto"/>
        </w:rPr>
        <w:t>The realized cost reductions associated with restructuring actions ; and</w:t>
      </w:r>
    </w:p>
    <w:p>
      <w:pPr>
        <w:spacing w:after="0" w:line="180" w:lineRule="exact"/>
        <w:rPr>
          <w:sz w:val="20"/>
          <w:szCs w:val="20"/>
          <w:color w:val="auto"/>
        </w:rPr>
      </w:pPr>
    </w:p>
    <w:p>
      <w:pPr>
        <w:ind w:left="1460" w:hanging="487"/>
        <w:spacing w:after="0"/>
        <w:tabs>
          <w:tab w:leader="none" w:pos="14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Favorable foreign currency exchange of $2 million.</w:t>
      </w:r>
    </w:p>
    <w:p>
      <w:pPr>
        <w:spacing w:after="0" w:line="165"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Selling, general and administrative expense for 2024 increased $39 million compared to 2023, while expenses as a percent of sales increased 2.4 percentage points. Key drivers of the fluctuation in selling, general and administrative expense compared to 2023 were:</w:t>
      </w:r>
    </w:p>
    <w:p>
      <w:pPr>
        <w:spacing w:after="0" w:line="83" w:lineRule="exact"/>
        <w:rPr>
          <w:sz w:val="20"/>
          <w:szCs w:val="20"/>
          <w:color w:val="auto"/>
        </w:rPr>
      </w:pPr>
    </w:p>
    <w:p>
      <w:pPr>
        <w:ind w:left="720" w:hanging="366"/>
        <w:spacing w:after="0" w:line="324"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Expense of $30 million and $9 million comprised of key items for severance, lease abandonment and other restructuring costs during 2024 and 2023, respectively;</w:t>
      </w:r>
    </w:p>
    <w:p>
      <w:pPr>
        <w:spacing w:after="0" w:line="64" w:lineRule="exact"/>
        <w:rPr>
          <w:rFonts w:ascii="Arial" w:cs="Arial" w:eastAsia="Arial" w:hAnsi="Arial"/>
          <w:sz w:val="20"/>
          <w:szCs w:val="20"/>
          <w:color w:val="auto"/>
        </w:rPr>
      </w:pPr>
    </w:p>
    <w:p>
      <w:pPr>
        <w:ind w:left="720" w:hanging="366"/>
        <w:spacing w:after="0" w:line="324"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$45 million and $54 million in net environmental-related expenses during 2024 and 2023, respectively (see Note M of the Notes to Consolidated Financial Statements for more information);</w:t>
      </w:r>
    </w:p>
    <w:p>
      <w:pPr>
        <w:spacing w:after="0" w:line="64" w:lineRule="exact"/>
        <w:rPr>
          <w:rFonts w:ascii="Arial" w:cs="Arial" w:eastAsia="Arial" w:hAnsi="Arial"/>
          <w:sz w:val="20"/>
          <w:szCs w:val="20"/>
          <w:color w:val="auto"/>
        </w:rPr>
      </w:pPr>
    </w:p>
    <w:p>
      <w:pPr>
        <w:ind w:left="720" w:hanging="366"/>
        <w:spacing w:after="0" w:line="324"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$11 million capital project impairment charge in 2024 and a $4 million impairment charge in 2023 associated with the sale of a Specialty Additives manufacturing facility;</w:t>
      </w:r>
    </w:p>
    <w:p>
      <w:pPr>
        <w:spacing w:after="0" w:line="64" w:lineRule="exact"/>
        <w:rPr>
          <w:rFonts w:ascii="Arial" w:cs="Arial" w:eastAsia="Arial" w:hAnsi="Arial"/>
          <w:sz w:val="20"/>
          <w:szCs w:val="20"/>
          <w:color w:val="auto"/>
        </w:rPr>
      </w:pPr>
    </w:p>
    <w:p>
      <w:pPr>
        <w:ind w:left="720" w:hanging="366"/>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$12 million gain associated with ICMS Brazil tax credit in 2023;</w:t>
      </w:r>
    </w:p>
    <w:p>
      <w:pPr>
        <w:spacing w:after="0" w:line="179" w:lineRule="exact"/>
        <w:rPr>
          <w:rFonts w:ascii="Arial" w:cs="Arial" w:eastAsia="Arial" w:hAnsi="Arial"/>
          <w:sz w:val="20"/>
          <w:szCs w:val="20"/>
          <w:color w:val="auto"/>
        </w:rPr>
      </w:pPr>
    </w:p>
    <w:p>
      <w:pPr>
        <w:ind w:left="720" w:hanging="366"/>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 $5 million charge associated with the impact of a currency devaluation in Argentina during 2024;</w:t>
      </w:r>
    </w:p>
    <w:p>
      <w:pPr>
        <w:spacing w:after="0" w:line="179" w:lineRule="exact"/>
        <w:rPr>
          <w:rFonts w:ascii="Arial" w:cs="Arial" w:eastAsia="Arial" w:hAnsi="Arial"/>
          <w:sz w:val="20"/>
          <w:szCs w:val="20"/>
          <w:color w:val="auto"/>
        </w:rPr>
      </w:pPr>
    </w:p>
    <w:p>
      <w:pPr>
        <w:ind w:left="720" w:hanging="366"/>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 $4 million legal settlement during 2024; and</w:t>
      </w:r>
    </w:p>
    <w:p>
      <w:pPr>
        <w:spacing w:after="0" w:line="179" w:lineRule="exact"/>
        <w:rPr>
          <w:rFonts w:ascii="Arial" w:cs="Arial" w:eastAsia="Arial" w:hAnsi="Arial"/>
          <w:sz w:val="20"/>
          <w:szCs w:val="20"/>
          <w:color w:val="auto"/>
        </w:rPr>
      </w:pPr>
    </w:p>
    <w:p>
      <w:pPr>
        <w:ind w:left="720" w:hanging="366"/>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associated with the following:</w:t>
      </w:r>
    </w:p>
    <w:p>
      <w:pPr>
        <w:spacing w:after="0" w:line="180" w:lineRule="exact"/>
        <w:rPr>
          <w:sz w:val="20"/>
          <w:szCs w:val="20"/>
          <w:color w:val="auto"/>
        </w:rPr>
      </w:pPr>
    </w:p>
    <w:p>
      <w:pPr>
        <w:ind w:left="1460" w:hanging="487"/>
        <w:spacing w:after="0"/>
        <w:tabs>
          <w:tab w:leader="none" w:pos="14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Higher variable compensation expense, partially offset by lower stock based compensation;</w:t>
      </w:r>
    </w:p>
    <w:p>
      <w:pPr>
        <w:spacing w:after="0" w:line="179" w:lineRule="exact"/>
        <w:rPr>
          <w:rFonts w:ascii="Arial" w:cs="Arial" w:eastAsia="Arial" w:hAnsi="Arial"/>
          <w:sz w:val="20"/>
          <w:szCs w:val="20"/>
          <w:color w:val="auto"/>
        </w:rPr>
      </w:pPr>
    </w:p>
    <w:p>
      <w:pPr>
        <w:ind w:left="1460" w:hanging="487"/>
        <w:spacing w:after="0"/>
        <w:tabs>
          <w:tab w:leader="none" w:pos="14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Higher salary, benefits and travel expenses of $10 million; and</w:t>
      </w:r>
    </w:p>
    <w:p>
      <w:pPr>
        <w:spacing w:after="0" w:line="179" w:lineRule="exact"/>
        <w:rPr>
          <w:rFonts w:ascii="Arial" w:cs="Arial" w:eastAsia="Arial" w:hAnsi="Arial"/>
          <w:sz w:val="20"/>
          <w:szCs w:val="20"/>
          <w:color w:val="auto"/>
        </w:rPr>
      </w:pPr>
    </w:p>
    <w:p>
      <w:pPr>
        <w:ind w:left="1460" w:hanging="487"/>
        <w:spacing w:after="0"/>
        <w:tabs>
          <w:tab w:leader="none" w:pos="14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Partially offset by favorable foreign currency exchange of $5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114300</wp:posOffset>
            </wp:positionV>
            <wp:extent cx="650430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59">
                      <a:extLst>
                        <a:ext uri="{28A0092B-C50C-407E-A947-70E740481C1C}"/>
                      </a:extLst>
                    </a:blip>
                    <a:srcRect/>
                    <a:stretch>
                      <a:fillRect/>
                    </a:stretch>
                  </pic:blipFill>
                  <pic:spPr bwMode="auto">
                    <a:xfrm>
                      <a:off x="0" y="0"/>
                      <a:ext cx="6504305" cy="3810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00"/>
              <w:spacing w:after="0" w:line="226" w:lineRule="exact"/>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19"/>
                <w:szCs w:val="19"/>
                <w:color w:val="auto"/>
              </w:rPr>
            </w:pPr>
          </w:p>
        </w:tc>
        <w:tc>
          <w:tcPr>
            <w:tcW w:w="800" w:type="dxa"/>
            <w:vAlign w:val="bottom"/>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top w:val="single" w:sz="8" w:color="auto"/>
            </w:tcBorders>
          </w:tcPr>
          <w:p>
            <w:pPr>
              <w:spacing w:after="0"/>
              <w:rPr>
                <w:sz w:val="19"/>
                <w:szCs w:val="19"/>
                <w:color w:val="auto"/>
              </w:rPr>
            </w:pPr>
          </w:p>
        </w:tc>
      </w:tr>
      <w:tr>
        <w:trPr>
          <w:trHeight w:val="24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98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28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240" w:type="dxa"/>
            <w:vAlign w:val="bottom"/>
          </w:tcPr>
          <w:p>
            <w:pPr>
              <w:spacing w:after="0"/>
              <w:rPr>
                <w:sz w:val="21"/>
                <w:szCs w:val="21"/>
                <w:color w:val="auto"/>
              </w:rPr>
            </w:pPr>
          </w:p>
        </w:tc>
        <w:tc>
          <w:tcPr>
            <w:tcW w:w="94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8"/>
              </w:rPr>
              <w:t>change</w:t>
            </w:r>
          </w:p>
        </w:tc>
        <w:tc>
          <w:tcPr>
            <w:tcW w:w="22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8"/>
              </w:rPr>
              <w:t>change</w:t>
            </w:r>
          </w:p>
        </w:tc>
      </w:tr>
      <w:tr>
        <w:trPr>
          <w:trHeight w:val="225"/>
        </w:trPr>
        <w:tc>
          <w:tcPr>
            <w:tcW w:w="380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Research and development expense</w:t>
            </w:r>
          </w:p>
        </w:tc>
        <w:tc>
          <w:tcPr>
            <w:tcW w:w="9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54</w:t>
            </w:r>
          </w:p>
        </w:tc>
        <w:tc>
          <w:tcPr>
            <w:tcW w:w="2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55</w:t>
            </w:r>
          </w:p>
        </w:tc>
        <w:tc>
          <w:tcPr>
            <w:tcW w:w="2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51</w:t>
            </w:r>
          </w:p>
        </w:tc>
        <w:tc>
          <w:tcPr>
            <w:tcW w:w="2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w:t>
            </w:r>
          </w:p>
        </w:tc>
        <w:tc>
          <w:tcPr>
            <w:tcW w:w="22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w:t>
            </w:r>
          </w:p>
        </w:tc>
        <w:tc>
          <w:tcPr>
            <w:tcW w:w="60" w:type="dxa"/>
            <w:vAlign w:val="bottom"/>
            <w:tcBorders>
              <w:top w:val="single" w:sz="8" w:color="auto"/>
            </w:tcBorders>
            <w:shd w:val="clear" w:color="auto" w:fill="D5EFF4"/>
          </w:tcPr>
          <w:p>
            <w:pPr>
              <w:spacing w:after="0"/>
              <w:rPr>
                <w:sz w:val="19"/>
                <w:szCs w:val="19"/>
                <w:color w:val="auto"/>
              </w:rPr>
            </w:pPr>
          </w:p>
        </w:tc>
      </w:tr>
      <w:tr>
        <w:trPr>
          <w:trHeight w:val="69"/>
        </w:trPr>
        <w:tc>
          <w:tcPr>
            <w:tcW w:w="3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-222250</wp:posOffset>
            </wp:positionV>
            <wp:extent cx="650430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60">
                      <a:extLst>
                        <a:ext uri="{28A0092B-C50C-407E-A947-70E740481C1C}"/>
                      </a:extLst>
                    </a:blip>
                    <a:srcRect/>
                    <a:stretch>
                      <a:fillRect/>
                    </a:stretch>
                  </pic:blipFill>
                  <pic:spPr bwMode="auto">
                    <a:xfrm>
                      <a:off x="0" y="0"/>
                      <a:ext cx="6504305" cy="3810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-23495</wp:posOffset>
            </wp:positionV>
            <wp:extent cx="650430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61">
                      <a:extLst>
                        <a:ext uri="{28A0092B-C50C-407E-A947-70E740481C1C}"/>
                      </a:extLst>
                    </a:blip>
                    <a:srcRect/>
                    <a:stretch>
                      <a:fillRect/>
                    </a:stretch>
                  </pic:blipFill>
                  <pic:spPr bwMode="auto">
                    <a:xfrm>
                      <a:off x="0" y="0"/>
                      <a:ext cx="6504305"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Research and development expense decreased $1 million in 2025 compared to 2024 primarily due to lower compensation costs. In 2024, the $4 million increase compared to 2023 was primarily due to higher compensation costs.</w:t>
      </w:r>
    </w:p>
    <w:p>
      <w:pPr>
        <w:sectPr>
          <w:pgSz w:w="12240" w:h="15840" w:orient="portrait"/>
          <w:cols w:equalWidth="0" w:num="1">
            <w:col w:w="10240"/>
          </w:cols>
          <w:pgMar w:left="1000" w:top="988" w:right="1000" w:bottom="175"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M-6</w:t>
      </w:r>
    </w:p>
    <w:p>
      <w:pPr>
        <w:sectPr>
          <w:pgSz w:w="12240" w:h="15840" w:orient="portrait"/>
          <w:cols w:equalWidth="0" w:num="1">
            <w:col w:w="10240"/>
          </w:cols>
          <w:pgMar w:left="1000" w:top="988" w:right="1000" w:bottom="175"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26"/>
        </w:trPr>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0"/>
              <w:spacing w:after="0" w:line="226" w:lineRule="exact"/>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19"/>
                <w:szCs w:val="19"/>
                <w:color w:val="auto"/>
              </w:rPr>
            </w:pPr>
          </w:p>
        </w:tc>
        <w:tc>
          <w:tcPr>
            <w:tcW w:w="800" w:type="dxa"/>
            <w:vAlign w:val="bottom"/>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top w:val="single" w:sz="8" w:color="auto"/>
            </w:tcBorders>
          </w:tcPr>
          <w:p>
            <w:pPr>
              <w:spacing w:after="0"/>
              <w:rPr>
                <w:sz w:val="19"/>
                <w:szCs w:val="19"/>
                <w:color w:val="auto"/>
              </w:rPr>
            </w:pPr>
          </w:p>
        </w:tc>
      </w:tr>
      <w:tr>
        <w:trPr>
          <w:trHeight w:val="249"/>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08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28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240" w:type="dxa"/>
            <w:vAlign w:val="bottom"/>
          </w:tcPr>
          <w:p>
            <w:pPr>
              <w:spacing w:after="0"/>
              <w:rPr>
                <w:sz w:val="21"/>
                <w:szCs w:val="21"/>
                <w:color w:val="auto"/>
              </w:rPr>
            </w:pPr>
          </w:p>
        </w:tc>
        <w:tc>
          <w:tcPr>
            <w:tcW w:w="94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rPr>
              <w:t>change</w:t>
            </w:r>
          </w:p>
        </w:tc>
        <w:tc>
          <w:tcPr>
            <w:tcW w:w="200" w:type="dxa"/>
            <w:vAlign w:val="bottom"/>
          </w:tcPr>
          <w:p>
            <w:pPr>
              <w:spacing w:after="0"/>
              <w:rPr>
                <w:sz w:val="21"/>
                <w:szCs w:val="21"/>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change</w:t>
            </w:r>
          </w:p>
        </w:tc>
        <w:tc>
          <w:tcPr>
            <w:tcW w:w="80" w:type="dxa"/>
            <w:vAlign w:val="bottom"/>
            <w:tcBorders>
              <w:bottom w:val="single" w:sz="8" w:color="auto"/>
            </w:tcBorders>
          </w:tcPr>
          <w:p>
            <w:pPr>
              <w:spacing w:after="0"/>
              <w:rPr>
                <w:sz w:val="21"/>
                <w:szCs w:val="21"/>
                <w:color w:val="auto"/>
              </w:rPr>
            </w:pPr>
          </w:p>
        </w:tc>
      </w:tr>
      <w:tr>
        <w:trPr>
          <w:trHeight w:val="225"/>
        </w:trPr>
        <w:tc>
          <w:tcPr>
            <w:tcW w:w="370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Intangibles amortization expense</w:t>
            </w:r>
          </w:p>
        </w:tc>
        <w:tc>
          <w:tcPr>
            <w:tcW w:w="10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63</w:t>
            </w:r>
          </w:p>
        </w:tc>
        <w:tc>
          <w:tcPr>
            <w:tcW w:w="2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76</w:t>
            </w:r>
          </w:p>
        </w:tc>
        <w:tc>
          <w:tcPr>
            <w:tcW w:w="2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93</w:t>
            </w:r>
          </w:p>
        </w:tc>
        <w:tc>
          <w:tcPr>
            <w:tcW w:w="2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20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(17)</w:t>
            </w:r>
          </w:p>
        </w:tc>
      </w:tr>
      <w:tr>
        <w:trPr>
          <w:trHeight w:val="69"/>
        </w:trPr>
        <w:tc>
          <w:tcPr>
            <w:tcW w:w="3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626110</wp:posOffset>
            </wp:positionV>
            <wp:extent cx="649478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62">
                      <a:extLst>
                        <a:ext uri="{28A0092B-C50C-407E-A947-70E740481C1C}"/>
                      </a:extLst>
                    </a:blip>
                    <a:srcRect/>
                    <a:stretch>
                      <a:fillRect/>
                    </a:stretch>
                  </pic:blipFill>
                  <pic:spPr bwMode="auto">
                    <a:xfrm>
                      <a:off x="0" y="0"/>
                      <a:ext cx="6494780"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-222250</wp:posOffset>
            </wp:positionV>
            <wp:extent cx="649478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63">
                      <a:extLst>
                        <a:ext uri="{28A0092B-C50C-407E-A947-70E740481C1C}"/>
                      </a:extLst>
                    </a:blip>
                    <a:srcRect/>
                    <a:stretch>
                      <a:fillRect/>
                    </a:stretch>
                  </pic:blipFill>
                  <pic:spPr bwMode="auto">
                    <a:xfrm>
                      <a:off x="0" y="0"/>
                      <a:ext cx="6494780"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wp:posOffset>
            </wp:positionV>
            <wp:extent cx="649478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64">
                      <a:extLst>
                        <a:ext uri="{28A0092B-C50C-407E-A947-70E740481C1C}"/>
                      </a:extLst>
                    </a:blip>
                    <a:srcRect/>
                    <a:stretch>
                      <a:fillRect/>
                    </a:stretch>
                  </pic:blipFill>
                  <pic:spPr bwMode="auto">
                    <a:xfrm>
                      <a:off x="0" y="0"/>
                      <a:ext cx="6494780"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Amortization expense decreased $13 million in 2025 compared to 2024 primarily due to the impact of fully amortized intangibles in prior periods and the impact of the Avoca business divested during 2025. Amortization expense decreased $17 million in 2024 compared to 2023 primarily due to the impact of fully amortized intangibles in prior periods and the impact of the Nutraceuticals business divested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45085</wp:posOffset>
            </wp:positionV>
            <wp:extent cx="652970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65">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1"/>
                <w:szCs w:val="21"/>
                <w:color w:val="auto"/>
              </w:rPr>
            </w:pPr>
          </w:p>
        </w:tc>
      </w:tr>
      <w:tr>
        <w:trPr>
          <w:trHeight w:val="249"/>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42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change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8"/>
              </w:rPr>
              <w:t>change</w:t>
            </w:r>
          </w:p>
        </w:tc>
        <w:tc>
          <w:tcPr>
            <w:tcW w:w="80" w:type="dxa"/>
            <w:vAlign w:val="bottom"/>
            <w:tcBorders>
              <w:bottom w:val="single" w:sz="8" w:color="auto"/>
            </w:tcBorders>
          </w:tcPr>
          <w:p>
            <w:pPr>
              <w:spacing w:after="0"/>
              <w:rPr>
                <w:sz w:val="21"/>
                <w:szCs w:val="21"/>
                <w:color w:val="auto"/>
              </w:rPr>
            </w:pPr>
          </w:p>
        </w:tc>
      </w:tr>
      <w:tr>
        <w:trPr>
          <w:trHeight w:val="239"/>
        </w:trPr>
        <w:tc>
          <w:tcPr>
            <w:tcW w:w="33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Equity and other income</w:t>
            </w:r>
          </w:p>
        </w:tc>
        <w:tc>
          <w:tcPr>
            <w:tcW w:w="14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3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80" w:type="dxa"/>
            <w:vAlign w:val="bottom"/>
            <w:shd w:val="clear" w:color="auto" w:fill="D5EFF4"/>
          </w:tcPr>
          <w:p>
            <w:pPr>
              <w:jc w:val="right"/>
              <w:ind w:right="5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94"/>
              </w:rPr>
              <w:t>(2)</w:t>
            </w:r>
          </w:p>
        </w:tc>
        <w:tc>
          <w:tcPr>
            <w:tcW w:w="2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83"/>
        </w:trPr>
        <w:tc>
          <w:tcPr>
            <w:tcW w:w="3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-240030</wp:posOffset>
            </wp:positionV>
            <wp:extent cx="649478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66">
                      <a:extLst>
                        <a:ext uri="{28A0092B-C50C-407E-A947-70E740481C1C}"/>
                      </a:extLst>
                    </a:blip>
                    <a:srcRect/>
                    <a:stretch>
                      <a:fillRect/>
                    </a:stretch>
                  </pic:blipFill>
                  <pic:spPr bwMode="auto">
                    <a:xfrm>
                      <a:off x="0" y="0"/>
                      <a:ext cx="6494780"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wp:posOffset>
            </wp:positionV>
            <wp:extent cx="649478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67">
                      <a:extLst>
                        <a:ext uri="{28A0092B-C50C-407E-A947-70E740481C1C}"/>
                      </a:extLst>
                    </a:blip>
                    <a:srcRect/>
                    <a:stretch>
                      <a:fillRect/>
                    </a:stretch>
                  </pic:blipFill>
                  <pic:spPr bwMode="auto">
                    <a:xfrm>
                      <a:off x="0" y="0"/>
                      <a:ext cx="6494780"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Equity and other income decreased in 2025 compared to 2024 primarily related to lower China financial cash subsidies in 2025. Equity and other income remained relatively consistent in 2024 compared to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29210</wp:posOffset>
            </wp:positionV>
            <wp:extent cx="652970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68">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240" w:type="dxa"/>
            <w:vAlign w:val="bottom"/>
          </w:tcPr>
          <w:p>
            <w:pPr>
              <w:spacing w:after="0"/>
              <w:rPr>
                <w:sz w:val="21"/>
                <w:szCs w:val="21"/>
                <w:color w:val="auto"/>
              </w:rPr>
            </w:pPr>
          </w:p>
        </w:tc>
        <w:tc>
          <w:tcPr>
            <w:tcW w:w="8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1"/>
                <w:szCs w:val="21"/>
                <w:color w:val="auto"/>
              </w:rPr>
            </w:pPr>
          </w:p>
        </w:tc>
      </w:tr>
      <w:tr>
        <w:trPr>
          <w:trHeight w:val="249"/>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58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spacing w:after="0"/>
              <w:rPr>
                <w:sz w:val="21"/>
                <w:szCs w:val="21"/>
                <w:color w:val="auto"/>
              </w:rPr>
            </w:pPr>
          </w:p>
        </w:tc>
        <w:tc>
          <w:tcPr>
            <w:tcW w:w="116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2024</w:t>
            </w:r>
          </w:p>
        </w:tc>
        <w:tc>
          <w:tcPr>
            <w:tcW w:w="110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2023</w:t>
            </w:r>
          </w:p>
        </w:tc>
        <w:tc>
          <w:tcPr>
            <w:tcW w:w="9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8"/>
              </w:rPr>
              <w:t>change</w:t>
            </w:r>
          </w:p>
        </w:tc>
        <w:tc>
          <w:tcPr>
            <w:tcW w:w="240" w:type="dxa"/>
            <w:vAlign w:val="bottom"/>
          </w:tcPr>
          <w:p>
            <w:pPr>
              <w:spacing w:after="0"/>
              <w:rPr>
                <w:sz w:val="21"/>
                <w:szCs w:val="21"/>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8"/>
              </w:rPr>
              <w:t>change</w:t>
            </w:r>
          </w:p>
        </w:tc>
        <w:tc>
          <w:tcPr>
            <w:tcW w:w="60" w:type="dxa"/>
            <w:vAlign w:val="bottom"/>
            <w:tcBorders>
              <w:bottom w:val="single" w:sz="8" w:color="auto"/>
            </w:tcBorders>
          </w:tcPr>
          <w:p>
            <w:pPr>
              <w:spacing w:after="0"/>
              <w:rPr>
                <w:sz w:val="21"/>
                <w:szCs w:val="21"/>
                <w:color w:val="auto"/>
              </w:rPr>
            </w:pPr>
          </w:p>
        </w:tc>
      </w:tr>
      <w:tr>
        <w:trPr>
          <w:trHeight w:val="239"/>
        </w:trPr>
        <w:tc>
          <w:tcPr>
            <w:tcW w:w="320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Goodwill impairment</w:t>
            </w:r>
          </w:p>
        </w:tc>
        <w:tc>
          <w:tcPr>
            <w:tcW w:w="15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706</w:t>
            </w:r>
          </w:p>
        </w:tc>
        <w:tc>
          <w:tcPr>
            <w:tcW w:w="3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1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706</w:t>
            </w:r>
          </w:p>
        </w:tc>
        <w:tc>
          <w:tcPr>
            <w:tcW w:w="2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D5EFF4"/>
          </w:tcPr>
          <w:p>
            <w:pPr>
              <w:ind w:left="60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-178435</wp:posOffset>
            </wp:positionV>
            <wp:extent cx="650875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69">
                      <a:extLst>
                        <a:ext uri="{28A0092B-C50C-407E-A947-70E740481C1C}"/>
                      </a:extLst>
                    </a:blip>
                    <a:srcRect/>
                    <a:stretch>
                      <a:fillRect/>
                    </a:stretch>
                  </pic:blipFill>
                  <pic:spPr bwMode="auto">
                    <a:xfrm>
                      <a:off x="0" y="0"/>
                      <a:ext cx="6508750" cy="38100"/>
                    </a:xfrm>
                    <a:prstGeom prst="rect">
                      <a:avLst/>
                    </a:prstGeom>
                    <a:noFill/>
                  </pic:spPr>
                </pic:pic>
              </a:graphicData>
            </a:graphic>
          </wp:anchor>
        </w:drawing>
      </w:r>
    </w:p>
    <w:p>
      <w:pPr>
        <w:spacing w:after="0" w:line="8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 recorded a $706 million goodwill impairment charge in 2025. See Note G of the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29210</wp:posOffset>
            </wp:positionV>
            <wp:extent cx="649541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70">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0"/>
              <w:spacing w:after="0" w:line="226" w:lineRule="exact"/>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19"/>
                <w:szCs w:val="19"/>
                <w:color w:val="auto"/>
              </w:rPr>
            </w:pPr>
          </w:p>
        </w:tc>
        <w:tc>
          <w:tcPr>
            <w:tcW w:w="800" w:type="dxa"/>
            <w:vAlign w:val="bottom"/>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top w:val="single" w:sz="8" w:color="auto"/>
            </w:tcBorders>
          </w:tcPr>
          <w:p>
            <w:pPr>
              <w:spacing w:after="0"/>
              <w:rPr>
                <w:sz w:val="19"/>
                <w:szCs w:val="19"/>
                <w:color w:val="auto"/>
              </w:rPr>
            </w:pPr>
          </w:p>
        </w:tc>
      </w:tr>
      <w:tr>
        <w:trPr>
          <w:trHeight w:val="249"/>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60" w:type="dxa"/>
            <w:vAlign w:val="bottom"/>
          </w:tcPr>
          <w:p>
            <w:pPr>
              <w:spacing w:after="0"/>
              <w:rPr>
                <w:sz w:val="21"/>
                <w:szCs w:val="21"/>
                <w:color w:val="auto"/>
              </w:rPr>
            </w:pPr>
          </w:p>
        </w:tc>
        <w:tc>
          <w:tcPr>
            <w:tcW w:w="9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2025</w:t>
            </w:r>
          </w:p>
        </w:tc>
        <w:tc>
          <w:tcPr>
            <w:tcW w:w="260" w:type="dxa"/>
            <w:vAlign w:val="bottom"/>
          </w:tcPr>
          <w:p>
            <w:pPr>
              <w:spacing w:after="0"/>
              <w:rPr>
                <w:sz w:val="21"/>
                <w:szCs w:val="21"/>
                <w:color w:val="auto"/>
              </w:rPr>
            </w:pP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2024</w:t>
            </w:r>
          </w:p>
        </w:tc>
        <w:tc>
          <w:tcPr>
            <w:tcW w:w="26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240" w:type="dxa"/>
            <w:vAlign w:val="bottom"/>
          </w:tcPr>
          <w:p>
            <w:pPr>
              <w:spacing w:after="0"/>
              <w:rPr>
                <w:sz w:val="21"/>
                <w:szCs w:val="21"/>
                <w:color w:val="auto"/>
              </w:rPr>
            </w:pPr>
          </w:p>
        </w:tc>
        <w:tc>
          <w:tcPr>
            <w:tcW w:w="94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8"/>
              </w:rPr>
              <w:t>change</w:t>
            </w:r>
          </w:p>
        </w:tc>
        <w:tc>
          <w:tcPr>
            <w:tcW w:w="200" w:type="dxa"/>
            <w:vAlign w:val="bottom"/>
          </w:tcPr>
          <w:p>
            <w:pPr>
              <w:spacing w:after="0"/>
              <w:rPr>
                <w:sz w:val="21"/>
                <w:szCs w:val="21"/>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change</w:t>
            </w:r>
          </w:p>
        </w:tc>
        <w:tc>
          <w:tcPr>
            <w:tcW w:w="80" w:type="dxa"/>
            <w:vAlign w:val="bottom"/>
            <w:tcBorders>
              <w:bottom w:val="single" w:sz="8" w:color="auto"/>
            </w:tcBorders>
          </w:tcPr>
          <w:p>
            <w:pPr>
              <w:spacing w:after="0"/>
              <w:rPr>
                <w:sz w:val="21"/>
                <w:szCs w:val="21"/>
                <w:color w:val="auto"/>
              </w:rPr>
            </w:pPr>
          </w:p>
        </w:tc>
      </w:tr>
      <w:tr>
        <w:trPr>
          <w:trHeight w:val="225"/>
        </w:trPr>
        <w:tc>
          <w:tcPr>
            <w:tcW w:w="442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Income (loss) on acquisitions and divestitures, net</w:t>
            </w:r>
          </w:p>
        </w:tc>
        <w:tc>
          <w:tcPr>
            <w:tcW w:w="36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(161)</w:t>
            </w:r>
          </w:p>
        </w:tc>
        <w:tc>
          <w:tcPr>
            <w:tcW w:w="26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(115)</w:t>
            </w:r>
          </w:p>
        </w:tc>
        <w:tc>
          <w:tcPr>
            <w:tcW w:w="26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w:t>
            </w:r>
          </w:p>
        </w:tc>
        <w:tc>
          <w:tcPr>
            <w:tcW w:w="2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(46)</w:t>
            </w:r>
          </w:p>
        </w:tc>
        <w:tc>
          <w:tcPr>
            <w:tcW w:w="20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(121)</w:t>
            </w:r>
          </w:p>
        </w:tc>
      </w:tr>
      <w:tr>
        <w:trPr>
          <w:trHeight w:val="69"/>
        </w:trPr>
        <w:tc>
          <w:tcPr>
            <w:tcW w:w="4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-222250</wp:posOffset>
            </wp:positionV>
            <wp:extent cx="649541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71">
                      <a:extLst>
                        <a:ext uri="{28A0092B-C50C-407E-A947-70E740481C1C}"/>
                      </a:extLst>
                    </a:blip>
                    <a:srcRect/>
                    <a:stretch>
                      <a:fillRect/>
                    </a:stretch>
                  </pic:blipFill>
                  <pic:spPr bwMode="auto">
                    <a:xfrm>
                      <a:off x="0" y="0"/>
                      <a:ext cx="6495415" cy="3810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-22860</wp:posOffset>
            </wp:positionV>
            <wp:extent cx="649541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72">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Income (loss) on acquisitions and divestitures, net during 2025 primarily relates to a net $175 million impairment and sale of the Avoca business. In addition, Ashland recorded a pre-tax gain on sale of excess corporate real estate of $14 million during 2025. See Note B of the Notes to Consolidated Financial Statements for more information.</w:t>
      </w:r>
    </w:p>
    <w:p>
      <w:pPr>
        <w:spacing w:after="0" w:line="68"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Income (loss) on acquisitions and divestitures, net during 2024 primarily relates to $107 million impairment charge and loss on sale associated with the divestiture of the Nutraceuticals business. In addition, a $7 million reserve for foreign VAT taxes was also recorded in 2024 associated with the divested Nutraceuticals business legal entities. See Note B of the Notes to Consolidated Financial Statements for more information.</w:t>
      </w:r>
    </w:p>
    <w:p>
      <w:pPr>
        <w:spacing w:after="0" w:line="74"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Income (loss) on acquisitions and divestitures, net during 2023 primarily relates to a $7 million gain on the sale of excess corporate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29210</wp:posOffset>
            </wp:positionV>
            <wp:extent cx="649541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73">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80"/>
              <w:spacing w:after="0" w:line="226" w:lineRule="exact"/>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top w:val="single" w:sz="8" w:color="auto"/>
            </w:tcBorders>
          </w:tcPr>
          <w:p>
            <w:pPr>
              <w:spacing w:after="0"/>
              <w:rPr>
                <w:sz w:val="19"/>
                <w:szCs w:val="19"/>
                <w:color w:val="auto"/>
              </w:rPr>
            </w:pPr>
          </w:p>
        </w:tc>
      </w:tr>
      <w:tr>
        <w:trPr>
          <w:trHeight w:val="249"/>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80" w:type="dxa"/>
            <w:vAlign w:val="bottom"/>
          </w:tcPr>
          <w:p>
            <w:pPr>
              <w:spacing w:after="0"/>
              <w:rPr>
                <w:sz w:val="21"/>
                <w:szCs w:val="21"/>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change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change</w:t>
            </w:r>
          </w:p>
        </w:tc>
      </w:tr>
      <w:tr>
        <w:trPr>
          <w:trHeight w:val="225"/>
        </w:trPr>
        <w:tc>
          <w:tcPr>
            <w:tcW w:w="462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Net interest and other expense (income)</w:t>
            </w:r>
          </w:p>
        </w:tc>
        <w:tc>
          <w:tcPr>
            <w:tcW w:w="180" w:type="dxa"/>
            <w:vAlign w:val="bottom"/>
            <w:shd w:val="clear" w:color="auto" w:fill="D5EFF4"/>
          </w:tcPr>
          <w:p>
            <w:pPr>
              <w:spacing w:after="0"/>
              <w:rPr>
                <w:sz w:val="19"/>
                <w:szCs w:val="19"/>
                <w:color w:val="auto"/>
              </w:rPr>
            </w:pPr>
          </w:p>
        </w:tc>
        <w:tc>
          <w:tcPr>
            <w:tcW w:w="860" w:type="dxa"/>
            <w:vAlign w:val="bottom"/>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200" w:type="dxa"/>
            <w:vAlign w:val="bottom"/>
            <w:shd w:val="clear" w:color="auto" w:fill="D5EFF4"/>
          </w:tcPr>
          <w:p>
            <w:pPr>
              <w:spacing w:after="0"/>
              <w:rPr>
                <w:sz w:val="19"/>
                <w:szCs w:val="19"/>
                <w:color w:val="auto"/>
              </w:rPr>
            </w:pPr>
          </w:p>
        </w:tc>
        <w:tc>
          <w:tcPr>
            <w:tcW w:w="860" w:type="dxa"/>
            <w:vAlign w:val="bottom"/>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180" w:type="dxa"/>
            <w:vAlign w:val="bottom"/>
            <w:shd w:val="clear" w:color="auto" w:fill="D5EFF4"/>
          </w:tcPr>
          <w:p>
            <w:pPr>
              <w:spacing w:after="0"/>
              <w:rPr>
                <w:sz w:val="19"/>
                <w:szCs w:val="19"/>
                <w:color w:val="auto"/>
              </w:rPr>
            </w:pPr>
          </w:p>
        </w:tc>
        <w:tc>
          <w:tcPr>
            <w:tcW w:w="860" w:type="dxa"/>
            <w:vAlign w:val="bottom"/>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160" w:type="dxa"/>
            <w:vAlign w:val="bottom"/>
            <w:shd w:val="clear" w:color="auto" w:fill="D5EFF4"/>
          </w:tcPr>
          <w:p>
            <w:pPr>
              <w:spacing w:after="0"/>
              <w:rPr>
                <w:sz w:val="19"/>
                <w:szCs w:val="19"/>
                <w:color w:val="auto"/>
              </w:rPr>
            </w:pPr>
          </w:p>
        </w:tc>
        <w:tc>
          <w:tcPr>
            <w:tcW w:w="900" w:type="dxa"/>
            <w:vAlign w:val="bottom"/>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800" w:type="dxa"/>
            <w:vAlign w:val="bottom"/>
            <w:shd w:val="clear" w:color="auto" w:fill="D5EFF4"/>
          </w:tcPr>
          <w:p>
            <w:pPr>
              <w:spacing w:after="0"/>
              <w:rPr>
                <w:sz w:val="19"/>
                <w:szCs w:val="19"/>
                <w:color w:val="auto"/>
              </w:rPr>
            </w:pPr>
          </w:p>
        </w:tc>
        <w:tc>
          <w:tcPr>
            <w:tcW w:w="80" w:type="dxa"/>
            <w:vAlign w:val="bottom"/>
            <w:tcBorders>
              <w:top w:val="single" w:sz="8" w:color="auto"/>
            </w:tcBorders>
            <w:shd w:val="clear" w:color="auto" w:fill="D5EFF4"/>
          </w:tcPr>
          <w:p>
            <w:pPr>
              <w:spacing w:after="0"/>
              <w:rPr>
                <w:sz w:val="19"/>
                <w:szCs w:val="19"/>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462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shd w:val="clear" w:color="auto" w:fill="D5EFF4"/>
          </w:tcPr>
          <w:p>
            <w:pPr>
              <w:spacing w:after="0"/>
              <w:rPr>
                <w:sz w:val="20"/>
                <w:szCs w:val="20"/>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D5EFF4"/>
          </w:tcPr>
          <w:p>
            <w:pPr>
              <w:spacing w:after="0"/>
              <w:rPr>
                <w:sz w:val="20"/>
                <w:szCs w:val="20"/>
                <w:color w:val="auto"/>
              </w:rPr>
            </w:pPr>
          </w:p>
        </w:tc>
        <w:tc>
          <w:tcPr>
            <w:tcW w:w="200" w:type="dxa"/>
            <w:vAlign w:val="bottom"/>
            <w:shd w:val="clear" w:color="auto" w:fill="D5EFF4"/>
          </w:tcPr>
          <w:p>
            <w:pPr>
              <w:spacing w:after="0"/>
              <w:rPr>
                <w:sz w:val="20"/>
                <w:szCs w:val="20"/>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shd w:val="clear" w:color="auto" w:fill="D5EFF4"/>
          </w:tcPr>
          <w:p>
            <w:pPr>
              <w:spacing w:after="0"/>
              <w:rPr>
                <w:sz w:val="20"/>
                <w:szCs w:val="20"/>
                <w:color w:val="auto"/>
              </w:rPr>
            </w:pPr>
          </w:p>
        </w:tc>
        <w:tc>
          <w:tcPr>
            <w:tcW w:w="180" w:type="dxa"/>
            <w:vAlign w:val="bottom"/>
            <w:shd w:val="clear" w:color="auto" w:fill="D5EFF4"/>
          </w:tcPr>
          <w:p>
            <w:pPr>
              <w:spacing w:after="0"/>
              <w:rPr>
                <w:sz w:val="20"/>
                <w:szCs w:val="20"/>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9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880" w:type="dxa"/>
            <w:vAlign w:val="bottom"/>
            <w:gridSpan w:val="2"/>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the accounts receivable sale programs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462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Investment securities income</w:t>
            </w:r>
          </w:p>
        </w:tc>
        <w:tc>
          <w:tcPr>
            <w:tcW w:w="180" w:type="dxa"/>
            <w:vAlign w:val="bottom"/>
            <w:shd w:val="clear" w:color="auto" w:fill="D5EFF4"/>
          </w:tcPr>
          <w:p>
            <w:pPr>
              <w:spacing w:after="0"/>
              <w:rPr>
                <w:sz w:val="20"/>
                <w:szCs w:val="20"/>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shd w:val="clear" w:color="auto" w:fill="D5EFF4"/>
          </w:tcPr>
          <w:p>
            <w:pPr>
              <w:spacing w:after="0"/>
              <w:rPr>
                <w:sz w:val="20"/>
                <w:szCs w:val="20"/>
                <w:color w:val="auto"/>
              </w:rPr>
            </w:pPr>
          </w:p>
        </w:tc>
        <w:tc>
          <w:tcPr>
            <w:tcW w:w="200" w:type="dxa"/>
            <w:vAlign w:val="bottom"/>
            <w:shd w:val="clear" w:color="auto" w:fill="D5EFF4"/>
          </w:tcPr>
          <w:p>
            <w:pPr>
              <w:spacing w:after="0"/>
              <w:rPr>
                <w:sz w:val="20"/>
                <w:szCs w:val="20"/>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00" w:type="dxa"/>
            <w:vAlign w:val="bottom"/>
            <w:shd w:val="clear" w:color="auto" w:fill="D5EFF4"/>
          </w:tcPr>
          <w:p>
            <w:pPr>
              <w:spacing w:after="0"/>
              <w:rPr>
                <w:sz w:val="20"/>
                <w:szCs w:val="20"/>
                <w:color w:val="auto"/>
              </w:rPr>
            </w:pPr>
          </w:p>
        </w:tc>
        <w:tc>
          <w:tcPr>
            <w:tcW w:w="180" w:type="dxa"/>
            <w:vAlign w:val="bottom"/>
            <w:shd w:val="clear" w:color="auto" w:fill="D5EFF4"/>
          </w:tcPr>
          <w:p>
            <w:pPr>
              <w:spacing w:after="0"/>
              <w:rPr>
                <w:sz w:val="20"/>
                <w:szCs w:val="20"/>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9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88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(33)</w:t>
            </w:r>
          </w:p>
        </w:tc>
      </w:tr>
      <w:tr>
        <w:trPr>
          <w:trHeight w:val="230"/>
        </w:trPr>
        <w:tc>
          <w:tcPr>
            <w:tcW w:w="4620" w:type="dxa"/>
            <w:vAlign w:val="bottom"/>
            <w:tcBorders>
              <w:bottom w:val="single" w:sz="8" w:color="D5EFF4"/>
            </w:tcBorders>
          </w:tcPr>
          <w:p>
            <w:pPr>
              <w:ind w:left="200"/>
              <w:spacing w:after="0"/>
              <w:rPr>
                <w:sz w:val="20"/>
                <w:szCs w:val="20"/>
                <w:color w:val="auto"/>
              </w:rPr>
            </w:pPr>
            <w:r>
              <w:rPr>
                <w:rFonts w:ascii="Times New Roman" w:cs="Times New Roman" w:eastAsia="Times New Roman" w:hAnsi="Times New Roman"/>
                <w:sz w:val="20"/>
                <w:szCs w:val="20"/>
                <w:color w:val="auto"/>
              </w:rPr>
              <w:t>Other financing costs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D5EF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D5EF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D5EFF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5EF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45"/>
        </w:trPr>
        <w:tc>
          <w:tcPr>
            <w:tcW w:w="4620" w:type="dxa"/>
            <w:vAlign w:val="bottom"/>
            <w:tcBorders>
              <w:bottom w:val="single" w:sz="8" w:color="D5EFF4"/>
            </w:tcBorders>
            <w:shd w:val="clear" w:color="auto" w:fill="D5EFF4"/>
          </w:tcPr>
          <w:p>
            <w:pPr>
              <w:spacing w:after="0"/>
              <w:rPr>
                <w:sz w:val="21"/>
                <w:szCs w:val="21"/>
                <w:color w:val="auto"/>
              </w:rPr>
            </w:pPr>
          </w:p>
        </w:tc>
        <w:tc>
          <w:tcPr>
            <w:tcW w:w="18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33</w:t>
            </w:r>
          </w:p>
        </w:tc>
        <w:tc>
          <w:tcPr>
            <w:tcW w:w="100" w:type="dxa"/>
            <w:vAlign w:val="bottom"/>
            <w:tcBorders>
              <w:bottom w:val="single" w:sz="8" w:color="D5EFF4"/>
            </w:tcBorders>
            <w:shd w:val="clear" w:color="auto" w:fill="D5EFF4"/>
          </w:tcPr>
          <w:p>
            <w:pPr>
              <w:spacing w:after="0"/>
              <w:rPr>
                <w:sz w:val="21"/>
                <w:szCs w:val="21"/>
                <w:color w:val="auto"/>
              </w:rPr>
            </w:pPr>
          </w:p>
        </w:tc>
        <w:tc>
          <w:tcPr>
            <w:tcW w:w="20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(24)</w:t>
            </w:r>
          </w:p>
        </w:tc>
        <w:tc>
          <w:tcPr>
            <w:tcW w:w="100" w:type="dxa"/>
            <w:vAlign w:val="bottom"/>
            <w:tcBorders>
              <w:bottom w:val="single" w:sz="8" w:color="D5EFF4"/>
            </w:tcBorders>
            <w:shd w:val="clear" w:color="auto" w:fill="D5EFF4"/>
          </w:tcPr>
          <w:p>
            <w:pPr>
              <w:spacing w:after="0"/>
              <w:rPr>
                <w:sz w:val="21"/>
                <w:szCs w:val="21"/>
                <w:color w:val="auto"/>
              </w:rPr>
            </w:pPr>
          </w:p>
        </w:tc>
        <w:tc>
          <w:tcPr>
            <w:tcW w:w="18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w:t>
            </w:r>
          </w:p>
        </w:tc>
        <w:tc>
          <w:tcPr>
            <w:tcW w:w="100" w:type="dxa"/>
            <w:vAlign w:val="bottom"/>
            <w:tcBorders>
              <w:bottom w:val="single" w:sz="8" w:color="D5EFF4"/>
            </w:tcBorders>
            <w:shd w:val="clear" w:color="auto" w:fill="D5EFF4"/>
          </w:tcPr>
          <w:p>
            <w:pPr>
              <w:spacing w:after="0"/>
              <w:rPr>
                <w:sz w:val="21"/>
                <w:szCs w:val="21"/>
                <w:color w:val="auto"/>
              </w:rPr>
            </w:pPr>
          </w:p>
        </w:tc>
        <w:tc>
          <w:tcPr>
            <w:tcW w:w="16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57</w:t>
            </w:r>
          </w:p>
        </w:tc>
        <w:tc>
          <w:tcPr>
            <w:tcW w:w="100" w:type="dxa"/>
            <w:vAlign w:val="bottom"/>
            <w:tcBorders>
              <w:bottom w:val="single" w:sz="8" w:color="D5EFF4"/>
            </w:tcBorders>
            <w:shd w:val="clear" w:color="auto" w:fill="D5EFF4"/>
          </w:tcPr>
          <w:p>
            <w:pPr>
              <w:spacing w:after="0"/>
              <w:rPr>
                <w:sz w:val="21"/>
                <w:szCs w:val="21"/>
                <w:color w:val="auto"/>
              </w:rPr>
            </w:pPr>
          </w:p>
        </w:tc>
        <w:tc>
          <w:tcPr>
            <w:tcW w:w="14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4"/>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-1136650</wp:posOffset>
            </wp:positionV>
            <wp:extent cx="649541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74">
                      <a:extLst>
                        <a:ext uri="{28A0092B-C50C-407E-A947-70E740481C1C}"/>
                      </a:extLst>
                    </a:blip>
                    <a:srcRect/>
                    <a:stretch>
                      <a:fillRect/>
                    </a:stretch>
                  </pic:blipFill>
                  <pic:spPr bwMode="auto">
                    <a:xfrm>
                      <a:off x="0" y="0"/>
                      <a:ext cx="6495415" cy="3810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-22860</wp:posOffset>
            </wp:positionV>
            <wp:extent cx="649541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75">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Net interest and other expense (income) increased by $57 million during 2025 compared to 2024. Interest expense increased primarily related to lower capitalized interest on capital projects in 2025 while interest income decreased primarily due to the decrease in cash equivalents during the 2025 compared to 2024. Restricted investments gains of $33 million and $75 million included realized gains of $20 million compared to $60 million for 2025 and 2024, respectively. See Note E of the Notes to Consolidated Financial Statements for more information on the restricted investments.</w:t>
      </w:r>
    </w:p>
    <w:p>
      <w:pPr>
        <w:spacing w:after="0" w:line="77"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Net interest and other expense (income) decreased by $30 million in 2024 compared to 2023. Interest expense and interest income remained primarily consistent to the prior year. Restricted investments gains of $75 million and $42 million included</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M-7</w:t>
      </w:r>
    </w:p>
    <w:p>
      <w:pPr>
        <w:sectPr>
          <w:pgSz w:w="12240" w:h="15840" w:orient="portrait"/>
          <w:cols w:equalWidth="0" w:num="1">
            <w:col w:w="10240"/>
          </w:cols>
          <w:pgMar w:left="1000" w:top="987" w:right="1000" w:bottom="175" w:gutter="0" w:footer="0" w:header="0"/>
        </w:sectPr>
      </w:pPr>
    </w:p>
    <w:bookmarkStart w:id="65" w:name="page66"/>
    <w:bookmarkEnd w:id="65"/>
    <w:p>
      <w:pPr>
        <w:jc w:val="both"/>
        <w:spacing w:after="0" w:line="325" w:lineRule="auto"/>
        <w:rPr>
          <w:sz w:val="20"/>
          <w:szCs w:val="20"/>
          <w:color w:val="auto"/>
        </w:rPr>
      </w:pPr>
      <w:r>
        <w:rPr>
          <w:rFonts w:ascii="Times New Roman" w:cs="Times New Roman" w:eastAsia="Times New Roman" w:hAnsi="Times New Roman"/>
          <w:sz w:val="20"/>
          <w:szCs w:val="20"/>
          <w:color w:val="auto"/>
        </w:rPr>
        <w:t>realized gains of $60 million compared to $29 million for 2024 and 2023, respectively. See Note E of the Notes to Consolidated Financial Statements for more information on the restricted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40640</wp:posOffset>
            </wp:positionV>
            <wp:extent cx="650875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76">
                      <a:extLst>
                        <a:ext uri="{28A0092B-C50C-407E-A947-70E740481C1C}"/>
                      </a:extLst>
                    </a:blip>
                    <a:srcRect/>
                    <a:stretch>
                      <a:fillRect/>
                    </a:stretch>
                  </pic:blipFill>
                  <pic:spPr bwMode="auto">
                    <a:xfrm>
                      <a:off x="0" y="0"/>
                      <a:ext cx="6508750" cy="3810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20"/>
              <w:spacing w:after="0" w:line="226" w:lineRule="exact"/>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19"/>
                <w:szCs w:val="19"/>
                <w:color w:val="auto"/>
              </w:rPr>
            </w:pPr>
          </w:p>
        </w:tc>
        <w:tc>
          <w:tcPr>
            <w:tcW w:w="800" w:type="dxa"/>
            <w:vAlign w:val="bottom"/>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top w:val="single" w:sz="8" w:color="auto"/>
            </w:tcBorders>
          </w:tcPr>
          <w:p>
            <w:pPr>
              <w:spacing w:after="0"/>
              <w:rPr>
                <w:sz w:val="19"/>
                <w:szCs w:val="19"/>
                <w:color w:val="auto"/>
              </w:rPr>
            </w:pPr>
          </w:p>
        </w:tc>
      </w:tr>
      <w:tr>
        <w:trPr>
          <w:trHeight w:val="249"/>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240" w:type="dxa"/>
            <w:vAlign w:val="bottom"/>
          </w:tcPr>
          <w:p>
            <w:pPr>
              <w:spacing w:after="0"/>
              <w:rPr>
                <w:sz w:val="21"/>
                <w:szCs w:val="21"/>
                <w:color w:val="auto"/>
              </w:rPr>
            </w:pPr>
          </w:p>
        </w:tc>
        <w:tc>
          <w:tcPr>
            <w:tcW w:w="96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8"/>
              </w:rPr>
              <w:t>change</w:t>
            </w:r>
          </w:p>
        </w:tc>
        <w:tc>
          <w:tcPr>
            <w:tcW w:w="22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8"/>
              </w:rPr>
              <w:t>change</w:t>
            </w:r>
          </w:p>
        </w:tc>
      </w:tr>
      <w:tr>
        <w:trPr>
          <w:trHeight w:val="225"/>
        </w:trPr>
        <w:tc>
          <w:tcPr>
            <w:tcW w:w="358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Other net periodic benefit loss</w:t>
            </w:r>
          </w:p>
        </w:tc>
        <w:tc>
          <w:tcPr>
            <w:tcW w:w="1780" w:type="dxa"/>
            <w:vAlign w:val="bottom"/>
            <w:shd w:val="clear" w:color="auto" w:fill="D5EFF4"/>
          </w:tcPr>
          <w:p>
            <w:pPr>
              <w:jc w:val="right"/>
              <w:ind w:right="5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w:t>
            </w:r>
          </w:p>
        </w:tc>
        <w:tc>
          <w:tcPr>
            <w:tcW w:w="2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22</w:t>
            </w:r>
          </w:p>
        </w:tc>
        <w:tc>
          <w:tcPr>
            <w:tcW w:w="2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w:t>
            </w:r>
          </w:p>
        </w:tc>
        <w:tc>
          <w:tcPr>
            <w:tcW w:w="2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(21)</w:t>
            </w:r>
          </w:p>
        </w:tc>
        <w:tc>
          <w:tcPr>
            <w:tcW w:w="22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16</w:t>
            </w:r>
          </w:p>
        </w:tc>
        <w:tc>
          <w:tcPr>
            <w:tcW w:w="60" w:type="dxa"/>
            <w:vAlign w:val="bottom"/>
            <w:tcBorders>
              <w:top w:val="single" w:sz="8" w:color="auto"/>
            </w:tcBorders>
            <w:shd w:val="clear" w:color="auto" w:fill="D5EFF4"/>
          </w:tcPr>
          <w:p>
            <w:pPr>
              <w:spacing w:after="0"/>
              <w:rPr>
                <w:sz w:val="19"/>
                <w:szCs w:val="19"/>
                <w:color w:val="auto"/>
              </w:rPr>
            </w:pPr>
          </w:p>
        </w:tc>
      </w:tr>
      <w:tr>
        <w:trPr>
          <w:trHeight w:val="69"/>
        </w:trPr>
        <w:tc>
          <w:tcPr>
            <w:tcW w:w="35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-222250</wp:posOffset>
            </wp:positionV>
            <wp:extent cx="6508750"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77">
                      <a:extLst>
                        <a:ext uri="{28A0092B-C50C-407E-A947-70E740481C1C}"/>
                      </a:extLst>
                    </a:blip>
                    <a:srcRect/>
                    <a:stretch>
                      <a:fillRect/>
                    </a:stretch>
                  </pic:blipFill>
                  <pic:spPr bwMode="auto">
                    <a:xfrm>
                      <a:off x="0" y="0"/>
                      <a:ext cx="6508750"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-23495</wp:posOffset>
            </wp:positionV>
            <wp:extent cx="650875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78">
                      <a:extLst>
                        <a:ext uri="{28A0092B-C50C-407E-A947-70E740481C1C}"/>
                      </a:extLst>
                    </a:blip>
                    <a:srcRect/>
                    <a:stretch>
                      <a:fillRect/>
                    </a:stretch>
                  </pic:blipFill>
                  <pic:spPr bwMode="auto">
                    <a:xfrm>
                      <a:off x="0" y="0"/>
                      <a:ext cx="6508750"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Other net periodic benefit expense during 2025 primarily included interest cost of $14 million offset by expected return on plan assets of $10 million and a $3 million gain on pension postretirement plan remeasurements.</w:t>
      </w:r>
    </w:p>
    <w:p>
      <w:pPr>
        <w:spacing w:after="0" w:line="49"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Other net periodic benefit expense during 2024 primarily included interest cost of $16 million and a $14 million loss on pension postretirement plan remeasurements offset by expected return on plan assets of $8 million.</w:t>
      </w:r>
    </w:p>
    <w:p>
      <w:pPr>
        <w:spacing w:after="0" w:line="49"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Other net periodic benefit expense during 2023 primarily included interest cost of $15 million offset by expected return on plan assets of $7 million and a $2 million gain on pension and other postretirement plan remeasurements.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652970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79">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2025</w:t>
            </w:r>
          </w:p>
        </w:tc>
        <w:tc>
          <w:tcPr>
            <w:tcW w:w="260" w:type="dxa"/>
            <w:vAlign w:val="bottom"/>
          </w:tcPr>
          <w:p>
            <w:pPr>
              <w:spacing w:after="0"/>
              <w:rPr>
                <w:sz w:val="21"/>
                <w:szCs w:val="21"/>
                <w:color w:val="auto"/>
              </w:rPr>
            </w:pP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1"/>
                <w:szCs w:val="21"/>
                <w:color w:val="auto"/>
              </w:rPr>
            </w:pPr>
          </w:p>
        </w:tc>
      </w:tr>
      <w:tr>
        <w:trPr>
          <w:trHeight w:val="249"/>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200" w:type="dxa"/>
            <w:vAlign w:val="bottom"/>
          </w:tcPr>
          <w:p>
            <w:pPr>
              <w:spacing w:after="0"/>
              <w:rPr>
                <w:sz w:val="21"/>
                <w:szCs w:val="21"/>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2025</w:t>
            </w:r>
          </w:p>
        </w:tc>
        <w:tc>
          <w:tcPr>
            <w:tcW w:w="240" w:type="dxa"/>
            <w:vAlign w:val="bottom"/>
          </w:tcPr>
          <w:p>
            <w:pPr>
              <w:spacing w:after="0"/>
              <w:rPr>
                <w:sz w:val="21"/>
                <w:szCs w:val="21"/>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8"/>
              </w:rPr>
              <w:t>change</w:t>
            </w:r>
          </w:p>
        </w:tc>
        <w:tc>
          <w:tcPr>
            <w:tcW w:w="260" w:type="dxa"/>
            <w:vAlign w:val="bottom"/>
          </w:tcPr>
          <w:p>
            <w:pPr>
              <w:spacing w:after="0"/>
              <w:rPr>
                <w:sz w:val="21"/>
                <w:szCs w:val="21"/>
                <w:color w:val="auto"/>
              </w:rPr>
            </w:pPr>
          </w:p>
        </w:tc>
        <w:tc>
          <w:tcPr>
            <w:tcW w:w="7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change</w:t>
            </w:r>
          </w:p>
        </w:tc>
        <w:tc>
          <w:tcPr>
            <w:tcW w:w="80" w:type="dxa"/>
            <w:vAlign w:val="bottom"/>
            <w:tcBorders>
              <w:bottom w:val="single" w:sz="8" w:color="auto"/>
            </w:tcBorders>
          </w:tcPr>
          <w:p>
            <w:pPr>
              <w:spacing w:after="0"/>
              <w:rPr>
                <w:sz w:val="21"/>
                <w:szCs w:val="21"/>
                <w:color w:val="auto"/>
              </w:rPr>
            </w:pPr>
          </w:p>
        </w:tc>
      </w:tr>
      <w:tr>
        <w:trPr>
          <w:trHeight w:val="239"/>
        </w:trPr>
        <w:tc>
          <w:tcPr>
            <w:tcW w:w="34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Income tax expense (benefit)</w:t>
            </w:r>
          </w:p>
        </w:tc>
        <w:tc>
          <w:tcPr>
            <w:tcW w:w="12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5EFF4"/>
          </w:tcPr>
          <w:p>
            <w:pPr>
              <w:jc w:val="right"/>
              <w:ind w:right="220"/>
              <w:spacing w:after="0"/>
              <w:rPr>
                <w:sz w:val="20"/>
                <w:szCs w:val="20"/>
                <w:color w:val="auto"/>
              </w:rPr>
            </w:pPr>
            <w:r>
              <w:rPr>
                <w:rFonts w:ascii="Times New Roman" w:cs="Times New Roman" w:eastAsia="Times New Roman" w:hAnsi="Times New Roman"/>
                <w:sz w:val="20"/>
                <w:szCs w:val="20"/>
                <w:color w:val="auto"/>
              </w:rPr>
              <w:t>13</w:t>
            </w:r>
          </w:p>
        </w:tc>
        <w:tc>
          <w:tcPr>
            <w:tcW w:w="2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(223)</w:t>
            </w:r>
          </w:p>
        </w:tc>
        <w:tc>
          <w:tcPr>
            <w:tcW w:w="660" w:type="dxa"/>
            <w:vAlign w:val="bottom"/>
            <w:shd w:val="clear" w:color="auto" w:fill="D5EFF4"/>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(8)</w:t>
            </w:r>
          </w:p>
        </w:tc>
        <w:tc>
          <w:tcPr>
            <w:tcW w:w="2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2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(215)</w:t>
            </w:r>
          </w:p>
        </w:tc>
      </w:tr>
      <w:tr>
        <w:trPr>
          <w:trHeight w:val="274"/>
        </w:trPr>
        <w:tc>
          <w:tcPr>
            <w:tcW w:w="3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Effective tax rate</w:t>
            </w:r>
          </w:p>
        </w:tc>
        <w:tc>
          <w:tcPr>
            <w:tcW w:w="1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w:t>
            </w:r>
          </w:p>
        </w:tc>
        <w:tc>
          <w:tcPr>
            <w:tcW w:w="66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3"/>
        </w:trPr>
        <w:tc>
          <w:tcPr>
            <w:tcW w:w="3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-394970</wp:posOffset>
            </wp:positionV>
            <wp:extent cx="649605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80">
                      <a:extLst>
                        <a:ext uri="{28A0092B-C50C-407E-A947-70E740481C1C}"/>
                      </a:extLst>
                    </a:blip>
                    <a:srcRect/>
                    <a:stretch>
                      <a:fillRect/>
                    </a:stretch>
                  </pic:blipFill>
                  <pic:spPr bwMode="auto">
                    <a:xfrm>
                      <a:off x="0" y="0"/>
                      <a:ext cx="6496050"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-23495</wp:posOffset>
            </wp:positionV>
            <wp:extent cx="649605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81">
                      <a:extLst>
                        <a:ext uri="{28A0092B-C50C-407E-A947-70E740481C1C}"/>
                      </a:extLst>
                    </a:blip>
                    <a:srcRect/>
                    <a:stretch>
                      <a:fillRect/>
                    </a:stretch>
                  </pic:blipFill>
                  <pic:spPr bwMode="auto">
                    <a:xfrm>
                      <a:off x="0" y="0"/>
                      <a:ext cx="6496050"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The 2025 effective tax rate was impacted by jurisdictional income mix, nondeductible goodwill impairment of $706 million, as well as unfavorable discrete items of $36 million primarily related changes in state and foreign tax activity and uncertain tax positions.</w:t>
      </w:r>
    </w:p>
    <w:p>
      <w:pPr>
        <w:spacing w:after="0" w:line="68"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2024 effective tax rate was impacted by jurisdictional income mix, as well as favorable discrete items of $231 million primarily related to changes in foreign tax activity and the tax impact of the Nutraceuticals business divestiture.</w:t>
      </w:r>
    </w:p>
    <w:p>
      <w:pPr>
        <w:spacing w:after="0" w:line="49"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2023 effective tax rate was impacted by jurisdictional income mix, as well as favorable discrete items of $49 million primarily related to uncertain tax positions.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income tax expense</w:t>
      </w:r>
    </w:p>
    <w:p>
      <w:pPr>
        <w:spacing w:after="0" w:line="164"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Key items are defined as the financial effects from significant transactions that may have caused short-term fluctuations in net income (loss) and/or operating income (loss)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effective tax rates during 2025, 2024 and 2023 were significantly impacted by the following tax specific key items:</w:t>
      </w:r>
    </w:p>
    <w:p>
      <w:pPr>
        <w:spacing w:after="0" w:line="180" w:lineRule="exact"/>
        <w:rPr>
          <w:sz w:val="20"/>
          <w:szCs w:val="20"/>
          <w:color w:val="auto"/>
        </w:rPr>
      </w:pPr>
    </w:p>
    <w:p>
      <w:pPr>
        <w:ind w:left="720" w:hanging="366"/>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Uncertain tax position – Includes the impact from the settlement of uncertain tax positions with various tax authorities;</w:t>
      </w:r>
    </w:p>
    <w:p>
      <w:pPr>
        <w:spacing w:after="0" w:line="179" w:lineRule="exact"/>
        <w:rPr>
          <w:rFonts w:ascii="Arial" w:cs="Arial" w:eastAsia="Arial" w:hAnsi="Arial"/>
          <w:sz w:val="20"/>
          <w:szCs w:val="20"/>
          <w:color w:val="auto"/>
        </w:rPr>
      </w:pPr>
    </w:p>
    <w:p>
      <w:pPr>
        <w:ind w:left="720" w:hanging="366"/>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Valuation allowances – Includes the impact from the release of certain foreign tax credit valuation allowances;</w:t>
      </w:r>
    </w:p>
    <w:p>
      <w:pPr>
        <w:spacing w:after="0" w:line="179" w:lineRule="exact"/>
        <w:rPr>
          <w:rFonts w:ascii="Arial" w:cs="Arial" w:eastAsia="Arial" w:hAnsi="Arial"/>
          <w:sz w:val="20"/>
          <w:szCs w:val="20"/>
          <w:color w:val="auto"/>
        </w:rPr>
      </w:pPr>
    </w:p>
    <w:p>
      <w:pPr>
        <w:ind w:left="720" w:hanging="366"/>
        <w:spacing w:after="0" w:line="324"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Restructuring and separation activity – Includes the tax impact of the Nutraceuticals business divestiture and company-wide restructuring activities; and</w:t>
      </w:r>
    </w:p>
    <w:p>
      <w:pPr>
        <w:spacing w:after="0" w:line="64" w:lineRule="exact"/>
        <w:rPr>
          <w:rFonts w:ascii="Arial" w:cs="Arial" w:eastAsia="Arial" w:hAnsi="Arial"/>
          <w:sz w:val="20"/>
          <w:szCs w:val="20"/>
          <w:color w:val="auto"/>
        </w:rPr>
      </w:pPr>
    </w:p>
    <w:p>
      <w:pPr>
        <w:ind w:left="720" w:hanging="366"/>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Other and tax reform related activity – Includes miscellaneous state and foreign statute adjustments.</w:t>
      </w:r>
    </w:p>
    <w:p>
      <w:pPr>
        <w:sectPr>
          <w:pgSz w:w="12240" w:h="15840" w:orient="portrait"/>
          <w:cols w:equalWidth="0" w:num="1">
            <w:col w:w="10240"/>
          </w:cols>
          <w:pgMar w:left="1000" w:top="988"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M-8</w:t>
      </w:r>
    </w:p>
    <w:p>
      <w:pPr>
        <w:sectPr>
          <w:pgSz w:w="12240" w:h="15840" w:orient="portrait"/>
          <w:cols w:equalWidth="0" w:num="1">
            <w:col w:w="10240"/>
          </w:cols>
          <w:pgMar w:left="1000" w:top="988" w:right="1000" w:bottom="175" w:gutter="0" w:footer="0" w:header="0"/>
          <w:type w:val="continuous"/>
        </w:sectPr>
      </w:pPr>
    </w:p>
    <w:bookmarkStart w:id="66" w:name="page67"/>
    <w:bookmarkEnd w:id="66"/>
    <w:p>
      <w:pPr>
        <w:ind w:left="366"/>
        <w:spacing w:after="0"/>
        <w:rPr>
          <w:sz w:val="20"/>
          <w:szCs w:val="20"/>
          <w:color w:val="auto"/>
        </w:rPr>
      </w:pPr>
      <w:r>
        <w:rPr>
          <w:rFonts w:ascii="Times New Roman" w:cs="Times New Roman" w:eastAsia="Times New Roman" w:hAnsi="Times New Roman"/>
          <w:sz w:val="20"/>
          <w:szCs w:val="20"/>
          <w:color w:val="auto"/>
        </w:rPr>
        <w:t>The following table is a calculation of the effective tax rate, excluding the impact of these key items for the years ended</w:t>
      </w:r>
    </w:p>
    <w:p>
      <w:pPr>
        <w:spacing w:after="0" w:line="46"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652970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82">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24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2023</w:t>
            </w:r>
          </w:p>
        </w:tc>
        <w:tc>
          <w:tcPr>
            <w:tcW w:w="3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66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Income (loss) from continuing operations before income taxes</w:t>
            </w:r>
          </w:p>
        </w:tc>
        <w:tc>
          <w:tcPr>
            <w:tcW w:w="16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(809)</w:t>
            </w:r>
          </w:p>
        </w:tc>
        <w:tc>
          <w:tcPr>
            <w:tcW w:w="260" w:type="dxa"/>
            <w:vAlign w:val="bottom"/>
            <w:gridSpan w:val="3"/>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(24)</w:t>
            </w:r>
          </w:p>
        </w:tc>
        <w:tc>
          <w:tcPr>
            <w:tcW w:w="260" w:type="dxa"/>
            <w:vAlign w:val="bottom"/>
            <w:gridSpan w:val="3"/>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30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r>
      <w:tr>
        <w:trPr>
          <w:trHeight w:val="244"/>
        </w:trPr>
        <w:tc>
          <w:tcPr>
            <w:tcW w:w="6680" w:type="dxa"/>
            <w:vAlign w:val="bottom"/>
            <w:tcBorders>
              <w:bottom w:val="single" w:sz="8" w:color="D5EFF4"/>
            </w:tcBorders>
          </w:tcPr>
          <w:p>
            <w:pPr>
              <w:spacing w:after="0" w:line="244" w:lineRule="exact"/>
              <w:rPr>
                <w:sz w:val="20"/>
                <w:szCs w:val="20"/>
                <w:color w:val="auto"/>
              </w:rPr>
            </w:pPr>
            <w:r>
              <w:rPr>
                <w:rFonts w:ascii="Times New Roman" w:cs="Times New Roman" w:eastAsia="Times New Roman" w:hAnsi="Times New Roman"/>
                <w:sz w:val="20"/>
                <w:szCs w:val="20"/>
                <w:color w:val="auto"/>
              </w:rPr>
              <w:t>Key items (pre-tax)</w:t>
            </w:r>
            <w:r>
              <w:rPr>
                <w:rFonts w:ascii="Times New Roman" w:cs="Times New Roman" w:eastAsia="Times New Roman" w:hAnsi="Times New Roman"/>
                <w:sz w:val="25"/>
                <w:szCs w:val="25"/>
                <w:color w:val="auto"/>
                <w:vertAlign w:val="superscript"/>
              </w:rPr>
              <w:t>(a)</w:t>
            </w:r>
          </w:p>
        </w:tc>
        <w:tc>
          <w:tcPr>
            <w:tcW w:w="20" w:type="dxa"/>
            <w:vAlign w:val="bottom"/>
            <w:tcBorders>
              <w:bottom w:val="single" w:sz="8" w:color="D5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959</w:t>
            </w:r>
          </w:p>
        </w:tc>
        <w:tc>
          <w:tcPr>
            <w:tcW w:w="10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227</w:t>
            </w:r>
          </w:p>
        </w:tc>
        <w:tc>
          <w:tcPr>
            <w:tcW w:w="10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9"/>
        </w:trPr>
        <w:tc>
          <w:tcPr>
            <w:tcW w:w="668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Adjusted income from continuing operations before income taxes</w:t>
            </w:r>
          </w:p>
        </w:tc>
        <w:tc>
          <w:tcPr>
            <w:tcW w:w="20" w:type="dxa"/>
            <w:vAlign w:val="bottom"/>
            <w:tcBorders>
              <w:bottom w:val="single" w:sz="8" w:color="auto"/>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D5EFF4"/>
          </w:tcPr>
          <w:p>
            <w:pPr>
              <w:jc w:val="right"/>
              <w:ind w:right="220"/>
              <w:spacing w:after="0"/>
              <w:rPr>
                <w:sz w:val="20"/>
                <w:szCs w:val="20"/>
                <w:color w:val="auto"/>
              </w:rPr>
            </w:pPr>
            <w:r>
              <w:rPr>
                <w:rFonts w:ascii="Times New Roman" w:cs="Times New Roman" w:eastAsia="Times New Roman" w:hAnsi="Times New Roman"/>
                <w:sz w:val="20"/>
                <w:szCs w:val="20"/>
                <w:color w:val="auto"/>
              </w:rPr>
              <w:t>150</w:t>
            </w:r>
          </w:p>
        </w:tc>
        <w:tc>
          <w:tcPr>
            <w:tcW w:w="1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203</w:t>
            </w:r>
          </w:p>
        </w:tc>
        <w:tc>
          <w:tcPr>
            <w:tcW w:w="1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300" w:type="dxa"/>
            <w:vAlign w:val="bottom"/>
            <w:tcBorders>
              <w:bottom w:val="single" w:sz="8" w:color="auto"/>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4"/>
        </w:trPr>
        <w:tc>
          <w:tcPr>
            <w:tcW w:w="668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0" w:type="dxa"/>
            <w:vAlign w:val="bottom"/>
            <w:tcBorders>
              <w:bottom w:val="single" w:sz="8" w:color="D5EFF4"/>
            </w:tcBorders>
            <w:shd w:val="clear" w:color="auto" w:fill="D5EFF4"/>
          </w:tcPr>
          <w:p>
            <w:pPr>
              <w:spacing w:after="0"/>
              <w:rPr>
                <w:sz w:val="22"/>
                <w:szCs w:val="22"/>
                <w:color w:val="auto"/>
              </w:rPr>
            </w:pPr>
          </w:p>
        </w:tc>
        <w:tc>
          <w:tcPr>
            <w:tcW w:w="140" w:type="dxa"/>
            <w:vAlign w:val="bottom"/>
            <w:tcBorders>
              <w:bottom w:val="single" w:sz="8" w:color="D5EFF4"/>
            </w:tcBorders>
            <w:shd w:val="clear" w:color="auto" w:fill="D5EFF4"/>
          </w:tcPr>
          <w:p>
            <w:pPr>
              <w:spacing w:after="0"/>
              <w:rPr>
                <w:sz w:val="22"/>
                <w:szCs w:val="22"/>
                <w:color w:val="auto"/>
              </w:rPr>
            </w:pPr>
          </w:p>
        </w:tc>
        <w:tc>
          <w:tcPr>
            <w:tcW w:w="1000" w:type="dxa"/>
            <w:vAlign w:val="bottom"/>
            <w:tcBorders>
              <w:bottom w:val="single" w:sz="8" w:color="D5EFF4"/>
            </w:tcBorders>
            <w:shd w:val="clear" w:color="auto" w:fill="D5EFF4"/>
          </w:tcPr>
          <w:p>
            <w:pPr>
              <w:jc w:val="right"/>
              <w:ind w:right="220"/>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140" w:type="dxa"/>
            <w:vAlign w:val="bottom"/>
            <w:tcBorders>
              <w:bottom w:val="single" w:sz="8" w:color="D5EFF4"/>
            </w:tcBorders>
            <w:shd w:val="clear" w:color="auto" w:fill="D5EFF4"/>
          </w:tcPr>
          <w:p>
            <w:pPr>
              <w:spacing w:after="0"/>
              <w:rPr>
                <w:sz w:val="22"/>
                <w:szCs w:val="22"/>
                <w:color w:val="auto"/>
              </w:rPr>
            </w:pPr>
          </w:p>
        </w:tc>
        <w:tc>
          <w:tcPr>
            <w:tcW w:w="900" w:type="dxa"/>
            <w:vAlign w:val="bottom"/>
            <w:tcBorders>
              <w:bottom w:val="single" w:sz="8" w:color="D5EFF4"/>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(223)</w:t>
            </w:r>
          </w:p>
        </w:tc>
        <w:tc>
          <w:tcPr>
            <w:tcW w:w="1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spacing w:after="0"/>
              <w:rPr>
                <w:sz w:val="22"/>
                <w:szCs w:val="22"/>
                <w:color w:val="auto"/>
              </w:rPr>
            </w:pPr>
          </w:p>
        </w:tc>
        <w:tc>
          <w:tcPr>
            <w:tcW w:w="980" w:type="dxa"/>
            <w:vAlign w:val="bottom"/>
            <w:tcBorders>
              <w:bottom w:val="single" w:sz="8" w:color="auto"/>
            </w:tcBorders>
            <w:gridSpan w:val="2"/>
            <w:shd w:val="clear" w:color="auto" w:fill="D5EFF4"/>
          </w:tcPr>
          <w:p>
            <w:pPr>
              <w:jc w:val="right"/>
              <w:ind w:right="220"/>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Borders>
              <w:bottom w:val="single" w:sz="8" w:color="D5EFF4"/>
            </w:tcBorders>
            <w:shd w:val="clear" w:color="auto" w:fill="D5EFF4"/>
          </w:tcPr>
          <w:p>
            <w:pPr>
              <w:spacing w:after="0"/>
              <w:rPr>
                <w:sz w:val="22"/>
                <w:szCs w:val="22"/>
                <w:color w:val="auto"/>
              </w:rPr>
            </w:pPr>
          </w:p>
        </w:tc>
      </w:tr>
      <w:tr>
        <w:trPr>
          <w:trHeight w:val="219"/>
        </w:trPr>
        <w:tc>
          <w:tcPr>
            <w:tcW w:w="66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Income tax rate adjustments: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6680" w:type="dxa"/>
            <w:vAlign w:val="bottom"/>
            <w:shd w:val="clear" w:color="auto" w:fill="D5EFF4"/>
          </w:tcPr>
          <w:p>
            <w:pPr>
              <w:ind w:left="100"/>
              <w:spacing w:after="0" w:line="244" w:lineRule="exact"/>
              <w:rPr>
                <w:sz w:val="20"/>
                <w:szCs w:val="20"/>
                <w:color w:val="auto"/>
              </w:rPr>
            </w:pPr>
            <w:r>
              <w:rPr>
                <w:rFonts w:ascii="Times New Roman" w:cs="Times New Roman" w:eastAsia="Times New Roman" w:hAnsi="Times New Roman"/>
                <w:sz w:val="20"/>
                <w:szCs w:val="20"/>
                <w:color w:val="auto"/>
              </w:rPr>
              <w:t>Tax effect of key items</w:t>
            </w:r>
            <w:r>
              <w:rPr>
                <w:rFonts w:ascii="Times New Roman" w:cs="Times New Roman" w:eastAsia="Times New Roman" w:hAnsi="Times New Roman"/>
                <w:sz w:val="25"/>
                <w:szCs w:val="25"/>
                <w:color w:val="auto"/>
                <w:vertAlign w:val="superscript"/>
              </w:rPr>
              <w:t>(b)</w:t>
            </w: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1000" w:type="dxa"/>
            <w:vAlign w:val="bottom"/>
            <w:shd w:val="clear" w:color="auto" w:fill="D5EFF4"/>
          </w:tcPr>
          <w:p>
            <w:pPr>
              <w:jc w:val="right"/>
              <w:ind w:right="220"/>
              <w:spacing w:after="0"/>
              <w:rPr>
                <w:sz w:val="20"/>
                <w:szCs w:val="20"/>
                <w:color w:val="auto"/>
              </w:rPr>
            </w:pPr>
            <w:r>
              <w:rPr>
                <w:rFonts w:ascii="Times New Roman" w:cs="Times New Roman" w:eastAsia="Times New Roman" w:hAnsi="Times New Roman"/>
                <w:sz w:val="20"/>
                <w:szCs w:val="20"/>
                <w:color w:val="auto"/>
              </w:rPr>
              <w:t>62</w:t>
            </w:r>
          </w:p>
        </w:tc>
        <w:tc>
          <w:tcPr>
            <w:tcW w:w="1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6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r>
      <w:tr>
        <w:trPr>
          <w:trHeight w:val="244"/>
        </w:trPr>
        <w:tc>
          <w:tcPr>
            <w:tcW w:w="6680" w:type="dxa"/>
            <w:vAlign w:val="bottom"/>
          </w:tcPr>
          <w:p>
            <w:pPr>
              <w:ind w:left="100"/>
              <w:spacing w:after="0" w:line="244" w:lineRule="exact"/>
              <w:rPr>
                <w:sz w:val="20"/>
                <w:szCs w:val="20"/>
                <w:color w:val="auto"/>
              </w:rPr>
            </w:pPr>
            <w:r>
              <w:rPr>
                <w:rFonts w:ascii="Times New Roman" w:cs="Times New Roman" w:eastAsia="Times New Roman" w:hAnsi="Times New Roman"/>
                <w:sz w:val="20"/>
                <w:szCs w:val="20"/>
                <w:color w:val="auto"/>
              </w:rPr>
              <w:t>Tax specific key items:</w:t>
            </w:r>
            <w:r>
              <w:rPr>
                <w:rFonts w:ascii="Times New Roman" w:cs="Times New Roman" w:eastAsia="Times New Roman" w:hAnsi="Times New Roman"/>
                <w:sz w:val="25"/>
                <w:szCs w:val="25"/>
                <w:color w:val="auto"/>
                <w:vertAlign w:val="superscript"/>
              </w:rPr>
              <w:t>(c)</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6680" w:type="dxa"/>
            <w:vAlign w:val="bottom"/>
            <w:shd w:val="clear" w:color="auto" w:fill="D5EFF4"/>
          </w:tcPr>
          <w:p>
            <w:pPr>
              <w:ind w:left="300"/>
              <w:spacing w:after="0"/>
              <w:rPr>
                <w:sz w:val="20"/>
                <w:szCs w:val="20"/>
                <w:color w:val="auto"/>
              </w:rPr>
            </w:pPr>
            <w:r>
              <w:rPr>
                <w:rFonts w:ascii="Times New Roman" w:cs="Times New Roman" w:eastAsia="Times New Roman" w:hAnsi="Times New Roman"/>
                <w:sz w:val="20"/>
                <w:szCs w:val="20"/>
                <w:color w:val="auto"/>
              </w:rPr>
              <w:t>Uncertain tax positions</w:t>
            </w: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1000" w:type="dxa"/>
            <w:vAlign w:val="bottom"/>
            <w:shd w:val="clear" w:color="auto" w:fill="D5EFF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6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3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r>
      <w:tr>
        <w:trPr>
          <w:trHeight w:val="244"/>
        </w:trPr>
        <w:tc>
          <w:tcPr>
            <w:tcW w:w="6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6680" w:type="dxa"/>
            <w:vAlign w:val="bottom"/>
            <w:shd w:val="clear" w:color="auto" w:fill="D5EFF4"/>
          </w:tcPr>
          <w:p>
            <w:pPr>
              <w:ind w:left="300"/>
              <w:spacing w:after="0"/>
              <w:rPr>
                <w:sz w:val="20"/>
                <w:szCs w:val="20"/>
                <w:color w:val="auto"/>
              </w:rPr>
            </w:pPr>
            <w:r>
              <w:rPr>
                <w:rFonts w:ascii="Times New Roman" w:cs="Times New Roman" w:eastAsia="Times New Roman" w:hAnsi="Times New Roman"/>
                <w:sz w:val="20"/>
                <w:szCs w:val="20"/>
                <w:color w:val="auto"/>
              </w:rPr>
              <w:t>Restructuring and separation activity</w:t>
            </w: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1000" w:type="dxa"/>
            <w:vAlign w:val="bottom"/>
            <w:shd w:val="clear" w:color="auto" w:fill="D5EFF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1000" w:type="dxa"/>
            <w:vAlign w:val="bottom"/>
            <w:gridSpan w:val="3"/>
            <w:shd w:val="clear" w:color="auto" w:fill="D5EFF4"/>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80" w:type="dxa"/>
            <w:vAlign w:val="bottom"/>
            <w:tcBorders>
              <w:bottom w:val="single" w:sz="8" w:color="D5EFF4"/>
            </w:tcBorders>
          </w:tcPr>
          <w:p>
            <w:pPr>
              <w:ind w:left="300"/>
              <w:spacing w:after="0"/>
              <w:rPr>
                <w:sz w:val="20"/>
                <w:szCs w:val="20"/>
                <w:color w:val="auto"/>
              </w:rPr>
            </w:pPr>
            <w:r>
              <w:rPr>
                <w:rFonts w:ascii="Times New Roman" w:cs="Times New Roman" w:eastAsia="Times New Roman" w:hAnsi="Times New Roman"/>
                <w:sz w:val="20"/>
                <w:szCs w:val="20"/>
                <w:color w:val="auto"/>
              </w:rPr>
              <w:t>Other and tax reform related activity</w:t>
            </w:r>
          </w:p>
        </w:tc>
        <w:tc>
          <w:tcPr>
            <w:tcW w:w="20" w:type="dxa"/>
            <w:vAlign w:val="bottom"/>
            <w:tcBorders>
              <w:bottom w:val="single" w:sz="8" w:color="D5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(22)</w:t>
            </w:r>
          </w:p>
        </w:tc>
        <w:tc>
          <w:tcPr>
            <w:tcW w:w="10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133</w:t>
            </w:r>
          </w:p>
        </w:tc>
        <w:tc>
          <w:tcPr>
            <w:tcW w:w="10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9"/>
        </w:trPr>
        <w:tc>
          <w:tcPr>
            <w:tcW w:w="668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income tax rate adjustments</w:t>
            </w:r>
          </w:p>
        </w:tc>
        <w:tc>
          <w:tcPr>
            <w:tcW w:w="20" w:type="dxa"/>
            <w:vAlign w:val="bottom"/>
            <w:tcBorders>
              <w:bottom w:val="single" w:sz="8" w:color="D5EFF4"/>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spacing w:after="0"/>
              <w:rPr>
                <w:sz w:val="22"/>
                <w:szCs w:val="22"/>
                <w:color w:val="auto"/>
              </w:rPr>
            </w:pPr>
          </w:p>
        </w:tc>
        <w:tc>
          <w:tcPr>
            <w:tcW w:w="1000" w:type="dxa"/>
            <w:vAlign w:val="bottom"/>
            <w:tcBorders>
              <w:bottom w:val="single" w:sz="8" w:color="auto"/>
            </w:tcBorders>
            <w:shd w:val="clear" w:color="auto" w:fill="D5EFF4"/>
          </w:tcPr>
          <w:p>
            <w:pPr>
              <w:jc w:val="right"/>
              <w:ind w:right="220"/>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spacing w:after="0"/>
              <w:rPr>
                <w:sz w:val="22"/>
                <w:szCs w:val="22"/>
                <w:color w:val="auto"/>
              </w:rPr>
            </w:pPr>
          </w:p>
        </w:tc>
        <w:tc>
          <w:tcPr>
            <w:tcW w:w="900" w:type="dxa"/>
            <w:vAlign w:val="bottom"/>
            <w:tcBorders>
              <w:bottom w:val="single" w:sz="8" w:color="auto"/>
            </w:tcBorders>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265</w:t>
            </w:r>
          </w:p>
        </w:tc>
        <w:tc>
          <w:tcPr>
            <w:tcW w:w="1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spacing w:after="0"/>
              <w:rPr>
                <w:sz w:val="22"/>
                <w:szCs w:val="22"/>
                <w:color w:val="auto"/>
              </w:rPr>
            </w:pPr>
          </w:p>
        </w:tc>
        <w:tc>
          <w:tcPr>
            <w:tcW w:w="6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300" w:type="dxa"/>
            <w:vAlign w:val="bottom"/>
            <w:tcBorders>
              <w:bottom w:val="single" w:sz="8" w:color="auto"/>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r>
      <w:tr>
        <w:trPr>
          <w:trHeight w:val="259"/>
        </w:trPr>
        <w:tc>
          <w:tcPr>
            <w:tcW w:w="6680" w:type="dxa"/>
            <w:vAlign w:val="bottom"/>
            <w:tcBorders>
              <w:bottom w:val="single" w:sz="8" w:color="D5EFF4"/>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Adjusted income tax expense</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220"/>
              <w:spacing w:after="0" w:line="219" w:lineRule="exact"/>
              <w:rPr>
                <w:sz w:val="20"/>
                <w:szCs w:val="20"/>
                <w:color w:val="auto"/>
              </w:rPr>
            </w:pPr>
            <w:r>
              <w:rPr>
                <w:rFonts w:ascii="Times New Roman" w:cs="Times New Roman" w:eastAsia="Times New Roman" w:hAnsi="Times New Roman"/>
                <w:sz w:val="20"/>
                <w:szCs w:val="20"/>
                <w:color w:val="auto"/>
              </w:rPr>
              <w:t>44</w:t>
            </w:r>
          </w:p>
        </w:tc>
        <w:tc>
          <w:tcPr>
            <w:tcW w:w="100" w:type="dxa"/>
            <w:vAlign w:val="bottom"/>
            <w:tcBorders>
              <w:bottom w:val="single" w:sz="8" w:color="D5EFF4"/>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42</w:t>
            </w:r>
          </w:p>
        </w:tc>
        <w:tc>
          <w:tcPr>
            <w:tcW w:w="100" w:type="dxa"/>
            <w:vAlign w:val="bottom"/>
            <w:tcBorders>
              <w:bottom w:val="single" w:sz="8" w:color="D5EFF4"/>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37</w:t>
            </w:r>
          </w:p>
        </w:tc>
        <w:tc>
          <w:tcPr>
            <w:tcW w:w="3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66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Effective tax rate</w:t>
            </w:r>
          </w:p>
        </w:tc>
        <w:tc>
          <w:tcPr>
            <w:tcW w:w="2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10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9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929%</w:t>
            </w:r>
          </w:p>
        </w:tc>
        <w:tc>
          <w:tcPr>
            <w:tcW w:w="10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980" w:type="dxa"/>
            <w:vAlign w:val="bottom"/>
            <w:gridSpan w:val="2"/>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shd w:val="clear" w:color="auto" w:fill="D5EFF4"/>
          </w:tcPr>
          <w:p>
            <w:pPr>
              <w:spacing w:after="0"/>
              <w:rPr>
                <w:sz w:val="19"/>
                <w:szCs w:val="19"/>
                <w:color w:val="auto"/>
              </w:rPr>
            </w:pPr>
          </w:p>
        </w:tc>
      </w:tr>
      <w:tr>
        <w:trPr>
          <w:trHeight w:val="346"/>
        </w:trPr>
        <w:tc>
          <w:tcPr>
            <w:tcW w:w="6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Effective Tax Rate, Excluding Key Items (Non-GAAP)</w:t>
            </w:r>
            <w:r>
              <w:rPr>
                <w:rFonts w:ascii="Times New Roman" w:cs="Times New Roman" w:eastAsia="Times New Roman" w:hAnsi="Times New Roman"/>
                <w:sz w:val="25"/>
                <w:szCs w:val="25"/>
                <w:color w:val="auto"/>
                <w:vertAlign w:val="superscript"/>
              </w:rPr>
              <w:t>(d)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-2661920</wp:posOffset>
            </wp:positionV>
            <wp:extent cx="635952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83">
                      <a:extLst>
                        <a:ext uri="{28A0092B-C50C-407E-A947-70E740481C1C}"/>
                      </a:extLst>
                    </a:blip>
                    <a:srcRect/>
                    <a:stretch>
                      <a:fillRect/>
                    </a:stretch>
                  </pic:blipFill>
                  <pic:spPr bwMode="auto">
                    <a:xfrm>
                      <a:off x="0" y="0"/>
                      <a:ext cx="635952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652970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84">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 w:lineRule="exact"/>
        <w:rPr>
          <w:sz w:val="20"/>
          <w:szCs w:val="20"/>
          <w:color w:val="auto"/>
        </w:rPr>
      </w:pPr>
    </w:p>
    <w:p>
      <w:pPr>
        <w:ind w:left="566" w:hanging="566"/>
        <w:spacing w:after="0" w:line="314" w:lineRule="auto"/>
        <w:tabs>
          <w:tab w:leader="none" w:pos="5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Adjusted EBITDA reconciliation table disclosed below in this Management, Discussion and Analysis of Financial Condition and Results of Operation for a summary of the key items, before tax.</w:t>
      </w:r>
    </w:p>
    <w:p>
      <w:pPr>
        <w:ind w:left="566" w:hanging="566"/>
        <w:spacing w:after="0"/>
        <w:tabs>
          <w:tab w:leader="none" w:pos="5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rate specific to the jurisdiction in which the key item originates is used to calculate the tax effect of key items.</w:t>
      </w:r>
    </w:p>
    <w:p>
      <w:pPr>
        <w:spacing w:after="0" w:line="76" w:lineRule="exact"/>
        <w:rPr>
          <w:rFonts w:ascii="Times New Roman" w:cs="Times New Roman" w:eastAsia="Times New Roman" w:hAnsi="Times New Roman"/>
          <w:sz w:val="16"/>
          <w:szCs w:val="16"/>
          <w:color w:val="auto"/>
        </w:rPr>
      </w:pPr>
    </w:p>
    <w:p>
      <w:pPr>
        <w:ind w:left="566" w:hanging="566"/>
        <w:spacing w:after="0" w:line="314" w:lineRule="auto"/>
        <w:tabs>
          <w:tab w:leader="none" w:pos="5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on the effect that these tax specific key items had on EPS, see the Adjusted Diluted EPS table disclosed below in this Management Discussion and Analysis of Financial Condition and Results of Operation.</w:t>
      </w:r>
    </w:p>
    <w:p>
      <w:pPr>
        <w:ind w:left="566" w:hanging="566"/>
        <w:spacing w:after="0"/>
        <w:tabs>
          <w:tab w:leader="none" w:pos="5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rounding conventions, the effective tax rate presented may not recalculate precisely based on the numbers disclosed within this table.</w:t>
      </w:r>
    </w:p>
    <w:p>
      <w:pPr>
        <w:spacing w:after="0" w:line="152" w:lineRule="exact"/>
        <w:rPr>
          <w:sz w:val="20"/>
          <w:szCs w:val="20"/>
          <w:color w:val="auto"/>
        </w:rPr>
      </w:pPr>
    </w:p>
    <w:p>
      <w:pPr>
        <w:jc w:val="both"/>
        <w:ind w:left="6" w:firstLine="360"/>
        <w:spacing w:after="0" w:line="306" w:lineRule="auto"/>
        <w:rPr>
          <w:sz w:val="20"/>
          <w:szCs w:val="20"/>
          <w:color w:val="auto"/>
        </w:rPr>
      </w:pPr>
      <w:r>
        <w:rPr>
          <w:rFonts w:ascii="Times New Roman" w:cs="Times New Roman" w:eastAsia="Times New Roman" w:hAnsi="Times New Roman"/>
          <w:sz w:val="20"/>
          <w:szCs w:val="20"/>
          <w:color w:val="auto"/>
        </w:rPr>
        <w:t>The following table provides a reconciliation of tax specific key items within the statutory federal income tax with the provision for income taxes summary disclosed in Note K of the Notes to Consolidated Financial Statements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41275</wp:posOffset>
            </wp:positionV>
            <wp:extent cx="65030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85">
                      <a:extLst>
                        <a:ext uri="{28A0092B-C50C-407E-A947-70E740481C1C}"/>
                      </a:extLst>
                    </a:blip>
                    <a:srcRect/>
                    <a:stretch>
                      <a:fillRect/>
                    </a:stretch>
                  </pic:blipFill>
                  <pic:spPr bwMode="auto">
                    <a:xfrm>
                      <a:off x="0" y="0"/>
                      <a:ext cx="6503035" cy="38100"/>
                    </a:xfrm>
                    <a:prstGeom prst="rect">
                      <a:avLst/>
                    </a:prstGeom>
                    <a:noFill/>
                  </pic:spPr>
                </pic:pic>
              </a:graphicData>
            </a:graphic>
          </wp:anchor>
        </w:drawing>
      </w:r>
    </w:p>
    <w:p>
      <w:pPr>
        <w:spacing w:after="0" w:line="48" w:lineRule="exact"/>
        <w:rPr>
          <w:sz w:val="20"/>
          <w:szCs w:val="20"/>
          <w:color w:val="auto"/>
        </w:rPr>
      </w:pPr>
    </w:p>
    <w:tbl>
      <w:tblPr>
        <w:tblLayout w:type="fixed"/>
        <w:tblInd w:w="6" w:type="dxa"/>
        <w:tblCellMar>
          <w:top w:w="0" w:type="dxa"/>
          <w:left w:w="0" w:type="dxa"/>
          <w:bottom w:w="0" w:type="dxa"/>
          <w:right w:w="0" w:type="dxa"/>
        </w:tblCellMar>
      </w:tblPr>
      <w:tr>
        <w:trPr>
          <w:trHeight w:val="245"/>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5980" w:type="dxa"/>
            <w:vAlign w:val="bottom"/>
            <w:shd w:val="clear" w:color="auto" w:fill="D5EFF4"/>
          </w:tcPr>
          <w:p>
            <w:pPr>
              <w:spacing w:after="0" w:line="224" w:lineRule="exact"/>
              <w:rPr>
                <w:sz w:val="20"/>
                <w:szCs w:val="20"/>
                <w:color w:val="auto"/>
              </w:rPr>
            </w:pPr>
            <w:r>
              <w:rPr>
                <w:rFonts w:ascii="Times New Roman" w:cs="Times New Roman" w:eastAsia="Times New Roman" w:hAnsi="Times New Roman"/>
                <w:sz w:val="20"/>
                <w:szCs w:val="20"/>
                <w:color w:val="auto"/>
              </w:rPr>
              <w:t>Tax effect of key items computed at applicable statutory rate</w:t>
            </w:r>
            <w:r>
              <w:rPr>
                <w:rFonts w:ascii="Times New Roman" w:cs="Times New Roman" w:eastAsia="Times New Roman" w:hAnsi="Times New Roman"/>
                <w:sz w:val="25"/>
                <w:szCs w:val="25"/>
                <w:color w:val="auto"/>
                <w:vertAlign w:val="superscript"/>
              </w:rPr>
              <w:t>(a)</w:t>
            </w:r>
          </w:p>
        </w:tc>
        <w:tc>
          <w:tcPr>
            <w:tcW w:w="260" w:type="dxa"/>
            <w:vAlign w:val="bottom"/>
            <w:gridSpan w:val="2"/>
            <w:shd w:val="clear" w:color="auto" w:fill="D5EFF4"/>
          </w:tcPr>
          <w:p>
            <w:pPr>
              <w:jc w:val="right"/>
              <w:ind w:right="75"/>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62</w:t>
            </w:r>
          </w:p>
        </w:tc>
        <w:tc>
          <w:tcPr>
            <w:tcW w:w="400" w:type="dxa"/>
            <w:vAlign w:val="bottom"/>
            <w:gridSpan w:val="3"/>
            <w:shd w:val="clear" w:color="auto" w:fill="D5EFF4"/>
          </w:tcPr>
          <w:p>
            <w:pPr>
              <w:jc w:val="right"/>
              <w:ind w:right="95"/>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31</w:t>
            </w:r>
          </w:p>
        </w:tc>
        <w:tc>
          <w:tcPr>
            <w:tcW w:w="400" w:type="dxa"/>
            <w:vAlign w:val="bottom"/>
            <w:gridSpan w:val="3"/>
            <w:shd w:val="clear" w:color="auto" w:fill="D5EFF4"/>
          </w:tcPr>
          <w:p>
            <w:pPr>
              <w:jc w:val="right"/>
              <w:ind w:right="75"/>
              <w:spacing w:after="0" w:line="22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w:t>
            </w:r>
          </w:p>
        </w:tc>
        <w:tc>
          <w:tcPr>
            <w:tcW w:w="6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Uncertain tax positions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9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Valuation allowance changes</w:t>
            </w:r>
          </w:p>
        </w:tc>
        <w:tc>
          <w:tcPr>
            <w:tcW w:w="20" w:type="dxa"/>
            <w:vAlign w:val="bottom"/>
            <w:shd w:val="clear" w:color="auto" w:fill="D5EFF4"/>
          </w:tcPr>
          <w:p>
            <w:pPr>
              <w:spacing w:after="0"/>
              <w:rPr>
                <w:sz w:val="20"/>
                <w:szCs w:val="20"/>
                <w:color w:val="auto"/>
              </w:rPr>
            </w:pPr>
          </w:p>
        </w:tc>
        <w:tc>
          <w:tcPr>
            <w:tcW w:w="240" w:type="dxa"/>
            <w:vAlign w:val="bottom"/>
            <w:shd w:val="clear" w:color="auto" w:fill="D5EFF4"/>
          </w:tcPr>
          <w:p>
            <w:pPr>
              <w:spacing w:after="0"/>
              <w:rPr>
                <w:sz w:val="20"/>
                <w:szCs w:val="20"/>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40" w:type="dxa"/>
            <w:vAlign w:val="bottom"/>
            <w:shd w:val="clear" w:color="auto" w:fill="D5EFF4"/>
          </w:tcPr>
          <w:p>
            <w:pPr>
              <w:spacing w:after="0"/>
              <w:rPr>
                <w:sz w:val="20"/>
                <w:szCs w:val="20"/>
                <w:color w:val="auto"/>
              </w:rPr>
            </w:pPr>
          </w:p>
        </w:tc>
        <w:tc>
          <w:tcPr>
            <w:tcW w:w="9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Basis difference on stock sale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9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Tax law changes</w:t>
            </w:r>
          </w:p>
        </w:tc>
        <w:tc>
          <w:tcPr>
            <w:tcW w:w="20" w:type="dxa"/>
            <w:vAlign w:val="bottom"/>
            <w:shd w:val="clear" w:color="auto" w:fill="D5EFF4"/>
          </w:tcPr>
          <w:p>
            <w:pPr>
              <w:spacing w:after="0"/>
              <w:rPr>
                <w:sz w:val="20"/>
                <w:szCs w:val="20"/>
                <w:color w:val="auto"/>
              </w:rPr>
            </w:pPr>
          </w:p>
        </w:tc>
        <w:tc>
          <w:tcPr>
            <w:tcW w:w="240" w:type="dxa"/>
            <w:vAlign w:val="bottom"/>
            <w:shd w:val="clear" w:color="auto" w:fill="D5EFF4"/>
          </w:tcPr>
          <w:p>
            <w:pPr>
              <w:spacing w:after="0"/>
              <w:rPr>
                <w:sz w:val="20"/>
                <w:szCs w:val="20"/>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4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40" w:type="dxa"/>
            <w:vAlign w:val="bottom"/>
            <w:shd w:val="clear" w:color="auto" w:fill="D5EFF4"/>
          </w:tcPr>
          <w:p>
            <w:pPr>
              <w:spacing w:after="0"/>
              <w:rPr>
                <w:sz w:val="20"/>
                <w:szCs w:val="20"/>
                <w:color w:val="auto"/>
              </w:rPr>
            </w:pPr>
          </w:p>
        </w:tc>
        <w:tc>
          <w:tcPr>
            <w:tcW w:w="1060" w:type="dxa"/>
            <w:vAlign w:val="bottom"/>
            <w:gridSpan w:val="3"/>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Non US restructuring</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98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Deemed inclusions, foreign dividends and other restructuring</w:t>
            </w:r>
          </w:p>
        </w:tc>
        <w:tc>
          <w:tcPr>
            <w:tcW w:w="20" w:type="dxa"/>
            <w:vAlign w:val="bottom"/>
            <w:tcBorders>
              <w:bottom w:val="single" w:sz="8" w:color="D5EFF4"/>
            </w:tcBorders>
            <w:shd w:val="clear" w:color="auto" w:fill="D5EFF4"/>
          </w:tcPr>
          <w:p>
            <w:pPr>
              <w:spacing w:after="0"/>
              <w:rPr>
                <w:sz w:val="21"/>
                <w:szCs w:val="21"/>
                <w:color w:val="auto"/>
              </w:rPr>
            </w:pPr>
          </w:p>
        </w:tc>
        <w:tc>
          <w:tcPr>
            <w:tcW w:w="240" w:type="dxa"/>
            <w:vAlign w:val="bottom"/>
            <w:tcBorders>
              <w:bottom w:val="single" w:sz="8" w:color="auto"/>
            </w:tcBorders>
            <w:shd w:val="clear" w:color="auto" w:fill="D5EFF4"/>
          </w:tcPr>
          <w:p>
            <w:pPr>
              <w:spacing w:after="0"/>
              <w:rPr>
                <w:sz w:val="21"/>
                <w:szCs w:val="21"/>
                <w:color w:val="auto"/>
              </w:rPr>
            </w:pPr>
          </w:p>
        </w:tc>
        <w:tc>
          <w:tcPr>
            <w:tcW w:w="10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Borders>
              <w:bottom w:val="single" w:sz="8" w:color="D5EFF4"/>
            </w:tcBorders>
            <w:shd w:val="clear" w:color="auto" w:fill="D5EFF4"/>
          </w:tcPr>
          <w:p>
            <w:pPr>
              <w:spacing w:after="0"/>
              <w:rPr>
                <w:sz w:val="21"/>
                <w:szCs w:val="21"/>
                <w:color w:val="auto"/>
              </w:rPr>
            </w:pPr>
          </w:p>
        </w:tc>
        <w:tc>
          <w:tcPr>
            <w:tcW w:w="20" w:type="dxa"/>
            <w:vAlign w:val="bottom"/>
            <w:tcBorders>
              <w:bottom w:val="single" w:sz="8" w:color="D5EFF4"/>
            </w:tcBorders>
            <w:shd w:val="clear" w:color="auto" w:fill="D5EFF4"/>
          </w:tcPr>
          <w:p>
            <w:pPr>
              <w:spacing w:after="0"/>
              <w:rPr>
                <w:sz w:val="21"/>
                <w:szCs w:val="21"/>
                <w:color w:val="auto"/>
              </w:rPr>
            </w:pPr>
          </w:p>
        </w:tc>
        <w:tc>
          <w:tcPr>
            <w:tcW w:w="260" w:type="dxa"/>
            <w:vAlign w:val="bottom"/>
            <w:tcBorders>
              <w:bottom w:val="single" w:sz="8" w:color="auto"/>
            </w:tcBorders>
            <w:shd w:val="clear" w:color="auto" w:fill="D5EFF4"/>
          </w:tcPr>
          <w:p>
            <w:pPr>
              <w:spacing w:after="0"/>
              <w:rPr>
                <w:sz w:val="21"/>
                <w:szCs w:val="21"/>
                <w:color w:val="auto"/>
              </w:rPr>
            </w:pPr>
          </w:p>
        </w:tc>
        <w:tc>
          <w:tcPr>
            <w:tcW w:w="10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5EFF4"/>
            </w:tcBorders>
            <w:shd w:val="clear" w:color="auto" w:fill="D5EFF4"/>
          </w:tcPr>
          <w:p>
            <w:pPr>
              <w:spacing w:after="0"/>
              <w:rPr>
                <w:sz w:val="21"/>
                <w:szCs w:val="21"/>
                <w:color w:val="auto"/>
              </w:rPr>
            </w:pPr>
          </w:p>
        </w:tc>
        <w:tc>
          <w:tcPr>
            <w:tcW w:w="20" w:type="dxa"/>
            <w:vAlign w:val="bottom"/>
            <w:tcBorders>
              <w:bottom w:val="single" w:sz="8" w:color="D5EFF4"/>
            </w:tcBorders>
            <w:shd w:val="clear" w:color="auto" w:fill="D5EFF4"/>
          </w:tcPr>
          <w:p>
            <w:pPr>
              <w:spacing w:after="0"/>
              <w:rPr>
                <w:sz w:val="21"/>
                <w:szCs w:val="21"/>
                <w:color w:val="auto"/>
              </w:rPr>
            </w:pPr>
          </w:p>
        </w:tc>
        <w:tc>
          <w:tcPr>
            <w:tcW w:w="240" w:type="dxa"/>
            <w:vAlign w:val="bottom"/>
            <w:tcBorders>
              <w:bottom w:val="single" w:sz="8" w:color="auto"/>
            </w:tcBorders>
            <w:shd w:val="clear" w:color="auto" w:fill="D5EFF4"/>
          </w:tcPr>
          <w:p>
            <w:pPr>
              <w:spacing w:after="0"/>
              <w:rPr>
                <w:sz w:val="21"/>
                <w:szCs w:val="21"/>
                <w:color w:val="auto"/>
              </w:rPr>
            </w:pPr>
          </w:p>
        </w:tc>
        <w:tc>
          <w:tcPr>
            <w:tcW w:w="9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Borders>
              <w:bottom w:val="single" w:sz="8" w:color="auto"/>
            </w:tcBorders>
            <w:shd w:val="clear" w:color="auto" w:fill="D5EFF4"/>
          </w:tcPr>
          <w:p>
            <w:pPr>
              <w:spacing w:after="0"/>
              <w:rPr>
                <w:sz w:val="21"/>
                <w:szCs w:val="21"/>
                <w:color w:val="auto"/>
              </w:rPr>
            </w:pPr>
          </w:p>
        </w:tc>
        <w:tc>
          <w:tcPr>
            <w:tcW w:w="20" w:type="dxa"/>
            <w:vAlign w:val="bottom"/>
            <w:tcBorders>
              <w:bottom w:val="single" w:sz="8" w:color="D5EFF4"/>
            </w:tcBorders>
            <w:shd w:val="clear" w:color="auto" w:fill="D5EFF4"/>
          </w:tcPr>
          <w:p>
            <w:pPr>
              <w:spacing w:after="0"/>
              <w:rPr>
                <w:sz w:val="21"/>
                <w:szCs w:val="21"/>
                <w:color w:val="auto"/>
              </w:rPr>
            </w:pPr>
          </w:p>
        </w:tc>
      </w:tr>
      <w:tr>
        <w:trPr>
          <w:trHeight w:val="205"/>
        </w:trPr>
        <w:tc>
          <w:tcPr>
            <w:tcW w:w="59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31</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265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45</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
        </w:trPr>
        <w:tc>
          <w:tcPr>
            <w:tcW w:w="59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-1282700</wp:posOffset>
            </wp:positionV>
            <wp:extent cx="65030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86">
                      <a:extLst>
                        <a:ext uri="{28A0092B-C50C-407E-A947-70E740481C1C}"/>
                      </a:extLst>
                    </a:blip>
                    <a:srcRect/>
                    <a:stretch>
                      <a:fillRect/>
                    </a:stretch>
                  </pic:blipFill>
                  <pic:spPr bwMode="auto">
                    <a:xfrm>
                      <a:off x="0" y="0"/>
                      <a:ext cx="650303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5030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87">
                      <a:extLst>
                        <a:ext uri="{28A0092B-C50C-407E-A947-70E740481C1C}"/>
                      </a:extLst>
                    </a:blip>
                    <a:srcRect/>
                    <a:stretch>
                      <a:fillRect/>
                    </a:stretch>
                  </pic:blipFill>
                  <pic:spPr bwMode="auto">
                    <a:xfrm>
                      <a:off x="0" y="0"/>
                      <a:ext cx="6503035" cy="38100"/>
                    </a:xfrm>
                    <a:prstGeom prst="rect">
                      <a:avLst/>
                    </a:prstGeom>
                    <a:noFill/>
                  </pic:spPr>
                </pic:pic>
              </a:graphicData>
            </a:graphic>
          </wp:anchor>
        </w:drawing>
      </w:r>
    </w:p>
    <w:p>
      <w:pPr>
        <w:spacing w:after="0" w:line="5" w:lineRule="exact"/>
        <w:rPr>
          <w:sz w:val="20"/>
          <w:szCs w:val="20"/>
          <w:color w:val="auto"/>
        </w:rPr>
      </w:pPr>
    </w:p>
    <w:p>
      <w:pPr>
        <w:ind w:left="566" w:hanging="566"/>
        <w:spacing w:after="0"/>
        <w:tabs>
          <w:tab w:leader="none" w:pos="56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rate specific to the jurisdiction in which the key item originates is used to calculate the tax effect of key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158750</wp:posOffset>
            </wp:positionV>
            <wp:extent cx="652970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88">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262" w:lineRule="exact"/>
        <w:rPr>
          <w:sz w:val="20"/>
          <w:szCs w:val="20"/>
          <w:color w:val="auto"/>
        </w:rPr>
      </w:pPr>
    </w:p>
    <w:tbl>
      <w:tblPr>
        <w:tblLayout w:type="fixed"/>
        <w:tblInd w:w="6" w:type="dxa"/>
        <w:tblCellMar>
          <w:top w:w="0" w:type="dxa"/>
          <w:left w:w="0" w:type="dxa"/>
          <w:bottom w:w="0" w:type="dxa"/>
          <w:right w:w="0" w:type="dxa"/>
        </w:tblCellMar>
      </w:tblPr>
      <w:tr>
        <w:trPr>
          <w:trHeight w:val="244"/>
        </w:trPr>
        <w:tc>
          <w:tcPr>
            <w:tcW w:w="4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8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change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20"/>
                <w:szCs w:val="20"/>
                <w:color w:val="auto"/>
                <w:w w:val="98"/>
              </w:rPr>
              <w:t>change</w:t>
            </w:r>
          </w:p>
        </w:tc>
      </w:tr>
      <w:tr>
        <w:trPr>
          <w:trHeight w:val="216"/>
        </w:trPr>
        <w:tc>
          <w:tcPr>
            <w:tcW w:w="4620" w:type="dxa"/>
            <w:vAlign w:val="bottom"/>
            <w:shd w:val="clear" w:color="auto" w:fill="D5EFF4"/>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Income (loss) from discontinued operations, net of</w:t>
            </w:r>
          </w:p>
        </w:tc>
        <w:tc>
          <w:tcPr>
            <w:tcW w:w="180" w:type="dxa"/>
            <w:vAlign w:val="bottom"/>
            <w:shd w:val="clear" w:color="auto" w:fill="D5EFF4"/>
          </w:tcPr>
          <w:p>
            <w:pPr>
              <w:spacing w:after="0"/>
              <w:rPr>
                <w:sz w:val="18"/>
                <w:szCs w:val="18"/>
                <w:color w:val="auto"/>
              </w:rPr>
            </w:pPr>
          </w:p>
        </w:tc>
        <w:tc>
          <w:tcPr>
            <w:tcW w:w="860" w:type="dxa"/>
            <w:vAlign w:val="bottom"/>
            <w:shd w:val="clear" w:color="auto" w:fill="D5EFF4"/>
          </w:tcPr>
          <w:p>
            <w:pPr>
              <w:spacing w:after="0"/>
              <w:rPr>
                <w:sz w:val="18"/>
                <w:szCs w:val="18"/>
                <w:color w:val="auto"/>
              </w:rPr>
            </w:pPr>
          </w:p>
        </w:tc>
        <w:tc>
          <w:tcPr>
            <w:tcW w:w="100" w:type="dxa"/>
            <w:vAlign w:val="bottom"/>
            <w:shd w:val="clear" w:color="auto" w:fill="D5EFF4"/>
          </w:tcPr>
          <w:p>
            <w:pPr>
              <w:spacing w:after="0"/>
              <w:rPr>
                <w:sz w:val="18"/>
                <w:szCs w:val="18"/>
                <w:color w:val="auto"/>
              </w:rPr>
            </w:pPr>
          </w:p>
        </w:tc>
        <w:tc>
          <w:tcPr>
            <w:tcW w:w="200" w:type="dxa"/>
            <w:vAlign w:val="bottom"/>
            <w:shd w:val="clear" w:color="auto" w:fill="D5EFF4"/>
          </w:tcPr>
          <w:p>
            <w:pPr>
              <w:spacing w:after="0"/>
              <w:rPr>
                <w:sz w:val="18"/>
                <w:szCs w:val="18"/>
                <w:color w:val="auto"/>
              </w:rPr>
            </w:pPr>
          </w:p>
        </w:tc>
        <w:tc>
          <w:tcPr>
            <w:tcW w:w="860" w:type="dxa"/>
            <w:vAlign w:val="bottom"/>
            <w:shd w:val="clear" w:color="auto" w:fill="D5EFF4"/>
          </w:tcPr>
          <w:p>
            <w:pPr>
              <w:spacing w:after="0"/>
              <w:rPr>
                <w:sz w:val="18"/>
                <w:szCs w:val="18"/>
                <w:color w:val="auto"/>
              </w:rPr>
            </w:pPr>
          </w:p>
        </w:tc>
        <w:tc>
          <w:tcPr>
            <w:tcW w:w="100" w:type="dxa"/>
            <w:vAlign w:val="bottom"/>
            <w:shd w:val="clear" w:color="auto" w:fill="D5EFF4"/>
          </w:tcPr>
          <w:p>
            <w:pPr>
              <w:spacing w:after="0"/>
              <w:rPr>
                <w:sz w:val="18"/>
                <w:szCs w:val="18"/>
                <w:color w:val="auto"/>
              </w:rPr>
            </w:pPr>
          </w:p>
        </w:tc>
        <w:tc>
          <w:tcPr>
            <w:tcW w:w="180" w:type="dxa"/>
            <w:vAlign w:val="bottom"/>
            <w:shd w:val="clear" w:color="auto" w:fill="D5EFF4"/>
          </w:tcPr>
          <w:p>
            <w:pPr>
              <w:spacing w:after="0"/>
              <w:rPr>
                <w:sz w:val="18"/>
                <w:szCs w:val="18"/>
                <w:color w:val="auto"/>
              </w:rPr>
            </w:pPr>
          </w:p>
        </w:tc>
        <w:tc>
          <w:tcPr>
            <w:tcW w:w="860" w:type="dxa"/>
            <w:vAlign w:val="bottom"/>
            <w:shd w:val="clear" w:color="auto" w:fill="D5EFF4"/>
          </w:tcPr>
          <w:p>
            <w:pPr>
              <w:spacing w:after="0"/>
              <w:rPr>
                <w:sz w:val="18"/>
                <w:szCs w:val="18"/>
                <w:color w:val="auto"/>
              </w:rPr>
            </w:pPr>
          </w:p>
        </w:tc>
        <w:tc>
          <w:tcPr>
            <w:tcW w:w="100" w:type="dxa"/>
            <w:vAlign w:val="bottom"/>
            <w:shd w:val="clear" w:color="auto" w:fill="D5EFF4"/>
          </w:tcPr>
          <w:p>
            <w:pPr>
              <w:spacing w:after="0"/>
              <w:rPr>
                <w:sz w:val="18"/>
                <w:szCs w:val="18"/>
                <w:color w:val="auto"/>
              </w:rPr>
            </w:pPr>
          </w:p>
        </w:tc>
        <w:tc>
          <w:tcPr>
            <w:tcW w:w="140" w:type="dxa"/>
            <w:vAlign w:val="bottom"/>
            <w:shd w:val="clear" w:color="auto" w:fill="D5EFF4"/>
          </w:tcPr>
          <w:p>
            <w:pPr>
              <w:spacing w:after="0"/>
              <w:rPr>
                <w:sz w:val="18"/>
                <w:szCs w:val="18"/>
                <w:color w:val="auto"/>
              </w:rPr>
            </w:pPr>
          </w:p>
        </w:tc>
        <w:tc>
          <w:tcPr>
            <w:tcW w:w="920" w:type="dxa"/>
            <w:vAlign w:val="bottom"/>
            <w:shd w:val="clear" w:color="auto" w:fill="D5EFF4"/>
          </w:tcPr>
          <w:p>
            <w:pPr>
              <w:spacing w:after="0"/>
              <w:rPr>
                <w:sz w:val="18"/>
                <w:szCs w:val="18"/>
                <w:color w:val="auto"/>
              </w:rPr>
            </w:pPr>
          </w:p>
        </w:tc>
        <w:tc>
          <w:tcPr>
            <w:tcW w:w="100" w:type="dxa"/>
            <w:vAlign w:val="bottom"/>
            <w:shd w:val="clear" w:color="auto" w:fill="D5EFF4"/>
          </w:tcPr>
          <w:p>
            <w:pPr>
              <w:spacing w:after="0"/>
              <w:rPr>
                <w:sz w:val="18"/>
                <w:szCs w:val="18"/>
                <w:color w:val="auto"/>
              </w:rPr>
            </w:pPr>
          </w:p>
        </w:tc>
        <w:tc>
          <w:tcPr>
            <w:tcW w:w="140" w:type="dxa"/>
            <w:vAlign w:val="bottom"/>
            <w:shd w:val="clear" w:color="auto" w:fill="D5EFF4"/>
          </w:tcPr>
          <w:p>
            <w:pPr>
              <w:spacing w:after="0"/>
              <w:rPr>
                <w:sz w:val="18"/>
                <w:szCs w:val="18"/>
                <w:color w:val="auto"/>
              </w:rPr>
            </w:pPr>
          </w:p>
        </w:tc>
        <w:tc>
          <w:tcPr>
            <w:tcW w:w="800" w:type="dxa"/>
            <w:vAlign w:val="bottom"/>
            <w:shd w:val="clear" w:color="auto" w:fill="D5EFF4"/>
          </w:tcPr>
          <w:p>
            <w:pPr>
              <w:spacing w:after="0"/>
              <w:rPr>
                <w:sz w:val="18"/>
                <w:szCs w:val="18"/>
                <w:color w:val="auto"/>
              </w:rPr>
            </w:pPr>
          </w:p>
        </w:tc>
        <w:tc>
          <w:tcPr>
            <w:tcW w:w="80" w:type="dxa"/>
            <w:vAlign w:val="bottom"/>
            <w:tcBorders>
              <w:top w:val="single" w:sz="8" w:color="auto"/>
            </w:tcBorders>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r>
      <w:tr>
        <w:trPr>
          <w:trHeight w:val="253"/>
        </w:trPr>
        <w:tc>
          <w:tcPr>
            <w:tcW w:w="46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income taxes</w:t>
            </w:r>
          </w:p>
        </w:tc>
        <w:tc>
          <w:tcPr>
            <w:tcW w:w="180" w:type="dxa"/>
            <w:vAlign w:val="bottom"/>
            <w:shd w:val="clear" w:color="auto" w:fill="D5EFF4"/>
          </w:tcPr>
          <w:p>
            <w:pPr>
              <w:spacing w:after="0"/>
              <w:rPr>
                <w:sz w:val="22"/>
                <w:szCs w:val="22"/>
                <w:color w:val="auto"/>
              </w:rPr>
            </w:pPr>
          </w:p>
        </w:tc>
        <w:tc>
          <w:tcPr>
            <w:tcW w:w="860" w:type="dxa"/>
            <w:vAlign w:val="bottom"/>
            <w:shd w:val="clear" w:color="auto" w:fill="D5EFF4"/>
          </w:tcPr>
          <w:p>
            <w:pPr>
              <w:spacing w:after="0"/>
              <w:rPr>
                <w:sz w:val="22"/>
                <w:szCs w:val="22"/>
                <w:color w:val="auto"/>
              </w:rPr>
            </w:pPr>
          </w:p>
        </w:tc>
        <w:tc>
          <w:tcPr>
            <w:tcW w:w="100" w:type="dxa"/>
            <w:vAlign w:val="bottom"/>
            <w:shd w:val="clear" w:color="auto" w:fill="D5EFF4"/>
          </w:tcPr>
          <w:p>
            <w:pPr>
              <w:spacing w:after="0"/>
              <w:rPr>
                <w:sz w:val="22"/>
                <w:szCs w:val="22"/>
                <w:color w:val="auto"/>
              </w:rPr>
            </w:pPr>
          </w:p>
        </w:tc>
        <w:tc>
          <w:tcPr>
            <w:tcW w:w="200" w:type="dxa"/>
            <w:vAlign w:val="bottom"/>
            <w:shd w:val="clear" w:color="auto" w:fill="D5EFF4"/>
          </w:tcPr>
          <w:p>
            <w:pPr>
              <w:spacing w:after="0"/>
              <w:rPr>
                <w:sz w:val="22"/>
                <w:szCs w:val="22"/>
                <w:color w:val="auto"/>
              </w:rPr>
            </w:pPr>
          </w:p>
        </w:tc>
        <w:tc>
          <w:tcPr>
            <w:tcW w:w="860" w:type="dxa"/>
            <w:vAlign w:val="bottom"/>
            <w:shd w:val="clear" w:color="auto" w:fill="D5EFF4"/>
          </w:tcPr>
          <w:p>
            <w:pPr>
              <w:spacing w:after="0"/>
              <w:rPr>
                <w:sz w:val="22"/>
                <w:szCs w:val="22"/>
                <w:color w:val="auto"/>
              </w:rPr>
            </w:pPr>
          </w:p>
        </w:tc>
        <w:tc>
          <w:tcPr>
            <w:tcW w:w="100" w:type="dxa"/>
            <w:vAlign w:val="bottom"/>
            <w:shd w:val="clear" w:color="auto" w:fill="D5EFF4"/>
          </w:tcPr>
          <w:p>
            <w:pPr>
              <w:spacing w:after="0"/>
              <w:rPr>
                <w:sz w:val="22"/>
                <w:szCs w:val="22"/>
                <w:color w:val="auto"/>
              </w:rPr>
            </w:pPr>
          </w:p>
        </w:tc>
        <w:tc>
          <w:tcPr>
            <w:tcW w:w="180" w:type="dxa"/>
            <w:vAlign w:val="bottom"/>
            <w:shd w:val="clear" w:color="auto" w:fill="D5EFF4"/>
          </w:tcPr>
          <w:p>
            <w:pPr>
              <w:spacing w:after="0"/>
              <w:rPr>
                <w:sz w:val="22"/>
                <w:szCs w:val="22"/>
                <w:color w:val="auto"/>
              </w:rPr>
            </w:pPr>
          </w:p>
        </w:tc>
        <w:tc>
          <w:tcPr>
            <w:tcW w:w="860" w:type="dxa"/>
            <w:vAlign w:val="bottom"/>
            <w:shd w:val="clear" w:color="auto" w:fill="D5EFF4"/>
          </w:tcPr>
          <w:p>
            <w:pPr>
              <w:spacing w:after="0"/>
              <w:rPr>
                <w:sz w:val="22"/>
                <w:szCs w:val="22"/>
                <w:color w:val="auto"/>
              </w:rPr>
            </w:pPr>
          </w:p>
        </w:tc>
        <w:tc>
          <w:tcPr>
            <w:tcW w:w="100" w:type="dxa"/>
            <w:vAlign w:val="bottom"/>
            <w:shd w:val="clear" w:color="auto" w:fill="D5EFF4"/>
          </w:tcPr>
          <w:p>
            <w:pPr>
              <w:spacing w:after="0"/>
              <w:rPr>
                <w:sz w:val="22"/>
                <w:szCs w:val="22"/>
                <w:color w:val="auto"/>
              </w:rPr>
            </w:pPr>
          </w:p>
        </w:tc>
        <w:tc>
          <w:tcPr>
            <w:tcW w:w="140" w:type="dxa"/>
            <w:vAlign w:val="bottom"/>
            <w:shd w:val="clear" w:color="auto" w:fill="D5EFF4"/>
          </w:tcPr>
          <w:p>
            <w:pPr>
              <w:spacing w:after="0"/>
              <w:rPr>
                <w:sz w:val="22"/>
                <w:szCs w:val="22"/>
                <w:color w:val="auto"/>
              </w:rPr>
            </w:pPr>
          </w:p>
        </w:tc>
        <w:tc>
          <w:tcPr>
            <w:tcW w:w="920" w:type="dxa"/>
            <w:vAlign w:val="bottom"/>
            <w:shd w:val="clear" w:color="auto" w:fill="D5EFF4"/>
          </w:tcPr>
          <w:p>
            <w:pPr>
              <w:spacing w:after="0"/>
              <w:rPr>
                <w:sz w:val="22"/>
                <w:szCs w:val="22"/>
                <w:color w:val="auto"/>
              </w:rPr>
            </w:pPr>
          </w:p>
        </w:tc>
        <w:tc>
          <w:tcPr>
            <w:tcW w:w="100" w:type="dxa"/>
            <w:vAlign w:val="bottom"/>
            <w:shd w:val="clear" w:color="auto" w:fill="D5EFF4"/>
          </w:tcPr>
          <w:p>
            <w:pPr>
              <w:spacing w:after="0"/>
              <w:rPr>
                <w:sz w:val="22"/>
                <w:szCs w:val="22"/>
                <w:color w:val="auto"/>
              </w:rPr>
            </w:pPr>
          </w:p>
        </w:tc>
        <w:tc>
          <w:tcPr>
            <w:tcW w:w="140" w:type="dxa"/>
            <w:vAlign w:val="bottom"/>
            <w:shd w:val="clear" w:color="auto" w:fill="D5EFF4"/>
          </w:tcPr>
          <w:p>
            <w:pPr>
              <w:spacing w:after="0"/>
              <w:rPr>
                <w:sz w:val="22"/>
                <w:szCs w:val="22"/>
                <w:color w:val="auto"/>
              </w:rPr>
            </w:pPr>
          </w:p>
        </w:tc>
        <w:tc>
          <w:tcPr>
            <w:tcW w:w="800" w:type="dxa"/>
            <w:vAlign w:val="bottom"/>
            <w:shd w:val="clear" w:color="auto" w:fill="D5EFF4"/>
          </w:tcPr>
          <w:p>
            <w:pPr>
              <w:spacing w:after="0"/>
              <w:rPr>
                <w:sz w:val="22"/>
                <w:szCs w:val="22"/>
                <w:color w:val="auto"/>
              </w:rPr>
            </w:pPr>
          </w:p>
        </w:tc>
        <w:tc>
          <w:tcPr>
            <w:tcW w:w="8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r>
      <w:tr>
        <w:trPr>
          <w:trHeight w:val="244"/>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Performance Adhesives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1"/>
                <w:szCs w:val="21"/>
                <w:color w:val="auto"/>
              </w:rPr>
            </w:pPr>
          </w:p>
        </w:tc>
      </w:tr>
      <w:tr>
        <w:trPr>
          <w:trHeight w:val="244"/>
        </w:trPr>
        <w:tc>
          <w:tcPr>
            <w:tcW w:w="462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Composites/Marl Facility</w:t>
            </w:r>
          </w:p>
        </w:tc>
        <w:tc>
          <w:tcPr>
            <w:tcW w:w="180" w:type="dxa"/>
            <w:vAlign w:val="bottom"/>
            <w:shd w:val="clear" w:color="auto" w:fill="D5EFF4"/>
          </w:tcPr>
          <w:p>
            <w:pPr>
              <w:spacing w:after="0"/>
              <w:rPr>
                <w:sz w:val="21"/>
                <w:szCs w:val="21"/>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spacing w:after="0"/>
              <w:rPr>
                <w:sz w:val="21"/>
                <w:szCs w:val="21"/>
                <w:color w:val="auto"/>
              </w:rPr>
            </w:pPr>
          </w:p>
        </w:tc>
        <w:tc>
          <w:tcPr>
            <w:tcW w:w="200" w:type="dxa"/>
            <w:vAlign w:val="bottom"/>
            <w:shd w:val="clear" w:color="auto" w:fill="D5EFF4"/>
          </w:tcPr>
          <w:p>
            <w:pPr>
              <w:spacing w:after="0"/>
              <w:rPr>
                <w:sz w:val="21"/>
                <w:szCs w:val="21"/>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D5EFF4"/>
          </w:tcPr>
          <w:p>
            <w:pPr>
              <w:spacing w:after="0"/>
              <w:rPr>
                <w:sz w:val="21"/>
                <w:szCs w:val="21"/>
                <w:color w:val="auto"/>
              </w:rPr>
            </w:pPr>
          </w:p>
        </w:tc>
        <w:tc>
          <w:tcPr>
            <w:tcW w:w="180" w:type="dxa"/>
            <w:vAlign w:val="bottom"/>
            <w:shd w:val="clear" w:color="auto" w:fill="D5EFF4"/>
          </w:tcPr>
          <w:p>
            <w:pPr>
              <w:spacing w:after="0"/>
              <w:rPr>
                <w:sz w:val="21"/>
                <w:szCs w:val="21"/>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88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shd w:val="clear" w:color="auto" w:fill="D5EFF4"/>
          </w:tcPr>
          <w:p>
            <w:pPr>
              <w:spacing w:after="0"/>
              <w:rPr>
                <w:sz w:val="21"/>
                <w:szCs w:val="21"/>
                <w:color w:val="auto"/>
              </w:rPr>
            </w:pPr>
          </w:p>
        </w:tc>
      </w:tr>
      <w:tr>
        <w:trPr>
          <w:trHeight w:val="244"/>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Asbestos-related litigation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1"/>
                <w:szCs w:val="21"/>
                <w:color w:val="auto"/>
              </w:rPr>
            </w:pPr>
          </w:p>
        </w:tc>
      </w:tr>
      <w:tr>
        <w:trPr>
          <w:trHeight w:val="244"/>
        </w:trPr>
        <w:tc>
          <w:tcPr>
            <w:tcW w:w="462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Water Technologies</w:t>
            </w:r>
          </w:p>
        </w:tc>
        <w:tc>
          <w:tcPr>
            <w:tcW w:w="180" w:type="dxa"/>
            <w:vAlign w:val="bottom"/>
            <w:shd w:val="clear" w:color="auto" w:fill="D5EFF4"/>
          </w:tcPr>
          <w:p>
            <w:pPr>
              <w:spacing w:after="0"/>
              <w:rPr>
                <w:sz w:val="21"/>
                <w:szCs w:val="21"/>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spacing w:after="0"/>
              <w:rPr>
                <w:sz w:val="21"/>
                <w:szCs w:val="21"/>
                <w:color w:val="auto"/>
              </w:rPr>
            </w:pPr>
          </w:p>
        </w:tc>
        <w:tc>
          <w:tcPr>
            <w:tcW w:w="200" w:type="dxa"/>
            <w:vAlign w:val="bottom"/>
            <w:shd w:val="clear" w:color="auto" w:fill="D5EFF4"/>
          </w:tcPr>
          <w:p>
            <w:pPr>
              <w:spacing w:after="0"/>
              <w:rPr>
                <w:sz w:val="21"/>
                <w:szCs w:val="21"/>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shd w:val="clear" w:color="auto" w:fill="D5EFF4"/>
          </w:tcPr>
          <w:p>
            <w:pPr>
              <w:spacing w:after="0"/>
              <w:rPr>
                <w:sz w:val="21"/>
                <w:szCs w:val="21"/>
                <w:color w:val="auto"/>
              </w:rPr>
            </w:pPr>
          </w:p>
        </w:tc>
        <w:tc>
          <w:tcPr>
            <w:tcW w:w="180" w:type="dxa"/>
            <w:vAlign w:val="bottom"/>
            <w:shd w:val="clear" w:color="auto" w:fill="D5EFF4"/>
          </w:tcPr>
          <w:p>
            <w:pPr>
              <w:spacing w:after="0"/>
              <w:rPr>
                <w:sz w:val="21"/>
                <w:szCs w:val="21"/>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88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shd w:val="clear" w:color="auto" w:fill="D5EFF4"/>
          </w:tcPr>
          <w:p>
            <w:pPr>
              <w:spacing w:after="0"/>
              <w:rPr>
                <w:sz w:val="21"/>
                <w:szCs w:val="21"/>
                <w:color w:val="auto"/>
              </w:rPr>
            </w:pPr>
          </w:p>
        </w:tc>
      </w:tr>
      <w:tr>
        <w:trPr>
          <w:trHeight w:val="244"/>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Distribution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r>
      <w:tr>
        <w:trPr>
          <w:trHeight w:val="264"/>
        </w:trPr>
        <w:tc>
          <w:tcPr>
            <w:tcW w:w="4620" w:type="dxa"/>
            <w:vAlign w:val="bottom"/>
            <w:tcBorders>
              <w:bottom w:val="single" w:sz="8" w:color="D5EFF4"/>
            </w:tcBorders>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Valvoline</w:t>
            </w:r>
          </w:p>
        </w:tc>
        <w:tc>
          <w:tcPr>
            <w:tcW w:w="180" w:type="dxa"/>
            <w:vAlign w:val="bottom"/>
            <w:tcBorders>
              <w:bottom w:val="single" w:sz="8" w:color="auto"/>
            </w:tcBorders>
            <w:shd w:val="clear" w:color="auto" w:fill="D5EFF4"/>
          </w:tcPr>
          <w:p>
            <w:pPr>
              <w:spacing w:after="0"/>
              <w:rPr>
                <w:sz w:val="22"/>
                <w:szCs w:val="22"/>
                <w:color w:val="auto"/>
              </w:rPr>
            </w:pPr>
          </w:p>
        </w:tc>
        <w:tc>
          <w:tcPr>
            <w:tcW w:w="8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D5EFF4"/>
            </w:tcBorders>
            <w:shd w:val="clear" w:color="auto" w:fill="D5EFF4"/>
          </w:tcPr>
          <w:p>
            <w:pPr>
              <w:spacing w:after="0"/>
              <w:rPr>
                <w:sz w:val="22"/>
                <w:szCs w:val="22"/>
                <w:color w:val="auto"/>
              </w:rPr>
            </w:pPr>
          </w:p>
        </w:tc>
        <w:tc>
          <w:tcPr>
            <w:tcW w:w="200" w:type="dxa"/>
            <w:vAlign w:val="bottom"/>
            <w:tcBorders>
              <w:bottom w:val="single" w:sz="8" w:color="auto"/>
            </w:tcBorders>
            <w:shd w:val="clear" w:color="auto" w:fill="D5EFF4"/>
          </w:tcPr>
          <w:p>
            <w:pPr>
              <w:spacing w:after="0"/>
              <w:rPr>
                <w:sz w:val="22"/>
                <w:szCs w:val="22"/>
                <w:color w:val="auto"/>
              </w:rPr>
            </w:pPr>
          </w:p>
        </w:tc>
        <w:tc>
          <w:tcPr>
            <w:tcW w:w="86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D5EFF4"/>
            </w:tcBorders>
            <w:shd w:val="clear" w:color="auto" w:fill="D5EFF4"/>
          </w:tcPr>
          <w:p>
            <w:pPr>
              <w:spacing w:after="0"/>
              <w:rPr>
                <w:sz w:val="22"/>
                <w:szCs w:val="22"/>
                <w:color w:val="auto"/>
              </w:rPr>
            </w:pPr>
          </w:p>
        </w:tc>
        <w:tc>
          <w:tcPr>
            <w:tcW w:w="180" w:type="dxa"/>
            <w:vAlign w:val="bottom"/>
            <w:tcBorders>
              <w:bottom w:val="single" w:sz="8" w:color="auto"/>
            </w:tcBorders>
            <w:shd w:val="clear" w:color="auto" w:fill="D5EFF4"/>
          </w:tcPr>
          <w:p>
            <w:pPr>
              <w:spacing w:after="0"/>
              <w:rPr>
                <w:sz w:val="22"/>
                <w:szCs w:val="22"/>
                <w:color w:val="auto"/>
              </w:rPr>
            </w:pPr>
          </w:p>
        </w:tc>
        <w:tc>
          <w:tcPr>
            <w:tcW w:w="8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00" w:type="dxa"/>
            <w:vAlign w:val="bottom"/>
            <w:tcBorders>
              <w:bottom w:val="single" w:sz="8" w:color="D5EFF4"/>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spacing w:after="0"/>
              <w:rPr>
                <w:sz w:val="22"/>
                <w:szCs w:val="22"/>
                <w:color w:val="auto"/>
              </w:rPr>
            </w:pPr>
          </w:p>
        </w:tc>
        <w:tc>
          <w:tcPr>
            <w:tcW w:w="92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5EFF4"/>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spacing w:after="0"/>
              <w:rPr>
                <w:sz w:val="22"/>
                <w:szCs w:val="22"/>
                <w:color w:val="auto"/>
              </w:rPr>
            </w:pPr>
          </w:p>
        </w:tc>
        <w:tc>
          <w:tcPr>
            <w:tcW w:w="88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Borders>
              <w:bottom w:val="single" w:sz="8" w:color="D5EFF4"/>
            </w:tcBorders>
            <w:shd w:val="clear" w:color="auto" w:fill="D5EFF4"/>
          </w:tcPr>
          <w:p>
            <w:pPr>
              <w:spacing w:after="0"/>
              <w:rPr>
                <w:sz w:val="22"/>
                <w:szCs w:val="22"/>
                <w:color w:val="auto"/>
              </w:rPr>
            </w:pPr>
          </w:p>
        </w:tc>
      </w:tr>
      <w:tr>
        <w:trPr>
          <w:trHeight w:val="219"/>
        </w:trPr>
        <w:tc>
          <w:tcPr>
            <w:tcW w:w="462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(40)</w:t>
            </w:r>
          </w:p>
        </w:tc>
        <w:tc>
          <w:tcPr>
            <w:tcW w:w="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
        </w:trPr>
        <w:tc>
          <w:tcPr>
            <w:tcW w:w="4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-1508760</wp:posOffset>
            </wp:positionV>
            <wp:extent cx="649541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89">
                      <a:extLst>
                        <a:ext uri="{28A0092B-C50C-407E-A947-70E740481C1C}"/>
                      </a:extLst>
                    </a:blip>
                    <a:srcRect/>
                    <a:stretch>
                      <a:fillRect/>
                    </a:stretch>
                  </pic:blipFill>
                  <pic:spPr bwMode="auto">
                    <a:xfrm>
                      <a:off x="0" y="0"/>
                      <a:ext cx="649541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9541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90">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ectPr>
          <w:pgSz w:w="12240" w:h="15840" w:orient="portrait"/>
          <w:cols w:equalWidth="0" w:num="1">
            <w:col w:w="10246"/>
          </w:cols>
          <w:pgMar w:left="994" w:top="988"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M-9</w:t>
      </w:r>
    </w:p>
    <w:p>
      <w:pPr>
        <w:sectPr>
          <w:pgSz w:w="12240" w:h="15840" w:orient="portrait"/>
          <w:cols w:equalWidth="0" w:num="1">
            <w:col w:w="10246"/>
          </w:cols>
          <w:pgMar w:left="994" w:top="988" w:right="1000" w:bottom="175" w:gutter="0" w:footer="0" w:header="0"/>
          <w:type w:val="continuous"/>
        </w:sectPr>
      </w:pPr>
    </w:p>
    <w:bookmarkStart w:id="67" w:name="page68"/>
    <w:bookmarkEnd w:id="67"/>
    <w:p>
      <w:pPr>
        <w:ind w:firstLine="360"/>
        <w:spacing w:after="0" w:line="325" w:lineRule="auto"/>
        <w:rPr>
          <w:sz w:val="20"/>
          <w:szCs w:val="20"/>
          <w:color w:val="auto"/>
        </w:rPr>
      </w:pPr>
      <w:r>
        <w:rPr>
          <w:rFonts w:ascii="Times New Roman" w:cs="Times New Roman" w:eastAsia="Times New Roman" w:hAnsi="Times New Roman"/>
          <w:sz w:val="20"/>
          <w:szCs w:val="20"/>
          <w:color w:val="auto"/>
        </w:rPr>
        <w:t>In 2025, 2024 and 2023, the Performance Adhesives activity represents subsequent adjustments that were made in conjunction with the post-closing disputes and tax reserves.</w:t>
      </w:r>
    </w:p>
    <w:p>
      <w:pPr>
        <w:spacing w:after="0" w:line="49" w:lineRule="exact"/>
        <w:rPr>
          <w:sz w:val="20"/>
          <w:szCs w:val="20"/>
          <w:color w:val="auto"/>
        </w:rPr>
      </w:pPr>
    </w:p>
    <w:p>
      <w:pPr>
        <w:ind w:firstLine="360"/>
        <w:spacing w:after="0" w:line="325" w:lineRule="auto"/>
        <w:rPr>
          <w:sz w:val="20"/>
          <w:szCs w:val="20"/>
          <w:color w:val="auto"/>
        </w:rPr>
      </w:pPr>
      <w:r>
        <w:rPr>
          <w:rFonts w:ascii="Times New Roman" w:cs="Times New Roman" w:eastAsia="Times New Roman" w:hAnsi="Times New Roman"/>
          <w:sz w:val="20"/>
          <w:szCs w:val="20"/>
          <w:color w:val="auto"/>
        </w:rPr>
        <w:t>Asbestos-related activity during 2025, 2024 and 2023 included after-tax net expense adjustments to the asbestos reserves and receivables including the adjustments for the annual update for each of these years.</w:t>
      </w:r>
    </w:p>
    <w:p>
      <w:pPr>
        <w:spacing w:after="0" w:line="49" w:lineRule="exact"/>
        <w:rPr>
          <w:sz w:val="20"/>
          <w:szCs w:val="20"/>
          <w:color w:val="auto"/>
        </w:rPr>
      </w:pPr>
    </w:p>
    <w:p>
      <w:pPr>
        <w:ind w:firstLine="360"/>
        <w:spacing w:after="0" w:line="325" w:lineRule="auto"/>
        <w:rPr>
          <w:sz w:val="20"/>
          <w:szCs w:val="20"/>
          <w:color w:val="auto"/>
        </w:rPr>
      </w:pPr>
      <w:r>
        <w:rPr>
          <w:rFonts w:ascii="Times New Roman" w:cs="Times New Roman" w:eastAsia="Times New Roman" w:hAnsi="Times New Roman"/>
          <w:sz w:val="20"/>
          <w:szCs w:val="20"/>
          <w:color w:val="auto"/>
        </w:rPr>
        <w:t>The Valvoline activity within 2025, 2024 and 2023 primarily represents subsequent adjustments that were made in conjunction with post-closing disputes and the Tax Matters Agreement with Valvoline.</w:t>
      </w:r>
    </w:p>
    <w:p>
      <w:pPr>
        <w:spacing w:after="0" w:line="49" w:lineRule="exact"/>
        <w:rPr>
          <w:sz w:val="20"/>
          <w:szCs w:val="20"/>
          <w:color w:val="auto"/>
        </w:rPr>
      </w:pPr>
    </w:p>
    <w:p>
      <w:pPr>
        <w:ind w:firstLine="360"/>
        <w:spacing w:after="0" w:line="325" w:lineRule="auto"/>
        <w:rPr>
          <w:sz w:val="20"/>
          <w:szCs w:val="20"/>
          <w:color w:val="auto"/>
        </w:rPr>
      </w:pPr>
      <w:r>
        <w:rPr>
          <w:rFonts w:ascii="Times New Roman" w:cs="Times New Roman" w:eastAsia="Times New Roman" w:hAnsi="Times New Roman"/>
          <w:sz w:val="20"/>
          <w:szCs w:val="20"/>
          <w:color w:val="auto"/>
        </w:rPr>
        <w:t>The activity for Water Technologies, Composites/Marl Facility and Distribution were primarily related to post-closing adjustments associated with environmental remediation reserves associated with these businesses.</w:t>
      </w:r>
    </w:p>
    <w:p>
      <w:pPr>
        <w:spacing w:after="0" w:line="49" w:lineRule="exact"/>
        <w:rPr>
          <w:sz w:val="20"/>
          <w:szCs w:val="20"/>
          <w:color w:val="auto"/>
        </w:rPr>
      </w:pPr>
    </w:p>
    <w:p>
      <w:pPr>
        <w:ind w:right="380" w:firstLine="360"/>
        <w:spacing w:after="0" w:line="413" w:lineRule="auto"/>
        <w:rPr>
          <w:sz w:val="20"/>
          <w:szCs w:val="20"/>
          <w:color w:val="auto"/>
        </w:rPr>
      </w:pPr>
      <w:r>
        <w:rPr>
          <w:rFonts w:ascii="Times New Roman" w:cs="Times New Roman" w:eastAsia="Times New Roman" w:hAnsi="Times New Roman"/>
          <w:sz w:val="20"/>
          <w:szCs w:val="20"/>
          <w:color w:val="auto"/>
        </w:rPr>
        <w:t xml:space="preserve">See Note C of the Notes to Consolidated Financial Statements for more information related to discontinued operations. </w:t>
      </w:r>
      <w:r>
        <w:rPr>
          <w:rFonts w:ascii="Times New Roman" w:cs="Times New Roman" w:eastAsia="Times New Roman" w:hAnsi="Times New Roman"/>
          <w:sz w:val="20"/>
          <w:szCs w:val="20"/>
          <w:i w:val="1"/>
          <w:iCs w:val="1"/>
          <w:color w:val="auto"/>
        </w:rPr>
        <w:t>Other comprehensive income (loss)</w:t>
      </w:r>
    </w:p>
    <w:p>
      <w:pPr>
        <w:ind w:left="360"/>
        <w:spacing w:after="0"/>
        <w:rPr>
          <w:sz w:val="20"/>
          <w:szCs w:val="20"/>
          <w:color w:val="auto"/>
        </w:rPr>
      </w:pPr>
      <w:r>
        <w:rPr>
          <w:rFonts w:ascii="Times New Roman" w:cs="Times New Roman" w:eastAsia="Times New Roman" w:hAnsi="Times New Roman"/>
          <w:sz w:val="20"/>
          <w:szCs w:val="20"/>
          <w:color w:val="auto"/>
        </w:rPr>
        <w:t>A comparative analysis of the components of other comprehensive income (loss) is provided below for the years ended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103505</wp:posOffset>
            </wp:positionV>
            <wp:extent cx="652970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91">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gridSpan w:val="3"/>
          </w:tcPr>
          <w:p>
            <w:pPr>
              <w:jc w:val="right"/>
              <w:ind w:right="8"/>
              <w:spacing w:after="0"/>
              <w:rPr>
                <w:sz w:val="20"/>
                <w:szCs w:val="20"/>
                <w:color w:val="auto"/>
              </w:rPr>
            </w:pPr>
            <w:r>
              <w:rPr>
                <w:rFonts w:ascii="Times New Roman" w:cs="Times New Roman" w:eastAsia="Times New Roman" w:hAnsi="Times New Roman"/>
                <w:sz w:val="20"/>
                <w:szCs w:val="20"/>
                <w:color w:val="auto"/>
              </w:rPr>
              <w:t>2025</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0" w:type="dxa"/>
            <w:vAlign w:val="bottom"/>
          </w:tcPr>
          <w:p>
            <w:pPr>
              <w:spacing w:after="0"/>
              <w:rPr>
                <w:sz w:val="21"/>
                <w:szCs w:val="21"/>
                <w:color w:val="auto"/>
              </w:rPr>
            </w:pPr>
          </w:p>
        </w:tc>
        <w:tc>
          <w:tcPr>
            <w:tcW w:w="8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change</w:t>
            </w:r>
          </w:p>
        </w:tc>
      </w:tr>
      <w:tr>
        <w:trPr>
          <w:trHeight w:val="239"/>
        </w:trPr>
        <w:tc>
          <w:tcPr>
            <w:tcW w:w="44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 (loss), net of tax</w:t>
            </w:r>
          </w:p>
        </w:tc>
        <w:tc>
          <w:tcPr>
            <w:tcW w:w="200" w:type="dxa"/>
            <w:vAlign w:val="bottom"/>
            <w:shd w:val="clear" w:color="auto" w:fill="D4EFF4"/>
          </w:tcPr>
          <w:p>
            <w:pPr>
              <w:spacing w:after="0"/>
              <w:rPr>
                <w:sz w:val="20"/>
                <w:szCs w:val="20"/>
                <w:color w:val="auto"/>
              </w:rPr>
            </w:pPr>
          </w:p>
        </w:tc>
        <w:tc>
          <w:tcPr>
            <w:tcW w:w="88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90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80" w:type="dxa"/>
            <w:vAlign w:val="bottom"/>
            <w:shd w:val="clear" w:color="auto" w:fill="D4EFF4"/>
          </w:tcPr>
          <w:p>
            <w:pPr>
              <w:spacing w:after="0"/>
              <w:rPr>
                <w:sz w:val="20"/>
                <w:szCs w:val="20"/>
                <w:color w:val="auto"/>
              </w:rPr>
            </w:pPr>
          </w:p>
        </w:tc>
        <w:tc>
          <w:tcPr>
            <w:tcW w:w="88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760" w:type="dxa"/>
            <w:vAlign w:val="bottom"/>
            <w:shd w:val="clear" w:color="auto" w:fill="D4EFF4"/>
          </w:tcPr>
          <w:p>
            <w:pPr>
              <w:spacing w:after="0"/>
              <w:rPr>
                <w:sz w:val="20"/>
                <w:szCs w:val="20"/>
                <w:color w:val="auto"/>
              </w:rPr>
            </w:pPr>
          </w:p>
        </w:tc>
        <w:tc>
          <w:tcPr>
            <w:tcW w:w="28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820" w:type="dxa"/>
            <w:vAlign w:val="bottom"/>
            <w:shd w:val="clear" w:color="auto" w:fill="D4EFF4"/>
          </w:tcPr>
          <w:p>
            <w:pPr>
              <w:spacing w:after="0"/>
              <w:rPr>
                <w:sz w:val="20"/>
                <w:szCs w:val="20"/>
                <w:color w:val="auto"/>
              </w:rPr>
            </w:pPr>
          </w:p>
        </w:tc>
        <w:tc>
          <w:tcPr>
            <w:tcW w:w="80" w:type="dxa"/>
            <w:vAlign w:val="bottom"/>
            <w:tcBorders>
              <w:top w:val="single" w:sz="8" w:color="auto"/>
            </w:tcBorders>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r>
      <w:tr>
        <w:trPr>
          <w:trHeight w:val="244"/>
        </w:trPr>
        <w:tc>
          <w:tcPr>
            <w:tcW w:w="4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Unrealized translation gain</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54</w:t>
            </w:r>
          </w:p>
        </w:tc>
        <w:tc>
          <w:tcPr>
            <w:tcW w:w="300" w:type="dxa"/>
            <w:vAlign w:val="bottom"/>
            <w:gridSpan w:val="3"/>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72</w:t>
            </w:r>
          </w:p>
        </w:tc>
        <w:tc>
          <w:tcPr>
            <w:tcW w:w="880" w:type="dxa"/>
            <w:vAlign w:val="bottom"/>
            <w:gridSpan w:val="3"/>
          </w:tcPr>
          <w:p>
            <w:pPr>
              <w:jc w:val="right"/>
              <w:ind w:right="588"/>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1"/>
                <w:szCs w:val="21"/>
                <w:color w:val="auto"/>
              </w:rPr>
            </w:pPr>
          </w:p>
        </w:tc>
      </w:tr>
      <w:tr>
        <w:trPr>
          <w:trHeight w:val="264"/>
        </w:trPr>
        <w:tc>
          <w:tcPr>
            <w:tcW w:w="44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Unrealized gain (loss) on commodity hedges</w:t>
            </w:r>
          </w:p>
        </w:tc>
        <w:tc>
          <w:tcPr>
            <w:tcW w:w="200" w:type="dxa"/>
            <w:vAlign w:val="bottom"/>
            <w:tcBorders>
              <w:bottom w:val="single" w:sz="8" w:color="auto"/>
            </w:tcBorders>
            <w:shd w:val="clear" w:color="auto" w:fill="D4EFF4"/>
          </w:tcPr>
          <w:p>
            <w:pPr>
              <w:spacing w:after="0"/>
              <w:rPr>
                <w:sz w:val="22"/>
                <w:szCs w:val="22"/>
                <w:color w:val="auto"/>
              </w:rPr>
            </w:pPr>
          </w:p>
        </w:tc>
        <w:tc>
          <w:tcPr>
            <w:tcW w:w="8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60" w:type="dxa"/>
            <w:vAlign w:val="bottom"/>
            <w:tcBorders>
              <w:bottom w:val="single" w:sz="8" w:color="auto"/>
            </w:tcBorders>
            <w:shd w:val="clear" w:color="auto" w:fill="D4EFF4"/>
          </w:tcPr>
          <w:p>
            <w:pPr>
              <w:spacing w:after="0"/>
              <w:rPr>
                <w:sz w:val="22"/>
                <w:szCs w:val="22"/>
                <w:color w:val="auto"/>
              </w:rPr>
            </w:pPr>
          </w:p>
        </w:tc>
        <w:tc>
          <w:tcPr>
            <w:tcW w:w="90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80" w:type="dxa"/>
            <w:vAlign w:val="bottom"/>
            <w:tcBorders>
              <w:bottom w:val="single" w:sz="8" w:color="auto"/>
            </w:tcBorders>
            <w:shd w:val="clear" w:color="auto" w:fill="D4EFF4"/>
          </w:tcPr>
          <w:p>
            <w:pPr>
              <w:spacing w:after="0"/>
              <w:rPr>
                <w:sz w:val="22"/>
                <w:szCs w:val="22"/>
                <w:color w:val="auto"/>
              </w:rPr>
            </w:pPr>
          </w:p>
        </w:tc>
        <w:tc>
          <w:tcPr>
            <w:tcW w:w="8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760" w:type="dxa"/>
            <w:vAlign w:val="bottom"/>
            <w:tcBorders>
              <w:bottom w:val="single" w:sz="8" w:color="auto"/>
            </w:tcBorders>
            <w:shd w:val="clear" w:color="auto" w:fill="D4EFF4"/>
          </w:tcPr>
          <w:p>
            <w:pPr>
              <w:spacing w:after="0"/>
              <w:rPr>
                <w:sz w:val="22"/>
                <w:szCs w:val="22"/>
                <w:color w:val="auto"/>
              </w:rPr>
            </w:pPr>
          </w:p>
        </w:tc>
        <w:tc>
          <w:tcPr>
            <w:tcW w:w="2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spacing w:after="0"/>
              <w:rPr>
                <w:sz w:val="22"/>
                <w:szCs w:val="22"/>
                <w:color w:val="auto"/>
              </w:rPr>
            </w:pPr>
          </w:p>
        </w:tc>
        <w:tc>
          <w:tcPr>
            <w:tcW w:w="8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r>
      <w:tr>
        <w:trPr>
          <w:trHeight w:val="219"/>
        </w:trPr>
        <w:tc>
          <w:tcPr>
            <w:tcW w:w="446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66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
        </w:trPr>
        <w:tc>
          <w:tcPr>
            <w:tcW w:w="4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-743585</wp:posOffset>
            </wp:positionV>
            <wp:extent cx="649541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92">
                      <a:extLst>
                        <a:ext uri="{28A0092B-C50C-407E-A947-70E740481C1C}"/>
                      </a:extLst>
                    </a:blip>
                    <a:srcRect/>
                    <a:stretch>
                      <a:fillRect/>
                    </a:stretch>
                  </pic:blipFill>
                  <pic:spPr bwMode="auto">
                    <a:xfrm>
                      <a:off x="0" y="0"/>
                      <a:ext cx="6495415" cy="3810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-23495</wp:posOffset>
            </wp:positionV>
            <wp:extent cx="649541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93">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Total other comprehensive income (loss), net of tax, decreased $8 million in 2025 as compared to 2024, as a result of the following components:</w:t>
      </w:r>
    </w:p>
    <w:p>
      <w:pPr>
        <w:spacing w:after="0" w:line="49" w:lineRule="exact"/>
        <w:rPr>
          <w:sz w:val="20"/>
          <w:szCs w:val="20"/>
          <w:color w:val="auto"/>
        </w:rPr>
      </w:pPr>
    </w:p>
    <w:p>
      <w:pPr>
        <w:jc w:val="both"/>
        <w:ind w:left="720" w:hanging="366"/>
        <w:spacing w:after="0" w:line="30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2025, the change in unrealized gain from foreign currency translation adjustments resulted in a gain of $45 million, compared to a gain of $54 million during 2024. The fluctuations in unrealized translation gains and losses were primarily due to translating foreign subsidiary financial statements from local currencies to U.S. Dollars; and</w:t>
      </w:r>
    </w:p>
    <w:p>
      <w:pPr>
        <w:spacing w:after="0" w:line="68"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2025, a $2 million unrealized gain on commodity hedges was recorded compared to a gain of $1 million during 2024. See Note E of the Notes to Consolidated Financial Statements for more information.</w:t>
      </w:r>
    </w:p>
    <w:p>
      <w:pPr>
        <w:spacing w:after="0" w:line="49" w:lineRule="exact"/>
        <w:rPr>
          <w:sz w:val="20"/>
          <w:szCs w:val="20"/>
          <w:color w:val="auto"/>
        </w:rPr>
      </w:pPr>
    </w:p>
    <w:p>
      <w:pPr>
        <w:ind w:firstLine="360"/>
        <w:spacing w:after="0" w:line="325" w:lineRule="auto"/>
        <w:rPr>
          <w:sz w:val="20"/>
          <w:szCs w:val="20"/>
          <w:color w:val="auto"/>
        </w:rPr>
      </w:pPr>
      <w:r>
        <w:rPr>
          <w:rFonts w:ascii="Times New Roman" w:cs="Times New Roman" w:eastAsia="Times New Roman" w:hAnsi="Times New Roman"/>
          <w:sz w:val="20"/>
          <w:szCs w:val="20"/>
          <w:color w:val="auto"/>
        </w:rPr>
        <w:t>Total other comprehensive income (loss), net of tax, decreased $11 million in 2024 as compared to 2023 as a result of the following components:</w:t>
      </w:r>
    </w:p>
    <w:p>
      <w:pPr>
        <w:spacing w:after="0" w:line="49" w:lineRule="exact"/>
        <w:rPr>
          <w:sz w:val="20"/>
          <w:szCs w:val="20"/>
          <w:color w:val="auto"/>
        </w:rPr>
      </w:pPr>
    </w:p>
    <w:p>
      <w:pPr>
        <w:jc w:val="both"/>
        <w:ind w:left="720" w:hanging="366"/>
        <w:spacing w:after="0" w:line="306"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2024, the change in unrealized gain from foreign currency translation adjustments resulted in a gain of $54 million, compared to a gain of $72 million during 2023. The fluctuations in unrealized translation gains and losses were primarily due to translating foreign subsidiary financial statements from local currencies to U.S. Dollars; and</w:t>
      </w:r>
    </w:p>
    <w:p>
      <w:pPr>
        <w:spacing w:after="0" w:line="68"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2024, a $1 million unrealized gain on commodity hedges was recorded compared to a loss of $6 million during 2023. See Note E of the Notes to Consolidated Financial Statements for more information.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Non-GAAP Financial Measures</w:t>
      </w:r>
    </w:p>
    <w:p>
      <w:pPr>
        <w:spacing w:after="0" w:line="166"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Ashland has included within this document the following non-GAAP financial measures, on both a consolidated and reportable segment basis, which are not defined within U.S. GAAP and do not purport to be alternatives to net income (loss) or cash flows from operating activities as a measure of operating performance or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Adjusted EBITDA and Adjusted EBITDA Margin</w:t>
      </w:r>
    </w:p>
    <w:p>
      <w:pPr>
        <w:spacing w:after="0" w:line="164"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EBITDA is defined as net income (loss), plus income tax expense (benefit), net interest and other expense (income), and depreciation and amortization. Adjusted EBITDA is EBITDA adjusted for discontinued operations and key items (including</w:t>
      </w:r>
    </w:p>
    <w:p>
      <w:pPr>
        <w:sectPr>
          <w:pgSz w:w="12240" w:h="15840" w:orient="portrait"/>
          <w:cols w:equalWidth="0" w:num="1">
            <w:col w:w="10240"/>
          </w:cols>
          <w:pgMar w:left="1000" w:top="988"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M-10</w:t>
      </w:r>
    </w:p>
    <w:p>
      <w:pPr>
        <w:sectPr>
          <w:pgSz w:w="12240" w:h="15840" w:orient="portrait"/>
          <w:cols w:equalWidth="0" w:num="1">
            <w:col w:w="10240"/>
          </w:cols>
          <w:pgMar w:left="1000" w:top="988" w:right="1000" w:bottom="186" w:gutter="0" w:footer="0" w:header="0"/>
          <w:type w:val="continuous"/>
        </w:sectPr>
      </w:pPr>
    </w:p>
    <w:bookmarkStart w:id="68" w:name="page69"/>
    <w:bookmarkEnd w:id="68"/>
    <w:p>
      <w:pPr>
        <w:jc w:val="both"/>
        <w:spacing w:after="0" w:line="325" w:lineRule="auto"/>
        <w:rPr>
          <w:sz w:val="20"/>
          <w:szCs w:val="20"/>
          <w:color w:val="auto"/>
        </w:rPr>
      </w:pPr>
      <w:r>
        <w:rPr>
          <w:rFonts w:ascii="Times New Roman" w:cs="Times New Roman" w:eastAsia="Times New Roman" w:hAnsi="Times New Roman"/>
          <w:sz w:val="20"/>
          <w:szCs w:val="20"/>
          <w:color w:val="auto"/>
        </w:rPr>
        <w:t>remeasurement gains and losses related to pension and other postretirement plans). Adjusted EBITDA margin is Adjusted EBITDA divided by sales.</w:t>
      </w:r>
    </w:p>
    <w:p>
      <w:pPr>
        <w:spacing w:after="0" w:line="49"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(loss) and operating income (loss). The adjustments Ashland makes to derive the non-GAAP financial measures of EBITDA and Adjusted EBITDA exclude items which may cause short-term fluctuations in net income (loss) and operating income (loss)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segments and provide continuity to investors for comparability purposes.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Diluted Earnings Per Share (EPS)</w:t>
      </w:r>
    </w:p>
    <w:p>
      <w:pPr>
        <w:spacing w:after="0" w:line="164"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Adjusted Diluted EPS is defined as income (loss) from continuing operations, adjusted for key items, net of tax, divided by the average outstanding diluted shares for the applicable period. The Adjusted Diluted EPS metric enables Ashland to demonstrate what effect key items have on EPS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Diluted Earnings Per Share (EPS) Excluding Intangibles Amortization Expense</w:t>
      </w:r>
    </w:p>
    <w:p>
      <w:pPr>
        <w:spacing w:after="0" w:line="164"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The Adjusted Diluted EPS Excluding Intangible Amortization Expense is Adjusted Diluted EPS adjusted for intangibles amortization expense net of tax, divided by the average outstanding diluted shares for the applicable period. 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Free Cash Flow, Ongoing Free Cash Flow and Ongoing Free Cash Flow Conversion</w:t>
      </w:r>
    </w:p>
    <w:p>
      <w:pPr>
        <w:spacing w:after="0" w:line="164"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Free Cash Flow is defined as operating cash flows less capital expenditures while Ongoing Free Cash Flow is operating cash flows less capital expenditures and certain other adjustments as applicable. Ongoing Free Cash Flow Conversion is Ongoing Free Cash Flow divided by Adjusted EBITDA. These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includes the impact of capital expenditures from continuing operations and other significant items impacting cash flow, providing a more complete picture of current and future cash generation. Free Cash Flow, Ongoing Free Cash Flow, and Free Cash Flow Conversion are non-GAAP liquidity measures that Ashland believes provide useful information to management and investors about Ashland's ability to convert Adjusted EBITDA to Ongoing Free Cash Flow. These liquidity measures are used regularly by Ashland's stakeholders and industry peers to measure the efficiency at providing cash from regular business activity. Free Cash Flow, Ongoing Free Cash Flow, and Ongoing Free Cash Flow Conversion have certain limitations, including that they do not reflect adjustments for certain non-discretionary cash flows such as mandatory debt repayments. The amount of mandatory versus discretionary expenditures can vary significantly between periods.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disclosures on non-GAAP financial measures</w:t>
      </w:r>
    </w:p>
    <w:p>
      <w:pPr>
        <w:spacing w:after="0" w:line="164"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Although Ashland may provide forward-looking guidance for Adjusted EBITDA, Adjusted Diluted EPS and Ongoing Free Cash Flow, Ashland is not reaffirming or providing forward-looking guidance for U.S. GAAP-reported financial measures or a</w:t>
      </w:r>
    </w:p>
    <w:p>
      <w:pPr>
        <w:sectPr>
          <w:pgSz w:w="12240" w:h="15840" w:orient="portrait"/>
          <w:cols w:equalWidth="0" w:num="1">
            <w:col w:w="10240"/>
          </w:cols>
          <w:pgMar w:left="1000" w:top="988" w:right="1000" w:bottom="186"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M-11</w:t>
      </w:r>
    </w:p>
    <w:p>
      <w:pPr>
        <w:sectPr>
          <w:pgSz w:w="12240" w:h="15840" w:orient="portrait"/>
          <w:cols w:equalWidth="0" w:num="1">
            <w:col w:w="10240"/>
          </w:cols>
          <w:pgMar w:left="1000" w:top="988" w:right="1000" w:bottom="186" w:gutter="0" w:footer="0" w:header="0"/>
          <w:type w:val="continuous"/>
        </w:sectPr>
      </w:pPr>
    </w:p>
    <w:bookmarkStart w:id="69" w:name="page70"/>
    <w:bookmarkEnd w:id="69"/>
    <w:p>
      <w:pPr>
        <w:jc w:val="both"/>
        <w:spacing w:after="0" w:line="297" w:lineRule="auto"/>
        <w:rPr>
          <w:sz w:val="20"/>
          <w:szCs w:val="20"/>
          <w:color w:val="auto"/>
        </w:rPr>
      </w:pPr>
      <w:r>
        <w:rPr>
          <w:rFonts w:ascii="Times New Roman" w:cs="Times New Roman" w:eastAsia="Times New Roman" w:hAnsi="Times New Roman"/>
          <w:sz w:val="20"/>
          <w:szCs w:val="20"/>
          <w:color w:val="auto"/>
        </w:rPr>
        <w:t>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7"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These non-GAAP financial measures should be considered supplemental in nature and should not be construed as more significant than comparable measures defined by U.S. GAAP. Limitations associated with the use of these non-GAAP financial measures include that these measures do not present all of the amounts associated with our results as determined in accordance with U.S. GAAP. The non-GAAP financial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2022 Credit Agreement are based on similar non-GAAP financial measures and are defined further in the sections that reference this metric.</w:t>
      </w:r>
    </w:p>
    <w:p>
      <w:pPr>
        <w:spacing w:after="0" w:line="86"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20"/>
          <w:szCs w:val="20"/>
          <w:color w:val="auto"/>
        </w:rPr>
        <w:t>In accordance with U.S. GAAP, Ashland recognizes actuarial gains and losses for defined benefit pension and other postretirement benefit plans annually in the fourth quarter of each fiscal year and whenever a plan is determined to qualify for a remeasurement during a fiscal year. Actuarial gains and losses occur when actual experience differs from the estimates used to allocate the change in value of pension and other postretirement benefit plans to expense throughout the year or when assumptions change, as they may each year. Significant factors that can contribute to the recognition of actuarial gains and losses include changes in discount rates used to remeasure pension and other postretirement obligations on an annual basis or upon a qualifying remeasurement, differences between actual and expected returns on plan assets and other changes in actuarial assumptions, for example, the life expectancy of plan participants. Management believes Adjusted EBITDA, which includes the expected return on pension plan assets yet excludes both the actual return on pension plan assets and the impact of actuarial gains and losses, provides investors with a meaningful supplemental presentation of Ashland’s operating performance (see the Adjusted EBITDA reconciliation table for additional details on exact amounts included within this non-GAAP measure related to pension and other postretirement plans). Management believes these actuarial gains and losses are primarily financing activities that are more reflective of changes in current conditions in global financial markets (and in particular interest rates) that are not directly related to the underlying business. For further information on the actuarial assumptions and plan assets referenced above, see Note L of the Notes to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and Adjusted EBITDA</w:t>
      </w:r>
    </w:p>
    <w:p>
      <w:pPr>
        <w:spacing w:after="0" w:line="118"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EBITDA totaled loss of $601 million for 2025, and income of $142 million and $419 million for 2024 and 2023, respectively. EBITDA and Adjusted EBITDA results in the following table have been prepared to illustrate the ongoing effects of Ashland’s operations, which exclude certain key items previously described. Management believes the use of such non-GAAP financial measures on a consolidated and reportable segment basis assists investors in understanding the ongoing operating performance by presenting the financial results between periods on a more comparable basis.</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These operating key items for the applicable periods are summarized as follows:</w:t>
      </w:r>
    </w:p>
    <w:p>
      <w:pPr>
        <w:spacing w:after="0" w:line="166" w:lineRule="exact"/>
        <w:rPr>
          <w:sz w:val="20"/>
          <w:szCs w:val="20"/>
          <w:color w:val="auto"/>
        </w:rPr>
      </w:pPr>
    </w:p>
    <w:p>
      <w:pPr>
        <w:jc w:val="both"/>
        <w:ind w:left="720" w:hanging="366"/>
        <w:spacing w:after="0" w:line="306"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impairment – Ashland recorded a non-cash goodwill impairment charge of $706 million within the goodwill impairment caption of the Statement of Consolidated Comprehensive Income (Loss) in 2025. See Note G of the Notes to Consolidated Financial Statements for more information;</w:t>
      </w:r>
    </w:p>
    <w:p>
      <w:pPr>
        <w:spacing w:after="0" w:line="68" w:lineRule="exact"/>
        <w:rPr>
          <w:rFonts w:ascii="Times New Roman" w:cs="Times New Roman" w:eastAsia="Times New Roman" w:hAnsi="Times New Roman"/>
          <w:sz w:val="20"/>
          <w:szCs w:val="20"/>
          <w:color w:val="auto"/>
        </w:rPr>
      </w:pPr>
    </w:p>
    <w:p>
      <w:pPr>
        <w:jc w:val="both"/>
        <w:ind w:left="720" w:hanging="366"/>
        <w:spacing w:after="0" w:line="300"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Avoca business impairment and sale – During 2025, Ashland sold substantially all of the net assets of its Avoca business. As a result, Ashland recorded an impairment charge and gain on sale within the income (loss) on acquisitions and divestitures, net caption of the Statement of Consolidated Comprehensive Income (Loss) in 2025. See Note B of the Notes to Consolidated Financial Statements for more information;</w:t>
      </w:r>
    </w:p>
    <w:p>
      <w:pPr>
        <w:spacing w:after="0" w:line="74" w:lineRule="exact"/>
        <w:rPr>
          <w:rFonts w:ascii="Times New Roman" w:cs="Times New Roman" w:eastAsia="Times New Roman" w:hAnsi="Times New Roman"/>
          <w:sz w:val="20"/>
          <w:szCs w:val="20"/>
          <w:color w:val="auto"/>
        </w:rPr>
      </w:pPr>
    </w:p>
    <w:p>
      <w:pPr>
        <w:jc w:val="both"/>
        <w:ind w:left="720" w:hanging="366"/>
        <w:spacing w:after="0" w:line="325"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depreciation – As a result of product line optimization activities at manufacturing facilities within the Life Sciences, Specialty Additives and Personal Care reportable segments, Ashland recorded accelerated depreciation due</w:t>
      </w:r>
    </w:p>
    <w:p>
      <w:pPr>
        <w:sectPr>
          <w:pgSz w:w="12240" w:h="15840" w:orient="portrait"/>
          <w:cols w:equalWidth="0" w:num="1">
            <w:col w:w="10240"/>
          </w:cols>
          <w:pgMar w:left="1000" w:top="988" w:right="1000" w:bottom="186"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M-12</w:t>
      </w:r>
    </w:p>
    <w:p>
      <w:pPr>
        <w:sectPr>
          <w:pgSz w:w="12240" w:h="15840" w:orient="portrait"/>
          <w:cols w:equalWidth="0" w:num="1">
            <w:col w:w="10240"/>
          </w:cols>
          <w:pgMar w:left="1000" w:top="988" w:right="1000" w:bottom="186" w:gutter="0" w:footer="0" w:header="0"/>
          <w:type w:val="continuous"/>
        </w:sectPr>
      </w:pPr>
    </w:p>
    <w:bookmarkStart w:id="70" w:name="page71"/>
    <w:bookmarkEnd w:id="70"/>
    <w:p>
      <w:pPr>
        <w:ind w:left="720"/>
        <w:spacing w:after="0" w:line="325" w:lineRule="auto"/>
        <w:rPr>
          <w:sz w:val="20"/>
          <w:szCs w:val="20"/>
          <w:color w:val="auto"/>
        </w:rPr>
      </w:pPr>
      <w:r>
        <w:rPr>
          <w:rFonts w:ascii="Times New Roman" w:cs="Times New Roman" w:eastAsia="Times New Roman" w:hAnsi="Times New Roman"/>
          <w:sz w:val="20"/>
          <w:szCs w:val="20"/>
          <w:color w:val="auto"/>
        </w:rPr>
        <w:t>to changes in the expected useful life of certain property, plant and equipment during 2025 and 2024. See Note D of the Notes to Consolidated Financial Statements for more information;</w:t>
      </w:r>
    </w:p>
    <w:p>
      <w:pPr>
        <w:spacing w:after="0" w:line="49" w:lineRule="exact"/>
        <w:rPr>
          <w:sz w:val="20"/>
          <w:szCs w:val="20"/>
          <w:color w:val="auto"/>
        </w:rPr>
      </w:pPr>
    </w:p>
    <w:p>
      <w:pPr>
        <w:jc w:val="both"/>
        <w:ind w:left="720" w:hanging="366"/>
        <w:spacing w:after="0" w:line="297"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each year to its environmental remediation reserves and receivables primarily related to previously divested businesses or non-operational sites. See Note M of the Notes to Consolidated Financial Statements for more information;</w:t>
      </w:r>
    </w:p>
    <w:p>
      <w:pPr>
        <w:spacing w:after="0" w:line="77" w:lineRule="exact"/>
        <w:rPr>
          <w:rFonts w:ascii="Times New Roman" w:cs="Times New Roman" w:eastAsia="Times New Roman" w:hAnsi="Times New Roman"/>
          <w:sz w:val="20"/>
          <w:szCs w:val="20"/>
          <w:color w:val="auto"/>
        </w:rPr>
      </w:pPr>
    </w:p>
    <w:p>
      <w:pPr>
        <w:jc w:val="both"/>
        <w:ind w:left="720" w:hanging="366"/>
        <w:spacing w:after="0" w:line="297"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separation and other costs – Ashland periodically implements company-wide and targeted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of the Notes to Consolidated Financial Statements for further information on the restructuring activities;</w:t>
      </w:r>
    </w:p>
    <w:p>
      <w:pPr>
        <w:spacing w:after="0" w:line="77"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plant optimization costs – During 2025 and 2024, Ashland incurred inventory adjustment and production costs associated with product line optimization actions;</w:t>
      </w:r>
    </w:p>
    <w:p>
      <w:pPr>
        <w:spacing w:after="0" w:line="49" w:lineRule="exact"/>
        <w:rPr>
          <w:rFonts w:ascii="Times New Roman" w:cs="Times New Roman" w:eastAsia="Times New Roman" w:hAnsi="Times New Roman"/>
          <w:sz w:val="20"/>
          <w:szCs w:val="20"/>
          <w:color w:val="auto"/>
        </w:rPr>
      </w:pPr>
    </w:p>
    <w:p>
      <w:pPr>
        <w:jc w:val="both"/>
        <w:ind w:left="720" w:hanging="366"/>
        <w:spacing w:after="0" w:line="297"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Nutraceuticals business impairment and sale – During 2024, Ashland sold substantially all of the net assets of its Nutraceuticals business. As a result, Ashland recorded an impairment charge and loss on sale within the income (loss) on acquisitions and divestitures, net caption of the Statements of Consolidated Comprehensive Income (Loss) in 2024 and post-closing adjustments in 2025. See Note B of the Notes to Consolidated Financial Statements for more information;</w:t>
      </w:r>
    </w:p>
    <w:p>
      <w:pPr>
        <w:spacing w:after="0" w:line="77"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impairments – Ashland recognized impairment charges to certain assets during 2024 and 2023. See Note D of the Notes to Consolidated Financial Statements for more information;</w:t>
      </w:r>
    </w:p>
    <w:p>
      <w:pPr>
        <w:spacing w:after="0" w:line="49"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Nutraceuticals VAT reserve – During 2024, Ashland incurred a Value-Added Tax ("VAT") reserve associated with the sale of the Nutraceuticals business;</w:t>
      </w:r>
    </w:p>
    <w:p>
      <w:pPr>
        <w:spacing w:after="0" w:line="49" w:lineRule="exact"/>
        <w:rPr>
          <w:rFonts w:ascii="Times New Roman" w:cs="Times New Roman" w:eastAsia="Times New Roman" w:hAnsi="Times New Roman"/>
          <w:sz w:val="20"/>
          <w:szCs w:val="20"/>
          <w:color w:val="auto"/>
        </w:rPr>
      </w:pPr>
    </w:p>
    <w:p>
      <w:pPr>
        <w:jc w:val="both"/>
        <w:ind w:left="720" w:hanging="366"/>
        <w:spacing w:after="0" w:line="306"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Argentina foreign currency devaluation – Following the enactment by the Argentina government of a 50% peso devaluation against the dollar, Ashland recorded a currency devaluation charge within the selling, general and administrative expense caption of the Statement of Consolidated Comprehensive Income (Loss) during 2024;</w:t>
      </w:r>
    </w:p>
    <w:p>
      <w:pPr>
        <w:spacing w:after="0" w:line="6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settlement – During 2024, Ashland incurred $4 million in costs associated with a legal settlement;</w:t>
      </w:r>
    </w:p>
    <w:p>
      <w:pPr>
        <w:spacing w:after="0" w:line="166" w:lineRule="exact"/>
        <w:rPr>
          <w:rFonts w:ascii="Times New Roman" w:cs="Times New Roman" w:eastAsia="Times New Roman" w:hAnsi="Times New Roman"/>
          <w:sz w:val="20"/>
          <w:szCs w:val="20"/>
          <w:color w:val="auto"/>
        </w:rPr>
      </w:pPr>
    </w:p>
    <w:p>
      <w:pPr>
        <w:jc w:val="both"/>
        <w:ind w:left="720" w:hanging="366"/>
        <w:spacing w:after="0" w:line="295"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ICMS Brazil tax credit – In 2017, the Federal Supreme Court of Brazil ruled in a leading case that a Brazil value-added tax (ICMS) should not be included in the base used to calculate a taxpayer's federal contribution on total revenue known as PIS/COFINS (2017 Decision). Following favorable court rulings from lawsuits previously filed by two of Ashland's Brazilian subsidiaries challenging the inclusion of ICMS in Ashland's calculation of PIS/COFINS, Ashland received acknowledgment from the Brazilian tax authorities that allows Ashland to begin the process to recover the taxes. See Note M of the Notes to Consolidated Financial Statements for more information;</w:t>
      </w:r>
    </w:p>
    <w:p>
      <w:pPr>
        <w:spacing w:after="0" w:line="79" w:lineRule="exact"/>
        <w:rPr>
          <w:rFonts w:ascii="Times New Roman" w:cs="Times New Roman" w:eastAsia="Times New Roman" w:hAnsi="Times New Roman"/>
          <w:sz w:val="20"/>
          <w:szCs w:val="20"/>
          <w:color w:val="auto"/>
        </w:rPr>
      </w:pPr>
    </w:p>
    <w:p>
      <w:pPr>
        <w:jc w:val="both"/>
        <w:ind w:left="720" w:hanging="366"/>
        <w:spacing w:after="0" w:line="306"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Held for sale depreciation and amortization – Represents the depreciation and amortization for the Avoca business assets during fiscal 2025 and the Nutraceuticals business assets during fiscal 2024. See Note B of the Notes to Consolidated Financial Statements for more information;</w:t>
      </w:r>
    </w:p>
    <w:p>
      <w:pPr>
        <w:spacing w:after="0" w:line="6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credit – During 2025, Ashland recorded a $3 million benefit related to domestic tax credits; and</w:t>
      </w:r>
    </w:p>
    <w:p>
      <w:pPr>
        <w:spacing w:after="0" w:line="166"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on divestitures, net – Ashland recorded income of $14 million and $6 million during 2025 and 2023, respectively. The income was related to the pre-tax gains in connection with the sale of excess corporate property.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Non-operating key items affecting EBITDA</w:t>
      </w:r>
    </w:p>
    <w:p>
      <w:pPr>
        <w:spacing w:after="0" w:line="118" w:lineRule="exact"/>
        <w:rPr>
          <w:sz w:val="20"/>
          <w:szCs w:val="20"/>
          <w:color w:val="auto"/>
        </w:rPr>
      </w:pPr>
    </w:p>
    <w:p>
      <w:pPr>
        <w:ind w:firstLine="360"/>
        <w:spacing w:after="0" w:line="325" w:lineRule="auto"/>
        <w:rPr>
          <w:sz w:val="20"/>
          <w:szCs w:val="20"/>
          <w:color w:val="auto"/>
        </w:rPr>
      </w:pPr>
      <w:r>
        <w:rPr>
          <w:rFonts w:ascii="Times New Roman" w:cs="Times New Roman" w:eastAsia="Times New Roman" w:hAnsi="Times New Roman"/>
          <w:sz w:val="20"/>
          <w:szCs w:val="20"/>
          <w:color w:val="auto"/>
        </w:rPr>
        <w:t>During the current and prior years, there were certain key items that were not included in operating income (loss) but were excluded to arrive at Adjusted EBITDA. These non-operating key items for the applicable periods are summarized as follows:</w:t>
      </w:r>
    </w:p>
    <w:p>
      <w:pPr>
        <w:sectPr>
          <w:pgSz w:w="12240" w:h="15840" w:orient="portrait"/>
          <w:cols w:equalWidth="0" w:num="1">
            <w:col w:w="10240"/>
          </w:cols>
          <w:pgMar w:left="1000" w:top="988" w:right="1000" w:bottom="186"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M-13</w:t>
      </w:r>
    </w:p>
    <w:p>
      <w:pPr>
        <w:sectPr>
          <w:pgSz w:w="12240" w:h="15840" w:orient="portrait"/>
          <w:cols w:equalWidth="0" w:num="1">
            <w:col w:w="10240"/>
          </w:cols>
          <w:pgMar w:left="1000" w:top="988" w:right="1000" w:bottom="186" w:gutter="0" w:footer="0" w:header="0"/>
          <w:type w:val="continuous"/>
        </w:sectPr>
      </w:pPr>
    </w:p>
    <w:bookmarkStart w:id="71" w:name="page72"/>
    <w:bookmarkEnd w:id="71"/>
    <w:p>
      <w:pPr>
        <w:jc w:val="both"/>
        <w:ind w:left="726" w:hanging="366"/>
        <w:spacing w:after="0" w:line="300" w:lineRule="auto"/>
        <w:tabs>
          <w:tab w:leader="none" w:pos="72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(gain) on pension and other postretirement plan remeasurements – Ashland recognized actuarial gains and losses for defined benefit pension and other postretirement benefit plans annually in the fourth quarter of each fiscal year and whenever a plan is determined to qualify for a remeasurement during a fiscal year. See Note L of the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45085</wp:posOffset>
            </wp:positionV>
            <wp:extent cx="652970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94">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83" w:lineRule="exact"/>
        <w:rPr>
          <w:sz w:val="20"/>
          <w:szCs w:val="20"/>
          <w:color w:val="auto"/>
        </w:rPr>
      </w:pPr>
    </w:p>
    <w:tbl>
      <w:tblPr>
        <w:tblLayout w:type="fixed"/>
        <w:tblInd w:w="6" w:type="dxa"/>
        <w:tblCellMar>
          <w:top w:w="0" w:type="dxa"/>
          <w:left w:w="0" w:type="dxa"/>
          <w:bottom w:w="0" w:type="dxa"/>
          <w:right w:w="0" w:type="dxa"/>
        </w:tblCellMar>
      </w:tblPr>
      <w:tr>
        <w:trPr>
          <w:trHeight w:val="24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60" w:type="dxa"/>
            <w:vAlign w:val="bottom"/>
          </w:tcPr>
          <w:p>
            <w:pPr>
              <w:spacing w:after="0"/>
              <w:rPr>
                <w:sz w:val="21"/>
                <w:szCs w:val="21"/>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1"/>
                <w:szCs w:val="21"/>
                <w:color w:val="auto"/>
              </w:rPr>
            </w:pPr>
          </w:p>
        </w:tc>
      </w:tr>
      <w:tr>
        <w:trPr>
          <w:trHeight w:val="239"/>
        </w:trPr>
        <w:tc>
          <w:tcPr>
            <w:tcW w:w="59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260" w:type="dxa"/>
            <w:vAlign w:val="bottom"/>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380" w:type="dxa"/>
            <w:vAlign w:val="bottom"/>
            <w:gridSpan w:val="2"/>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169</w:t>
            </w:r>
          </w:p>
        </w:tc>
        <w:tc>
          <w:tcPr>
            <w:tcW w:w="380" w:type="dxa"/>
            <w:vAlign w:val="bottom"/>
            <w:gridSpan w:val="2"/>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 w:type="dxa"/>
            <w:vAlign w:val="bottom"/>
            <w:shd w:val="clear" w:color="auto" w:fill="D5EFF4"/>
          </w:tcPr>
          <w:p>
            <w:pPr>
              <w:spacing w:after="0"/>
              <w:rPr>
                <w:sz w:val="20"/>
                <w:szCs w:val="20"/>
                <w:color w:val="auto"/>
              </w:rPr>
            </w:pPr>
          </w:p>
        </w:tc>
      </w:tr>
      <w:tr>
        <w:trPr>
          <w:trHeight w:val="244"/>
        </w:trPr>
        <w:tc>
          <w:tcPr>
            <w:tcW w:w="5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r>
      <w:tr>
        <w:trPr>
          <w:trHeight w:val="244"/>
        </w:trPr>
        <w:tc>
          <w:tcPr>
            <w:tcW w:w="5980" w:type="dxa"/>
            <w:vAlign w:val="bottom"/>
            <w:shd w:val="clear" w:color="auto" w:fill="D5EFF4"/>
          </w:tcPr>
          <w:p>
            <w:pPr>
              <w:ind w:left="100"/>
              <w:spacing w:after="0"/>
              <w:rPr>
                <w:sz w:val="20"/>
                <w:szCs w:val="20"/>
                <w:color w:val="auto"/>
              </w:rPr>
            </w:pPr>
            <w:r>
              <w:rPr>
                <w:rFonts w:ascii="Times New Roman" w:cs="Times New Roman" w:eastAsia="Times New Roman" w:hAnsi="Times New Roman"/>
                <w:sz w:val="20"/>
                <w:szCs w:val="20"/>
                <w:color w:val="auto"/>
              </w:rPr>
              <w:t>Net interest and other financing expense (income)</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33</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9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shd w:val="clear" w:color="auto" w:fill="D5EFF4"/>
          </w:tcPr>
          <w:p>
            <w:pPr>
              <w:spacing w:after="0"/>
              <w:rPr>
                <w:sz w:val="21"/>
                <w:szCs w:val="21"/>
                <w:color w:val="auto"/>
              </w:rPr>
            </w:pPr>
          </w:p>
        </w:tc>
      </w:tr>
      <w:tr>
        <w:trPr>
          <w:trHeight w:val="244"/>
        </w:trPr>
        <w:tc>
          <w:tcPr>
            <w:tcW w:w="5980" w:type="dxa"/>
            <w:vAlign w:val="bottom"/>
            <w:tcBorders>
              <w:bottom w:val="single" w:sz="8" w:color="D5EFF4"/>
            </w:tcBorders>
          </w:tcPr>
          <w:p>
            <w:pPr>
              <w:ind w:left="100"/>
              <w:spacing w:after="0" w:line="244" w:lineRule="exact"/>
              <w:rPr>
                <w:sz w:val="20"/>
                <w:szCs w:val="20"/>
                <w:color w:val="auto"/>
              </w:rPr>
            </w:pPr>
            <w:r>
              <w:rPr>
                <w:rFonts w:ascii="Times New Roman" w:cs="Times New Roman" w:eastAsia="Times New Roman" w:hAnsi="Times New Roman"/>
                <w:sz w:val="20"/>
                <w:szCs w:val="20"/>
                <w:color w:val="auto"/>
              </w:rPr>
              <w:t>Depreciation and amortization</w:t>
            </w:r>
            <w:r>
              <w:rPr>
                <w:rFonts w:ascii="Times New Roman" w:cs="Times New Roman" w:eastAsia="Times New Roman" w:hAnsi="Times New Roman"/>
                <w:sz w:val="25"/>
                <w:szCs w:val="25"/>
                <w:color w:val="auto"/>
                <w:vertAlign w:val="superscript"/>
              </w:rPr>
              <w:t>(a)</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198</w:t>
            </w:r>
          </w:p>
        </w:tc>
        <w:tc>
          <w:tcPr>
            <w:tcW w:w="120" w:type="dxa"/>
            <w:vAlign w:val="bottom"/>
            <w:tcBorders>
              <w:bottom w:val="single" w:sz="8" w:color="D5EF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220</w:t>
            </w:r>
          </w:p>
        </w:tc>
        <w:tc>
          <w:tcPr>
            <w:tcW w:w="120" w:type="dxa"/>
            <w:vAlign w:val="bottom"/>
            <w:tcBorders>
              <w:bottom w:val="single" w:sz="8" w:color="D5EF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80" w:type="dxa"/>
            <w:vAlign w:val="bottom"/>
            <w:tcBorders>
              <w:bottom w:val="single" w:sz="8" w:color="auto"/>
            </w:tcBorders>
          </w:tcPr>
          <w:p>
            <w:pPr>
              <w:spacing w:after="0"/>
              <w:rPr>
                <w:sz w:val="21"/>
                <w:szCs w:val="21"/>
                <w:color w:val="auto"/>
              </w:rPr>
            </w:pPr>
          </w:p>
        </w:tc>
      </w:tr>
      <w:tr>
        <w:trPr>
          <w:trHeight w:val="239"/>
        </w:trPr>
        <w:tc>
          <w:tcPr>
            <w:tcW w:w="59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EBITDA</w:t>
            </w:r>
          </w:p>
        </w:tc>
        <w:tc>
          <w:tcPr>
            <w:tcW w:w="260" w:type="dxa"/>
            <w:vAlign w:val="bottom"/>
            <w:shd w:val="clear" w:color="auto" w:fill="D5EFF4"/>
          </w:tcPr>
          <w:p>
            <w:pPr>
              <w:spacing w:after="0"/>
              <w:rPr>
                <w:sz w:val="20"/>
                <w:szCs w:val="20"/>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1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142</w:t>
            </w:r>
          </w:p>
        </w:tc>
        <w:tc>
          <w:tcPr>
            <w:tcW w:w="1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9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80" w:type="dxa"/>
            <w:vAlign w:val="bottom"/>
            <w:shd w:val="clear" w:color="auto" w:fill="D5EFF4"/>
          </w:tcPr>
          <w:p>
            <w:pPr>
              <w:spacing w:after="0"/>
              <w:rPr>
                <w:sz w:val="20"/>
                <w:szCs w:val="20"/>
                <w:color w:val="auto"/>
              </w:rPr>
            </w:pPr>
          </w:p>
        </w:tc>
      </w:tr>
      <w:tr>
        <w:trPr>
          <w:trHeight w:val="244"/>
        </w:trPr>
        <w:tc>
          <w:tcPr>
            <w:tcW w:w="5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Loss (income) from discontinued operations, net of income taxes</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r>
      <w:tr>
        <w:trPr>
          <w:trHeight w:val="244"/>
        </w:trPr>
        <w:tc>
          <w:tcPr>
            <w:tcW w:w="5980" w:type="dxa"/>
            <w:vAlign w:val="bottom"/>
            <w:shd w:val="clear" w:color="auto" w:fill="D5EFF4"/>
          </w:tcPr>
          <w:p>
            <w:pPr>
              <w:ind w:left="100"/>
              <w:spacing w:after="0"/>
              <w:rPr>
                <w:sz w:val="20"/>
                <w:szCs w:val="20"/>
                <w:color w:val="auto"/>
              </w:rPr>
            </w:pPr>
            <w:r>
              <w:rPr>
                <w:rFonts w:ascii="Times New Roman" w:cs="Times New Roman" w:eastAsia="Times New Roman" w:hAnsi="Times New Roman"/>
                <w:sz w:val="20"/>
                <w:szCs w:val="20"/>
                <w:color w:val="auto"/>
              </w:rPr>
              <w:t>Key items included in EBITDA:</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980" w:type="dxa"/>
            <w:vAlign w:val="bottom"/>
            <w:shd w:val="clear" w:color="auto" w:fill="D5EFF4"/>
          </w:tcPr>
          <w:p>
            <w:pPr>
              <w:spacing w:after="0"/>
              <w:rPr>
                <w:sz w:val="21"/>
                <w:szCs w:val="21"/>
                <w:color w:val="auto"/>
              </w:rPr>
            </w:pPr>
          </w:p>
        </w:tc>
        <w:tc>
          <w:tcPr>
            <w:tcW w:w="80" w:type="dxa"/>
            <w:vAlign w:val="bottom"/>
            <w:shd w:val="clear" w:color="auto" w:fill="D5EFF4"/>
          </w:tcPr>
          <w:p>
            <w:pPr>
              <w:spacing w:after="0"/>
              <w:rPr>
                <w:sz w:val="21"/>
                <w:szCs w:val="21"/>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Goodwill impairment</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Avoca business impairment and sale</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175</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Accelerated depreciation</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Environmental reserve adjustments</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9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shd w:val="clear" w:color="auto" w:fill="D5EFF4"/>
          </w:tcPr>
          <w:p>
            <w:pPr>
              <w:spacing w:after="0"/>
              <w:rPr>
                <w:sz w:val="21"/>
                <w:szCs w:val="21"/>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Restructuring, separation and other costs</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1"/>
                <w:szCs w:val="21"/>
                <w:color w:val="auto"/>
              </w:rPr>
            </w:pP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Other plant optimization costs</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Nutraceuticals business impairment and sale</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Asset impairments</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9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shd w:val="clear" w:color="auto" w:fill="D5EFF4"/>
          </w:tcPr>
          <w:p>
            <w:pPr>
              <w:spacing w:after="0"/>
              <w:rPr>
                <w:sz w:val="21"/>
                <w:szCs w:val="21"/>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Nutraceuticals VAT reserve</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Argentina currency devaluation impact</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Legal settlement</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ICMS Brazil tax credit</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r>
      <w:tr>
        <w:trPr>
          <w:trHeight w:val="224"/>
        </w:trPr>
        <w:tc>
          <w:tcPr>
            <w:tcW w:w="598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Loss (gain) on pension and other postretirement plan</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5980" w:type="dxa"/>
            <w:vAlign w:val="bottom"/>
          </w:tcPr>
          <w:p>
            <w:pPr>
              <w:ind w:left="200"/>
              <w:spacing w:after="0" w:line="250" w:lineRule="exact"/>
              <w:rPr>
                <w:sz w:val="20"/>
                <w:szCs w:val="20"/>
                <w:color w:val="auto"/>
              </w:rPr>
            </w:pPr>
            <w:r>
              <w:rPr>
                <w:rFonts w:ascii="Times New Roman" w:cs="Times New Roman" w:eastAsia="Times New Roman" w:hAnsi="Times New Roman"/>
                <w:sz w:val="20"/>
                <w:szCs w:val="20"/>
                <w:color w:val="auto"/>
              </w:rPr>
              <w:t>remeasurements</w:t>
            </w:r>
            <w:r>
              <w:rPr>
                <w:rFonts w:ascii="Times New Roman" w:cs="Times New Roman" w:eastAsia="Times New Roman" w:hAnsi="Times New Roman"/>
                <w:sz w:val="25"/>
                <w:szCs w:val="25"/>
                <w:color w:val="auto"/>
                <w:vertAlign w:val="superscript"/>
              </w:rPr>
              <w:t>(b)</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Held for sale depreciation and amortization</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 credit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980" w:type="dxa"/>
            <w:vAlign w:val="bottom"/>
            <w:tcBorders>
              <w:bottom w:val="single" w:sz="8" w:color="D5EFF4"/>
            </w:tcBorders>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Income on divestitures, net</w:t>
            </w:r>
          </w:p>
        </w:tc>
        <w:tc>
          <w:tcPr>
            <w:tcW w:w="260" w:type="dxa"/>
            <w:vAlign w:val="bottom"/>
            <w:tcBorders>
              <w:bottom w:val="single" w:sz="8" w:color="auto"/>
            </w:tcBorders>
            <w:shd w:val="clear" w:color="auto" w:fill="D5EFF4"/>
          </w:tcPr>
          <w:p>
            <w:pPr>
              <w:spacing w:after="0"/>
              <w:rPr>
                <w:sz w:val="22"/>
                <w:szCs w:val="22"/>
                <w:color w:val="auto"/>
              </w:rPr>
            </w:pPr>
          </w:p>
        </w:tc>
        <w:tc>
          <w:tcPr>
            <w:tcW w:w="10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spacing w:after="0"/>
              <w:rPr>
                <w:sz w:val="22"/>
                <w:szCs w:val="22"/>
                <w:color w:val="auto"/>
              </w:rPr>
            </w:pPr>
          </w:p>
        </w:tc>
        <w:tc>
          <w:tcPr>
            <w:tcW w:w="110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spacing w:after="0"/>
              <w:rPr>
                <w:sz w:val="22"/>
                <w:szCs w:val="22"/>
                <w:color w:val="auto"/>
              </w:rPr>
            </w:pPr>
          </w:p>
        </w:tc>
        <w:tc>
          <w:tcPr>
            <w:tcW w:w="106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r>
      <w:tr>
        <w:trPr>
          <w:trHeight w:val="219"/>
        </w:trPr>
        <w:tc>
          <w:tcPr>
            <w:tcW w:w="5980" w:type="dxa"/>
            <w:vAlign w:val="bottom"/>
            <w:tcBorders>
              <w:bottom w:val="single" w:sz="8" w:color="D5EFF4"/>
            </w:tcBorders>
          </w:tcPr>
          <w:p>
            <w:pPr>
              <w:ind w:left="100"/>
              <w:spacing w:after="0" w:line="219" w:lineRule="exact"/>
              <w:rPr>
                <w:sz w:val="20"/>
                <w:szCs w:val="20"/>
                <w:color w:val="auto"/>
              </w:rPr>
            </w:pPr>
            <w:r>
              <w:rPr>
                <w:rFonts w:ascii="Times New Roman" w:cs="Times New Roman" w:eastAsia="Times New Roman" w:hAnsi="Times New Roman"/>
                <w:sz w:val="20"/>
                <w:szCs w:val="20"/>
                <w:color w:val="auto"/>
              </w:rPr>
              <w:t>Total key items included in EBITDA</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979</w:t>
            </w:r>
          </w:p>
        </w:tc>
        <w:tc>
          <w:tcPr>
            <w:tcW w:w="120" w:type="dxa"/>
            <w:vAlign w:val="bottom"/>
            <w:tcBorders>
              <w:bottom w:val="single" w:sz="8" w:color="D5EFF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287</w:t>
            </w:r>
          </w:p>
        </w:tc>
        <w:tc>
          <w:tcPr>
            <w:tcW w:w="120" w:type="dxa"/>
            <w:vAlign w:val="bottom"/>
            <w:tcBorders>
              <w:bottom w:val="single" w:sz="8" w:color="D5EFF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50</w:t>
            </w:r>
          </w:p>
        </w:tc>
        <w:tc>
          <w:tcPr>
            <w:tcW w:w="80" w:type="dxa"/>
            <w:vAlign w:val="bottom"/>
            <w:tcBorders>
              <w:bottom w:val="single" w:sz="8" w:color="auto"/>
            </w:tcBorders>
          </w:tcPr>
          <w:p>
            <w:pPr>
              <w:spacing w:after="0"/>
              <w:rPr>
                <w:sz w:val="19"/>
                <w:szCs w:val="19"/>
                <w:color w:val="auto"/>
              </w:rPr>
            </w:pPr>
          </w:p>
        </w:tc>
      </w:tr>
      <w:tr>
        <w:trPr>
          <w:trHeight w:val="259"/>
        </w:trPr>
        <w:tc>
          <w:tcPr>
            <w:tcW w:w="5980" w:type="dxa"/>
            <w:vAlign w:val="bottom"/>
            <w:tcBorders>
              <w:bottom w:val="single" w:sz="8" w:color="D5EFF4"/>
            </w:tcBorders>
            <w:shd w:val="clear" w:color="auto" w:fill="D5EFF4"/>
          </w:tcPr>
          <w:p>
            <w:pPr>
              <w:spacing w:after="0" w:line="239" w:lineRule="exact"/>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(b)</w:t>
            </w:r>
          </w:p>
        </w:tc>
        <w:tc>
          <w:tcPr>
            <w:tcW w:w="260" w:type="dxa"/>
            <w:vAlign w:val="bottom"/>
            <w:tcBorders>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401</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459</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80" w:type="dxa"/>
            <w:vAlign w:val="bottom"/>
            <w:tcBorders>
              <w:bottom w:val="single" w:sz="8" w:color="auto"/>
            </w:tcBorders>
            <w:shd w:val="clear" w:color="auto" w:fill="D5EFF4"/>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59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key items included in EBITDA</w:t>
            </w:r>
          </w:p>
        </w:tc>
        <w:tc>
          <w:tcPr>
            <w:tcW w:w="260" w:type="dxa"/>
            <w:vAlign w:val="bottom"/>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979</w:t>
            </w:r>
          </w:p>
        </w:tc>
        <w:tc>
          <w:tcPr>
            <w:tcW w:w="380" w:type="dxa"/>
            <w:vAlign w:val="bottom"/>
            <w:gridSpan w:val="2"/>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287</w:t>
            </w:r>
          </w:p>
        </w:tc>
        <w:tc>
          <w:tcPr>
            <w:tcW w:w="380" w:type="dxa"/>
            <w:vAlign w:val="bottom"/>
            <w:gridSpan w:val="2"/>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shd w:val="clear" w:color="auto" w:fill="D5EFF4"/>
          </w:tcPr>
          <w:p>
            <w:pPr>
              <w:spacing w:after="0"/>
              <w:rPr>
                <w:sz w:val="21"/>
                <w:szCs w:val="21"/>
                <w:color w:val="auto"/>
              </w:rPr>
            </w:pPr>
          </w:p>
        </w:tc>
      </w:tr>
      <w:tr>
        <w:trPr>
          <w:trHeight w:val="244"/>
        </w:trPr>
        <w:tc>
          <w:tcPr>
            <w:tcW w:w="5980" w:type="dxa"/>
            <w:vAlign w:val="bottom"/>
            <w:tcBorders>
              <w:bottom w:val="single" w:sz="8" w:color="D5EFF4"/>
            </w:tcBorders>
          </w:tcPr>
          <w:p>
            <w:pPr>
              <w:spacing w:after="0"/>
              <w:rPr>
                <w:sz w:val="20"/>
                <w:szCs w:val="20"/>
                <w:color w:val="auto"/>
              </w:rPr>
            </w:pPr>
            <w:r>
              <w:rPr>
                <w:rFonts w:ascii="Times New Roman" w:cs="Times New Roman" w:eastAsia="Times New Roman" w:hAnsi="Times New Roman"/>
                <w:sz w:val="20"/>
                <w:szCs w:val="20"/>
                <w:color w:val="auto"/>
              </w:rPr>
              <w:t>Unrealized gains on securities</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20" w:type="dxa"/>
            <w:vAlign w:val="bottom"/>
            <w:tcBorders>
              <w:bottom w:val="single" w:sz="8" w:color="D5EF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20" w:type="dxa"/>
            <w:vAlign w:val="bottom"/>
            <w:tcBorders>
              <w:bottom w:val="single" w:sz="8" w:color="D5EF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(29)</w:t>
            </w:r>
          </w:p>
        </w:tc>
      </w:tr>
      <w:tr>
        <w:trPr>
          <w:trHeight w:val="259"/>
        </w:trPr>
        <w:tc>
          <w:tcPr>
            <w:tcW w:w="598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key items, before tax</w:t>
            </w:r>
          </w:p>
        </w:tc>
        <w:tc>
          <w:tcPr>
            <w:tcW w:w="260" w:type="dxa"/>
            <w:vAlign w:val="bottom"/>
            <w:tcBorders>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959</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227</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Borders>
              <w:bottom w:val="single" w:sz="8" w:color="auto"/>
            </w:tcBorders>
            <w:shd w:val="clear" w:color="auto" w:fill="D5EFF4"/>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8"/>
        </w:trPr>
        <w:tc>
          <w:tcPr>
            <w:tcW w:w="5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-4819650</wp:posOffset>
            </wp:positionV>
            <wp:extent cx="649478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95">
                      <a:extLst>
                        <a:ext uri="{28A0092B-C50C-407E-A947-70E740481C1C}"/>
                      </a:extLst>
                    </a:blip>
                    <a:srcRect/>
                    <a:stretch>
                      <a:fillRect/>
                    </a:stretch>
                  </pic:blipFill>
                  <pic:spPr bwMode="auto">
                    <a:xfrm>
                      <a:off x="0" y="0"/>
                      <a:ext cx="649478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9478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96">
                      <a:extLst>
                        <a:ext uri="{28A0092B-C50C-407E-A947-70E740481C1C}"/>
                      </a:extLst>
                    </a:blip>
                    <a:srcRect/>
                    <a:stretch>
                      <a:fillRect/>
                    </a:stretch>
                  </pic:blipFill>
                  <pic:spPr bwMode="auto">
                    <a:xfrm>
                      <a:off x="0" y="0"/>
                      <a:ext cx="6494780" cy="38100"/>
                    </a:xfrm>
                    <a:prstGeom prst="rect">
                      <a:avLst/>
                    </a:prstGeom>
                    <a:noFill/>
                  </pic:spPr>
                </pic:pic>
              </a:graphicData>
            </a:graphic>
          </wp:anchor>
        </w:drawing>
      </w:r>
    </w:p>
    <w:p>
      <w:pPr>
        <w:spacing w:after="0" w:line="100" w:lineRule="exact"/>
        <w:rPr>
          <w:sz w:val="20"/>
          <w:szCs w:val="20"/>
          <w:color w:val="auto"/>
        </w:rPr>
      </w:pPr>
    </w:p>
    <w:p>
      <w:pPr>
        <w:jc w:val="both"/>
        <w:ind w:left="566" w:hanging="566"/>
        <w:spacing w:after="0" w:line="297" w:lineRule="auto"/>
        <w:tabs>
          <w:tab w:leader="none" w:pos="56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excludes accelerated depreciation of $21 million for Life Sciences for fiscal 2025, $1 million and $2 million for Personal Care for fiscal 2025 and 2024, respectively, and $19 million and $55 million for Specialty Additives for fiscal 2025 and 2024, respectively, which is included as a key item within this table as a component of Adjusted EBITDA. Depreciation and amortization includes $2 million for Personal Care associated with the Avoca business assets for fiscal 2025 and $3 million for Life Sciences associated with the Nutraceuticals business assets for fiscal 2024, which is included as a key item within this table as a component of Adjusted EBITDA.</w:t>
      </w:r>
    </w:p>
    <w:p>
      <w:pPr>
        <w:spacing w:after="0" w:line="5" w:lineRule="exact"/>
        <w:rPr>
          <w:rFonts w:ascii="Times New Roman" w:cs="Times New Roman" w:eastAsia="Times New Roman" w:hAnsi="Times New Roman"/>
          <w:sz w:val="16"/>
          <w:szCs w:val="16"/>
          <w:color w:val="auto"/>
        </w:rPr>
      </w:pPr>
    </w:p>
    <w:p>
      <w:pPr>
        <w:jc w:val="both"/>
        <w:ind w:left="566" w:hanging="566"/>
        <w:spacing w:after="0" w:line="306" w:lineRule="auto"/>
        <w:tabs>
          <w:tab w:leader="none" w:pos="56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 million during 2025, and $12 million each during 2024 and 2023, respectively, of net periodic pension and other postretirement expense recognized ratably through the fiscal year. These expenses are comprised of service cost, interest cost, expected return on plan assets, and amortization of prior service credit and are disclosed in further detail in Note L of the Notes to Consolidated Financial Statements.</w:t>
      </w:r>
    </w:p>
    <w:p>
      <w:pPr>
        <w:sectPr>
          <w:pgSz w:w="12240" w:h="15840" w:orient="portrait"/>
          <w:cols w:equalWidth="0" w:num="1">
            <w:col w:w="10246"/>
          </w:cols>
          <w:pgMar w:left="994" w:top="988"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M-14</w:t>
      </w:r>
    </w:p>
    <w:p>
      <w:pPr>
        <w:sectPr>
          <w:pgSz w:w="12240" w:h="15840" w:orient="portrait"/>
          <w:cols w:equalWidth="0" w:num="1">
            <w:col w:w="10246"/>
          </w:cols>
          <w:pgMar w:left="994" w:top="988" w:right="1000" w:bottom="186"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i w:val="1"/>
          <w:iCs w:val="1"/>
          <w:color w:val="auto"/>
        </w:rPr>
        <w:t>Diluted EPS and Adjusted Diluted EPS</w:t>
      </w:r>
    </w:p>
    <w:p>
      <w:pPr>
        <w:spacing w:after="0" w:line="118"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(loss) and/or operating income (loss) which Ashland believes do not accurately reflect Ashland’s underlying business performance and trends. The Adjusted Diluted EPS for the income (loss) from continuing operations and Adjusted Diluted EPS from Continuing Operations Excluding Intangibles Amortization Expense in the following table have been prepared to illustrate these ongoing effects on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82"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In addition to the operating key items previously described, additional non-operating key items for the applicable periods are summarized as follows:</w:t>
      </w:r>
    </w:p>
    <w:p>
      <w:pPr>
        <w:spacing w:after="0" w:line="49" w:lineRule="exact"/>
        <w:rPr>
          <w:sz w:val="20"/>
          <w:szCs w:val="20"/>
          <w:color w:val="auto"/>
        </w:rPr>
      </w:pPr>
    </w:p>
    <w:p>
      <w:pPr>
        <w:jc w:val="both"/>
        <w:ind w:left="720" w:hanging="366"/>
        <w:spacing w:after="0" w:line="306"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Unrealized gains on securities – represents gains recognized on restricted investments related to the Asbestos trust and Environmental trust for each period. See Note E of the Notes to Consolidated Financial Statements for more information;</w:t>
      </w:r>
    </w:p>
    <w:p>
      <w:pPr>
        <w:spacing w:after="0" w:line="68"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tax positions – represents the impact from the settlement of uncertain tax positions with various tax authorities for fiscal 2025, 2024 and 2023;</w:t>
      </w:r>
    </w:p>
    <w:p>
      <w:pPr>
        <w:spacing w:after="0" w:line="49"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Valuation allowance – represents the impact from the release of certain foreign tax credit valuation allowances;</w:t>
      </w:r>
    </w:p>
    <w:p>
      <w:pPr>
        <w:spacing w:after="0" w:line="166"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and separation activity – represents the tax impact of the held for sale classification for the Nutraceuticals business; and</w:t>
      </w:r>
    </w:p>
    <w:p>
      <w:pPr>
        <w:spacing w:after="0" w:line="49"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and tax reform related activity – represents tax specific key items associated with foreign tax related activity for fiscal 2025 and 2024.</w:t>
      </w:r>
    </w:p>
    <w:p>
      <w:pPr>
        <w:sectPr>
          <w:pgSz w:w="12240" w:h="15840" w:orient="portrait"/>
          <w:cols w:equalWidth="0" w:num="1">
            <w:col w:w="10240"/>
          </w:cols>
          <w:pgMar w:left="1000" w:top="990"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M-15</w:t>
      </w:r>
    </w:p>
    <w:p>
      <w:pPr>
        <w:sectPr>
          <w:pgSz w:w="12240" w:h="15840" w:orient="portrait"/>
          <w:cols w:equalWidth="0" w:num="1">
            <w:col w:w="10240"/>
          </w:cols>
          <w:pgMar w:left="1000" w:top="990" w:right="1000" w:bottom="186" w:gutter="0" w:footer="0" w:header="0"/>
          <w:type w:val="continuous"/>
        </w:sectPr>
      </w:pPr>
    </w:p>
    <w:bookmarkStart w:id="73" w:name="page74"/>
    <w:bookmarkEnd w:id="73"/>
    <w:tbl>
      <w:tblPr>
        <w:tblLayout w:type="fixed"/>
        <w:tblInd w:w="6" w:type="dxa"/>
        <w:tblCellMar>
          <w:top w:w="0" w:type="dxa"/>
          <w:left w:w="0" w:type="dxa"/>
          <w:bottom w:w="0" w:type="dxa"/>
          <w:right w:w="0" w:type="dxa"/>
        </w:tblCellMar>
      </w:tblPr>
      <w:tr>
        <w:trPr>
          <w:trHeight w:val="249"/>
        </w:trPr>
        <w:tc>
          <w:tcPr>
            <w:tcW w:w="5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1"/>
                <w:szCs w:val="21"/>
                <w:color w:val="auto"/>
              </w:rPr>
            </w:pPr>
          </w:p>
        </w:tc>
      </w:tr>
      <w:tr>
        <w:trPr>
          <w:trHeight w:val="239"/>
        </w:trPr>
        <w:tc>
          <w:tcPr>
            <w:tcW w:w="59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Diluted EPS from continuing operations (as reported)</w:t>
            </w:r>
          </w:p>
        </w:tc>
        <w:tc>
          <w:tcPr>
            <w:tcW w:w="260" w:type="dxa"/>
            <w:vAlign w:val="bottom"/>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(17.74)</w:t>
            </w:r>
          </w:p>
        </w:tc>
        <w:tc>
          <w:tcPr>
            <w:tcW w:w="380" w:type="dxa"/>
            <w:vAlign w:val="bottom"/>
            <w:gridSpan w:val="2"/>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3.95</w:t>
            </w:r>
          </w:p>
        </w:tc>
        <w:tc>
          <w:tcPr>
            <w:tcW w:w="380" w:type="dxa"/>
            <w:vAlign w:val="bottom"/>
            <w:gridSpan w:val="2"/>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80" w:type="dxa"/>
            <w:vAlign w:val="bottom"/>
            <w:shd w:val="clear" w:color="auto" w:fill="D5EFF4"/>
          </w:tcPr>
          <w:p>
            <w:pPr>
              <w:spacing w:after="0"/>
              <w:rPr>
                <w:sz w:val="20"/>
                <w:szCs w:val="20"/>
                <w:color w:val="auto"/>
              </w:rPr>
            </w:pPr>
          </w:p>
        </w:tc>
      </w:tr>
      <w:tr>
        <w:trPr>
          <w:trHeight w:val="244"/>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Key items, before tax:</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Goodwill impairment</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15.22</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Avoca business impairment and sale</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Accelerated depreciation</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0.89</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1.14</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Environmental reserve adjustments</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0.76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0.90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80" w:type="dxa"/>
            <w:vAlign w:val="bottom"/>
          </w:tcPr>
          <w:p>
            <w:pPr>
              <w:spacing w:after="0"/>
              <w:rPr>
                <w:sz w:val="21"/>
                <w:szCs w:val="21"/>
                <w:color w:val="auto"/>
              </w:rPr>
            </w:pP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Restructuring, separation and other costs</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0.48</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0.60</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9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0.19</w:t>
            </w:r>
          </w:p>
        </w:tc>
        <w:tc>
          <w:tcPr>
            <w:tcW w:w="80" w:type="dxa"/>
            <w:vAlign w:val="bottom"/>
            <w:shd w:val="clear" w:color="auto" w:fill="D5EFF4"/>
          </w:tcPr>
          <w:p>
            <w:pPr>
              <w:spacing w:after="0"/>
              <w:rPr>
                <w:sz w:val="21"/>
                <w:szCs w:val="21"/>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plant optimization costs</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0.48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0.20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Nutraceuticals business impairment and sale</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0.02</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2.14</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 impairments</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80" w:type="dxa"/>
            <w:vAlign w:val="bottom"/>
          </w:tcPr>
          <w:p>
            <w:pPr>
              <w:spacing w:after="0"/>
              <w:rPr>
                <w:sz w:val="21"/>
                <w:szCs w:val="21"/>
                <w:color w:val="auto"/>
              </w:rPr>
            </w:pP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Nutraceuticals VAT reserve</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0.14</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Argentina currency devaluation impact</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0.10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Legal settlement</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0.08</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ICMS Brazil tax credit</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(0.22)</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Loss (gain) on pension and other postretirement plan remeasurements</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0.29</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(0.04)</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Held for sale depreciation and amortization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Tax credit</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Income on divestitures,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(0.11)</w:t>
            </w:r>
          </w:p>
        </w:tc>
      </w:tr>
      <w:tr>
        <w:trPr>
          <w:trHeight w:val="264"/>
        </w:trPr>
        <w:tc>
          <w:tcPr>
            <w:tcW w:w="5980" w:type="dxa"/>
            <w:vAlign w:val="bottom"/>
            <w:tcBorders>
              <w:bottom w:val="single" w:sz="8" w:color="D5EFF4"/>
            </w:tcBorders>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Unrealized gains on securities</w:t>
            </w:r>
          </w:p>
        </w:tc>
        <w:tc>
          <w:tcPr>
            <w:tcW w:w="260" w:type="dxa"/>
            <w:vAlign w:val="bottom"/>
            <w:tcBorders>
              <w:bottom w:val="single" w:sz="8" w:color="auto"/>
            </w:tcBorders>
            <w:shd w:val="clear" w:color="auto" w:fill="D5EFF4"/>
          </w:tcPr>
          <w:p>
            <w:pPr>
              <w:spacing w:after="0"/>
              <w:rPr>
                <w:sz w:val="22"/>
                <w:szCs w:val="22"/>
                <w:color w:val="auto"/>
              </w:rPr>
            </w:pPr>
          </w:p>
        </w:tc>
        <w:tc>
          <w:tcPr>
            <w:tcW w:w="10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spacing w:after="0"/>
              <w:rPr>
                <w:sz w:val="22"/>
                <w:szCs w:val="22"/>
                <w:color w:val="auto"/>
              </w:rPr>
            </w:pPr>
          </w:p>
        </w:tc>
        <w:tc>
          <w:tcPr>
            <w:tcW w:w="11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spacing w:after="0"/>
              <w:rPr>
                <w:sz w:val="22"/>
                <w:szCs w:val="22"/>
                <w:color w:val="auto"/>
              </w:rPr>
            </w:pPr>
          </w:p>
        </w:tc>
        <w:tc>
          <w:tcPr>
            <w:tcW w:w="106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(0.54)</w:t>
            </w:r>
          </w:p>
        </w:tc>
      </w:tr>
      <w:tr>
        <w:trPr>
          <w:trHeight w:val="219"/>
        </w:trPr>
        <w:tc>
          <w:tcPr>
            <w:tcW w:w="59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Key items, before tax</w:t>
            </w:r>
          </w:p>
        </w:tc>
        <w:tc>
          <w:tcPr>
            <w:tcW w:w="260" w:type="dxa"/>
            <w:vAlign w:val="bottom"/>
          </w:tcPr>
          <w:p>
            <w:pPr>
              <w:spacing w:after="0"/>
              <w:rPr>
                <w:sz w:val="19"/>
                <w:szCs w:val="19"/>
                <w:color w:val="auto"/>
              </w:rPr>
            </w:pPr>
          </w:p>
        </w:tc>
        <w:tc>
          <w:tcPr>
            <w:tcW w:w="108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20.70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4.55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0.40</w:t>
            </w:r>
          </w:p>
        </w:tc>
        <w:tc>
          <w:tcPr>
            <w:tcW w:w="80" w:type="dxa"/>
            <w:vAlign w:val="bottom"/>
          </w:tcPr>
          <w:p>
            <w:pPr>
              <w:spacing w:after="0"/>
              <w:rPr>
                <w:sz w:val="19"/>
                <w:szCs w:val="19"/>
                <w:color w:val="auto"/>
              </w:rPr>
            </w:pPr>
          </w:p>
        </w:tc>
      </w:tr>
      <w:tr>
        <w:trPr>
          <w:trHeight w:val="264"/>
        </w:trPr>
        <w:tc>
          <w:tcPr>
            <w:tcW w:w="5980" w:type="dxa"/>
            <w:vAlign w:val="bottom"/>
            <w:tcBorders>
              <w:bottom w:val="single" w:sz="8" w:color="D5EFF4"/>
            </w:tcBorders>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Tax effect of key items</w:t>
            </w:r>
            <w:r>
              <w:rPr>
                <w:rFonts w:ascii="Times New Roman" w:cs="Times New Roman" w:eastAsia="Times New Roman" w:hAnsi="Times New Roman"/>
                <w:sz w:val="25"/>
                <w:szCs w:val="25"/>
                <w:color w:val="auto"/>
                <w:vertAlign w:val="superscript"/>
              </w:rPr>
              <w:t>(a)</w:t>
            </w:r>
          </w:p>
        </w:tc>
        <w:tc>
          <w:tcPr>
            <w:tcW w:w="260" w:type="dxa"/>
            <w:vAlign w:val="bottom"/>
            <w:tcBorders>
              <w:bottom w:val="single" w:sz="8" w:color="auto"/>
            </w:tcBorders>
            <w:shd w:val="clear" w:color="auto" w:fill="D5EFF4"/>
          </w:tcPr>
          <w:p>
            <w:pPr>
              <w:spacing w:after="0"/>
              <w:rPr>
                <w:sz w:val="22"/>
                <w:szCs w:val="22"/>
                <w:color w:val="auto"/>
              </w:rPr>
            </w:pPr>
          </w:p>
        </w:tc>
        <w:tc>
          <w:tcPr>
            <w:tcW w:w="10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spacing w:after="0"/>
              <w:rPr>
                <w:sz w:val="22"/>
                <w:szCs w:val="22"/>
                <w:color w:val="auto"/>
              </w:rPr>
            </w:pPr>
          </w:p>
        </w:tc>
        <w:tc>
          <w:tcPr>
            <w:tcW w:w="11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(0.62)</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spacing w:after="0"/>
              <w:rPr>
                <w:sz w:val="22"/>
                <w:szCs w:val="22"/>
                <w:color w:val="auto"/>
              </w:rPr>
            </w:pPr>
          </w:p>
        </w:tc>
        <w:tc>
          <w:tcPr>
            <w:tcW w:w="106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(0.02)</w:t>
            </w:r>
          </w:p>
        </w:tc>
      </w:tr>
      <w:tr>
        <w:trPr>
          <w:trHeight w:val="219"/>
        </w:trPr>
        <w:tc>
          <w:tcPr>
            <w:tcW w:w="59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Key items, after tax</w:t>
            </w:r>
          </w:p>
        </w:tc>
        <w:tc>
          <w:tcPr>
            <w:tcW w:w="260" w:type="dxa"/>
            <w:vAlign w:val="bottom"/>
          </w:tcPr>
          <w:p>
            <w:pPr>
              <w:spacing w:after="0"/>
              <w:rPr>
                <w:sz w:val="19"/>
                <w:szCs w:val="19"/>
                <w:color w:val="auto"/>
              </w:rPr>
            </w:pPr>
          </w:p>
        </w:tc>
        <w:tc>
          <w:tcPr>
            <w:tcW w:w="108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19.33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3.93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0.38</w:t>
            </w:r>
          </w:p>
        </w:tc>
        <w:tc>
          <w:tcPr>
            <w:tcW w:w="80" w:type="dxa"/>
            <w:vAlign w:val="bottom"/>
          </w:tcPr>
          <w:p>
            <w:pPr>
              <w:spacing w:after="0"/>
              <w:rPr>
                <w:sz w:val="19"/>
                <w:szCs w:val="19"/>
                <w:color w:val="auto"/>
              </w:rPr>
            </w:pPr>
          </w:p>
        </w:tc>
      </w:tr>
      <w:tr>
        <w:trPr>
          <w:trHeight w:val="244"/>
        </w:trPr>
        <w:tc>
          <w:tcPr>
            <w:tcW w:w="59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Tax specific key items:</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980" w:type="dxa"/>
            <w:vAlign w:val="bottom"/>
            <w:shd w:val="clear" w:color="auto" w:fill="D5EFF4"/>
          </w:tcPr>
          <w:p>
            <w:pPr>
              <w:spacing w:after="0"/>
              <w:rPr>
                <w:sz w:val="21"/>
                <w:szCs w:val="21"/>
                <w:color w:val="auto"/>
              </w:rPr>
            </w:pPr>
          </w:p>
        </w:tc>
        <w:tc>
          <w:tcPr>
            <w:tcW w:w="80" w:type="dxa"/>
            <w:vAlign w:val="bottom"/>
            <w:shd w:val="clear" w:color="auto" w:fill="D5EFF4"/>
          </w:tcPr>
          <w:p>
            <w:pPr>
              <w:spacing w:after="0"/>
              <w:rPr>
                <w:sz w:val="21"/>
                <w:szCs w:val="21"/>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Uncertain tax positions</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(0.60)</w:t>
            </w:r>
          </w:p>
        </w:tc>
      </w:tr>
      <w:tr>
        <w:trPr>
          <w:trHeight w:val="244"/>
        </w:trPr>
        <w:tc>
          <w:tcPr>
            <w:tcW w:w="59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Valuation allowance</w:t>
            </w:r>
          </w:p>
        </w:tc>
        <w:tc>
          <w:tcPr>
            <w:tcW w:w="26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0.21</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0.10</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(0.12)</w:t>
            </w: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Restructuring and separation activity</w:t>
            </w:r>
          </w:p>
        </w:tc>
        <w:tc>
          <w:tcPr>
            <w:tcW w:w="26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980" w:type="dxa"/>
            <w:vAlign w:val="bottom"/>
            <w:tcBorders>
              <w:bottom w:val="single" w:sz="8" w:color="D5EFF4"/>
            </w:tcBorders>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Other tax reform related activity</w:t>
            </w:r>
          </w:p>
        </w:tc>
        <w:tc>
          <w:tcPr>
            <w:tcW w:w="260" w:type="dxa"/>
            <w:vAlign w:val="bottom"/>
            <w:tcBorders>
              <w:bottom w:val="single" w:sz="8" w:color="auto"/>
            </w:tcBorders>
            <w:shd w:val="clear" w:color="auto" w:fill="D5EFF4"/>
          </w:tcPr>
          <w:p>
            <w:pPr>
              <w:spacing w:after="0"/>
              <w:rPr>
                <w:sz w:val="22"/>
                <w:szCs w:val="22"/>
                <w:color w:val="auto"/>
              </w:rPr>
            </w:pPr>
          </w:p>
        </w:tc>
        <w:tc>
          <w:tcPr>
            <w:tcW w:w="10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0.48</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spacing w:after="0"/>
              <w:rPr>
                <w:sz w:val="22"/>
                <w:szCs w:val="22"/>
                <w:color w:val="auto"/>
              </w:rPr>
            </w:pPr>
          </w:p>
        </w:tc>
        <w:tc>
          <w:tcPr>
            <w:tcW w:w="11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spacing w:after="0"/>
              <w:rPr>
                <w:sz w:val="22"/>
                <w:szCs w:val="22"/>
                <w:color w:val="auto"/>
              </w:rPr>
            </w:pPr>
          </w:p>
        </w:tc>
        <w:tc>
          <w:tcPr>
            <w:tcW w:w="106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(0.11)</w:t>
            </w:r>
          </w:p>
        </w:tc>
      </w:tr>
      <w:tr>
        <w:trPr>
          <w:trHeight w:val="219"/>
        </w:trPr>
        <w:tc>
          <w:tcPr>
            <w:tcW w:w="5980" w:type="dxa"/>
            <w:vAlign w:val="bottom"/>
            <w:tcBorders>
              <w:bottom w:val="single" w:sz="8" w:color="D5EFF4"/>
            </w:tcBorders>
          </w:tcPr>
          <w:p>
            <w:pPr>
              <w:spacing w:after="0" w:line="219" w:lineRule="exact"/>
              <w:rPr>
                <w:sz w:val="20"/>
                <w:szCs w:val="20"/>
                <w:color w:val="auto"/>
              </w:rPr>
            </w:pPr>
            <w:r>
              <w:rPr>
                <w:rFonts w:ascii="Times New Roman" w:cs="Times New Roman" w:eastAsia="Times New Roman" w:hAnsi="Times New Roman"/>
                <w:sz w:val="20"/>
                <w:szCs w:val="20"/>
                <w:color w:val="auto"/>
              </w:rPr>
              <w:t>Tax specific key items</w:t>
            </w:r>
            <w:r>
              <w:rPr>
                <w:rFonts w:ascii="Times New Roman" w:cs="Times New Roman" w:eastAsia="Times New Roman" w:hAnsi="Times New Roman"/>
                <w:sz w:val="25"/>
                <w:szCs w:val="25"/>
                <w:color w:val="auto"/>
                <w:vertAlign w:val="superscript"/>
              </w:rPr>
              <w:t>(b)</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0.69</w:t>
            </w:r>
          </w:p>
        </w:tc>
        <w:tc>
          <w:tcPr>
            <w:tcW w:w="120" w:type="dxa"/>
            <w:vAlign w:val="bottom"/>
            <w:tcBorders>
              <w:bottom w:val="single" w:sz="8" w:color="D5EFF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(4.68)</w:t>
            </w:r>
          </w:p>
        </w:tc>
        <w:tc>
          <w:tcPr>
            <w:tcW w:w="120" w:type="dxa"/>
            <w:vAlign w:val="bottom"/>
            <w:tcBorders>
              <w:bottom w:val="single" w:sz="8" w:color="D5EFF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(0.83)</w:t>
            </w:r>
          </w:p>
        </w:tc>
      </w:tr>
      <w:tr>
        <w:trPr>
          <w:trHeight w:val="259"/>
        </w:trPr>
        <w:tc>
          <w:tcPr>
            <w:tcW w:w="598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key items</w:t>
            </w:r>
          </w:p>
        </w:tc>
        <w:tc>
          <w:tcPr>
            <w:tcW w:w="260" w:type="dxa"/>
            <w:vAlign w:val="bottom"/>
            <w:tcBorders>
              <w:bottom w:val="single" w:sz="8" w:color="auto"/>
            </w:tcBorders>
            <w:shd w:val="clear" w:color="auto" w:fill="D5EFF4"/>
          </w:tcPr>
          <w:p>
            <w:pPr>
              <w:spacing w:after="0"/>
              <w:rPr>
                <w:sz w:val="22"/>
                <w:szCs w:val="22"/>
                <w:color w:val="auto"/>
              </w:rPr>
            </w:pPr>
          </w:p>
        </w:tc>
        <w:tc>
          <w:tcPr>
            <w:tcW w:w="10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20.02</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spacing w:after="0"/>
              <w:rPr>
                <w:sz w:val="22"/>
                <w:szCs w:val="22"/>
                <w:color w:val="auto"/>
              </w:rPr>
            </w:pPr>
          </w:p>
        </w:tc>
        <w:tc>
          <w:tcPr>
            <w:tcW w:w="11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(0.75)</w:t>
            </w:r>
          </w:p>
        </w:tc>
        <w:tc>
          <w:tcPr>
            <w:tcW w:w="120" w:type="dxa"/>
            <w:vAlign w:val="bottom"/>
            <w:tcBorders>
              <w:bottom w:val="single" w:sz="8" w:color="D5EFF4"/>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spacing w:after="0"/>
              <w:rPr>
                <w:sz w:val="22"/>
                <w:szCs w:val="22"/>
                <w:color w:val="auto"/>
              </w:rPr>
            </w:pPr>
          </w:p>
        </w:tc>
        <w:tc>
          <w:tcPr>
            <w:tcW w:w="106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(0.45)</w:t>
            </w:r>
          </w:p>
        </w:tc>
      </w:tr>
      <w:tr>
        <w:trPr>
          <w:trHeight w:val="259"/>
        </w:trPr>
        <w:tc>
          <w:tcPr>
            <w:tcW w:w="5980" w:type="dxa"/>
            <w:vAlign w:val="bottom"/>
            <w:tcBorders>
              <w:bottom w:val="single" w:sz="8" w:color="D5EFF4"/>
            </w:tcBorders>
          </w:tcPr>
          <w:p>
            <w:pPr>
              <w:spacing w:after="0" w:line="219" w:lineRule="exact"/>
              <w:rPr>
                <w:sz w:val="20"/>
                <w:szCs w:val="20"/>
                <w:color w:val="auto"/>
              </w:rPr>
            </w:pPr>
            <w:r>
              <w:rPr>
                <w:rFonts w:ascii="Times New Roman" w:cs="Times New Roman" w:eastAsia="Times New Roman" w:hAnsi="Times New Roman"/>
                <w:sz w:val="20"/>
                <w:szCs w:val="20"/>
                <w:color w:val="auto"/>
              </w:rPr>
              <w:t>Adjusted Diluted EPS from Continuing Operations (non-GAAP)</w:t>
            </w:r>
          </w:p>
        </w:tc>
        <w:tc>
          <w:tcPr>
            <w:tcW w:w="260" w:type="dxa"/>
            <w:vAlign w:val="bottom"/>
            <w:tcBorders>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2.28</w:t>
            </w:r>
          </w:p>
        </w:tc>
        <w:tc>
          <w:tcPr>
            <w:tcW w:w="120" w:type="dxa"/>
            <w:vAlign w:val="bottom"/>
            <w:tcBorders>
              <w:bottom w:val="single" w:sz="8" w:color="D5EFF4"/>
            </w:tcBorders>
          </w:tcPr>
          <w:p>
            <w:pPr>
              <w:spacing w:after="0"/>
              <w:rPr>
                <w:sz w:val="22"/>
                <w:szCs w:val="22"/>
                <w:color w:val="auto"/>
              </w:rPr>
            </w:pPr>
          </w:p>
        </w:tc>
        <w:tc>
          <w:tcPr>
            <w:tcW w:w="260" w:type="dxa"/>
            <w:vAlign w:val="bottom"/>
            <w:tcBorders>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3.20</w:t>
            </w:r>
          </w:p>
        </w:tc>
        <w:tc>
          <w:tcPr>
            <w:tcW w:w="120" w:type="dxa"/>
            <w:vAlign w:val="bottom"/>
            <w:tcBorders>
              <w:bottom w:val="single" w:sz="8" w:color="D5EFF4"/>
            </w:tcBorders>
          </w:tcPr>
          <w:p>
            <w:pPr>
              <w:spacing w:after="0"/>
              <w:rPr>
                <w:sz w:val="22"/>
                <w:szCs w:val="22"/>
                <w:color w:val="auto"/>
              </w:rPr>
            </w:pPr>
          </w:p>
        </w:tc>
        <w:tc>
          <w:tcPr>
            <w:tcW w:w="260" w:type="dxa"/>
            <w:vAlign w:val="bottom"/>
            <w:tcBorders>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2.68</w:t>
            </w:r>
          </w:p>
        </w:tc>
        <w:tc>
          <w:tcPr>
            <w:tcW w:w="80" w:type="dxa"/>
            <w:vAlign w:val="bottom"/>
            <w:tcBorders>
              <w:bottom w:val="single" w:sz="8" w:color="auto"/>
            </w:tcBorders>
          </w:tcPr>
          <w:p>
            <w:pPr>
              <w:spacing w:after="0"/>
              <w:rPr>
                <w:sz w:val="22"/>
                <w:szCs w:val="22"/>
                <w:color w:val="auto"/>
              </w:rPr>
            </w:pPr>
          </w:p>
        </w:tc>
      </w:tr>
      <w:tr>
        <w:trPr>
          <w:trHeight w:val="249"/>
        </w:trPr>
        <w:tc>
          <w:tcPr>
            <w:tcW w:w="5980" w:type="dxa"/>
            <w:vAlign w:val="bottom"/>
            <w:tcBorders>
              <w:bottom w:val="single" w:sz="8" w:color="D5EFF4"/>
            </w:tcBorders>
            <w:shd w:val="clear" w:color="auto" w:fill="D5EFF4"/>
          </w:tcPr>
          <w:p>
            <w:pPr>
              <w:spacing w:after="0" w:line="229" w:lineRule="exact"/>
              <w:rPr>
                <w:sz w:val="20"/>
                <w:szCs w:val="20"/>
                <w:color w:val="auto"/>
              </w:rPr>
            </w:pPr>
            <w:r>
              <w:rPr>
                <w:rFonts w:ascii="Times New Roman" w:cs="Times New Roman" w:eastAsia="Times New Roman" w:hAnsi="Times New Roman"/>
                <w:sz w:val="20"/>
                <w:szCs w:val="20"/>
                <w:color w:val="auto"/>
              </w:rPr>
              <w:t>Amortization expense adjustment (net of tax)</w:t>
            </w:r>
            <w:r>
              <w:rPr>
                <w:rFonts w:ascii="Times New Roman" w:cs="Times New Roman" w:eastAsia="Times New Roman" w:hAnsi="Times New Roman"/>
                <w:sz w:val="25"/>
                <w:szCs w:val="25"/>
                <w:color w:val="auto"/>
                <w:vertAlign w:val="superscript"/>
              </w:rPr>
              <w:t>(c)</w:t>
            </w:r>
          </w:p>
        </w:tc>
        <w:tc>
          <w:tcPr>
            <w:tcW w:w="260" w:type="dxa"/>
            <w:vAlign w:val="bottom"/>
            <w:tcBorders>
              <w:bottom w:val="single" w:sz="8" w:color="auto"/>
            </w:tcBorders>
            <w:shd w:val="clear" w:color="auto" w:fill="D5EFF4"/>
          </w:tcPr>
          <w:p>
            <w:pPr>
              <w:spacing w:after="0"/>
              <w:rPr>
                <w:sz w:val="21"/>
                <w:szCs w:val="21"/>
                <w:color w:val="auto"/>
              </w:rPr>
            </w:pPr>
          </w:p>
        </w:tc>
        <w:tc>
          <w:tcPr>
            <w:tcW w:w="10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1.10</w:t>
            </w:r>
          </w:p>
        </w:tc>
        <w:tc>
          <w:tcPr>
            <w:tcW w:w="120" w:type="dxa"/>
            <w:vAlign w:val="bottom"/>
            <w:tcBorders>
              <w:bottom w:val="single" w:sz="8" w:color="D5EFF4"/>
            </w:tcBorders>
            <w:shd w:val="clear" w:color="auto" w:fill="D5EFF4"/>
          </w:tcPr>
          <w:p>
            <w:pPr>
              <w:spacing w:after="0"/>
              <w:rPr>
                <w:sz w:val="21"/>
                <w:szCs w:val="21"/>
                <w:color w:val="auto"/>
              </w:rPr>
            </w:pPr>
          </w:p>
        </w:tc>
        <w:tc>
          <w:tcPr>
            <w:tcW w:w="260" w:type="dxa"/>
            <w:vAlign w:val="bottom"/>
            <w:tcBorders>
              <w:bottom w:val="single" w:sz="8" w:color="auto"/>
            </w:tcBorders>
            <w:shd w:val="clear" w:color="auto" w:fill="D5EFF4"/>
          </w:tcPr>
          <w:p>
            <w:pPr>
              <w:spacing w:after="0"/>
              <w:rPr>
                <w:sz w:val="21"/>
                <w:szCs w:val="21"/>
                <w:color w:val="auto"/>
              </w:rPr>
            </w:pPr>
          </w:p>
        </w:tc>
        <w:tc>
          <w:tcPr>
            <w:tcW w:w="110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1.25</w:t>
            </w:r>
          </w:p>
        </w:tc>
        <w:tc>
          <w:tcPr>
            <w:tcW w:w="120" w:type="dxa"/>
            <w:vAlign w:val="bottom"/>
            <w:tcBorders>
              <w:bottom w:val="single" w:sz="8" w:color="D5EFF4"/>
            </w:tcBorders>
            <w:shd w:val="clear" w:color="auto" w:fill="D5EFF4"/>
          </w:tcPr>
          <w:p>
            <w:pPr>
              <w:spacing w:after="0"/>
              <w:rPr>
                <w:sz w:val="21"/>
                <w:szCs w:val="21"/>
                <w:color w:val="auto"/>
              </w:rPr>
            </w:pPr>
          </w:p>
        </w:tc>
        <w:tc>
          <w:tcPr>
            <w:tcW w:w="260" w:type="dxa"/>
            <w:vAlign w:val="bottom"/>
            <w:tcBorders>
              <w:bottom w:val="single" w:sz="8" w:color="auto"/>
            </w:tcBorders>
            <w:shd w:val="clear" w:color="auto" w:fill="D5EFF4"/>
          </w:tcPr>
          <w:p>
            <w:pPr>
              <w:spacing w:after="0"/>
              <w:rPr>
                <w:sz w:val="21"/>
                <w:szCs w:val="21"/>
                <w:color w:val="auto"/>
              </w:rPr>
            </w:pPr>
          </w:p>
        </w:tc>
        <w:tc>
          <w:tcPr>
            <w:tcW w:w="9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80" w:type="dxa"/>
            <w:vAlign w:val="bottom"/>
            <w:tcBorders>
              <w:bottom w:val="single" w:sz="8" w:color="auto"/>
            </w:tcBorders>
            <w:shd w:val="clear" w:color="auto" w:fill="D5EFF4"/>
          </w:tcPr>
          <w:p>
            <w:pPr>
              <w:spacing w:after="0"/>
              <w:rPr>
                <w:sz w:val="21"/>
                <w:szCs w:val="21"/>
                <w:color w:val="auto"/>
              </w:rPr>
            </w:pPr>
          </w:p>
        </w:tc>
      </w:tr>
      <w:tr>
        <w:trPr>
          <w:trHeight w:val="200"/>
        </w:trPr>
        <w:tc>
          <w:tcPr>
            <w:tcW w:w="59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Adjusted Diluted EPS from Continuing Operations (non-GAAP)</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Excluding Intangibles Amortization Expense</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3.38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4.45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8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5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626110</wp:posOffset>
            </wp:positionV>
            <wp:extent cx="652970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97">
                      <a:extLst>
                        <a:ext uri="{28A0092B-C50C-407E-A947-70E740481C1C}"/>
                      </a:extLst>
                    </a:blip>
                    <a:srcRect/>
                    <a:stretch>
                      <a:fillRect/>
                    </a:stretch>
                  </pic:blipFill>
                  <pic:spPr bwMode="auto">
                    <a:xfrm>
                      <a:off x="0" y="0"/>
                      <a:ext cx="652970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-5306695</wp:posOffset>
            </wp:positionV>
            <wp:extent cx="6494780"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98">
                      <a:extLst>
                        <a:ext uri="{28A0092B-C50C-407E-A947-70E740481C1C}"/>
                      </a:extLst>
                    </a:blip>
                    <a:srcRect/>
                    <a:stretch>
                      <a:fillRect/>
                    </a:stretch>
                  </pic:blipFill>
                  <pic:spPr bwMode="auto">
                    <a:xfrm>
                      <a:off x="0" y="0"/>
                      <a:ext cx="649478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9478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99">
                      <a:extLst>
                        <a:ext uri="{28A0092B-C50C-407E-A947-70E740481C1C}"/>
                      </a:extLst>
                    </a:blip>
                    <a:srcRect/>
                    <a:stretch>
                      <a:fillRect/>
                    </a:stretch>
                  </pic:blipFill>
                  <pic:spPr bwMode="auto">
                    <a:xfrm>
                      <a:off x="0" y="0"/>
                      <a:ext cx="6494780" cy="38100"/>
                    </a:xfrm>
                    <a:prstGeom prst="rect">
                      <a:avLst/>
                    </a:prstGeom>
                    <a:noFill/>
                  </pic:spPr>
                </pic:pic>
              </a:graphicData>
            </a:graphic>
          </wp:anchor>
        </w:drawing>
      </w:r>
    </w:p>
    <w:p>
      <w:pPr>
        <w:spacing w:after="0" w:line="5" w:lineRule="exact"/>
        <w:rPr>
          <w:sz w:val="20"/>
          <w:szCs w:val="20"/>
          <w:color w:val="auto"/>
        </w:rPr>
      </w:pPr>
    </w:p>
    <w:p>
      <w:pPr>
        <w:ind w:left="566" w:hanging="566"/>
        <w:spacing w:after="0"/>
        <w:tabs>
          <w:tab w:leader="none" w:pos="56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diluted EPS impact from the tax effect of the key items that are previously identified above.</w:t>
      </w:r>
    </w:p>
    <w:p>
      <w:pPr>
        <w:spacing w:after="0" w:line="76" w:lineRule="exact"/>
        <w:rPr>
          <w:rFonts w:ascii="Times New Roman" w:cs="Times New Roman" w:eastAsia="Times New Roman" w:hAnsi="Times New Roman"/>
          <w:sz w:val="16"/>
          <w:szCs w:val="16"/>
          <w:color w:val="auto"/>
        </w:rPr>
      </w:pPr>
    </w:p>
    <w:p>
      <w:pPr>
        <w:jc w:val="both"/>
        <w:ind w:left="566" w:hanging="566"/>
        <w:spacing w:after="0" w:line="305" w:lineRule="auto"/>
        <w:tabs>
          <w:tab w:leader="none" w:pos="56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following caption review section.</w:t>
      </w:r>
    </w:p>
    <w:p>
      <w:pPr>
        <w:ind w:left="566" w:hanging="566"/>
        <w:spacing w:after="0"/>
        <w:tabs>
          <w:tab w:leader="none" w:pos="56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expense adjustment (net of tax) tax rates were 20% for each of the fiscal years 2025, 2024 and 2023.</w:t>
      </w:r>
    </w:p>
    <w:p>
      <w:pPr>
        <w:sectPr>
          <w:pgSz w:w="12240" w:h="15840" w:orient="portrait"/>
          <w:cols w:equalWidth="0" w:num="1">
            <w:col w:w="10246"/>
          </w:cols>
          <w:pgMar w:left="994" w:top="1017"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M-16</w:t>
      </w:r>
    </w:p>
    <w:p>
      <w:pPr>
        <w:sectPr>
          <w:pgSz w:w="12240" w:h="15840" w:orient="portrait"/>
          <w:cols w:equalWidth="0" w:num="1">
            <w:col w:w="10246"/>
          </w:cols>
          <w:pgMar w:left="994" w:top="1017" w:right="1000" w:bottom="186"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RESULTS OF OPERATIONS – REPORTABLE SEGMENT REVIEW</w:t>
      </w:r>
    </w:p>
    <w:p>
      <w:pPr>
        <w:spacing w:after="0" w:line="17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Ashland's reportable segments include Life Sciences, Personal Care, Specialty Additives, and Intermediates. Unallocated and Other includes corporate governance activities and certain legacy matters.</w:t>
      </w:r>
    </w:p>
    <w:p>
      <w:pPr>
        <w:spacing w:after="0" w:line="49"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Consolidated Comprehensive Income (Loss). Ashland refines its expense allocation methodologies to the reportable segments from time to time as more refined information becomes available and the industry or market changes. Significant revisions to Ashland’s methodologies are adjusted for all reportable segments on a retrospective basis. There were no material changes in methodology for the years ended September 30, 2025, 2024 or 2023.</w:t>
      </w:r>
    </w:p>
    <w:p>
      <w:pPr>
        <w:sectPr>
          <w:pgSz w:w="12240" w:h="15840" w:orient="portrait"/>
          <w:cols w:equalWidth="0" w:num="1">
            <w:col w:w="10240"/>
          </w:cols>
          <w:pgMar w:left="1000" w:top="984"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M-17</w:t>
      </w:r>
    </w:p>
    <w:p>
      <w:pPr>
        <w:sectPr>
          <w:pgSz w:w="12240" w:h="15840" w:orient="portrait"/>
          <w:cols w:equalWidth="0" w:num="1">
            <w:col w:w="10240"/>
          </w:cols>
          <w:pgMar w:left="1000" w:top="984" w:right="1000" w:bottom="186" w:gutter="0" w:footer="0" w:header="0"/>
          <w:type w:val="continuous"/>
        </w:sectPr>
      </w:pPr>
    </w:p>
    <w:bookmarkStart w:id="75" w:name="page76"/>
    <w:bookmarkEnd w:id="75"/>
    <w:p>
      <w:pPr>
        <w:ind w:left="6"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shows sales, operating income (loss), depreciation expense, amortization expense and EBITDA by reportable segment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652970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00">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58" w:lineRule="exact"/>
        <w:rPr>
          <w:sz w:val="20"/>
          <w:szCs w:val="20"/>
          <w:color w:val="auto"/>
        </w:rPr>
      </w:pPr>
    </w:p>
    <w:tbl>
      <w:tblPr>
        <w:tblLayout w:type="fixed"/>
        <w:tblInd w:w="6" w:type="dxa"/>
        <w:tblCellMar>
          <w:top w:w="0" w:type="dxa"/>
          <w:left w:w="0" w:type="dxa"/>
          <w:bottom w:w="0" w:type="dxa"/>
          <w:right w:w="0" w:type="dxa"/>
        </w:tblCellMar>
      </w:tblPr>
      <w:tr>
        <w:trPr>
          <w:trHeight w:val="244"/>
        </w:trPr>
        <w:tc>
          <w:tcPr>
            <w:tcW w:w="3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36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40" w:type="dxa"/>
            <w:vAlign w:val="bottom"/>
          </w:tcPr>
          <w:p>
            <w:pPr>
              <w:spacing w:after="0"/>
              <w:rPr>
                <w:sz w:val="21"/>
                <w:szCs w:val="21"/>
                <w:color w:val="auto"/>
              </w:rPr>
            </w:pPr>
          </w:p>
        </w:tc>
        <w:tc>
          <w:tcPr>
            <w:tcW w:w="100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change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change</w:t>
            </w:r>
          </w:p>
        </w:tc>
      </w:tr>
      <w:tr>
        <w:trPr>
          <w:trHeight w:val="239"/>
        </w:trPr>
        <w:tc>
          <w:tcPr>
            <w:tcW w:w="3660" w:type="dxa"/>
            <w:vAlign w:val="bottom"/>
            <w:gridSpan w:val="6"/>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Sales</w:t>
            </w:r>
          </w:p>
        </w:tc>
        <w:tc>
          <w:tcPr>
            <w:tcW w:w="140" w:type="dxa"/>
            <w:vAlign w:val="bottom"/>
            <w:shd w:val="clear" w:color="auto" w:fill="D4EFF4"/>
          </w:tcPr>
          <w:p>
            <w:pPr>
              <w:spacing w:after="0"/>
              <w:rPr>
                <w:sz w:val="20"/>
                <w:szCs w:val="20"/>
                <w:color w:val="auto"/>
              </w:rPr>
            </w:pPr>
          </w:p>
        </w:tc>
        <w:tc>
          <w:tcPr>
            <w:tcW w:w="100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6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940" w:type="dxa"/>
            <w:vAlign w:val="bottom"/>
            <w:shd w:val="clear" w:color="auto" w:fill="D4EFF4"/>
          </w:tcPr>
          <w:p>
            <w:pPr>
              <w:spacing w:after="0"/>
              <w:rPr>
                <w:sz w:val="20"/>
                <w:szCs w:val="20"/>
                <w:color w:val="auto"/>
              </w:rPr>
            </w:pPr>
          </w:p>
        </w:tc>
        <w:tc>
          <w:tcPr>
            <w:tcW w:w="80" w:type="dxa"/>
            <w:vAlign w:val="bottom"/>
            <w:tcBorders>
              <w:top w:val="single" w:sz="8" w:color="auto"/>
            </w:tcBorders>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r>
      <w:tr>
        <w:trPr>
          <w:trHeight w:val="244"/>
        </w:trPr>
        <w:tc>
          <w:tcPr>
            <w:tcW w:w="36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Life Sciences</w:t>
            </w:r>
          </w:p>
        </w:tc>
        <w:tc>
          <w:tcPr>
            <w:tcW w:w="140" w:type="dxa"/>
            <w:vAlign w:val="bottom"/>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360" w:type="dxa"/>
            <w:vAlign w:val="bottom"/>
            <w:gridSpan w:val="6"/>
          </w:tcPr>
          <w:p>
            <w:pPr>
              <w:jc w:val="right"/>
              <w:ind w:right="13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810</w:t>
            </w:r>
          </w:p>
        </w:tc>
        <w:tc>
          <w:tcPr>
            <w:tcW w:w="340" w:type="dxa"/>
            <w:vAlign w:val="bottom"/>
            <w:gridSpan w:val="6"/>
          </w:tcPr>
          <w:p>
            <w:pPr>
              <w:jc w:val="right"/>
              <w:ind w:right="11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869</w:t>
            </w:r>
          </w:p>
        </w:tc>
        <w:tc>
          <w:tcPr>
            <w:tcW w:w="300" w:type="dxa"/>
            <w:vAlign w:val="bottom"/>
            <w:gridSpan w:val="6"/>
          </w:tcPr>
          <w:p>
            <w:pPr>
              <w:jc w:val="right"/>
              <w:ind w:right="7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320" w:type="dxa"/>
            <w:vAlign w:val="bottom"/>
            <w:gridSpan w:val="6"/>
          </w:tcPr>
          <w:p>
            <w:pPr>
              <w:jc w:val="right"/>
              <w:ind w:right="9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(59)</w:t>
            </w:r>
          </w:p>
        </w:tc>
        <w:tc>
          <w:tcPr>
            <w:tcW w:w="20" w:type="dxa"/>
            <w:vAlign w:val="bottom"/>
          </w:tcPr>
          <w:p>
            <w:pPr>
              <w:spacing w:after="0"/>
              <w:rPr>
                <w:sz w:val="21"/>
                <w:szCs w:val="21"/>
                <w:color w:val="auto"/>
              </w:rPr>
            </w:pPr>
          </w:p>
        </w:tc>
      </w:tr>
      <w:tr>
        <w:trPr>
          <w:trHeight w:val="244"/>
        </w:trPr>
        <w:tc>
          <w:tcPr>
            <w:tcW w:w="3660" w:type="dxa"/>
            <w:vAlign w:val="bottom"/>
            <w:gridSpan w:val="6"/>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Personal Care</w:t>
            </w:r>
          </w:p>
        </w:tc>
        <w:tc>
          <w:tcPr>
            <w:tcW w:w="14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634</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598</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9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r>
      <w:tr>
        <w:trPr>
          <w:trHeight w:val="244"/>
        </w:trPr>
        <w:tc>
          <w:tcPr>
            <w:tcW w:w="36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Specialty Additives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572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1"/>
                <w:szCs w:val="21"/>
                <w:color w:val="auto"/>
              </w:rPr>
            </w:pPr>
          </w:p>
        </w:tc>
      </w:tr>
      <w:tr>
        <w:trPr>
          <w:trHeight w:val="244"/>
        </w:trPr>
        <w:tc>
          <w:tcPr>
            <w:tcW w:w="3660" w:type="dxa"/>
            <w:vAlign w:val="bottom"/>
            <w:gridSpan w:val="6"/>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Intermediates</w:t>
            </w:r>
          </w:p>
        </w:tc>
        <w:tc>
          <w:tcPr>
            <w:tcW w:w="14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144</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185</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(41)</w:t>
            </w:r>
          </w:p>
        </w:tc>
        <w:tc>
          <w:tcPr>
            <w:tcW w:w="20" w:type="dxa"/>
            <w:vAlign w:val="bottom"/>
            <w:shd w:val="clear" w:color="auto" w:fill="D4EFF4"/>
          </w:tcPr>
          <w:p>
            <w:pPr>
              <w:spacing w:after="0"/>
              <w:rPr>
                <w:sz w:val="21"/>
                <w:szCs w:val="21"/>
                <w:color w:val="auto"/>
              </w:rPr>
            </w:pPr>
          </w:p>
        </w:tc>
      </w:tr>
      <w:tr>
        <w:trPr>
          <w:trHeight w:val="244"/>
        </w:trPr>
        <w:tc>
          <w:tcPr>
            <w:tcW w:w="3660" w:type="dxa"/>
            <w:vAlign w:val="bottom"/>
            <w:tcBorders>
              <w:bottom w:val="single" w:sz="8" w:color="D4EFF4"/>
            </w:tcBorders>
            <w:gridSpan w:val="6"/>
          </w:tcPr>
          <w:p>
            <w:pPr>
              <w:ind w:left="200"/>
              <w:spacing w:after="0" w:line="244" w:lineRule="exact"/>
              <w:rPr>
                <w:sz w:val="20"/>
                <w:szCs w:val="20"/>
                <w:color w:val="auto"/>
              </w:rPr>
            </w:pPr>
            <w:r>
              <w:rPr>
                <w:rFonts w:ascii="Times New Roman" w:cs="Times New Roman" w:eastAsia="Times New Roman" w:hAnsi="Times New Roman"/>
                <w:sz w:val="20"/>
                <w:szCs w:val="20"/>
                <w:color w:val="auto"/>
              </w:rPr>
              <w:t>Intersegment sales</w:t>
            </w:r>
            <w:r>
              <w:rPr>
                <w:rFonts w:ascii="Times New Roman" w:cs="Times New Roman" w:eastAsia="Times New Roman" w:hAnsi="Times New Roman"/>
                <w:sz w:val="25"/>
                <w:szCs w:val="25"/>
                <w:color w:val="auto"/>
                <w:vertAlign w:val="superscript"/>
              </w:rPr>
              <w:t>(a)</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9"/>
        </w:trPr>
        <w:tc>
          <w:tcPr>
            <w:tcW w:w="356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140" w:type="dxa"/>
            <w:vAlign w:val="bottom"/>
            <w:tcBorders>
              <w:bottom w:val="single" w:sz="8" w:color="auto"/>
            </w:tcBorders>
            <w:shd w:val="clear" w:color="auto" w:fill="D4EFF4"/>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1,824</w:t>
            </w:r>
          </w:p>
        </w:tc>
        <w:tc>
          <w:tcPr>
            <w:tcW w:w="1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160" w:type="dxa"/>
            <w:vAlign w:val="bottom"/>
            <w:tcBorders>
              <w:bottom w:val="single" w:sz="8" w:color="auto"/>
            </w:tcBorders>
            <w:shd w:val="clear" w:color="auto" w:fill="D4EFF4"/>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2,113</w:t>
            </w:r>
          </w:p>
        </w:tc>
        <w:tc>
          <w:tcPr>
            <w:tcW w:w="1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140" w:type="dxa"/>
            <w:vAlign w:val="bottom"/>
            <w:tcBorders>
              <w:bottom w:val="single" w:sz="8" w:color="auto"/>
            </w:tcBorders>
            <w:shd w:val="clear" w:color="auto" w:fill="D4EFF4"/>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2,191</w:t>
            </w:r>
          </w:p>
        </w:tc>
        <w:tc>
          <w:tcPr>
            <w:tcW w:w="1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100" w:type="dxa"/>
            <w:vAlign w:val="bottom"/>
            <w:tcBorders>
              <w:bottom w:val="single" w:sz="8" w:color="auto"/>
            </w:tcBorders>
            <w:shd w:val="clear" w:color="auto" w:fill="D4EFF4"/>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10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(78)</w:t>
            </w:r>
          </w:p>
        </w:tc>
        <w:tc>
          <w:tcPr>
            <w:tcW w:w="20" w:type="dxa"/>
            <w:vAlign w:val="bottom"/>
            <w:tcBorders>
              <w:bottom w:val="single" w:sz="8" w:color="D4EFF4"/>
            </w:tcBorders>
            <w:shd w:val="clear" w:color="auto" w:fill="D4EFF4"/>
          </w:tcPr>
          <w:p>
            <w:pPr>
              <w:spacing w:after="0"/>
              <w:rPr>
                <w:sz w:val="22"/>
                <w:szCs w:val="22"/>
                <w:color w:val="auto"/>
              </w:rPr>
            </w:pPr>
          </w:p>
        </w:tc>
      </w:tr>
      <w:tr>
        <w:trPr>
          <w:trHeight w:val="20"/>
        </w:trPr>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64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Operating income (loss)</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3660" w:type="dxa"/>
            <w:vAlign w:val="bottom"/>
            <w:gridSpan w:val="6"/>
            <w:shd w:val="clear" w:color="auto" w:fill="D4EFF4"/>
          </w:tcPr>
          <w:p>
            <w:pPr>
              <w:ind w:left="200"/>
              <w:spacing w:after="0" w:line="244" w:lineRule="exact"/>
              <w:rPr>
                <w:sz w:val="20"/>
                <w:szCs w:val="20"/>
                <w:color w:val="auto"/>
              </w:rPr>
            </w:pPr>
            <w:r>
              <w:rPr>
                <w:rFonts w:ascii="Times New Roman" w:cs="Times New Roman" w:eastAsia="Times New Roman" w:hAnsi="Times New Roman"/>
                <w:sz w:val="20"/>
                <w:szCs w:val="20"/>
                <w:color w:val="auto"/>
              </w:rPr>
              <w:t>Life Sciences</w:t>
            </w:r>
            <w:r>
              <w:rPr>
                <w:rFonts w:ascii="Times New Roman" w:cs="Times New Roman" w:eastAsia="Times New Roman" w:hAnsi="Times New Roman"/>
                <w:sz w:val="25"/>
                <w:szCs w:val="25"/>
                <w:color w:val="auto"/>
                <w:vertAlign w:val="superscript"/>
              </w:rPr>
              <w:t>(b)</w:t>
            </w:r>
          </w:p>
        </w:tc>
        <w:tc>
          <w:tcPr>
            <w:tcW w:w="140" w:type="dxa"/>
            <w:vAlign w:val="bottom"/>
            <w:shd w:val="clear" w:color="auto" w:fill="D4EFF4"/>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360" w:type="dxa"/>
            <w:vAlign w:val="bottom"/>
            <w:gridSpan w:val="6"/>
            <w:shd w:val="clear" w:color="auto" w:fill="D4EFF4"/>
          </w:tcPr>
          <w:p>
            <w:pPr>
              <w:jc w:val="right"/>
              <w:ind w:right="13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168</w:t>
            </w:r>
          </w:p>
        </w:tc>
        <w:tc>
          <w:tcPr>
            <w:tcW w:w="340" w:type="dxa"/>
            <w:vAlign w:val="bottom"/>
            <w:gridSpan w:val="6"/>
            <w:shd w:val="clear" w:color="auto" w:fill="D4EFF4"/>
          </w:tcPr>
          <w:p>
            <w:pPr>
              <w:jc w:val="right"/>
              <w:ind w:right="11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172</w:t>
            </w:r>
          </w:p>
        </w:tc>
        <w:tc>
          <w:tcPr>
            <w:tcW w:w="300" w:type="dxa"/>
            <w:vAlign w:val="bottom"/>
            <w:gridSpan w:val="6"/>
            <w:shd w:val="clear" w:color="auto" w:fill="D4EFF4"/>
          </w:tcPr>
          <w:p>
            <w:pPr>
              <w:jc w:val="right"/>
              <w:ind w:right="7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320" w:type="dxa"/>
            <w:vAlign w:val="bottom"/>
            <w:gridSpan w:val="6"/>
            <w:shd w:val="clear" w:color="auto" w:fill="D4EFF4"/>
          </w:tcPr>
          <w:p>
            <w:pPr>
              <w:jc w:val="right"/>
              <w:ind w:right="9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shd w:val="clear" w:color="auto" w:fill="D4EFF4"/>
          </w:tcPr>
          <w:p>
            <w:pPr>
              <w:spacing w:after="0"/>
              <w:rPr>
                <w:sz w:val="21"/>
                <w:szCs w:val="21"/>
                <w:color w:val="auto"/>
              </w:rPr>
            </w:pPr>
          </w:p>
        </w:tc>
      </w:tr>
      <w:tr>
        <w:trPr>
          <w:trHeight w:val="244"/>
        </w:trPr>
        <w:tc>
          <w:tcPr>
            <w:tcW w:w="3660" w:type="dxa"/>
            <w:vAlign w:val="bottom"/>
            <w:gridSpan w:val="6"/>
          </w:tcPr>
          <w:p>
            <w:pPr>
              <w:ind w:left="200"/>
              <w:spacing w:after="0" w:line="244" w:lineRule="exact"/>
              <w:rPr>
                <w:sz w:val="20"/>
                <w:szCs w:val="20"/>
                <w:color w:val="auto"/>
              </w:rPr>
            </w:pPr>
            <w:r>
              <w:rPr>
                <w:rFonts w:ascii="Times New Roman" w:cs="Times New Roman" w:eastAsia="Times New Roman" w:hAnsi="Times New Roman"/>
                <w:sz w:val="20"/>
                <w:szCs w:val="20"/>
                <w:color w:val="auto"/>
              </w:rPr>
              <w:t>Personal Care</w:t>
            </w:r>
            <w:r>
              <w:rPr>
                <w:rFonts w:ascii="Times New Roman" w:cs="Times New Roman" w:eastAsia="Times New Roman" w:hAnsi="Times New Roman"/>
                <w:sz w:val="25"/>
                <w:szCs w:val="25"/>
                <w:color w:val="auto"/>
                <w:vertAlign w:val="superscript"/>
              </w:rPr>
              <w:t>(c)</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660" w:type="dxa"/>
            <w:vAlign w:val="bottom"/>
            <w:gridSpan w:val="6"/>
            <w:shd w:val="clear" w:color="auto" w:fill="D4EFF4"/>
          </w:tcPr>
          <w:p>
            <w:pPr>
              <w:ind w:left="200"/>
              <w:spacing w:after="0" w:line="244" w:lineRule="exact"/>
              <w:rPr>
                <w:sz w:val="20"/>
                <w:szCs w:val="20"/>
                <w:color w:val="auto"/>
              </w:rPr>
            </w:pPr>
            <w:r>
              <w:rPr>
                <w:rFonts w:ascii="Times New Roman" w:cs="Times New Roman" w:eastAsia="Times New Roman" w:hAnsi="Times New Roman"/>
                <w:sz w:val="20"/>
                <w:szCs w:val="20"/>
                <w:color w:val="auto"/>
              </w:rPr>
              <w:t>Specialty Additives</w:t>
            </w:r>
            <w:r>
              <w:rPr>
                <w:rFonts w:ascii="Times New Roman" w:cs="Times New Roman" w:eastAsia="Times New Roman" w:hAnsi="Times New Roman"/>
                <w:sz w:val="25"/>
                <w:szCs w:val="25"/>
                <w:color w:val="auto"/>
                <w:vertAlign w:val="superscript"/>
              </w:rPr>
              <w:t>(d)</w:t>
            </w:r>
          </w:p>
        </w:tc>
        <w:tc>
          <w:tcPr>
            <w:tcW w:w="14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shd w:val="clear" w:color="auto" w:fill="D4EFF4"/>
          </w:tcPr>
          <w:p>
            <w:pPr>
              <w:spacing w:after="0"/>
              <w:rPr>
                <w:sz w:val="21"/>
                <w:szCs w:val="21"/>
                <w:color w:val="auto"/>
              </w:rPr>
            </w:pPr>
          </w:p>
        </w:tc>
      </w:tr>
      <w:tr>
        <w:trPr>
          <w:trHeight w:val="244"/>
        </w:trPr>
        <w:tc>
          <w:tcPr>
            <w:tcW w:w="36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Intermediates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1"/>
                <w:szCs w:val="21"/>
                <w:color w:val="auto"/>
              </w:rPr>
            </w:pPr>
          </w:p>
        </w:tc>
      </w:tr>
      <w:tr>
        <w:trPr>
          <w:trHeight w:val="264"/>
        </w:trPr>
        <w:tc>
          <w:tcPr>
            <w:tcW w:w="3660" w:type="dxa"/>
            <w:vAlign w:val="bottom"/>
            <w:gridSpan w:val="6"/>
            <w:shd w:val="clear" w:color="auto" w:fill="D4EFF4"/>
          </w:tcPr>
          <w:p>
            <w:pPr>
              <w:ind w:left="200"/>
              <w:spacing w:after="0" w:line="244" w:lineRule="exact"/>
              <w:rPr>
                <w:sz w:val="20"/>
                <w:szCs w:val="20"/>
                <w:color w:val="auto"/>
              </w:rPr>
            </w:pPr>
            <w:r>
              <w:rPr>
                <w:rFonts w:ascii="Times New Roman" w:cs="Times New Roman" w:eastAsia="Times New Roman" w:hAnsi="Times New Roman"/>
                <w:sz w:val="20"/>
                <w:szCs w:val="20"/>
                <w:color w:val="auto"/>
              </w:rPr>
              <w:t>Unallocated and Other</w:t>
            </w:r>
            <w:r>
              <w:rPr>
                <w:rFonts w:ascii="Times New Roman" w:cs="Times New Roman" w:eastAsia="Times New Roman" w:hAnsi="Times New Roman"/>
                <w:sz w:val="25"/>
                <w:szCs w:val="25"/>
                <w:color w:val="auto"/>
                <w:vertAlign w:val="superscript"/>
              </w:rPr>
              <w:t>(e)</w:t>
            </w:r>
          </w:p>
        </w:tc>
        <w:tc>
          <w:tcPr>
            <w:tcW w:w="140" w:type="dxa"/>
            <w:vAlign w:val="bottom"/>
            <w:shd w:val="clear" w:color="auto" w:fill="D4EFF4"/>
          </w:tcPr>
          <w:p>
            <w:pPr>
              <w:spacing w:after="0"/>
              <w:rPr>
                <w:sz w:val="22"/>
                <w:szCs w:val="22"/>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160" w:type="dxa"/>
            <w:vAlign w:val="bottom"/>
            <w:shd w:val="clear" w:color="auto" w:fill="D4EFF4"/>
          </w:tcPr>
          <w:p>
            <w:pPr>
              <w:spacing w:after="0"/>
              <w:rPr>
                <w:sz w:val="22"/>
                <w:szCs w:val="22"/>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140" w:type="dxa"/>
            <w:vAlign w:val="bottom"/>
            <w:shd w:val="clear" w:color="auto" w:fill="D4EFF4"/>
          </w:tcPr>
          <w:p>
            <w:pPr>
              <w:spacing w:after="0"/>
              <w:rPr>
                <w:sz w:val="22"/>
                <w:szCs w:val="22"/>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100" w:type="dxa"/>
            <w:vAlign w:val="bottom"/>
            <w:shd w:val="clear" w:color="auto" w:fill="D4EFF4"/>
          </w:tcPr>
          <w:p>
            <w:pPr>
              <w:spacing w:after="0"/>
              <w:rPr>
                <w:sz w:val="22"/>
                <w:szCs w:val="22"/>
                <w:color w:val="auto"/>
              </w:rPr>
            </w:pPr>
          </w:p>
        </w:tc>
        <w:tc>
          <w:tcPr>
            <w:tcW w:w="10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120" w:type="dxa"/>
            <w:vAlign w:val="bottom"/>
            <w:shd w:val="clear" w:color="auto" w:fill="D4EFF4"/>
          </w:tcPr>
          <w:p>
            <w:pPr>
              <w:spacing w:after="0"/>
              <w:rPr>
                <w:sz w:val="22"/>
                <w:szCs w:val="22"/>
                <w:color w:val="auto"/>
              </w:rPr>
            </w:pPr>
          </w:p>
        </w:tc>
        <w:tc>
          <w:tcPr>
            <w:tcW w:w="10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(152)</w:t>
            </w:r>
          </w:p>
        </w:tc>
        <w:tc>
          <w:tcPr>
            <w:tcW w:w="20" w:type="dxa"/>
            <w:vAlign w:val="bottom"/>
            <w:shd w:val="clear" w:color="auto" w:fill="D4EFF4"/>
          </w:tcPr>
          <w:p>
            <w:pPr>
              <w:spacing w:after="0"/>
              <w:rPr>
                <w:sz w:val="22"/>
                <w:szCs w:val="22"/>
                <w:color w:val="auto"/>
              </w:rPr>
            </w:pPr>
          </w:p>
        </w:tc>
      </w:tr>
      <w:tr>
        <w:trPr>
          <w:trHeight w:val="259"/>
        </w:trPr>
        <w:tc>
          <w:tcPr>
            <w:tcW w:w="356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(775)</w:t>
            </w:r>
          </w:p>
        </w:tc>
        <w:tc>
          <w:tcPr>
            <w:tcW w:w="1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(26)</w:t>
            </w:r>
          </w:p>
        </w:tc>
        <w:tc>
          <w:tcPr>
            <w:tcW w:w="1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180" w:type="dxa"/>
            <w:vAlign w:val="bottom"/>
            <w:tcBorders>
              <w:top w:val="single" w:sz="8" w:color="auto"/>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172</w:t>
            </w:r>
          </w:p>
        </w:tc>
        <w:tc>
          <w:tcPr>
            <w:tcW w:w="1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140" w:type="dxa"/>
            <w:vAlign w:val="bottom"/>
            <w:tcBorders>
              <w:top w:val="single" w:sz="8" w:color="auto"/>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(749)</w:t>
            </w:r>
          </w:p>
        </w:tc>
        <w:tc>
          <w:tcPr>
            <w:tcW w:w="1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(198)</w:t>
            </w:r>
          </w:p>
        </w:tc>
        <w:tc>
          <w:tcPr>
            <w:tcW w:w="20" w:type="dxa"/>
            <w:vAlign w:val="bottom"/>
            <w:tcBorders>
              <w:top w:val="single" w:sz="8" w:color="D4EFF4"/>
            </w:tcBorders>
          </w:tcPr>
          <w:p>
            <w:pPr>
              <w:spacing w:after="0"/>
              <w:rPr>
                <w:sz w:val="22"/>
                <w:szCs w:val="22"/>
                <w:color w:val="auto"/>
              </w:rPr>
            </w:pPr>
          </w:p>
        </w:tc>
      </w:tr>
      <w:tr>
        <w:trPr>
          <w:trHeight w:val="229"/>
        </w:trPr>
        <w:tc>
          <w:tcPr>
            <w:tcW w:w="3620" w:type="dxa"/>
            <w:vAlign w:val="bottom"/>
            <w:gridSpan w:val="4"/>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Depreciation expense</w:t>
            </w:r>
          </w:p>
        </w:tc>
        <w:tc>
          <w:tcPr>
            <w:tcW w:w="40" w:type="dxa"/>
            <w:vAlign w:val="bottom"/>
            <w:gridSpan w:val="2"/>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94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r>
      <w:tr>
        <w:trPr>
          <w:trHeight w:val="244"/>
        </w:trPr>
        <w:tc>
          <w:tcPr>
            <w:tcW w:w="3660" w:type="dxa"/>
            <w:vAlign w:val="bottom"/>
            <w:gridSpan w:val="6"/>
          </w:tcPr>
          <w:p>
            <w:pPr>
              <w:ind w:left="200"/>
              <w:spacing w:after="0" w:line="244" w:lineRule="exact"/>
              <w:rPr>
                <w:sz w:val="20"/>
                <w:szCs w:val="20"/>
                <w:color w:val="auto"/>
              </w:rPr>
            </w:pPr>
            <w:r>
              <w:rPr>
                <w:rFonts w:ascii="Times New Roman" w:cs="Times New Roman" w:eastAsia="Times New Roman" w:hAnsi="Times New Roman"/>
                <w:sz w:val="20"/>
                <w:szCs w:val="20"/>
                <w:color w:val="auto"/>
              </w:rPr>
              <w:t>Life Sciences</w:t>
            </w:r>
            <w:r>
              <w:rPr>
                <w:rFonts w:ascii="Times New Roman" w:cs="Times New Roman" w:eastAsia="Times New Roman" w:hAnsi="Times New Roman"/>
                <w:sz w:val="25"/>
                <w:szCs w:val="25"/>
                <w:color w:val="auto"/>
                <w:vertAlign w:val="superscript"/>
              </w:rPr>
              <w:t>(f)</w:t>
            </w:r>
          </w:p>
        </w:tc>
        <w:tc>
          <w:tcPr>
            <w:tcW w:w="140" w:type="dxa"/>
            <w:vAlign w:val="bottom"/>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r>
      <w:tr>
        <w:trPr>
          <w:trHeight w:val="244"/>
        </w:trPr>
        <w:tc>
          <w:tcPr>
            <w:tcW w:w="3660" w:type="dxa"/>
            <w:vAlign w:val="bottom"/>
            <w:gridSpan w:val="6"/>
            <w:shd w:val="clear" w:color="auto" w:fill="D4EFF4"/>
          </w:tcPr>
          <w:p>
            <w:pPr>
              <w:ind w:left="200"/>
              <w:spacing w:after="0" w:line="244" w:lineRule="exact"/>
              <w:rPr>
                <w:sz w:val="20"/>
                <w:szCs w:val="20"/>
                <w:color w:val="auto"/>
              </w:rPr>
            </w:pPr>
            <w:r>
              <w:rPr>
                <w:rFonts w:ascii="Times New Roman" w:cs="Times New Roman" w:eastAsia="Times New Roman" w:hAnsi="Times New Roman"/>
                <w:sz w:val="20"/>
                <w:szCs w:val="20"/>
                <w:color w:val="auto"/>
              </w:rPr>
              <w:t>Personal Care</w:t>
            </w:r>
            <w:r>
              <w:rPr>
                <w:rFonts w:ascii="Times New Roman" w:cs="Times New Roman" w:eastAsia="Times New Roman" w:hAnsi="Times New Roman"/>
                <w:sz w:val="25"/>
                <w:szCs w:val="25"/>
                <w:color w:val="auto"/>
                <w:vertAlign w:val="superscript"/>
              </w:rPr>
              <w:t>(g)</w:t>
            </w:r>
          </w:p>
        </w:tc>
        <w:tc>
          <w:tcPr>
            <w:tcW w:w="14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38</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shd w:val="clear" w:color="auto" w:fill="D4EFF4"/>
          </w:tcPr>
          <w:p>
            <w:pPr>
              <w:spacing w:after="0"/>
              <w:rPr>
                <w:sz w:val="21"/>
                <w:szCs w:val="21"/>
                <w:color w:val="auto"/>
              </w:rPr>
            </w:pPr>
          </w:p>
        </w:tc>
      </w:tr>
      <w:tr>
        <w:trPr>
          <w:trHeight w:val="244"/>
        </w:trPr>
        <w:tc>
          <w:tcPr>
            <w:tcW w:w="3660" w:type="dxa"/>
            <w:vAlign w:val="bottom"/>
            <w:gridSpan w:val="6"/>
          </w:tcPr>
          <w:p>
            <w:pPr>
              <w:ind w:left="200"/>
              <w:spacing w:after="0" w:line="244" w:lineRule="exact"/>
              <w:rPr>
                <w:sz w:val="20"/>
                <w:szCs w:val="20"/>
                <w:color w:val="auto"/>
              </w:rPr>
            </w:pPr>
            <w:r>
              <w:rPr>
                <w:rFonts w:ascii="Times New Roman" w:cs="Times New Roman" w:eastAsia="Times New Roman" w:hAnsi="Times New Roman"/>
                <w:sz w:val="20"/>
                <w:szCs w:val="20"/>
                <w:color w:val="auto"/>
              </w:rPr>
              <w:t>Specialty Additives</w:t>
            </w:r>
            <w:r>
              <w:rPr>
                <w:rFonts w:ascii="Times New Roman" w:cs="Times New Roman" w:eastAsia="Times New Roman" w:hAnsi="Times New Roman"/>
                <w:sz w:val="25"/>
                <w:szCs w:val="25"/>
                <w:color w:val="auto"/>
                <w:vertAlign w:val="superscript"/>
              </w:rPr>
              <w:t>(h)</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660" w:type="dxa"/>
            <w:vAlign w:val="bottom"/>
            <w:gridSpan w:val="6"/>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Intermediates</w:t>
            </w:r>
          </w:p>
        </w:tc>
        <w:tc>
          <w:tcPr>
            <w:tcW w:w="14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40" w:type="dxa"/>
            <w:vAlign w:val="bottom"/>
            <w:gridSpan w:val="3"/>
            <w:shd w:val="clear" w:color="auto" w:fill="D4EFF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6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Unallocated and Other</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356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D4EFF4"/>
              <w:bottom w:val="single" w:sz="8" w:color="auto"/>
            </w:tcBorders>
            <w:shd w:val="clear" w:color="auto" w:fill="D4EFF4"/>
          </w:tcPr>
          <w:p>
            <w:pPr>
              <w:spacing w:after="0"/>
              <w:rPr>
                <w:sz w:val="22"/>
                <w:szCs w:val="22"/>
                <w:color w:val="auto"/>
              </w:rPr>
            </w:pPr>
          </w:p>
        </w:tc>
        <w:tc>
          <w:tcPr>
            <w:tcW w:w="20" w:type="dxa"/>
            <w:vAlign w:val="bottom"/>
            <w:tcBorders>
              <w:top w:val="single" w:sz="8" w:color="D4EFF4"/>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140" w:type="dxa"/>
            <w:vAlign w:val="bottom"/>
            <w:tcBorders>
              <w:top w:val="single" w:sz="8" w:color="auto"/>
              <w:bottom w:val="single" w:sz="8" w:color="auto"/>
            </w:tcBorders>
            <w:shd w:val="clear" w:color="auto" w:fill="D4EFF4"/>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2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D4EFF4"/>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160" w:type="dxa"/>
            <w:vAlign w:val="bottom"/>
            <w:tcBorders>
              <w:top w:val="single" w:sz="8" w:color="auto"/>
              <w:bottom w:val="single" w:sz="8" w:color="auto"/>
            </w:tcBorders>
            <w:shd w:val="clear" w:color="auto" w:fill="D4EFF4"/>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198</w:t>
            </w:r>
          </w:p>
        </w:tc>
        <w:tc>
          <w:tcPr>
            <w:tcW w:w="12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D4EFF4"/>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140" w:type="dxa"/>
            <w:vAlign w:val="bottom"/>
            <w:tcBorders>
              <w:top w:val="single" w:sz="8" w:color="auto"/>
              <w:bottom w:val="single" w:sz="8" w:color="auto"/>
            </w:tcBorders>
            <w:shd w:val="clear" w:color="auto" w:fill="D4EFF4"/>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150</w:t>
            </w:r>
          </w:p>
        </w:tc>
        <w:tc>
          <w:tcPr>
            <w:tcW w:w="12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D4EFF4"/>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100" w:type="dxa"/>
            <w:vAlign w:val="bottom"/>
            <w:tcBorders>
              <w:top w:val="single" w:sz="8" w:color="auto"/>
              <w:bottom w:val="single" w:sz="8" w:color="auto"/>
            </w:tcBorders>
            <w:shd w:val="clear" w:color="auto" w:fill="D4EFF4"/>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106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2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D4EFF4"/>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120" w:type="dxa"/>
            <w:vAlign w:val="bottom"/>
            <w:tcBorders>
              <w:top w:val="single" w:sz="8" w:color="auto"/>
              <w:bottom w:val="single" w:sz="8" w:color="auto"/>
            </w:tcBorders>
            <w:shd w:val="clear" w:color="auto" w:fill="D4EFF4"/>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94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8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r>
      <w:tr>
        <w:trPr>
          <w:trHeight w:val="20"/>
        </w:trPr>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Amortization expense</w:t>
            </w:r>
          </w:p>
        </w:tc>
        <w:tc>
          <w:tcPr>
            <w:tcW w:w="60" w:type="dxa"/>
            <w:vAlign w:val="bottom"/>
            <w:tcBorders>
              <w:top w:val="single" w:sz="8" w:color="auto"/>
            </w:tcBorders>
            <w:gridSpan w:val="3"/>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3660" w:type="dxa"/>
            <w:vAlign w:val="bottom"/>
            <w:gridSpan w:val="6"/>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Life Sciences</w:t>
            </w:r>
          </w:p>
        </w:tc>
        <w:tc>
          <w:tcPr>
            <w:tcW w:w="140" w:type="dxa"/>
            <w:vAlign w:val="bottom"/>
            <w:shd w:val="clear" w:color="auto" w:fill="D4EFF4"/>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360" w:type="dxa"/>
            <w:vAlign w:val="bottom"/>
            <w:gridSpan w:val="6"/>
            <w:shd w:val="clear" w:color="auto" w:fill="D4EFF4"/>
          </w:tcPr>
          <w:p>
            <w:pPr>
              <w:jc w:val="right"/>
              <w:ind w:right="13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340" w:type="dxa"/>
            <w:vAlign w:val="bottom"/>
            <w:gridSpan w:val="6"/>
            <w:shd w:val="clear" w:color="auto" w:fill="D4EFF4"/>
          </w:tcPr>
          <w:p>
            <w:pPr>
              <w:jc w:val="right"/>
              <w:ind w:right="11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c>
          <w:tcPr>
            <w:tcW w:w="300" w:type="dxa"/>
            <w:vAlign w:val="bottom"/>
            <w:gridSpan w:val="6"/>
            <w:shd w:val="clear" w:color="auto" w:fill="D4EFF4"/>
          </w:tcPr>
          <w:p>
            <w:pPr>
              <w:jc w:val="right"/>
              <w:ind w:right="7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20" w:type="dxa"/>
            <w:vAlign w:val="bottom"/>
            <w:gridSpan w:val="6"/>
            <w:shd w:val="clear" w:color="auto" w:fill="D4EFF4"/>
          </w:tcPr>
          <w:p>
            <w:pPr>
              <w:jc w:val="right"/>
              <w:ind w:right="9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shd w:val="clear" w:color="auto" w:fill="D4EFF4"/>
          </w:tcPr>
          <w:p>
            <w:pPr>
              <w:spacing w:after="0"/>
              <w:rPr>
                <w:sz w:val="21"/>
                <w:szCs w:val="21"/>
                <w:color w:val="auto"/>
              </w:rPr>
            </w:pPr>
          </w:p>
        </w:tc>
      </w:tr>
      <w:tr>
        <w:trPr>
          <w:trHeight w:val="244"/>
        </w:trPr>
        <w:tc>
          <w:tcPr>
            <w:tcW w:w="36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Personal Care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1"/>
                <w:szCs w:val="21"/>
                <w:color w:val="auto"/>
              </w:rPr>
            </w:pPr>
          </w:p>
        </w:tc>
      </w:tr>
      <w:tr>
        <w:trPr>
          <w:trHeight w:val="244"/>
        </w:trPr>
        <w:tc>
          <w:tcPr>
            <w:tcW w:w="3660" w:type="dxa"/>
            <w:vAlign w:val="bottom"/>
            <w:gridSpan w:val="6"/>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Specialty Additives</w:t>
            </w:r>
          </w:p>
        </w:tc>
        <w:tc>
          <w:tcPr>
            <w:tcW w:w="14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18</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shd w:val="clear" w:color="auto" w:fill="D4EFF4"/>
          </w:tcPr>
          <w:p>
            <w:pPr>
              <w:spacing w:after="0"/>
              <w:rPr>
                <w:sz w:val="21"/>
                <w:szCs w:val="21"/>
                <w:color w:val="auto"/>
              </w:rPr>
            </w:pPr>
          </w:p>
        </w:tc>
      </w:tr>
      <w:tr>
        <w:trPr>
          <w:trHeight w:val="244"/>
        </w:trPr>
        <w:tc>
          <w:tcPr>
            <w:tcW w:w="36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Intermediates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3660" w:type="dxa"/>
            <w:vAlign w:val="bottom"/>
            <w:gridSpan w:val="6"/>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Unallocated and Other</w:t>
            </w:r>
          </w:p>
        </w:tc>
        <w:tc>
          <w:tcPr>
            <w:tcW w:w="140" w:type="dxa"/>
            <w:vAlign w:val="bottom"/>
            <w:shd w:val="clear" w:color="auto" w:fill="D4EFF4"/>
          </w:tcPr>
          <w:p>
            <w:pPr>
              <w:spacing w:after="0"/>
              <w:rPr>
                <w:sz w:val="22"/>
                <w:szCs w:val="22"/>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160" w:type="dxa"/>
            <w:vAlign w:val="bottom"/>
            <w:shd w:val="clear" w:color="auto" w:fill="D4EFF4"/>
          </w:tcPr>
          <w:p>
            <w:pPr>
              <w:spacing w:after="0"/>
              <w:rPr>
                <w:sz w:val="22"/>
                <w:szCs w:val="22"/>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140" w:type="dxa"/>
            <w:vAlign w:val="bottom"/>
            <w:shd w:val="clear" w:color="auto" w:fill="D4EFF4"/>
          </w:tcPr>
          <w:p>
            <w:pPr>
              <w:spacing w:after="0"/>
              <w:rPr>
                <w:sz w:val="22"/>
                <w:szCs w:val="22"/>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100" w:type="dxa"/>
            <w:vAlign w:val="bottom"/>
            <w:shd w:val="clear" w:color="auto" w:fill="D4EFF4"/>
          </w:tcPr>
          <w:p>
            <w:pPr>
              <w:spacing w:after="0"/>
              <w:rPr>
                <w:sz w:val="22"/>
                <w:szCs w:val="22"/>
                <w:color w:val="auto"/>
              </w:rPr>
            </w:pPr>
          </w:p>
        </w:tc>
        <w:tc>
          <w:tcPr>
            <w:tcW w:w="106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20" w:type="dxa"/>
            <w:vAlign w:val="bottom"/>
            <w:shd w:val="clear" w:color="auto" w:fill="D4EFF4"/>
          </w:tcPr>
          <w:p>
            <w:pPr>
              <w:spacing w:after="0"/>
              <w:rPr>
                <w:sz w:val="22"/>
                <w:szCs w:val="22"/>
                <w:color w:val="auto"/>
              </w:rPr>
            </w:pPr>
          </w:p>
        </w:tc>
        <w:tc>
          <w:tcPr>
            <w:tcW w:w="120" w:type="dxa"/>
            <w:vAlign w:val="bottom"/>
            <w:shd w:val="clear" w:color="auto" w:fill="D4EFF4"/>
          </w:tcPr>
          <w:p>
            <w:pPr>
              <w:spacing w:after="0"/>
              <w:rPr>
                <w:sz w:val="22"/>
                <w:szCs w:val="22"/>
                <w:color w:val="auto"/>
              </w:rPr>
            </w:pPr>
          </w:p>
        </w:tc>
        <w:tc>
          <w:tcPr>
            <w:tcW w:w="1040" w:type="dxa"/>
            <w:vAlign w:val="bottom"/>
            <w:gridSpan w:val="3"/>
            <w:shd w:val="clear" w:color="auto" w:fill="D4EFF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356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63</w:t>
            </w:r>
          </w:p>
        </w:tc>
        <w:tc>
          <w:tcPr>
            <w:tcW w:w="1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20" w:type="dxa"/>
            <w:vAlign w:val="bottom"/>
            <w:tcBorders>
              <w:top w:val="single" w:sz="8" w:color="auto"/>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76</w:t>
            </w:r>
          </w:p>
        </w:tc>
        <w:tc>
          <w:tcPr>
            <w:tcW w:w="1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93</w:t>
            </w:r>
          </w:p>
        </w:tc>
        <w:tc>
          <w:tcPr>
            <w:tcW w:w="1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w:t>
            </w:r>
          </w:p>
        </w:tc>
        <w:tc>
          <w:tcPr>
            <w:tcW w:w="120" w:type="dxa"/>
            <w:vAlign w:val="bottom"/>
            <w:tcBorders>
              <w:top w:val="single" w:sz="8" w:color="D4EFF4"/>
              <w:bottom w:val="single" w:sz="8" w:color="D4EFF4"/>
            </w:tcBorders>
          </w:tcPr>
          <w:p>
            <w:pPr>
              <w:spacing w:after="0"/>
              <w:rPr>
                <w:sz w:val="22"/>
                <w:szCs w:val="22"/>
                <w:color w:val="auto"/>
              </w:rPr>
            </w:pPr>
          </w:p>
        </w:tc>
        <w:tc>
          <w:tcPr>
            <w:tcW w:w="20" w:type="dxa"/>
            <w:vAlign w:val="bottom"/>
            <w:tcBorders>
              <w:top w:val="single" w:sz="8" w:color="D4EFF4"/>
              <w:bottom w:val="single" w:sz="8" w:color="auto"/>
            </w:tcBorders>
          </w:tcPr>
          <w:p>
            <w:pPr>
              <w:spacing w:after="0"/>
              <w:rPr>
                <w:sz w:val="22"/>
                <w:szCs w:val="22"/>
                <w:color w:val="auto"/>
              </w:rPr>
            </w:pPr>
          </w:p>
        </w:tc>
        <w:tc>
          <w:tcPr>
            <w:tcW w:w="180" w:type="dxa"/>
            <w:vAlign w:val="bottom"/>
            <w:tcBorders>
              <w:top w:val="single" w:sz="8" w:color="auto"/>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(17)</w:t>
            </w:r>
          </w:p>
        </w:tc>
        <w:tc>
          <w:tcPr>
            <w:tcW w:w="20" w:type="dxa"/>
            <w:vAlign w:val="bottom"/>
            <w:tcBorders>
              <w:top w:val="single" w:sz="8" w:color="D4EFF4"/>
            </w:tcBorders>
          </w:tcPr>
          <w:p>
            <w:pPr>
              <w:spacing w:after="0"/>
              <w:rPr>
                <w:sz w:val="22"/>
                <w:szCs w:val="22"/>
                <w:color w:val="auto"/>
              </w:rPr>
            </w:pPr>
          </w:p>
        </w:tc>
      </w:tr>
      <w:tr>
        <w:trPr>
          <w:trHeight w:val="229"/>
        </w:trPr>
        <w:tc>
          <w:tcPr>
            <w:tcW w:w="3580" w:type="dxa"/>
            <w:vAlign w:val="bottom"/>
            <w:gridSpan w:val="2"/>
            <w:shd w:val="clear" w:color="auto" w:fill="D4EFF4"/>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EBITDA</w:t>
            </w:r>
            <w:r>
              <w:rPr>
                <w:rFonts w:ascii="Times New Roman" w:cs="Times New Roman" w:eastAsia="Times New Roman" w:hAnsi="Times New Roman"/>
                <w:sz w:val="25"/>
                <w:szCs w:val="25"/>
                <w:b w:val="1"/>
                <w:bCs w:val="1"/>
                <w:color w:val="auto"/>
                <w:vertAlign w:val="superscript"/>
              </w:rPr>
              <w:t>(i)</w:t>
            </w:r>
          </w:p>
        </w:tc>
        <w:tc>
          <w:tcPr>
            <w:tcW w:w="80" w:type="dxa"/>
            <w:vAlign w:val="bottom"/>
            <w:gridSpan w:val="4"/>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94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r>
      <w:tr>
        <w:trPr>
          <w:trHeight w:val="244"/>
        </w:trPr>
        <w:tc>
          <w:tcPr>
            <w:tcW w:w="36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Life Sciences</w:t>
            </w:r>
          </w:p>
        </w:tc>
        <w:tc>
          <w:tcPr>
            <w:tcW w:w="140" w:type="dxa"/>
            <w:vAlign w:val="bottom"/>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1"/>
                <w:szCs w:val="21"/>
                <w:color w:val="auto"/>
              </w:rPr>
            </w:pPr>
          </w:p>
        </w:tc>
      </w:tr>
      <w:tr>
        <w:trPr>
          <w:trHeight w:val="244"/>
        </w:trPr>
        <w:tc>
          <w:tcPr>
            <w:tcW w:w="3660" w:type="dxa"/>
            <w:vAlign w:val="bottom"/>
            <w:gridSpan w:val="6"/>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Personal Care</w:t>
            </w:r>
          </w:p>
        </w:tc>
        <w:tc>
          <w:tcPr>
            <w:tcW w:w="14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152</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137</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6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9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r>
      <w:tr>
        <w:trPr>
          <w:trHeight w:val="244"/>
        </w:trPr>
        <w:tc>
          <w:tcPr>
            <w:tcW w:w="36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Specialty Additives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660" w:type="dxa"/>
            <w:vAlign w:val="bottom"/>
            <w:gridSpan w:val="6"/>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Intermediates</w:t>
            </w:r>
          </w:p>
        </w:tc>
        <w:tc>
          <w:tcPr>
            <w:tcW w:w="14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63</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shd w:val="clear" w:color="auto" w:fill="D4EFF4"/>
          </w:tcPr>
          <w:p>
            <w:pPr>
              <w:spacing w:after="0"/>
              <w:rPr>
                <w:sz w:val="21"/>
                <w:szCs w:val="21"/>
                <w:color w:val="auto"/>
              </w:rPr>
            </w:pPr>
          </w:p>
        </w:tc>
      </w:tr>
      <w:tr>
        <w:trPr>
          <w:trHeight w:val="244"/>
        </w:trPr>
        <w:tc>
          <w:tcPr>
            <w:tcW w:w="36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Unallocated and Other</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(152)</w:t>
            </w:r>
          </w:p>
        </w:tc>
        <w:tc>
          <w:tcPr>
            <w:tcW w:w="20" w:type="dxa"/>
            <w:vAlign w:val="bottom"/>
          </w:tcPr>
          <w:p>
            <w:pPr>
              <w:spacing w:after="0"/>
              <w:rPr>
                <w:sz w:val="21"/>
                <w:szCs w:val="21"/>
                <w:color w:val="auto"/>
              </w:rPr>
            </w:pPr>
          </w:p>
        </w:tc>
      </w:tr>
      <w:tr>
        <w:trPr>
          <w:trHeight w:val="259"/>
        </w:trPr>
        <w:tc>
          <w:tcPr>
            <w:tcW w:w="356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D4EFF4"/>
              <w:bottom w:val="single" w:sz="8" w:color="auto"/>
            </w:tcBorders>
            <w:shd w:val="clear" w:color="auto" w:fill="D4EFF4"/>
          </w:tcPr>
          <w:p>
            <w:pPr>
              <w:spacing w:after="0"/>
              <w:rPr>
                <w:sz w:val="22"/>
                <w:szCs w:val="22"/>
                <w:color w:val="auto"/>
              </w:rPr>
            </w:pPr>
          </w:p>
        </w:tc>
        <w:tc>
          <w:tcPr>
            <w:tcW w:w="20" w:type="dxa"/>
            <w:vAlign w:val="bottom"/>
            <w:tcBorders>
              <w:top w:val="single" w:sz="8" w:color="D4EFF4"/>
              <w:bottom w:val="single" w:sz="8" w:color="auto"/>
            </w:tcBorders>
            <w:shd w:val="clear" w:color="auto" w:fill="D4EFF4"/>
          </w:tcPr>
          <w:p>
            <w:pPr>
              <w:spacing w:after="0"/>
              <w:rPr>
                <w:sz w:val="22"/>
                <w:szCs w:val="22"/>
                <w:color w:val="auto"/>
              </w:rPr>
            </w:pPr>
          </w:p>
        </w:tc>
        <w:tc>
          <w:tcPr>
            <w:tcW w:w="20" w:type="dxa"/>
            <w:vAlign w:val="bottom"/>
            <w:tcBorders>
              <w:top w:val="single" w:sz="8" w:color="D4EFF4"/>
              <w:bottom w:val="single" w:sz="8" w:color="auto"/>
            </w:tcBorders>
            <w:shd w:val="clear" w:color="auto" w:fill="D4EFF4"/>
          </w:tcPr>
          <w:p>
            <w:pPr>
              <w:spacing w:after="0"/>
              <w:rPr>
                <w:sz w:val="22"/>
                <w:szCs w:val="22"/>
                <w:color w:val="auto"/>
              </w:rPr>
            </w:pPr>
          </w:p>
        </w:tc>
        <w:tc>
          <w:tcPr>
            <w:tcW w:w="20" w:type="dxa"/>
            <w:vAlign w:val="bottom"/>
            <w:tcBorders>
              <w:top w:val="single" w:sz="8" w:color="D4EFF4"/>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140" w:type="dxa"/>
            <w:vAlign w:val="bottom"/>
            <w:tcBorders>
              <w:top w:val="single" w:sz="8" w:color="auto"/>
              <w:bottom w:val="single" w:sz="8" w:color="auto"/>
            </w:tcBorders>
            <w:shd w:val="clear" w:color="auto" w:fill="D4EFF4"/>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12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160" w:type="dxa"/>
            <w:vAlign w:val="bottom"/>
            <w:tcBorders>
              <w:top w:val="single" w:sz="8" w:color="auto"/>
              <w:bottom w:val="single" w:sz="8" w:color="auto"/>
            </w:tcBorders>
            <w:shd w:val="clear" w:color="auto" w:fill="D4EFF4"/>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248</w:t>
            </w:r>
          </w:p>
        </w:tc>
        <w:tc>
          <w:tcPr>
            <w:tcW w:w="12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140" w:type="dxa"/>
            <w:vAlign w:val="bottom"/>
            <w:tcBorders>
              <w:top w:val="single" w:sz="8" w:color="auto"/>
              <w:bottom w:val="single" w:sz="8" w:color="auto"/>
            </w:tcBorders>
            <w:shd w:val="clear" w:color="auto" w:fill="D4EFF4"/>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415</w:t>
            </w:r>
          </w:p>
        </w:tc>
        <w:tc>
          <w:tcPr>
            <w:tcW w:w="12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100" w:type="dxa"/>
            <w:vAlign w:val="bottom"/>
            <w:tcBorders>
              <w:top w:val="single" w:sz="8" w:color="auto"/>
              <w:bottom w:val="single" w:sz="8" w:color="auto"/>
            </w:tcBorders>
            <w:shd w:val="clear" w:color="auto" w:fill="D4EFF4"/>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106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120" w:type="dxa"/>
            <w:vAlign w:val="bottom"/>
            <w:tcBorders>
              <w:top w:val="single" w:sz="8" w:color="D4EFF4"/>
              <w:bottom w:val="single" w:sz="8" w:color="D4EFF4"/>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20" w:type="dxa"/>
            <w:vAlign w:val="bottom"/>
            <w:tcBorders>
              <w:top w:val="single" w:sz="8" w:color="auto"/>
              <w:bottom w:val="single" w:sz="8" w:color="auto"/>
            </w:tcBorders>
            <w:shd w:val="clear" w:color="auto" w:fill="D4EFF4"/>
          </w:tcPr>
          <w:p>
            <w:pPr>
              <w:spacing w:after="0"/>
              <w:rPr>
                <w:sz w:val="22"/>
                <w:szCs w:val="22"/>
                <w:color w:val="auto"/>
              </w:rPr>
            </w:pPr>
          </w:p>
        </w:tc>
        <w:tc>
          <w:tcPr>
            <w:tcW w:w="120" w:type="dxa"/>
            <w:vAlign w:val="bottom"/>
            <w:tcBorders>
              <w:top w:val="single" w:sz="8" w:color="auto"/>
              <w:bottom w:val="single" w:sz="8" w:color="auto"/>
            </w:tcBorders>
            <w:shd w:val="clear" w:color="auto" w:fill="D4EFF4"/>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(167)</w:t>
            </w:r>
          </w:p>
        </w:tc>
        <w:tc>
          <w:tcPr>
            <w:tcW w:w="20" w:type="dxa"/>
            <w:vAlign w:val="bottom"/>
            <w:tcBorders>
              <w:bottom w:val="single" w:sz="8" w:color="D4EFF4"/>
            </w:tcBorders>
            <w:shd w:val="clear" w:color="auto" w:fill="D4EFF4"/>
          </w:tcPr>
          <w:p>
            <w:pPr>
              <w:spacing w:after="0"/>
              <w:rPr>
                <w:sz w:val="22"/>
                <w:szCs w:val="22"/>
                <w:color w:val="auto"/>
              </w:rPr>
            </w:pPr>
          </w:p>
        </w:tc>
      </w:tr>
      <w:tr>
        <w:trPr>
          <w:trHeight w:val="20"/>
        </w:trPr>
        <w:tc>
          <w:tcPr>
            <w:tcW w:w="3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
        </w:trPr>
        <w:tc>
          <w:tcPr>
            <w:tcW w:w="3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-5698490</wp:posOffset>
            </wp:positionV>
            <wp:extent cx="649541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01">
                      <a:extLst>
                        <a:ext uri="{28A0092B-C50C-407E-A947-70E740481C1C}"/>
                      </a:extLst>
                    </a:blip>
                    <a:srcRect/>
                    <a:stretch>
                      <a:fillRect/>
                    </a:stretch>
                  </pic:blipFill>
                  <pic:spPr bwMode="auto">
                    <a:xfrm>
                      <a:off x="0" y="0"/>
                      <a:ext cx="649541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9541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02">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pacing w:after="0" w:line="5" w:lineRule="exact"/>
        <w:rPr>
          <w:sz w:val="20"/>
          <w:szCs w:val="20"/>
          <w:color w:val="auto"/>
        </w:rPr>
      </w:pPr>
    </w:p>
    <w:p>
      <w:pPr>
        <w:ind w:left="566" w:hanging="566"/>
        <w:spacing w:after="0" w:line="266" w:lineRule="auto"/>
        <w:tabs>
          <w:tab w:leader="none" w:pos="5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Intersegment sales from Intermediates are accounted for at prices that approximate market value. All other intersegment sales are accounted for at cost.</w:t>
      </w:r>
    </w:p>
    <w:p>
      <w:pPr>
        <w:ind w:left="566" w:hanging="566"/>
        <w:spacing w:after="0"/>
        <w:tabs>
          <w:tab w:leader="none" w:pos="5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goodwill impairment of $375 million for Life Sciences in 2025.</w:t>
      </w:r>
    </w:p>
    <w:p>
      <w:pPr>
        <w:spacing w:after="0" w:line="4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capital project impairment charge of $11 million for Personal Care in 2024.</w:t>
      </w:r>
    </w:p>
    <w:p>
      <w:pPr>
        <w:spacing w:after="0" w:line="4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goodwill impairment of $331 million in 2025 and a $4 million impairment charge related to a facility in 2023 for Specialty Additives.</w:t>
      </w:r>
    </w:p>
    <w:p>
      <w:pPr>
        <w:spacing w:after="0" w:line="39" w:lineRule="exact"/>
        <w:rPr>
          <w:rFonts w:ascii="Times New Roman" w:cs="Times New Roman" w:eastAsia="Times New Roman" w:hAnsi="Times New Roman"/>
          <w:sz w:val="16"/>
          <w:szCs w:val="16"/>
          <w:color w:val="auto"/>
        </w:rPr>
      </w:pPr>
    </w:p>
    <w:p>
      <w:pPr>
        <w:jc w:val="both"/>
        <w:ind w:left="566" w:hanging="566"/>
        <w:spacing w:after="0" w:line="257" w:lineRule="auto"/>
        <w:tabs>
          <w:tab w:leader="none" w:pos="5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$8 million gain on sale and a $183 million impairment charge related to the divestiture of the Avoca business in 2025, and a $8 million loss on sale and a $99 million impairment charge related to the divestiture of the Nutraceuticals business in 2024 within the income (loss) on acquisitions and divestitures, net.</w:t>
      </w:r>
    </w:p>
    <w:p>
      <w:pPr>
        <w:spacing w:after="0" w:line="1"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includes accelerated depreciation of $21 million for Life Sciences in 2025.</w:t>
      </w:r>
    </w:p>
    <w:p>
      <w:pPr>
        <w:spacing w:after="0" w:line="4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includes accelerated depreciation of $1 million and $2 million for Personal Care in 2025 and 2024, respectively.</w:t>
      </w:r>
    </w:p>
    <w:p>
      <w:pPr>
        <w:spacing w:after="0" w:line="4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includes accelerated depreciation of $19 million and $55 million for Specialty Additives in 2025 and 2024, respectively.</w:t>
      </w:r>
    </w:p>
    <w:p>
      <w:pPr>
        <w:spacing w:after="0" w:line="40" w:lineRule="exact"/>
        <w:rPr>
          <w:rFonts w:ascii="Times New Roman" w:cs="Times New Roman" w:eastAsia="Times New Roman" w:hAnsi="Times New Roman"/>
          <w:sz w:val="16"/>
          <w:szCs w:val="16"/>
          <w:color w:val="auto"/>
        </w:rPr>
      </w:pPr>
    </w:p>
    <w:p>
      <w:pPr>
        <w:ind w:left="566" w:hanging="566"/>
        <w:spacing w:after="0" w:line="277" w:lineRule="auto"/>
        <w:tabs>
          <w:tab w:leader="none" w:pos="5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income (loss) from discontinued operations, net of income taxes and other net periodic benefit loss. See the Statements of Consolidated Comprehensive Income (Loss) for applicable amounts excluded.</w:t>
      </w:r>
    </w:p>
    <w:p>
      <w:pPr>
        <w:sectPr>
          <w:pgSz w:w="12240" w:h="15840" w:orient="portrait"/>
          <w:cols w:equalWidth="0" w:num="1">
            <w:col w:w="10246"/>
          </w:cols>
          <w:pgMar w:left="994" w:top="988"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M-18</w:t>
      </w:r>
    </w:p>
    <w:p>
      <w:pPr>
        <w:sectPr>
          <w:pgSz w:w="12240" w:h="15840" w:orient="portrait"/>
          <w:cols w:equalWidth="0" w:num="1">
            <w:col w:w="10246"/>
          </w:cols>
          <w:pgMar w:left="994" w:top="988" w:right="1000" w:bottom="186"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Life Sciences</w:t>
      </w:r>
    </w:p>
    <w:p>
      <w:pPr>
        <w:spacing w:after="0" w:line="17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manufacturers. The Nutraceuticals business was sold in August 2024. See Note B of the Notes to Consolidated Financial Statements for more information.</w:t>
      </w:r>
    </w:p>
    <w:p>
      <w:pPr>
        <w:spacing w:after="0" w:line="8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Life Sciences between fiscal years 2025 and 2024 and between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652970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03">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0" w:type="dxa"/>
            <w:vAlign w:val="bottom"/>
          </w:tcPr>
          <w:p>
            <w:pPr>
              <w:spacing w:after="0"/>
              <w:rPr>
                <w:sz w:val="21"/>
                <w:szCs w:val="21"/>
                <w:color w:val="auto"/>
              </w:rPr>
            </w:pPr>
          </w:p>
        </w:tc>
        <w:tc>
          <w:tcPr>
            <w:tcW w:w="17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 change</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2024 change</w:t>
            </w:r>
          </w:p>
        </w:tc>
      </w:tr>
      <w:tr>
        <w:trPr>
          <w:trHeight w:val="239"/>
        </w:trPr>
        <w:tc>
          <w:tcPr>
            <w:tcW w:w="59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Sales change</w:t>
            </w:r>
          </w:p>
        </w:tc>
        <w:tc>
          <w:tcPr>
            <w:tcW w:w="280" w:type="dxa"/>
            <w:vAlign w:val="bottom"/>
            <w:shd w:val="clear" w:color="auto" w:fill="D4EFF4"/>
          </w:tcPr>
          <w:p>
            <w:pPr>
              <w:spacing w:after="0"/>
              <w:rPr>
                <w:sz w:val="20"/>
                <w:szCs w:val="20"/>
                <w:color w:val="auto"/>
              </w:rPr>
            </w:pPr>
          </w:p>
        </w:tc>
        <w:tc>
          <w:tcPr>
            <w:tcW w:w="1780" w:type="dxa"/>
            <w:vAlign w:val="bottom"/>
            <w:shd w:val="clear" w:color="auto" w:fill="D4EFF4"/>
          </w:tcPr>
          <w:p>
            <w:pPr>
              <w:spacing w:after="0"/>
              <w:rPr>
                <w:sz w:val="20"/>
                <w:szCs w:val="20"/>
                <w:color w:val="auto"/>
              </w:rPr>
            </w:pPr>
          </w:p>
        </w:tc>
        <w:tc>
          <w:tcPr>
            <w:tcW w:w="200" w:type="dxa"/>
            <w:vAlign w:val="bottom"/>
            <w:shd w:val="clear" w:color="auto" w:fill="D4EFF4"/>
          </w:tcPr>
          <w:p>
            <w:pPr>
              <w:spacing w:after="0"/>
              <w:rPr>
                <w:sz w:val="20"/>
                <w:szCs w:val="20"/>
                <w:color w:val="auto"/>
              </w:rPr>
            </w:pPr>
          </w:p>
        </w:tc>
        <w:tc>
          <w:tcPr>
            <w:tcW w:w="280" w:type="dxa"/>
            <w:vAlign w:val="bottom"/>
            <w:shd w:val="clear" w:color="auto" w:fill="D4EFF4"/>
          </w:tcPr>
          <w:p>
            <w:pPr>
              <w:spacing w:after="0"/>
              <w:rPr>
                <w:sz w:val="20"/>
                <w:szCs w:val="20"/>
                <w:color w:val="auto"/>
              </w:rPr>
            </w:pPr>
          </w:p>
        </w:tc>
        <w:tc>
          <w:tcPr>
            <w:tcW w:w="1660" w:type="dxa"/>
            <w:vAlign w:val="bottom"/>
            <w:shd w:val="clear" w:color="auto" w:fill="D4EFF4"/>
          </w:tcPr>
          <w:p>
            <w:pPr>
              <w:spacing w:after="0"/>
              <w:rPr>
                <w:sz w:val="20"/>
                <w:szCs w:val="20"/>
                <w:color w:val="auto"/>
              </w:rPr>
            </w:pPr>
          </w:p>
        </w:tc>
        <w:tc>
          <w:tcPr>
            <w:tcW w:w="80" w:type="dxa"/>
            <w:vAlign w:val="bottom"/>
            <w:tcBorders>
              <w:top w:val="single" w:sz="8" w:color="auto"/>
            </w:tcBorders>
            <w:shd w:val="clear" w:color="auto" w:fill="D4EFF4"/>
          </w:tcPr>
          <w:p>
            <w:pPr>
              <w:spacing w:after="0"/>
              <w:rPr>
                <w:sz w:val="20"/>
                <w:szCs w:val="20"/>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Divestiture</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Volume</w:t>
            </w:r>
          </w:p>
        </w:tc>
        <w:tc>
          <w:tcPr>
            <w:tcW w:w="280" w:type="dxa"/>
            <w:vAlign w:val="bottom"/>
            <w:shd w:val="clear" w:color="auto" w:fill="D4EFF4"/>
          </w:tcPr>
          <w:p>
            <w:pPr>
              <w:spacing w:after="0"/>
              <w:rPr>
                <w:sz w:val="21"/>
                <w:szCs w:val="21"/>
                <w:color w:val="auto"/>
              </w:rPr>
            </w:pPr>
          </w:p>
        </w:tc>
        <w:tc>
          <w:tcPr>
            <w:tcW w:w="17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00" w:type="dxa"/>
            <w:vAlign w:val="bottom"/>
            <w:shd w:val="clear" w:color="auto" w:fill="D4EFF4"/>
          </w:tcPr>
          <w:p>
            <w:pPr>
              <w:spacing w:after="0"/>
              <w:rPr>
                <w:sz w:val="21"/>
                <w:szCs w:val="21"/>
                <w:color w:val="auto"/>
              </w:rPr>
            </w:pPr>
          </w:p>
        </w:tc>
        <w:tc>
          <w:tcPr>
            <w:tcW w:w="280" w:type="dxa"/>
            <w:vAlign w:val="bottom"/>
            <w:shd w:val="clear" w:color="auto" w:fill="D4EFF4"/>
          </w:tcPr>
          <w:p>
            <w:pPr>
              <w:spacing w:after="0"/>
              <w:rPr>
                <w:sz w:val="21"/>
                <w:szCs w:val="21"/>
                <w:color w:val="auto"/>
              </w:rPr>
            </w:pPr>
          </w:p>
        </w:tc>
        <w:tc>
          <w:tcPr>
            <w:tcW w:w="174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(46)</w:t>
            </w: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Price/mix</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w:t>
            </w:r>
          </w:p>
        </w:tc>
      </w:tr>
      <w:tr>
        <w:trPr>
          <w:trHeight w:val="264"/>
        </w:trPr>
        <w:tc>
          <w:tcPr>
            <w:tcW w:w="59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Foreign Currency</w:t>
            </w:r>
          </w:p>
        </w:tc>
        <w:tc>
          <w:tcPr>
            <w:tcW w:w="280" w:type="dxa"/>
            <w:vAlign w:val="bottom"/>
            <w:tcBorders>
              <w:bottom w:val="single" w:sz="8" w:color="auto"/>
            </w:tcBorders>
            <w:shd w:val="clear" w:color="auto" w:fill="D4EFF4"/>
          </w:tcPr>
          <w:p>
            <w:pPr>
              <w:spacing w:after="0"/>
              <w:rPr>
                <w:sz w:val="22"/>
                <w:szCs w:val="22"/>
                <w:color w:val="auto"/>
              </w:rPr>
            </w:pPr>
          </w:p>
        </w:tc>
        <w:tc>
          <w:tcPr>
            <w:tcW w:w="178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Borders>
              <w:bottom w:val="single" w:sz="8" w:color="D4EFF4"/>
            </w:tcBorders>
            <w:shd w:val="clear" w:color="auto" w:fill="D4EFF4"/>
          </w:tcPr>
          <w:p>
            <w:pPr>
              <w:spacing w:after="0"/>
              <w:rPr>
                <w:sz w:val="22"/>
                <w:szCs w:val="22"/>
                <w:color w:val="auto"/>
              </w:rPr>
            </w:pPr>
          </w:p>
        </w:tc>
        <w:tc>
          <w:tcPr>
            <w:tcW w:w="280" w:type="dxa"/>
            <w:vAlign w:val="bottom"/>
            <w:tcBorders>
              <w:bottom w:val="single" w:sz="8" w:color="auto"/>
            </w:tcBorders>
            <w:shd w:val="clear" w:color="auto" w:fill="D4EFF4"/>
          </w:tcPr>
          <w:p>
            <w:pPr>
              <w:spacing w:after="0"/>
              <w:rPr>
                <w:sz w:val="22"/>
                <w:szCs w:val="22"/>
                <w:color w:val="auto"/>
              </w:rPr>
            </w:pPr>
          </w:p>
        </w:tc>
        <w:tc>
          <w:tcPr>
            <w:tcW w:w="16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shd w:val="clear" w:color="auto" w:fill="D4EFF4"/>
          </w:tcPr>
          <w:p>
            <w:pPr>
              <w:spacing w:after="0"/>
              <w:rPr>
                <w:sz w:val="22"/>
                <w:szCs w:val="22"/>
                <w:color w:val="auto"/>
              </w:rPr>
            </w:pPr>
          </w:p>
        </w:tc>
      </w:tr>
      <w:tr>
        <w:trPr>
          <w:trHeight w:val="219"/>
        </w:trPr>
        <w:tc>
          <w:tcPr>
            <w:tcW w:w="596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(169)</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(59)</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5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-1053465</wp:posOffset>
            </wp:positionV>
            <wp:extent cx="649414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04">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-23495</wp:posOffset>
            </wp:positionV>
            <wp:extent cx="649414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05">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(loss) for Life Sciences between fiscal years 2025 and 2024 and between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652970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06">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0" w:type="dxa"/>
            <w:vAlign w:val="bottom"/>
          </w:tcPr>
          <w:p>
            <w:pPr>
              <w:spacing w:after="0"/>
              <w:rPr>
                <w:sz w:val="21"/>
                <w:szCs w:val="21"/>
                <w:color w:val="auto"/>
              </w:rPr>
            </w:pPr>
          </w:p>
        </w:tc>
        <w:tc>
          <w:tcPr>
            <w:tcW w:w="17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 change</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2024 change</w:t>
            </w:r>
          </w:p>
        </w:tc>
      </w:tr>
      <w:tr>
        <w:trPr>
          <w:trHeight w:val="239"/>
        </w:trPr>
        <w:tc>
          <w:tcPr>
            <w:tcW w:w="59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Operating income (loss) change</w:t>
            </w:r>
          </w:p>
        </w:tc>
        <w:tc>
          <w:tcPr>
            <w:tcW w:w="280" w:type="dxa"/>
            <w:vAlign w:val="bottom"/>
            <w:shd w:val="clear" w:color="auto" w:fill="D4EFF4"/>
          </w:tcPr>
          <w:p>
            <w:pPr>
              <w:spacing w:after="0"/>
              <w:rPr>
                <w:sz w:val="20"/>
                <w:szCs w:val="20"/>
                <w:color w:val="auto"/>
              </w:rPr>
            </w:pPr>
          </w:p>
        </w:tc>
        <w:tc>
          <w:tcPr>
            <w:tcW w:w="1780" w:type="dxa"/>
            <w:vAlign w:val="bottom"/>
            <w:shd w:val="clear" w:color="auto" w:fill="D4EFF4"/>
          </w:tcPr>
          <w:p>
            <w:pPr>
              <w:spacing w:after="0"/>
              <w:rPr>
                <w:sz w:val="20"/>
                <w:szCs w:val="20"/>
                <w:color w:val="auto"/>
              </w:rPr>
            </w:pPr>
          </w:p>
        </w:tc>
        <w:tc>
          <w:tcPr>
            <w:tcW w:w="200" w:type="dxa"/>
            <w:vAlign w:val="bottom"/>
            <w:shd w:val="clear" w:color="auto" w:fill="D4EFF4"/>
          </w:tcPr>
          <w:p>
            <w:pPr>
              <w:spacing w:after="0"/>
              <w:rPr>
                <w:sz w:val="20"/>
                <w:szCs w:val="20"/>
                <w:color w:val="auto"/>
              </w:rPr>
            </w:pPr>
          </w:p>
        </w:tc>
        <w:tc>
          <w:tcPr>
            <w:tcW w:w="280" w:type="dxa"/>
            <w:vAlign w:val="bottom"/>
            <w:shd w:val="clear" w:color="auto" w:fill="D4EFF4"/>
          </w:tcPr>
          <w:p>
            <w:pPr>
              <w:spacing w:after="0"/>
              <w:rPr>
                <w:sz w:val="20"/>
                <w:szCs w:val="20"/>
                <w:color w:val="auto"/>
              </w:rPr>
            </w:pPr>
          </w:p>
        </w:tc>
        <w:tc>
          <w:tcPr>
            <w:tcW w:w="1660" w:type="dxa"/>
            <w:vAlign w:val="bottom"/>
            <w:shd w:val="clear" w:color="auto" w:fill="D4EFF4"/>
          </w:tcPr>
          <w:p>
            <w:pPr>
              <w:spacing w:after="0"/>
              <w:rPr>
                <w:sz w:val="20"/>
                <w:szCs w:val="20"/>
                <w:color w:val="auto"/>
              </w:rPr>
            </w:pPr>
          </w:p>
        </w:tc>
        <w:tc>
          <w:tcPr>
            <w:tcW w:w="80" w:type="dxa"/>
            <w:vAlign w:val="bottom"/>
            <w:tcBorders>
              <w:top w:val="single" w:sz="8" w:color="auto"/>
            </w:tcBorders>
            <w:shd w:val="clear" w:color="auto" w:fill="D4EFF4"/>
          </w:tcPr>
          <w:p>
            <w:pPr>
              <w:spacing w:after="0"/>
              <w:rPr>
                <w:sz w:val="20"/>
                <w:szCs w:val="20"/>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Goodwill impairment</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Cost</w:t>
            </w:r>
          </w:p>
        </w:tc>
        <w:tc>
          <w:tcPr>
            <w:tcW w:w="280" w:type="dxa"/>
            <w:vAlign w:val="bottom"/>
            <w:shd w:val="clear" w:color="auto" w:fill="D4EFF4"/>
          </w:tcPr>
          <w:p>
            <w:pPr>
              <w:spacing w:after="0"/>
              <w:rPr>
                <w:sz w:val="21"/>
                <w:szCs w:val="21"/>
                <w:color w:val="auto"/>
              </w:rPr>
            </w:pPr>
          </w:p>
        </w:tc>
        <w:tc>
          <w:tcPr>
            <w:tcW w:w="17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shd w:val="clear" w:color="auto" w:fill="D4EFF4"/>
          </w:tcPr>
          <w:p>
            <w:pPr>
              <w:spacing w:after="0"/>
              <w:rPr>
                <w:sz w:val="21"/>
                <w:szCs w:val="21"/>
                <w:color w:val="auto"/>
              </w:rPr>
            </w:pPr>
          </w:p>
        </w:tc>
        <w:tc>
          <w:tcPr>
            <w:tcW w:w="280" w:type="dxa"/>
            <w:vAlign w:val="bottom"/>
            <w:shd w:val="clear" w:color="auto" w:fill="D4EFF4"/>
          </w:tcPr>
          <w:p>
            <w:pPr>
              <w:spacing w:after="0"/>
              <w:rPr>
                <w:sz w:val="21"/>
                <w:szCs w:val="21"/>
                <w:color w:val="auto"/>
              </w:rPr>
            </w:pPr>
          </w:p>
        </w:tc>
        <w:tc>
          <w:tcPr>
            <w:tcW w:w="16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shd w:val="clear" w:color="auto" w:fill="D4EFF4"/>
          </w:tcPr>
          <w:p>
            <w:pPr>
              <w:spacing w:after="0"/>
              <w:rPr>
                <w:sz w:val="21"/>
                <w:szCs w:val="21"/>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Price/mix</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1"/>
                <w:szCs w:val="21"/>
                <w:color w:val="auto"/>
              </w:rPr>
            </w:pPr>
          </w:p>
        </w:tc>
      </w:tr>
      <w:tr>
        <w:trPr>
          <w:trHeight w:val="244"/>
        </w:trPr>
        <w:tc>
          <w:tcPr>
            <w:tcW w:w="59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Volume</w:t>
            </w:r>
          </w:p>
        </w:tc>
        <w:tc>
          <w:tcPr>
            <w:tcW w:w="280" w:type="dxa"/>
            <w:vAlign w:val="bottom"/>
            <w:shd w:val="clear" w:color="auto" w:fill="D4EFF4"/>
          </w:tcPr>
          <w:p>
            <w:pPr>
              <w:spacing w:after="0"/>
              <w:rPr>
                <w:sz w:val="21"/>
                <w:szCs w:val="21"/>
                <w:color w:val="auto"/>
              </w:rPr>
            </w:pPr>
          </w:p>
        </w:tc>
        <w:tc>
          <w:tcPr>
            <w:tcW w:w="17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0" w:type="dxa"/>
            <w:vAlign w:val="bottom"/>
            <w:shd w:val="clear" w:color="auto" w:fill="D4EFF4"/>
          </w:tcPr>
          <w:p>
            <w:pPr>
              <w:spacing w:after="0"/>
              <w:rPr>
                <w:sz w:val="21"/>
                <w:szCs w:val="21"/>
                <w:color w:val="auto"/>
              </w:rPr>
            </w:pPr>
          </w:p>
        </w:tc>
        <w:tc>
          <w:tcPr>
            <w:tcW w:w="280" w:type="dxa"/>
            <w:vAlign w:val="bottom"/>
            <w:shd w:val="clear" w:color="auto" w:fill="D4EFF4"/>
          </w:tcPr>
          <w:p>
            <w:pPr>
              <w:spacing w:after="0"/>
              <w:rPr>
                <w:sz w:val="21"/>
                <w:szCs w:val="21"/>
                <w:color w:val="auto"/>
              </w:rPr>
            </w:pPr>
          </w:p>
        </w:tc>
        <w:tc>
          <w:tcPr>
            <w:tcW w:w="174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Divestiture</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9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Foreign Currency</w:t>
            </w:r>
          </w:p>
        </w:tc>
        <w:tc>
          <w:tcPr>
            <w:tcW w:w="280" w:type="dxa"/>
            <w:vAlign w:val="bottom"/>
            <w:tcBorders>
              <w:bottom w:val="single" w:sz="8" w:color="auto"/>
            </w:tcBorders>
            <w:shd w:val="clear" w:color="auto" w:fill="D4EFF4"/>
          </w:tcPr>
          <w:p>
            <w:pPr>
              <w:spacing w:after="0"/>
              <w:rPr>
                <w:sz w:val="22"/>
                <w:szCs w:val="22"/>
                <w:color w:val="auto"/>
              </w:rPr>
            </w:pPr>
          </w:p>
        </w:tc>
        <w:tc>
          <w:tcPr>
            <w:tcW w:w="178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Borders>
              <w:bottom w:val="single" w:sz="8" w:color="D4EFF4"/>
            </w:tcBorders>
            <w:shd w:val="clear" w:color="auto" w:fill="D4EFF4"/>
          </w:tcPr>
          <w:p>
            <w:pPr>
              <w:spacing w:after="0"/>
              <w:rPr>
                <w:sz w:val="22"/>
                <w:szCs w:val="22"/>
                <w:color w:val="auto"/>
              </w:rPr>
            </w:pPr>
          </w:p>
        </w:tc>
        <w:tc>
          <w:tcPr>
            <w:tcW w:w="280" w:type="dxa"/>
            <w:vAlign w:val="bottom"/>
            <w:tcBorders>
              <w:bottom w:val="single" w:sz="8" w:color="auto"/>
            </w:tcBorders>
            <w:shd w:val="clear" w:color="auto" w:fill="D4EFF4"/>
          </w:tcPr>
          <w:p>
            <w:pPr>
              <w:spacing w:after="0"/>
              <w:rPr>
                <w:sz w:val="22"/>
                <w:szCs w:val="22"/>
                <w:color w:val="auto"/>
              </w:rPr>
            </w:pPr>
          </w:p>
        </w:tc>
        <w:tc>
          <w:tcPr>
            <w:tcW w:w="16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Borders>
              <w:bottom w:val="single" w:sz="8" w:color="auto"/>
            </w:tcBorders>
            <w:shd w:val="clear" w:color="auto" w:fill="D4EFF4"/>
          </w:tcPr>
          <w:p>
            <w:pPr>
              <w:spacing w:after="0"/>
              <w:rPr>
                <w:sz w:val="22"/>
                <w:szCs w:val="22"/>
                <w:color w:val="auto"/>
              </w:rPr>
            </w:pPr>
          </w:p>
        </w:tc>
      </w:tr>
      <w:tr>
        <w:trPr>
          <w:trHeight w:val="219"/>
        </w:trPr>
        <w:tc>
          <w:tcPr>
            <w:tcW w:w="596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(430)</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(4)</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5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-1363345</wp:posOffset>
            </wp:positionV>
            <wp:extent cx="649414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07">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-23495</wp:posOffset>
            </wp:positionV>
            <wp:extent cx="649414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08">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64"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financial measures is defined as follows: EBITDA (operating income (loss) plus depreciation and amortization), Adjusted EBITDA (EBITDA adjusted for key items as applicable), and Adjusted EBITDA margin (Adjusted EBITDA divided by sales). Ashland does not allocate items to each reportable segment below operating income (loss), such as interest expense and income taxes. As a result, reportable segment EBITDA and Adjusted EBITDA are reconciled directly to operating income (loss) since it is the most directly comparable Statements of Consolidated Comprehensive Income (Loss) caption.</w:t>
      </w:r>
    </w:p>
    <w:p>
      <w:pPr>
        <w:spacing w:after="0" w:line="82"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The following EBITDA presentation for the years ended September 30, 2025, 2024 and 2023, is provided as a means to enhance the understanding of financial measurements that Ashland has internally determined to be relevant measures of comparison for the results of Life Sciences. There were key items for the years ended September 30, 2025, 2024 and 2023. These items are listed below and described within the "Use of Non-GAAP Financial Measures" section above.</w:t>
      </w:r>
    </w:p>
    <w:p>
      <w:pPr>
        <w:sectPr>
          <w:pgSz w:w="12240" w:h="15840" w:orient="portrait"/>
          <w:cols w:equalWidth="0" w:num="1">
            <w:col w:w="10240"/>
          </w:cols>
          <w:pgMar w:left="1000" w:top="984"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M-19</w:t>
      </w:r>
    </w:p>
    <w:p>
      <w:pPr>
        <w:sectPr>
          <w:pgSz w:w="12240" w:h="15840" w:orient="portrait"/>
          <w:cols w:equalWidth="0" w:num="1">
            <w:col w:w="10240"/>
          </w:cols>
          <w:pgMar w:left="1000" w:top="984" w:right="1000" w:bottom="186" w:gutter="0" w:footer="0" w:header="0"/>
          <w:type w:val="continuous"/>
        </w:sectPr>
      </w:pPr>
    </w:p>
    <w:bookmarkStart w:id="77" w:name="page78"/>
    <w:bookmarkEnd w:id="77"/>
    <w:tbl>
      <w:tblPr>
        <w:tblLayout w:type="fixed"/>
        <w:tblInd w:w="6" w:type="dxa"/>
        <w:tblCellMar>
          <w:top w:w="0" w:type="dxa"/>
          <w:left w:w="0" w:type="dxa"/>
          <w:bottom w:w="0" w:type="dxa"/>
          <w:right w:w="0" w:type="dxa"/>
        </w:tblCellMar>
      </w:tblPr>
      <w:tr>
        <w:trPr>
          <w:trHeight w:val="244"/>
        </w:trPr>
        <w:tc>
          <w:tcPr>
            <w:tcW w:w="4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9"/>
              </w:rPr>
              <w:t>2025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9"/>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40" w:type="dxa"/>
            <w:vAlign w:val="bottom"/>
          </w:tcPr>
          <w:p>
            <w:pPr>
              <w:spacing w:after="0"/>
              <w:rPr>
                <w:sz w:val="21"/>
                <w:szCs w:val="21"/>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rPr>
              <w:t>change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change</w:t>
            </w:r>
          </w:p>
        </w:tc>
        <w:tc>
          <w:tcPr>
            <w:tcW w:w="100" w:type="dxa"/>
            <w:vAlign w:val="bottom"/>
            <w:tcBorders>
              <w:bottom w:val="single" w:sz="8" w:color="auto"/>
            </w:tcBorders>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Operating income (loss)</w:t>
            </w:r>
          </w:p>
        </w:tc>
        <w:tc>
          <w:tcPr>
            <w:tcW w:w="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(262)</w:t>
            </w:r>
          </w:p>
        </w:tc>
        <w:tc>
          <w:tcPr>
            <w:tcW w:w="340" w:type="dxa"/>
            <w:vAlign w:val="bottom"/>
            <w:gridSpan w:val="4"/>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168</w:t>
            </w:r>
          </w:p>
        </w:tc>
        <w:tc>
          <w:tcPr>
            <w:tcW w:w="20" w:type="dxa"/>
            <w:vAlign w:val="bottom"/>
            <w:shd w:val="clear" w:color="auto" w:fill="D5EFF4"/>
          </w:tcPr>
          <w:p>
            <w:pPr>
              <w:spacing w:after="0"/>
              <w:rPr>
                <w:sz w:val="20"/>
                <w:szCs w:val="20"/>
                <w:color w:val="auto"/>
              </w:rPr>
            </w:pPr>
          </w:p>
        </w:tc>
        <w:tc>
          <w:tcPr>
            <w:tcW w:w="300" w:type="dxa"/>
            <w:vAlign w:val="bottom"/>
            <w:gridSpan w:val="4"/>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172</w:t>
            </w:r>
          </w:p>
        </w:tc>
        <w:tc>
          <w:tcPr>
            <w:tcW w:w="20" w:type="dxa"/>
            <w:vAlign w:val="bottom"/>
            <w:shd w:val="clear" w:color="auto" w:fill="D5EFF4"/>
          </w:tcPr>
          <w:p>
            <w:pPr>
              <w:spacing w:after="0"/>
              <w:rPr>
                <w:sz w:val="20"/>
                <w:szCs w:val="20"/>
                <w:color w:val="auto"/>
              </w:rPr>
            </w:pPr>
          </w:p>
        </w:tc>
        <w:tc>
          <w:tcPr>
            <w:tcW w:w="280" w:type="dxa"/>
            <w:vAlign w:val="bottom"/>
            <w:gridSpan w:val="4"/>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320" w:type="dxa"/>
            <w:vAlign w:val="bottom"/>
            <w:gridSpan w:val="4"/>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D5EFF4"/>
            </w:tcBorders>
            <w:gridSpan w:val="2"/>
          </w:tcPr>
          <w:p>
            <w:pPr>
              <w:spacing w:after="0" w:line="244" w:lineRule="exact"/>
              <w:rPr>
                <w:sz w:val="20"/>
                <w:szCs w:val="20"/>
                <w:color w:val="auto"/>
              </w:rPr>
            </w:pPr>
            <w:r>
              <w:rPr>
                <w:rFonts w:ascii="Times New Roman" w:cs="Times New Roman" w:eastAsia="Times New Roman" w:hAnsi="Times New Roman"/>
                <w:sz w:val="20"/>
                <w:szCs w:val="20"/>
                <w:color w:val="auto"/>
              </w:rPr>
              <w:t>Depreciation and amortization</w:t>
            </w:r>
            <w:r>
              <w:rPr>
                <w:rFonts w:ascii="Times New Roman" w:cs="Times New Roman" w:eastAsia="Times New Roman" w:hAnsi="Times New Roman"/>
                <w:sz w:val="25"/>
                <w:szCs w:val="25"/>
                <w:color w:val="auto"/>
                <w:vertAlign w:val="superscript"/>
              </w:rPr>
              <w:t>(a)</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54</w:t>
            </w:r>
          </w:p>
        </w:tc>
        <w:tc>
          <w:tcPr>
            <w:tcW w:w="18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64</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EBITDA</w:t>
            </w:r>
          </w:p>
        </w:tc>
        <w:tc>
          <w:tcPr>
            <w:tcW w:w="20" w:type="dxa"/>
            <w:vAlign w:val="bottom"/>
            <w:tcBorders>
              <w:bottom w:val="single" w:sz="8" w:color="auto"/>
            </w:tcBorders>
            <w:shd w:val="clear" w:color="auto" w:fill="D5EFF4"/>
          </w:tcPr>
          <w:p>
            <w:pPr>
              <w:spacing w:after="0"/>
              <w:rPr>
                <w:sz w:val="20"/>
                <w:szCs w:val="20"/>
                <w:color w:val="auto"/>
              </w:rPr>
            </w:pPr>
          </w:p>
        </w:tc>
        <w:tc>
          <w:tcPr>
            <w:tcW w:w="140" w:type="dxa"/>
            <w:vAlign w:val="bottom"/>
            <w:tcBorders>
              <w:bottom w:val="single" w:sz="8" w:color="auto"/>
            </w:tcBorders>
            <w:shd w:val="clear" w:color="auto" w:fill="D5EFF4"/>
          </w:tcPr>
          <w:p>
            <w:pPr>
              <w:spacing w:after="0"/>
              <w:rPr>
                <w:sz w:val="20"/>
                <w:szCs w:val="20"/>
                <w:color w:val="auto"/>
              </w:rPr>
            </w:pPr>
          </w:p>
        </w:tc>
        <w:tc>
          <w:tcPr>
            <w:tcW w:w="900" w:type="dxa"/>
            <w:vAlign w:val="bottom"/>
            <w:tcBorders>
              <w:bottom w:val="single" w:sz="8" w:color="auto"/>
            </w:tcBorders>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(208)</w:t>
            </w:r>
          </w:p>
        </w:tc>
        <w:tc>
          <w:tcPr>
            <w:tcW w:w="18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20" w:type="dxa"/>
            <w:vAlign w:val="bottom"/>
            <w:tcBorders>
              <w:bottom w:val="single" w:sz="8" w:color="auto"/>
            </w:tcBorders>
            <w:shd w:val="clear" w:color="auto" w:fill="D5EFF4"/>
          </w:tcPr>
          <w:p>
            <w:pPr>
              <w:spacing w:after="0"/>
              <w:rPr>
                <w:sz w:val="20"/>
                <w:szCs w:val="20"/>
                <w:color w:val="auto"/>
              </w:rPr>
            </w:pPr>
          </w:p>
        </w:tc>
        <w:tc>
          <w:tcPr>
            <w:tcW w:w="920" w:type="dxa"/>
            <w:vAlign w:val="bottom"/>
            <w:tcBorders>
              <w:bottom w:val="single" w:sz="8" w:color="auto"/>
            </w:tcBorders>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232</w:t>
            </w:r>
          </w:p>
        </w:tc>
        <w:tc>
          <w:tcPr>
            <w:tcW w:w="2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20" w:type="dxa"/>
            <w:vAlign w:val="bottom"/>
            <w:tcBorders>
              <w:bottom w:val="single" w:sz="8" w:color="auto"/>
            </w:tcBorders>
            <w:shd w:val="clear" w:color="auto" w:fill="D5EFF4"/>
          </w:tcPr>
          <w:p>
            <w:pPr>
              <w:spacing w:after="0"/>
              <w:rPr>
                <w:sz w:val="20"/>
                <w:szCs w:val="20"/>
                <w:color w:val="auto"/>
              </w:rPr>
            </w:pPr>
          </w:p>
        </w:tc>
        <w:tc>
          <w:tcPr>
            <w:tcW w:w="920" w:type="dxa"/>
            <w:vAlign w:val="bottom"/>
            <w:tcBorders>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241</w:t>
            </w:r>
          </w:p>
        </w:tc>
        <w:tc>
          <w:tcPr>
            <w:tcW w:w="2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80" w:type="dxa"/>
            <w:vAlign w:val="bottom"/>
            <w:tcBorders>
              <w:bottom w:val="single" w:sz="8" w:color="auto"/>
            </w:tcBorders>
            <w:shd w:val="clear" w:color="auto" w:fill="D5EFF4"/>
          </w:tcPr>
          <w:p>
            <w:pPr>
              <w:spacing w:after="0"/>
              <w:rPr>
                <w:sz w:val="20"/>
                <w:szCs w:val="20"/>
                <w:color w:val="auto"/>
              </w:rPr>
            </w:pPr>
          </w:p>
        </w:tc>
        <w:tc>
          <w:tcPr>
            <w:tcW w:w="9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(440)</w:t>
            </w:r>
          </w:p>
        </w:tc>
        <w:tc>
          <w:tcPr>
            <w:tcW w:w="18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00" w:type="dxa"/>
            <w:vAlign w:val="bottom"/>
            <w:tcBorders>
              <w:bottom w:val="single" w:sz="8" w:color="auto"/>
            </w:tcBorders>
            <w:shd w:val="clear" w:color="auto" w:fill="D5EFF4"/>
          </w:tcPr>
          <w:p>
            <w:pPr>
              <w:spacing w:after="0"/>
              <w:rPr>
                <w:sz w:val="20"/>
                <w:szCs w:val="20"/>
                <w:color w:val="auto"/>
              </w:rPr>
            </w:pPr>
          </w:p>
        </w:tc>
        <w:tc>
          <w:tcPr>
            <w:tcW w:w="90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Goodwill impairment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375</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375</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Accelerated depreciation</w:t>
            </w:r>
          </w:p>
        </w:tc>
        <w:tc>
          <w:tcPr>
            <w:tcW w:w="14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940" w:type="dxa"/>
            <w:vAlign w:val="bottom"/>
            <w:gridSpan w:val="2"/>
            <w:shd w:val="clear" w:color="auto" w:fill="D5EFF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940" w:type="dxa"/>
            <w:vAlign w:val="bottom"/>
            <w:gridSpan w:val="2"/>
            <w:shd w:val="clear" w:color="auto" w:fill="D5EFF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80" w:type="dxa"/>
            <w:vAlign w:val="bottom"/>
            <w:shd w:val="clear" w:color="auto" w:fill="D5EFF4"/>
          </w:tcPr>
          <w:p>
            <w:pPr>
              <w:spacing w:after="0"/>
              <w:rPr>
                <w:sz w:val="21"/>
                <w:szCs w:val="21"/>
                <w:color w:val="auto"/>
              </w:rPr>
            </w:pPr>
          </w:p>
        </w:tc>
        <w:tc>
          <w:tcPr>
            <w:tcW w:w="9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00" w:type="dxa"/>
            <w:vAlign w:val="bottom"/>
            <w:shd w:val="clear" w:color="auto" w:fill="D5EFF4"/>
          </w:tcPr>
          <w:p>
            <w:pPr>
              <w:spacing w:after="0"/>
              <w:rPr>
                <w:sz w:val="21"/>
                <w:szCs w:val="21"/>
                <w:color w:val="auto"/>
              </w:rPr>
            </w:pPr>
          </w:p>
        </w:tc>
        <w:tc>
          <w:tcPr>
            <w:tcW w:w="940" w:type="dxa"/>
            <w:vAlign w:val="bottom"/>
            <w:gridSpan w:val="4"/>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plant optimization costs</w:t>
            </w:r>
          </w:p>
        </w:tc>
        <w:tc>
          <w:tcPr>
            <w:tcW w:w="140" w:type="dxa"/>
            <w:vAlign w:val="bottom"/>
          </w:tcPr>
          <w:p>
            <w:pPr>
              <w:spacing w:after="0"/>
              <w:rPr>
                <w:sz w:val="21"/>
                <w:szCs w:val="21"/>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2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Restructuring and other costs</w:t>
            </w:r>
          </w:p>
        </w:tc>
        <w:tc>
          <w:tcPr>
            <w:tcW w:w="14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940" w:type="dxa"/>
            <w:vAlign w:val="bottom"/>
            <w:gridSpan w:val="2"/>
            <w:shd w:val="clear" w:color="auto" w:fill="D5EFF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92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80" w:type="dxa"/>
            <w:vAlign w:val="bottom"/>
            <w:shd w:val="clear" w:color="auto" w:fill="D5EFF4"/>
          </w:tcPr>
          <w:p>
            <w:pPr>
              <w:spacing w:after="0"/>
              <w:rPr>
                <w:sz w:val="21"/>
                <w:szCs w:val="21"/>
                <w:color w:val="auto"/>
              </w:rPr>
            </w:pPr>
          </w:p>
        </w:tc>
        <w:tc>
          <w:tcPr>
            <w:tcW w:w="9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00" w:type="dxa"/>
            <w:vAlign w:val="bottom"/>
            <w:shd w:val="clear" w:color="auto" w:fill="D5EFF4"/>
          </w:tcPr>
          <w:p>
            <w:pPr>
              <w:spacing w:after="0"/>
              <w:rPr>
                <w:sz w:val="21"/>
                <w:szCs w:val="21"/>
                <w:color w:val="auto"/>
              </w:rPr>
            </w:pPr>
          </w:p>
        </w:tc>
        <w:tc>
          <w:tcPr>
            <w:tcW w:w="90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Environmental reserve adjustments</w:t>
            </w:r>
          </w:p>
        </w:tc>
        <w:tc>
          <w:tcPr>
            <w:tcW w:w="140" w:type="dxa"/>
            <w:vAlign w:val="bottom"/>
          </w:tcPr>
          <w:p>
            <w:pPr>
              <w:spacing w:after="0"/>
              <w:rPr>
                <w:sz w:val="21"/>
                <w:szCs w:val="21"/>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Held for sale depreciation and amortization</w:t>
            </w:r>
          </w:p>
        </w:tc>
        <w:tc>
          <w:tcPr>
            <w:tcW w:w="140" w:type="dxa"/>
            <w:vAlign w:val="bottom"/>
            <w:tcBorders>
              <w:bottom w:val="single" w:sz="8" w:color="auto"/>
            </w:tcBorders>
            <w:shd w:val="clear" w:color="auto" w:fill="D5EFF4"/>
          </w:tcPr>
          <w:p>
            <w:pPr>
              <w:spacing w:after="0"/>
              <w:rPr>
                <w:sz w:val="21"/>
                <w:szCs w:val="21"/>
                <w:color w:val="auto"/>
              </w:rPr>
            </w:pPr>
          </w:p>
        </w:tc>
        <w:tc>
          <w:tcPr>
            <w:tcW w:w="900" w:type="dxa"/>
            <w:vAlign w:val="bottom"/>
            <w:tcBorders>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tcBorders>
              <w:bottom w:val="single" w:sz="8" w:color="auto"/>
            </w:tcBorders>
            <w:shd w:val="clear" w:color="auto" w:fill="D5EFF4"/>
          </w:tcPr>
          <w:p>
            <w:pPr>
              <w:spacing w:after="0"/>
              <w:rPr>
                <w:sz w:val="21"/>
                <w:szCs w:val="21"/>
                <w:color w:val="auto"/>
              </w:rPr>
            </w:pPr>
          </w:p>
        </w:tc>
        <w:tc>
          <w:tcPr>
            <w:tcW w:w="120" w:type="dxa"/>
            <w:vAlign w:val="bottom"/>
            <w:tcBorders>
              <w:bottom w:val="single" w:sz="8" w:color="auto"/>
            </w:tcBorders>
            <w:shd w:val="clear" w:color="auto" w:fill="D5EFF4"/>
          </w:tcPr>
          <w:p>
            <w:pPr>
              <w:spacing w:after="0"/>
              <w:rPr>
                <w:sz w:val="21"/>
                <w:szCs w:val="21"/>
                <w:color w:val="auto"/>
              </w:rPr>
            </w:pPr>
          </w:p>
        </w:tc>
        <w:tc>
          <w:tcPr>
            <w:tcW w:w="920" w:type="dxa"/>
            <w:vAlign w:val="bottom"/>
            <w:tcBorders>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Borders>
              <w:bottom w:val="single" w:sz="8" w:color="auto"/>
            </w:tcBorders>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tcBorders>
              <w:bottom w:val="single" w:sz="8" w:color="auto"/>
            </w:tcBorders>
            <w:shd w:val="clear" w:color="auto" w:fill="D5EFF4"/>
          </w:tcPr>
          <w:p>
            <w:pPr>
              <w:spacing w:after="0"/>
              <w:rPr>
                <w:sz w:val="21"/>
                <w:szCs w:val="21"/>
                <w:color w:val="auto"/>
              </w:rPr>
            </w:pPr>
          </w:p>
        </w:tc>
        <w:tc>
          <w:tcPr>
            <w:tcW w:w="120" w:type="dxa"/>
            <w:vAlign w:val="bottom"/>
            <w:tcBorders>
              <w:bottom w:val="single" w:sz="8" w:color="auto"/>
            </w:tcBorders>
            <w:shd w:val="clear" w:color="auto" w:fill="D5EFF4"/>
          </w:tcPr>
          <w:p>
            <w:pPr>
              <w:spacing w:after="0"/>
              <w:rPr>
                <w:sz w:val="21"/>
                <w:szCs w:val="21"/>
                <w:color w:val="auto"/>
              </w:rPr>
            </w:pPr>
          </w:p>
        </w:tc>
        <w:tc>
          <w:tcPr>
            <w:tcW w:w="940" w:type="dxa"/>
            <w:vAlign w:val="bottom"/>
            <w:tcBorders>
              <w:bottom w:val="single" w:sz="8" w:color="auto"/>
            </w:tcBorders>
            <w:gridSpan w:val="2"/>
            <w:shd w:val="clear" w:color="auto" w:fill="D5EFF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tcBorders>
              <w:bottom w:val="single" w:sz="8" w:color="auto"/>
            </w:tcBorders>
            <w:shd w:val="clear" w:color="auto" w:fill="D5EFF4"/>
          </w:tcPr>
          <w:p>
            <w:pPr>
              <w:spacing w:after="0"/>
              <w:rPr>
                <w:sz w:val="21"/>
                <w:szCs w:val="21"/>
                <w:color w:val="auto"/>
              </w:rPr>
            </w:pPr>
          </w:p>
        </w:tc>
        <w:tc>
          <w:tcPr>
            <w:tcW w:w="80" w:type="dxa"/>
            <w:vAlign w:val="bottom"/>
            <w:tcBorders>
              <w:bottom w:val="single" w:sz="8" w:color="auto"/>
            </w:tcBorders>
            <w:shd w:val="clear" w:color="auto" w:fill="D5EFF4"/>
          </w:tcPr>
          <w:p>
            <w:pPr>
              <w:spacing w:after="0"/>
              <w:rPr>
                <w:sz w:val="21"/>
                <w:szCs w:val="21"/>
                <w:color w:val="auto"/>
              </w:rPr>
            </w:pPr>
          </w:p>
        </w:tc>
        <w:tc>
          <w:tcPr>
            <w:tcW w:w="94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tcBorders>
              <w:bottom w:val="single" w:sz="8" w:color="auto"/>
            </w:tcBorders>
            <w:shd w:val="clear" w:color="auto" w:fill="D5EFF4"/>
          </w:tcPr>
          <w:p>
            <w:pPr>
              <w:spacing w:after="0"/>
              <w:rPr>
                <w:sz w:val="21"/>
                <w:szCs w:val="21"/>
                <w:color w:val="auto"/>
              </w:rPr>
            </w:pPr>
          </w:p>
        </w:tc>
        <w:tc>
          <w:tcPr>
            <w:tcW w:w="100" w:type="dxa"/>
            <w:vAlign w:val="bottom"/>
            <w:tcBorders>
              <w:bottom w:val="single" w:sz="8" w:color="auto"/>
            </w:tcBorders>
            <w:shd w:val="clear" w:color="auto" w:fill="D5EFF4"/>
          </w:tcPr>
          <w:p>
            <w:pPr>
              <w:spacing w:after="0"/>
              <w:rPr>
                <w:sz w:val="21"/>
                <w:szCs w:val="21"/>
                <w:color w:val="auto"/>
              </w:rPr>
            </w:pPr>
          </w:p>
        </w:tc>
        <w:tc>
          <w:tcPr>
            <w:tcW w:w="90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Borders>
              <w:bottom w:val="single" w:sz="8" w:color="auto"/>
            </w:tcBorders>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4220" w:type="dxa"/>
            <w:vAlign w:val="bottom"/>
            <w:tcBorders>
              <w:bottom w:val="single" w:sz="8" w:color="D5EFF4"/>
            </w:tcBorders>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193</w:t>
            </w:r>
          </w:p>
        </w:tc>
        <w:tc>
          <w:tcPr>
            <w:tcW w:w="180" w:type="dxa"/>
            <w:vAlign w:val="bottom"/>
            <w:tcBorders>
              <w:bottom w:val="single" w:sz="8" w:color="D5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230</w:t>
            </w:r>
          </w:p>
        </w:tc>
        <w:tc>
          <w:tcPr>
            <w:tcW w:w="20" w:type="dxa"/>
            <w:vAlign w:val="bottom"/>
          </w:tcPr>
          <w:p>
            <w:pPr>
              <w:spacing w:after="0"/>
              <w:rPr>
                <w:sz w:val="24"/>
                <w:szCs w:val="24"/>
                <w:color w:val="auto"/>
              </w:rPr>
            </w:pPr>
          </w:p>
        </w:tc>
        <w:tc>
          <w:tcPr>
            <w:tcW w:w="140" w:type="dxa"/>
            <w:vAlign w:val="bottom"/>
            <w:tcBorders>
              <w:bottom w:val="single" w:sz="8" w:color="D5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247</w:t>
            </w:r>
          </w:p>
        </w:tc>
        <w:tc>
          <w:tcPr>
            <w:tcW w:w="20" w:type="dxa"/>
            <w:vAlign w:val="bottom"/>
          </w:tcPr>
          <w:p>
            <w:pPr>
              <w:spacing w:after="0"/>
              <w:rPr>
                <w:sz w:val="24"/>
                <w:szCs w:val="24"/>
                <w:color w:val="auto"/>
              </w:rPr>
            </w:pPr>
          </w:p>
        </w:tc>
        <w:tc>
          <w:tcPr>
            <w:tcW w:w="160" w:type="dxa"/>
            <w:vAlign w:val="bottom"/>
            <w:tcBorders>
              <w:bottom w:val="single" w:sz="8" w:color="D5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80" w:type="dxa"/>
            <w:vAlign w:val="bottom"/>
            <w:tcBorders>
              <w:bottom w:val="single" w:sz="8" w:color="D5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restart"/>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Operating income (loss) as a percent of sales</w:t>
            </w:r>
          </w:p>
        </w:tc>
        <w:tc>
          <w:tcPr>
            <w:tcW w:w="140" w:type="dxa"/>
            <w:vAlign w:val="bottom"/>
            <w:shd w:val="clear" w:color="auto" w:fill="D5EFF4"/>
          </w:tcPr>
          <w:p>
            <w:pPr>
              <w:spacing w:after="0"/>
              <w:rPr>
                <w:sz w:val="18"/>
                <w:szCs w:val="18"/>
                <w:color w:val="auto"/>
              </w:rPr>
            </w:pPr>
          </w:p>
        </w:tc>
        <w:tc>
          <w:tcPr>
            <w:tcW w:w="900" w:type="dxa"/>
            <w:vAlign w:val="bottom"/>
            <w:shd w:val="clear" w:color="auto" w:fill="D5EFF4"/>
          </w:tcPr>
          <w:p>
            <w:pPr>
              <w:spacing w:after="0"/>
              <w:rPr>
                <w:sz w:val="18"/>
                <w:szCs w:val="18"/>
                <w:color w:val="auto"/>
              </w:rPr>
            </w:pPr>
          </w:p>
        </w:tc>
        <w:tc>
          <w:tcPr>
            <w:tcW w:w="18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120" w:type="dxa"/>
            <w:vAlign w:val="bottom"/>
            <w:shd w:val="clear" w:color="auto" w:fill="D5EFF4"/>
          </w:tcPr>
          <w:p>
            <w:pPr>
              <w:spacing w:after="0"/>
              <w:rPr>
                <w:sz w:val="18"/>
                <w:szCs w:val="18"/>
                <w:color w:val="auto"/>
              </w:rPr>
            </w:pPr>
          </w:p>
        </w:tc>
        <w:tc>
          <w:tcPr>
            <w:tcW w:w="92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14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120" w:type="dxa"/>
            <w:vAlign w:val="bottom"/>
            <w:shd w:val="clear" w:color="auto" w:fill="D5EFF4"/>
          </w:tcPr>
          <w:p>
            <w:pPr>
              <w:spacing w:after="0"/>
              <w:rPr>
                <w:sz w:val="18"/>
                <w:szCs w:val="18"/>
                <w:color w:val="auto"/>
              </w:rPr>
            </w:pPr>
          </w:p>
        </w:tc>
        <w:tc>
          <w:tcPr>
            <w:tcW w:w="92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16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80" w:type="dxa"/>
            <w:vAlign w:val="bottom"/>
            <w:shd w:val="clear" w:color="auto" w:fill="D5EFF4"/>
          </w:tcPr>
          <w:p>
            <w:pPr>
              <w:spacing w:after="0"/>
              <w:rPr>
                <w:sz w:val="18"/>
                <w:szCs w:val="18"/>
                <w:color w:val="auto"/>
              </w:rPr>
            </w:pPr>
          </w:p>
        </w:tc>
        <w:tc>
          <w:tcPr>
            <w:tcW w:w="940" w:type="dxa"/>
            <w:vAlign w:val="bottom"/>
            <w:shd w:val="clear" w:color="auto" w:fill="D5EFF4"/>
          </w:tcPr>
          <w:p>
            <w:pPr>
              <w:jc w:val="center"/>
              <w:ind w:right="140"/>
              <w:spacing w:after="0" w:line="209" w:lineRule="exact"/>
              <w:rPr>
                <w:sz w:val="20"/>
                <w:szCs w:val="20"/>
                <w:color w:val="auto"/>
              </w:rPr>
            </w:pPr>
            <w:r>
              <w:rPr>
                <w:rFonts w:ascii="Times New Roman" w:cs="Times New Roman" w:eastAsia="Times New Roman" w:hAnsi="Times New Roman"/>
                <w:sz w:val="20"/>
                <w:szCs w:val="20"/>
                <w:color w:val="auto"/>
                <w:w w:val="99"/>
              </w:rPr>
              <w:t>Not</w:t>
            </w:r>
          </w:p>
        </w:tc>
        <w:tc>
          <w:tcPr>
            <w:tcW w:w="18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100" w:type="dxa"/>
            <w:vAlign w:val="bottom"/>
            <w:shd w:val="clear" w:color="auto" w:fill="D5EFF4"/>
          </w:tcPr>
          <w:p>
            <w:pPr>
              <w:spacing w:after="0"/>
              <w:rPr>
                <w:sz w:val="18"/>
                <w:szCs w:val="18"/>
                <w:color w:val="auto"/>
              </w:rPr>
            </w:pPr>
          </w:p>
        </w:tc>
        <w:tc>
          <w:tcPr>
            <w:tcW w:w="820" w:type="dxa"/>
            <w:vAlign w:val="bottom"/>
            <w:shd w:val="clear" w:color="auto" w:fill="D5EFF4"/>
          </w:tcPr>
          <w:p>
            <w:pPr>
              <w:spacing w:after="0"/>
              <w:rPr>
                <w:sz w:val="18"/>
                <w:szCs w:val="18"/>
                <w:color w:val="auto"/>
              </w:rPr>
            </w:pPr>
          </w:p>
        </w:tc>
        <w:tc>
          <w:tcPr>
            <w:tcW w:w="8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20" w:type="dxa"/>
            <w:vAlign w:val="bottom"/>
            <w:shd w:val="clear" w:color="auto" w:fill="D5EF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40" w:type="dxa"/>
            <w:vAlign w:val="bottom"/>
            <w:gridSpan w:val="2"/>
            <w:vMerge w:val="continue"/>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2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020" w:type="dxa"/>
            <w:vAlign w:val="bottom"/>
            <w:gridSpan w:val="2"/>
            <w:shd w:val="clear" w:color="auto" w:fill="D5EFF4"/>
          </w:tcPr>
          <w:p>
            <w:pPr>
              <w:jc w:val="center"/>
              <w:ind w:right="40"/>
              <w:spacing w:after="0"/>
              <w:rPr>
                <w:sz w:val="20"/>
                <w:szCs w:val="20"/>
                <w:color w:val="auto"/>
              </w:rPr>
            </w:pPr>
            <w:r>
              <w:rPr>
                <w:rFonts w:ascii="Times New Roman" w:cs="Times New Roman" w:eastAsia="Times New Roman" w:hAnsi="Times New Roman"/>
                <w:sz w:val="20"/>
                <w:szCs w:val="20"/>
                <w:color w:val="auto"/>
                <w:w w:val="96"/>
              </w:rPr>
              <w:t>meaningful</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00" w:type="dxa"/>
            <w:vAlign w:val="bottom"/>
            <w:shd w:val="clear" w:color="auto" w:fill="D5EFF4"/>
          </w:tcPr>
          <w:p>
            <w:pPr>
              <w:spacing w:after="0"/>
              <w:rPr>
                <w:sz w:val="21"/>
                <w:szCs w:val="21"/>
                <w:color w:val="auto"/>
              </w:rPr>
            </w:pPr>
          </w:p>
        </w:tc>
        <w:tc>
          <w:tcPr>
            <w:tcW w:w="940" w:type="dxa"/>
            <w:vAlign w:val="bottom"/>
            <w:gridSpan w:val="4"/>
            <w:shd w:val="clear" w:color="auto" w:fill="D5EFF4"/>
          </w:tcPr>
          <w:p>
            <w:pPr>
              <w:jc w:val="center"/>
              <w:ind w:right="280"/>
              <w:spacing w:after="0"/>
              <w:rPr>
                <w:sz w:val="20"/>
                <w:szCs w:val="20"/>
                <w:color w:val="auto"/>
              </w:rPr>
            </w:pPr>
            <w:r>
              <w:rPr>
                <w:rFonts w:ascii="Times New Roman" w:cs="Times New Roman" w:eastAsia="Times New Roman" w:hAnsi="Times New Roman"/>
                <w:sz w:val="20"/>
                <w:szCs w:val="20"/>
                <w:color w:val="auto"/>
              </w:rPr>
              <w:t>90 bps</w:t>
            </w:r>
          </w:p>
        </w:tc>
        <w:tc>
          <w:tcPr>
            <w:tcW w:w="0" w:type="dxa"/>
            <w:vAlign w:val="bottom"/>
          </w:tcPr>
          <w:p>
            <w:pPr>
              <w:spacing w:after="0"/>
              <w:rPr>
                <w:sz w:val="1"/>
                <w:szCs w:val="1"/>
                <w:color w:val="auto"/>
              </w:rPr>
            </w:pPr>
          </w:p>
        </w:tc>
      </w:tr>
      <w:tr>
        <w:trPr>
          <w:trHeight w:val="274"/>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Adjusted EBITDA as a percent of sales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8"/>
              </w:rPr>
              <w:t>170 bps</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color w:val="auto"/>
                <w:w w:val="98"/>
              </w:rPr>
              <w:t>0 bps</w:t>
            </w:r>
          </w:p>
        </w:tc>
        <w:tc>
          <w:tcPr>
            <w:tcW w:w="0" w:type="dxa"/>
            <w:vAlign w:val="bottom"/>
          </w:tcPr>
          <w:p>
            <w:pPr>
              <w:spacing w:after="0"/>
              <w:rPr>
                <w:sz w:val="1"/>
                <w:szCs w:val="1"/>
                <w:color w:val="auto"/>
              </w:rPr>
            </w:pPr>
          </w:p>
        </w:tc>
      </w:tr>
      <w:tr>
        <w:trPr>
          <w:trHeight w:val="53"/>
        </w:trPr>
        <w:tc>
          <w:tcPr>
            <w:tcW w:w="4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626110</wp:posOffset>
            </wp:positionV>
            <wp:extent cx="652970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09">
                      <a:extLst>
                        <a:ext uri="{28A0092B-C50C-407E-A947-70E740481C1C}"/>
                      </a:extLst>
                    </a:blip>
                    <a:srcRect/>
                    <a:stretch>
                      <a:fillRect/>
                    </a:stretch>
                  </pic:blipFill>
                  <pic:spPr bwMode="auto">
                    <a:xfrm>
                      <a:off x="0" y="0"/>
                      <a:ext cx="652970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-2167255</wp:posOffset>
            </wp:positionV>
            <wp:extent cx="649541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10">
                      <a:extLst>
                        <a:ext uri="{28A0092B-C50C-407E-A947-70E740481C1C}"/>
                      </a:extLst>
                    </a:blip>
                    <a:srcRect/>
                    <a:stretch>
                      <a:fillRect/>
                    </a:stretch>
                  </pic:blipFill>
                  <pic:spPr bwMode="auto">
                    <a:xfrm>
                      <a:off x="0" y="0"/>
                      <a:ext cx="649541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649541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11">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pacing w:after="0" w:line="85" w:lineRule="exact"/>
        <w:rPr>
          <w:sz w:val="20"/>
          <w:szCs w:val="20"/>
          <w:color w:val="auto"/>
        </w:rPr>
      </w:pPr>
    </w:p>
    <w:p>
      <w:pPr>
        <w:ind w:left="566" w:hanging="566"/>
        <w:spacing w:after="0" w:line="325" w:lineRule="auto"/>
        <w:tabs>
          <w:tab w:leader="none" w:pos="56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for Life Sciences excludes accelerated depreciation of $21 million in 2025 and includes $3 million associated with the Nutraceuticals business held for sale assets in 2024 which is included as a key item within this table as a component of Adjusted EBITDA.</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2025 compared to 2024</w:t>
      </w:r>
    </w:p>
    <w:p>
      <w:pPr>
        <w:spacing w:after="0" w:line="164"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Life Sciences' sales, operating income (loss) and Adjusted EBITDA decreased in 2025 primarily due to the divestiture of the Nutraceuticals business, lower volume, and unfavorable pricing, partially offset by favorable foreign currency exchange. Operating income (loss) for 2025 also included a goodwill impairment charge of $375 million and higher costs of $26 million for portfolio optimization activities.</w:t>
      </w:r>
    </w:p>
    <w:p>
      <w:pPr>
        <w:spacing w:after="0" w:line="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2024 compared to 2023</w:t>
      </w:r>
    </w:p>
    <w:p>
      <w:pPr>
        <w:spacing w:after="0" w:line="164"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Life Sciences' sales decreased in 2024 due to lower volume and pricing, while operating income and Adjusted EBITDA decreased in 2024 due to lower volume partially offset by favorable product price/mix, deflationary raw materials, and favorable foreign currency exchange. The CMC portfolio optimization initiative and the Nutraceuticals business sale had an approximate $12 million negative sales impact during the year.</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Personal Care</w:t>
      </w:r>
    </w:p>
    <w:p>
      <w:pPr>
        <w:spacing w:after="0" w:line="170" w:lineRule="exact"/>
        <w:rPr>
          <w:sz w:val="20"/>
          <w:szCs w:val="20"/>
          <w:color w:val="auto"/>
        </w:rPr>
      </w:pPr>
    </w:p>
    <w:p>
      <w:pPr>
        <w:jc w:val="both"/>
        <w:ind w:left="6" w:firstLine="360"/>
        <w:spacing w:after="0" w:line="293" w:lineRule="auto"/>
        <w:rPr>
          <w:sz w:val="20"/>
          <w:szCs w:val="20"/>
          <w:color w:val="auto"/>
        </w:rPr>
      </w:pPr>
      <w:r>
        <w:rPr>
          <w:rFonts w:ascii="Times New Roman" w:cs="Times New Roman" w:eastAsia="Times New Roman" w:hAnsi="Times New Roman"/>
          <w:sz w:val="20"/>
          <w:szCs w:val="20"/>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 See Note B of the Notes to Consolidated Financial Statements for more information.</w:t>
      </w:r>
    </w:p>
    <w:p>
      <w:pPr>
        <w:spacing w:after="0" w:line="82" w:lineRule="exact"/>
        <w:rPr>
          <w:sz w:val="20"/>
          <w:szCs w:val="20"/>
          <w:color w:val="auto"/>
        </w:rPr>
      </w:pPr>
    </w:p>
    <w:p>
      <w:pPr>
        <w:jc w:val="both"/>
        <w:ind w:left="6"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Personal Care between fiscal years 2025 and 2024 and between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652970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12">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58" w:lineRule="exact"/>
        <w:rPr>
          <w:sz w:val="20"/>
          <w:szCs w:val="20"/>
          <w:color w:val="auto"/>
        </w:rPr>
      </w:pPr>
    </w:p>
    <w:tbl>
      <w:tblPr>
        <w:tblLayout w:type="fixed"/>
        <w:tblInd w:w="6" w:type="dxa"/>
        <w:tblCellMar>
          <w:top w:w="0" w:type="dxa"/>
          <w:left w:w="0" w:type="dxa"/>
          <w:bottom w:w="0" w:type="dxa"/>
          <w:right w:w="0" w:type="dxa"/>
        </w:tblCellMar>
      </w:tblPr>
      <w:tr>
        <w:trPr>
          <w:trHeight w:val="249"/>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0" w:type="dxa"/>
            <w:vAlign w:val="bottom"/>
          </w:tcPr>
          <w:p>
            <w:pPr>
              <w:spacing w:after="0"/>
              <w:rPr>
                <w:sz w:val="21"/>
                <w:szCs w:val="21"/>
                <w:color w:val="auto"/>
              </w:rPr>
            </w:pPr>
          </w:p>
        </w:tc>
        <w:tc>
          <w:tcPr>
            <w:tcW w:w="17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 change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2024 change</w:t>
            </w:r>
          </w:p>
        </w:tc>
      </w:tr>
      <w:tr>
        <w:trPr>
          <w:trHeight w:val="239"/>
        </w:trPr>
        <w:tc>
          <w:tcPr>
            <w:tcW w:w="59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Sales change</w:t>
            </w:r>
          </w:p>
        </w:tc>
        <w:tc>
          <w:tcPr>
            <w:tcW w:w="280" w:type="dxa"/>
            <w:vAlign w:val="bottom"/>
            <w:shd w:val="clear" w:color="auto" w:fill="D5EFF4"/>
          </w:tcPr>
          <w:p>
            <w:pPr>
              <w:spacing w:after="0"/>
              <w:rPr>
                <w:sz w:val="20"/>
                <w:szCs w:val="20"/>
                <w:color w:val="auto"/>
              </w:rPr>
            </w:pPr>
          </w:p>
        </w:tc>
        <w:tc>
          <w:tcPr>
            <w:tcW w:w="1780" w:type="dxa"/>
            <w:vAlign w:val="bottom"/>
            <w:shd w:val="clear" w:color="auto" w:fill="D5EFF4"/>
          </w:tcPr>
          <w:p>
            <w:pPr>
              <w:spacing w:after="0"/>
              <w:rPr>
                <w:sz w:val="20"/>
                <w:szCs w:val="20"/>
                <w:color w:val="auto"/>
              </w:rPr>
            </w:pPr>
          </w:p>
        </w:tc>
        <w:tc>
          <w:tcPr>
            <w:tcW w:w="20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660" w:type="dxa"/>
            <w:vAlign w:val="bottom"/>
            <w:shd w:val="clear" w:color="auto" w:fill="D5EFF4"/>
          </w:tcPr>
          <w:p>
            <w:pPr>
              <w:spacing w:after="0"/>
              <w:rPr>
                <w:sz w:val="20"/>
                <w:szCs w:val="20"/>
                <w:color w:val="auto"/>
              </w:rPr>
            </w:pPr>
          </w:p>
        </w:tc>
        <w:tc>
          <w:tcPr>
            <w:tcW w:w="80" w:type="dxa"/>
            <w:vAlign w:val="bottom"/>
            <w:tcBorders>
              <w:top w:val="single" w:sz="8" w:color="auto"/>
            </w:tcBorders>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Divestiture</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480" w:type="dxa"/>
            <w:vAlign w:val="bottom"/>
            <w:gridSpan w:val="3"/>
          </w:tcPr>
          <w:p>
            <w:pPr>
              <w:jc w:val="right"/>
              <w:ind w:right="95"/>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Price/mix</w:t>
            </w:r>
          </w:p>
        </w:tc>
        <w:tc>
          <w:tcPr>
            <w:tcW w:w="280" w:type="dxa"/>
            <w:vAlign w:val="bottom"/>
            <w:shd w:val="clear" w:color="auto" w:fill="D5EFF4"/>
          </w:tcPr>
          <w:p>
            <w:pPr>
              <w:spacing w:after="0"/>
              <w:rPr>
                <w:sz w:val="21"/>
                <w:szCs w:val="21"/>
                <w:color w:val="auto"/>
              </w:rPr>
            </w:pPr>
          </w:p>
        </w:tc>
        <w:tc>
          <w:tcPr>
            <w:tcW w:w="17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74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shd w:val="clear" w:color="auto" w:fill="D5EFF4"/>
          </w:tcPr>
          <w:p>
            <w:pPr>
              <w:spacing w:after="0"/>
              <w:rPr>
                <w:sz w:val="21"/>
                <w:szCs w:val="21"/>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Volume</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59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Foreign Currency</w:t>
            </w:r>
          </w:p>
        </w:tc>
        <w:tc>
          <w:tcPr>
            <w:tcW w:w="280" w:type="dxa"/>
            <w:vAlign w:val="bottom"/>
            <w:shd w:val="clear" w:color="auto" w:fill="D5EFF4"/>
          </w:tcPr>
          <w:p>
            <w:pPr>
              <w:spacing w:after="0"/>
              <w:rPr>
                <w:sz w:val="21"/>
                <w:szCs w:val="21"/>
                <w:color w:val="auto"/>
              </w:rPr>
            </w:pPr>
          </w:p>
        </w:tc>
        <w:tc>
          <w:tcPr>
            <w:tcW w:w="17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760" w:type="dxa"/>
            <w:vAlign w:val="bottom"/>
            <w:gridSpan w:val="3"/>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59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
        </w:trPr>
        <w:tc>
          <w:tcPr>
            <w:tcW w:w="5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-1053465</wp:posOffset>
            </wp:positionV>
            <wp:extent cx="649414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13">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649414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14">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ectPr>
          <w:pgSz w:w="12240" w:h="15840" w:orient="portrait"/>
          <w:cols w:equalWidth="0" w:num="1">
            <w:col w:w="10246"/>
          </w:cols>
          <w:pgMar w:left="994" w:top="1056"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M-20</w:t>
      </w:r>
    </w:p>
    <w:p>
      <w:pPr>
        <w:sectPr>
          <w:pgSz w:w="12240" w:h="15840" w:orient="portrait"/>
          <w:cols w:equalWidth="0" w:num="1">
            <w:col w:w="10246"/>
          </w:cols>
          <w:pgMar w:left="994" w:top="1056" w:right="1000" w:bottom="186" w:gutter="0" w:footer="0" w:header="0"/>
          <w:type w:val="continuous"/>
        </w:sectPr>
      </w:pPr>
    </w:p>
    <w:bookmarkStart w:id="78" w:name="page79"/>
    <w:bookmarkEnd w:id="78"/>
    <w:p>
      <w:pPr>
        <w:jc w:val="both"/>
        <w:ind w:left="6"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for Personal Care between fiscal years 2025 and 2024 and between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652970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15">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58" w:lineRule="exact"/>
        <w:rPr>
          <w:sz w:val="20"/>
          <w:szCs w:val="20"/>
          <w:color w:val="auto"/>
        </w:rPr>
      </w:pPr>
    </w:p>
    <w:tbl>
      <w:tblPr>
        <w:tblLayout w:type="fixed"/>
        <w:tblInd w:w="6" w:type="dxa"/>
        <w:tblCellMar>
          <w:top w:w="0" w:type="dxa"/>
          <w:left w:w="0" w:type="dxa"/>
          <w:bottom w:w="0" w:type="dxa"/>
          <w:right w:w="0" w:type="dxa"/>
        </w:tblCellMar>
      </w:tblPr>
      <w:tr>
        <w:trPr>
          <w:trHeight w:val="249"/>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0" w:type="dxa"/>
            <w:vAlign w:val="bottom"/>
          </w:tcPr>
          <w:p>
            <w:pPr>
              <w:spacing w:after="0"/>
              <w:rPr>
                <w:sz w:val="21"/>
                <w:szCs w:val="21"/>
                <w:color w:val="auto"/>
              </w:rPr>
            </w:pPr>
          </w:p>
        </w:tc>
        <w:tc>
          <w:tcPr>
            <w:tcW w:w="17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 change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2024 change</w:t>
            </w:r>
          </w:p>
        </w:tc>
      </w:tr>
      <w:tr>
        <w:trPr>
          <w:trHeight w:val="239"/>
        </w:trPr>
        <w:tc>
          <w:tcPr>
            <w:tcW w:w="59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Operating income change</w:t>
            </w:r>
          </w:p>
        </w:tc>
        <w:tc>
          <w:tcPr>
            <w:tcW w:w="280" w:type="dxa"/>
            <w:vAlign w:val="bottom"/>
            <w:shd w:val="clear" w:color="auto" w:fill="D5EFF4"/>
          </w:tcPr>
          <w:p>
            <w:pPr>
              <w:spacing w:after="0"/>
              <w:rPr>
                <w:sz w:val="20"/>
                <w:szCs w:val="20"/>
                <w:color w:val="auto"/>
              </w:rPr>
            </w:pPr>
          </w:p>
        </w:tc>
        <w:tc>
          <w:tcPr>
            <w:tcW w:w="1780" w:type="dxa"/>
            <w:vAlign w:val="bottom"/>
            <w:shd w:val="clear" w:color="auto" w:fill="D5EFF4"/>
          </w:tcPr>
          <w:p>
            <w:pPr>
              <w:spacing w:after="0"/>
              <w:rPr>
                <w:sz w:val="20"/>
                <w:szCs w:val="20"/>
                <w:color w:val="auto"/>
              </w:rPr>
            </w:pPr>
          </w:p>
        </w:tc>
        <w:tc>
          <w:tcPr>
            <w:tcW w:w="20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660" w:type="dxa"/>
            <w:vAlign w:val="bottom"/>
            <w:shd w:val="clear" w:color="auto" w:fill="D5EFF4"/>
          </w:tcPr>
          <w:p>
            <w:pPr>
              <w:spacing w:after="0"/>
              <w:rPr>
                <w:sz w:val="20"/>
                <w:szCs w:val="20"/>
                <w:color w:val="auto"/>
              </w:rPr>
            </w:pPr>
          </w:p>
        </w:tc>
        <w:tc>
          <w:tcPr>
            <w:tcW w:w="80" w:type="dxa"/>
            <w:vAlign w:val="bottom"/>
            <w:tcBorders>
              <w:top w:val="single" w:sz="8" w:color="auto"/>
            </w:tcBorders>
            <w:shd w:val="clear" w:color="auto" w:fill="D5EFF4"/>
          </w:tcPr>
          <w:p>
            <w:pPr>
              <w:spacing w:after="0"/>
              <w:rPr>
                <w:sz w:val="20"/>
                <w:szCs w:val="20"/>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Costs</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480" w:type="dxa"/>
            <w:vAlign w:val="bottom"/>
            <w:gridSpan w:val="3"/>
          </w:tcPr>
          <w:p>
            <w:pPr>
              <w:jc w:val="right"/>
              <w:ind w:right="95"/>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r>
      <w:tr>
        <w:trPr>
          <w:trHeight w:val="244"/>
        </w:trPr>
        <w:tc>
          <w:tcPr>
            <w:tcW w:w="59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Foreign Currency</w:t>
            </w:r>
          </w:p>
        </w:tc>
        <w:tc>
          <w:tcPr>
            <w:tcW w:w="280" w:type="dxa"/>
            <w:vAlign w:val="bottom"/>
            <w:shd w:val="clear" w:color="auto" w:fill="D5EFF4"/>
          </w:tcPr>
          <w:p>
            <w:pPr>
              <w:spacing w:after="0"/>
              <w:rPr>
                <w:sz w:val="21"/>
                <w:szCs w:val="21"/>
                <w:color w:val="auto"/>
              </w:rPr>
            </w:pPr>
          </w:p>
        </w:tc>
        <w:tc>
          <w:tcPr>
            <w:tcW w:w="17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6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shd w:val="clear" w:color="auto" w:fill="D5EFF4"/>
          </w:tcPr>
          <w:p>
            <w:pPr>
              <w:spacing w:after="0"/>
              <w:rPr>
                <w:sz w:val="21"/>
                <w:szCs w:val="21"/>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Price/mix</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1"/>
                <w:szCs w:val="21"/>
                <w:color w:val="auto"/>
              </w:rPr>
            </w:pPr>
          </w:p>
        </w:tc>
      </w:tr>
      <w:tr>
        <w:trPr>
          <w:trHeight w:val="244"/>
        </w:trPr>
        <w:tc>
          <w:tcPr>
            <w:tcW w:w="59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Volume</w:t>
            </w:r>
          </w:p>
        </w:tc>
        <w:tc>
          <w:tcPr>
            <w:tcW w:w="280" w:type="dxa"/>
            <w:vAlign w:val="bottom"/>
            <w:shd w:val="clear" w:color="auto" w:fill="D5EFF4"/>
          </w:tcPr>
          <w:p>
            <w:pPr>
              <w:spacing w:after="0"/>
              <w:rPr>
                <w:sz w:val="21"/>
                <w:szCs w:val="21"/>
                <w:color w:val="auto"/>
              </w:rPr>
            </w:pPr>
          </w:p>
        </w:tc>
        <w:tc>
          <w:tcPr>
            <w:tcW w:w="17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6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shd w:val="clear" w:color="auto" w:fill="D5EFF4"/>
          </w:tcPr>
          <w:p>
            <w:pPr>
              <w:spacing w:after="0"/>
              <w:rPr>
                <w:sz w:val="21"/>
                <w:szCs w:val="21"/>
                <w:color w:val="auto"/>
              </w:rPr>
            </w:pPr>
          </w:p>
        </w:tc>
      </w:tr>
      <w:tr>
        <w:trPr>
          <w:trHeight w:val="244"/>
        </w:trPr>
        <w:tc>
          <w:tcPr>
            <w:tcW w:w="5960" w:type="dxa"/>
            <w:vAlign w:val="bottom"/>
            <w:tcBorders>
              <w:bottom w:val="single" w:sz="8" w:color="D5EFF4"/>
            </w:tcBorders>
          </w:tcPr>
          <w:p>
            <w:pPr>
              <w:ind w:left="200"/>
              <w:spacing w:after="0"/>
              <w:rPr>
                <w:sz w:val="20"/>
                <w:szCs w:val="20"/>
                <w:color w:val="auto"/>
              </w:rPr>
            </w:pPr>
            <w:r>
              <w:rPr>
                <w:rFonts w:ascii="Times New Roman" w:cs="Times New Roman" w:eastAsia="Times New Roman" w:hAnsi="Times New Roman"/>
                <w:sz w:val="20"/>
                <w:szCs w:val="20"/>
                <w:color w:val="auto"/>
              </w:rPr>
              <w:t>Divestiture (site closure)</w:t>
            </w: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5960" w:type="dxa"/>
            <w:vAlign w:val="bottom"/>
            <w:tcBorders>
              <w:bottom w:val="single" w:sz="8" w:color="D5EFF4"/>
            </w:tcBorders>
            <w:shd w:val="clear" w:color="auto" w:fill="D5EFF4"/>
          </w:tcPr>
          <w:p>
            <w:pPr>
              <w:spacing w:after="0"/>
              <w:rPr>
                <w:sz w:val="22"/>
                <w:szCs w:val="22"/>
                <w:color w:val="auto"/>
              </w:rPr>
            </w:pPr>
          </w:p>
        </w:tc>
        <w:tc>
          <w:tcPr>
            <w:tcW w:w="280" w:type="dxa"/>
            <w:vAlign w:val="bottom"/>
            <w:tcBorders>
              <w:bottom w:val="single" w:sz="8" w:color="auto"/>
            </w:tcBorders>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2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Borders>
              <w:bottom w:val="single" w:sz="8" w:color="auto"/>
            </w:tcBorders>
            <w:shd w:val="clear" w:color="auto" w:fill="D5EFF4"/>
          </w:tcPr>
          <w:p>
            <w:pPr>
              <w:spacing w:after="0"/>
              <w:rPr>
                <w:sz w:val="22"/>
                <w:szCs w:val="22"/>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8"/>
        </w:trPr>
        <w:tc>
          <w:tcPr>
            <w:tcW w:w="5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-1207770</wp:posOffset>
            </wp:positionV>
            <wp:extent cx="649414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16">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9414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17">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8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64" w:lineRule="exact"/>
        <w:rPr>
          <w:sz w:val="20"/>
          <w:szCs w:val="20"/>
          <w:color w:val="auto"/>
        </w:rPr>
      </w:pPr>
    </w:p>
    <w:p>
      <w:pPr>
        <w:jc w:val="both"/>
        <w:ind w:left="6" w:firstLine="360"/>
        <w:spacing w:after="0" w:line="297" w:lineRule="auto"/>
        <w:rPr>
          <w:sz w:val="20"/>
          <w:szCs w:val="20"/>
          <w:color w:val="auto"/>
        </w:rPr>
      </w:pPr>
      <w:r>
        <w:rPr>
          <w:rFonts w:ascii="Times New Roman" w:cs="Times New Roman" w:eastAsia="Times New Roman" w:hAnsi="Times New Roman"/>
          <w:sz w:val="20"/>
          <w:szCs w:val="20"/>
          <w:color w:val="auto"/>
        </w:rPr>
        <w:t>The following EBITDA presentation (as defined and described in the section above) for the years ended September 30, 2025, 2024 and 2023, is provided as a means to enhance the understanding of financial measurements that Ashland has internally determined to be relevant measures of comparison for the results of Personal Care. There were key items for the years ended September 30, 2025, 2024 and 2023. These items are listed below and described within the "Use of Non-GAAP Financial Measures"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46990</wp:posOffset>
            </wp:positionV>
            <wp:extent cx="652970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18">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86" w:lineRule="exact"/>
        <w:rPr>
          <w:sz w:val="20"/>
          <w:szCs w:val="20"/>
          <w:color w:val="auto"/>
        </w:rPr>
      </w:pPr>
    </w:p>
    <w:tbl>
      <w:tblPr>
        <w:tblLayout w:type="fixed"/>
        <w:tblInd w:w="6" w:type="dxa"/>
        <w:tblCellMar>
          <w:top w:w="0" w:type="dxa"/>
          <w:left w:w="0" w:type="dxa"/>
          <w:bottom w:w="0" w:type="dxa"/>
          <w:right w:w="0" w:type="dxa"/>
        </w:tblCellMar>
      </w:tblPr>
      <w:tr>
        <w:trPr>
          <w:trHeight w:val="244"/>
        </w:trPr>
        <w:tc>
          <w:tcPr>
            <w:tcW w:w="4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3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60" w:type="dxa"/>
            <w:vAlign w:val="bottom"/>
          </w:tcPr>
          <w:p>
            <w:pPr>
              <w:spacing w:after="0"/>
              <w:rPr>
                <w:sz w:val="21"/>
                <w:szCs w:val="21"/>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change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change</w:t>
            </w:r>
          </w:p>
        </w:tc>
        <w:tc>
          <w:tcPr>
            <w:tcW w:w="0" w:type="dxa"/>
            <w:vAlign w:val="bottom"/>
          </w:tcPr>
          <w:p>
            <w:pPr>
              <w:spacing w:after="0"/>
              <w:rPr>
                <w:sz w:val="1"/>
                <w:szCs w:val="1"/>
                <w:color w:val="auto"/>
              </w:rPr>
            </w:pPr>
          </w:p>
        </w:tc>
      </w:tr>
      <w:tr>
        <w:trPr>
          <w:trHeight w:val="239"/>
        </w:trPr>
        <w:tc>
          <w:tcPr>
            <w:tcW w:w="42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1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90</w:t>
            </w:r>
          </w:p>
        </w:tc>
        <w:tc>
          <w:tcPr>
            <w:tcW w:w="340" w:type="dxa"/>
            <w:vAlign w:val="bottom"/>
            <w:gridSpan w:val="3"/>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73</w:t>
            </w:r>
          </w:p>
        </w:tc>
        <w:tc>
          <w:tcPr>
            <w:tcW w:w="320" w:type="dxa"/>
            <w:vAlign w:val="bottom"/>
            <w:gridSpan w:val="3"/>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52</w:t>
            </w:r>
          </w:p>
        </w:tc>
        <w:tc>
          <w:tcPr>
            <w:tcW w:w="860" w:type="dxa"/>
            <w:vAlign w:val="bottom"/>
            <w:gridSpan w:val="3"/>
            <w:shd w:val="clear" w:color="auto" w:fill="D5EFF4"/>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900" w:type="dxa"/>
            <w:vAlign w:val="bottom"/>
            <w:gridSpan w:val="3"/>
            <w:shd w:val="clear" w:color="auto" w:fill="D5EFF4"/>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99"/>
              </w:rPr>
              <w:t>21</w:t>
            </w:r>
          </w:p>
        </w:tc>
        <w:tc>
          <w:tcPr>
            <w:tcW w:w="80" w:type="dxa"/>
            <w:vAlign w:val="bottom"/>
            <w:tcBorders>
              <w:top w:val="single" w:sz="8" w:color="auto"/>
            </w:tcBorders>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D5EFF4"/>
            </w:tcBorders>
          </w:tcPr>
          <w:p>
            <w:pPr>
              <w:spacing w:after="0" w:line="244" w:lineRule="exact"/>
              <w:rPr>
                <w:sz w:val="20"/>
                <w:szCs w:val="20"/>
                <w:color w:val="auto"/>
              </w:rPr>
            </w:pPr>
            <w:r>
              <w:rPr>
                <w:rFonts w:ascii="Times New Roman" w:cs="Times New Roman" w:eastAsia="Times New Roman" w:hAnsi="Times New Roman"/>
                <w:sz w:val="20"/>
                <w:szCs w:val="20"/>
                <w:color w:val="auto"/>
              </w:rPr>
              <w:t>Depreciation and amortization</w:t>
            </w:r>
            <w:r>
              <w:rPr>
                <w:rFonts w:ascii="Times New Roman" w:cs="Times New Roman" w:eastAsia="Times New Roman" w:hAnsi="Times New Roman"/>
                <w:sz w:val="25"/>
                <w:szCs w:val="25"/>
                <w:color w:val="auto"/>
                <w:vertAlign w:val="superscript"/>
              </w:rPr>
              <w:t>(a)</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66</w:t>
            </w:r>
          </w:p>
        </w:tc>
        <w:tc>
          <w:tcPr>
            <w:tcW w:w="18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77</w:t>
            </w:r>
          </w:p>
        </w:tc>
        <w:tc>
          <w:tcPr>
            <w:tcW w:w="16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85</w:t>
            </w:r>
          </w:p>
        </w:tc>
        <w:tc>
          <w:tcPr>
            <w:tcW w:w="18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(11)</w:t>
            </w:r>
          </w:p>
        </w:tc>
        <w:tc>
          <w:tcPr>
            <w:tcW w:w="18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22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EBITDA</w:t>
            </w:r>
          </w:p>
        </w:tc>
        <w:tc>
          <w:tcPr>
            <w:tcW w:w="160" w:type="dxa"/>
            <w:vAlign w:val="bottom"/>
            <w:tcBorders>
              <w:bottom w:val="single" w:sz="8" w:color="auto"/>
            </w:tcBorders>
            <w:shd w:val="clear" w:color="auto" w:fill="D5EFF4"/>
          </w:tcPr>
          <w:p>
            <w:pPr>
              <w:spacing w:after="0"/>
              <w:rPr>
                <w:sz w:val="22"/>
                <w:szCs w:val="22"/>
                <w:color w:val="auto"/>
              </w:rPr>
            </w:pPr>
          </w:p>
        </w:tc>
        <w:tc>
          <w:tcPr>
            <w:tcW w:w="900" w:type="dxa"/>
            <w:vAlign w:val="bottom"/>
            <w:tcBorders>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156</w:t>
            </w:r>
          </w:p>
        </w:tc>
        <w:tc>
          <w:tcPr>
            <w:tcW w:w="18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spacing w:after="0"/>
              <w:rPr>
                <w:sz w:val="22"/>
                <w:szCs w:val="22"/>
                <w:color w:val="auto"/>
              </w:rPr>
            </w:pPr>
          </w:p>
        </w:tc>
        <w:tc>
          <w:tcPr>
            <w:tcW w:w="920" w:type="dxa"/>
            <w:vAlign w:val="bottom"/>
            <w:tcBorders>
              <w:bottom w:val="single" w:sz="8" w:color="auto"/>
            </w:tcBorders>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150</w:t>
            </w:r>
          </w:p>
        </w:tc>
        <w:tc>
          <w:tcPr>
            <w:tcW w:w="16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spacing w:after="0"/>
              <w:rPr>
                <w:sz w:val="22"/>
                <w:szCs w:val="22"/>
                <w:color w:val="auto"/>
              </w:rPr>
            </w:pPr>
          </w:p>
        </w:tc>
        <w:tc>
          <w:tcPr>
            <w:tcW w:w="920" w:type="dxa"/>
            <w:vAlign w:val="bottom"/>
            <w:tcBorders>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137</w:t>
            </w:r>
          </w:p>
        </w:tc>
        <w:tc>
          <w:tcPr>
            <w:tcW w:w="18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660" w:type="dxa"/>
            <w:vAlign w:val="bottom"/>
            <w:tcBorders>
              <w:bottom w:val="single" w:sz="8" w:color="auto"/>
            </w:tcBorders>
            <w:shd w:val="clear" w:color="auto" w:fill="D5EFF4"/>
          </w:tcPr>
          <w:p>
            <w:pPr>
              <w:spacing w:after="0"/>
              <w:rPr>
                <w:sz w:val="22"/>
                <w:szCs w:val="22"/>
                <w:color w:val="auto"/>
              </w:rPr>
            </w:pPr>
          </w:p>
        </w:tc>
        <w:tc>
          <w:tcPr>
            <w:tcW w:w="3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18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700" w:type="dxa"/>
            <w:vAlign w:val="bottom"/>
            <w:tcBorders>
              <w:bottom w:val="single" w:sz="8" w:color="auto"/>
            </w:tcBorders>
            <w:shd w:val="clear" w:color="auto" w:fill="D5EFF4"/>
          </w:tcPr>
          <w:p>
            <w:pPr>
              <w:spacing w:after="0"/>
              <w:rPr>
                <w:sz w:val="22"/>
                <w:szCs w:val="22"/>
                <w:color w:val="auto"/>
              </w:rPr>
            </w:pPr>
          </w:p>
        </w:tc>
        <w:tc>
          <w:tcPr>
            <w:tcW w:w="2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99"/>
              </w:rPr>
              <w:t>13</w:t>
            </w:r>
          </w:p>
        </w:tc>
        <w:tc>
          <w:tcPr>
            <w:tcW w:w="80" w:type="dxa"/>
            <w:vAlign w:val="bottom"/>
            <w:tcBorders>
              <w:bottom w:val="single" w:sz="8" w:color="auto"/>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plant optimization costs</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40"/>
              <w:spacing w:after="0" w:line="209" w:lineRule="exact"/>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Accelerated depreciation</w:t>
            </w:r>
          </w:p>
        </w:tc>
        <w:tc>
          <w:tcPr>
            <w:tcW w:w="16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2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2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660" w:type="dxa"/>
            <w:vAlign w:val="bottom"/>
            <w:shd w:val="clear" w:color="auto" w:fill="D5EFF4"/>
          </w:tcPr>
          <w:p>
            <w:pPr>
              <w:spacing w:after="0"/>
              <w:rPr>
                <w:sz w:val="21"/>
                <w:szCs w:val="21"/>
                <w:color w:val="auto"/>
              </w:rPr>
            </w:pPr>
          </w:p>
        </w:tc>
        <w:tc>
          <w:tcPr>
            <w:tcW w:w="3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700" w:type="dxa"/>
            <w:vAlign w:val="bottom"/>
            <w:shd w:val="clear" w:color="auto" w:fill="D5EFF4"/>
          </w:tcPr>
          <w:p>
            <w:pPr>
              <w:spacing w:after="0"/>
              <w:rPr>
                <w:sz w:val="21"/>
                <w:szCs w:val="21"/>
                <w:color w:val="auto"/>
              </w:rPr>
            </w:pPr>
          </w:p>
        </w:tc>
        <w:tc>
          <w:tcPr>
            <w:tcW w:w="2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Held for sale depreciation and amortization</w:t>
            </w:r>
          </w:p>
        </w:tc>
        <w:tc>
          <w:tcPr>
            <w:tcW w:w="16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Asset impairment</w:t>
            </w:r>
          </w:p>
        </w:tc>
        <w:tc>
          <w:tcPr>
            <w:tcW w:w="160" w:type="dxa"/>
            <w:vAlign w:val="bottom"/>
            <w:tcBorders>
              <w:bottom w:val="single" w:sz="8" w:color="auto"/>
            </w:tcBorders>
            <w:shd w:val="clear" w:color="auto" w:fill="D5EFF4"/>
          </w:tcPr>
          <w:p>
            <w:pPr>
              <w:spacing w:after="0"/>
              <w:rPr>
                <w:sz w:val="22"/>
                <w:szCs w:val="22"/>
                <w:color w:val="auto"/>
              </w:rPr>
            </w:pPr>
          </w:p>
        </w:tc>
        <w:tc>
          <w:tcPr>
            <w:tcW w:w="900" w:type="dxa"/>
            <w:vAlign w:val="bottom"/>
            <w:tcBorders>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spacing w:after="0"/>
              <w:rPr>
                <w:sz w:val="22"/>
                <w:szCs w:val="22"/>
                <w:color w:val="auto"/>
              </w:rPr>
            </w:pPr>
          </w:p>
        </w:tc>
        <w:tc>
          <w:tcPr>
            <w:tcW w:w="920" w:type="dxa"/>
            <w:vAlign w:val="bottom"/>
            <w:tcBorders>
              <w:bottom w:val="single" w:sz="8" w:color="auto"/>
            </w:tcBorders>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140" w:type="dxa"/>
            <w:vAlign w:val="bottom"/>
            <w:tcBorders>
              <w:bottom w:val="single" w:sz="8" w:color="auto"/>
            </w:tcBorders>
            <w:shd w:val="clear" w:color="auto" w:fill="D5EFF4"/>
          </w:tcPr>
          <w:p>
            <w:pPr>
              <w:spacing w:after="0"/>
              <w:rPr>
                <w:sz w:val="22"/>
                <w:szCs w:val="22"/>
                <w:color w:val="auto"/>
              </w:rPr>
            </w:pPr>
          </w:p>
        </w:tc>
        <w:tc>
          <w:tcPr>
            <w:tcW w:w="920" w:type="dxa"/>
            <w:vAlign w:val="bottom"/>
            <w:tcBorders>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660" w:type="dxa"/>
            <w:vAlign w:val="bottom"/>
            <w:tcBorders>
              <w:bottom w:val="single" w:sz="8" w:color="auto"/>
            </w:tcBorders>
            <w:shd w:val="clear" w:color="auto" w:fill="D5EFF4"/>
          </w:tcPr>
          <w:p>
            <w:pPr>
              <w:spacing w:after="0"/>
              <w:rPr>
                <w:sz w:val="22"/>
                <w:szCs w:val="22"/>
                <w:color w:val="auto"/>
              </w:rPr>
            </w:pPr>
          </w:p>
        </w:tc>
        <w:tc>
          <w:tcPr>
            <w:tcW w:w="3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95"/>
              </w:rPr>
              <w:t>(11)</w:t>
            </w:r>
          </w:p>
        </w:tc>
        <w:tc>
          <w:tcPr>
            <w:tcW w:w="18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700" w:type="dxa"/>
            <w:vAlign w:val="bottom"/>
            <w:tcBorders>
              <w:bottom w:val="single" w:sz="8" w:color="auto"/>
            </w:tcBorders>
            <w:shd w:val="clear" w:color="auto" w:fill="D5EFF4"/>
          </w:tcPr>
          <w:p>
            <w:pPr>
              <w:spacing w:after="0"/>
              <w:rPr>
                <w:sz w:val="22"/>
                <w:szCs w:val="22"/>
                <w:color w:val="auto"/>
              </w:rPr>
            </w:pPr>
          </w:p>
        </w:tc>
        <w:tc>
          <w:tcPr>
            <w:tcW w:w="2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99"/>
              </w:rPr>
              <w:t>11</w:t>
            </w:r>
          </w:p>
        </w:tc>
        <w:tc>
          <w:tcPr>
            <w:tcW w:w="80" w:type="dxa"/>
            <w:vAlign w:val="bottom"/>
            <w:tcBorders>
              <w:bottom w:val="single" w:sz="8" w:color="auto"/>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220" w:type="dxa"/>
            <w:vAlign w:val="bottom"/>
            <w:tcBorders>
              <w:bottom w:val="single" w:sz="8" w:color="D5EFF4"/>
            </w:tcBorders>
          </w:tcPr>
          <w:p>
            <w:pPr>
              <w:spacing w:after="0" w:line="219" w:lineRule="exact"/>
              <w:rPr>
                <w:sz w:val="20"/>
                <w:szCs w:val="20"/>
                <w:color w:val="auto"/>
              </w:rPr>
            </w:pPr>
            <w:r>
              <w:rPr>
                <w:rFonts w:ascii="Times New Roman" w:cs="Times New Roman" w:eastAsia="Times New Roman" w:hAnsi="Times New Roman"/>
                <w:sz w:val="20"/>
                <w:szCs w:val="20"/>
                <w:color w:val="auto"/>
              </w:rPr>
              <w:t>Adjusted EBITDA</w:t>
            </w:r>
          </w:p>
        </w:tc>
        <w:tc>
          <w:tcPr>
            <w:tcW w:w="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158</w:t>
            </w:r>
          </w:p>
        </w:tc>
        <w:tc>
          <w:tcPr>
            <w:tcW w:w="180" w:type="dxa"/>
            <w:vAlign w:val="bottom"/>
            <w:tcBorders>
              <w:bottom w:val="single" w:sz="8" w:color="D5EFF4"/>
            </w:tcBorders>
          </w:tcPr>
          <w:p>
            <w:pPr>
              <w:spacing w:after="0"/>
              <w:rPr>
                <w:sz w:val="22"/>
                <w:szCs w:val="22"/>
                <w:color w:val="auto"/>
              </w:rPr>
            </w:pPr>
          </w:p>
        </w:tc>
        <w:tc>
          <w:tcPr>
            <w:tcW w:w="160" w:type="dxa"/>
            <w:vAlign w:val="bottom"/>
            <w:tcBorders>
              <w:bottom w:val="single" w:sz="8" w:color="auto"/>
            </w:tcBorders>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164</w:t>
            </w:r>
          </w:p>
        </w:tc>
        <w:tc>
          <w:tcPr>
            <w:tcW w:w="160" w:type="dxa"/>
            <w:vAlign w:val="bottom"/>
            <w:tcBorders>
              <w:bottom w:val="single" w:sz="8" w:color="D5EFF4"/>
            </w:tcBorders>
          </w:tcPr>
          <w:p>
            <w:pPr>
              <w:spacing w:after="0"/>
              <w:rPr>
                <w:sz w:val="22"/>
                <w:szCs w:val="22"/>
                <w:color w:val="auto"/>
              </w:rPr>
            </w:pPr>
          </w:p>
        </w:tc>
        <w:tc>
          <w:tcPr>
            <w:tcW w:w="160" w:type="dxa"/>
            <w:vAlign w:val="bottom"/>
            <w:tcBorders>
              <w:bottom w:val="single" w:sz="8" w:color="auto"/>
            </w:tcBorders>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137</w:t>
            </w:r>
          </w:p>
        </w:tc>
        <w:tc>
          <w:tcPr>
            <w:tcW w:w="180" w:type="dxa"/>
            <w:vAlign w:val="bottom"/>
            <w:tcBorders>
              <w:bottom w:val="single" w:sz="8" w:color="D5EFF4"/>
            </w:tcBorders>
          </w:tcPr>
          <w:p>
            <w:pPr>
              <w:spacing w:after="0"/>
              <w:rPr>
                <w:sz w:val="22"/>
                <w:szCs w:val="22"/>
                <w:color w:val="auto"/>
              </w:rPr>
            </w:pPr>
          </w:p>
        </w:tc>
        <w:tc>
          <w:tcPr>
            <w:tcW w:w="680" w:type="dxa"/>
            <w:vAlign w:val="bottom"/>
            <w:tcBorders>
              <w:bottom w:val="single" w:sz="8" w:color="auto"/>
            </w:tcBorders>
            <w:gridSpan w:val="2"/>
          </w:tcPr>
          <w:p>
            <w:pPr>
              <w:jc w:val="right"/>
              <w:ind w:right="4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w:t>
            </w:r>
          </w:p>
        </w:tc>
        <w:tc>
          <w:tcPr>
            <w:tcW w:w="180" w:type="dxa"/>
            <w:vAlign w:val="bottom"/>
            <w:tcBorders>
              <w:bottom w:val="single" w:sz="8" w:color="D5EFF4"/>
            </w:tcBorders>
          </w:tcPr>
          <w:p>
            <w:pPr>
              <w:spacing w:after="0"/>
              <w:rPr>
                <w:sz w:val="22"/>
                <w:szCs w:val="22"/>
                <w:color w:val="auto"/>
              </w:rPr>
            </w:pPr>
          </w:p>
        </w:tc>
        <w:tc>
          <w:tcPr>
            <w:tcW w:w="720" w:type="dxa"/>
            <w:vAlign w:val="bottom"/>
            <w:tcBorders>
              <w:bottom w:val="single" w:sz="8" w:color="auto"/>
            </w:tcBorders>
            <w:gridSpan w:val="2"/>
          </w:tcPr>
          <w:p>
            <w:pPr>
              <w:jc w:val="right"/>
              <w:ind w:right="5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27</w:t>
            </w:r>
          </w:p>
        </w:tc>
        <w:tc>
          <w:tcPr>
            <w:tcW w:w="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Operating income as a percent of sales</w:t>
            </w:r>
          </w:p>
        </w:tc>
        <w:tc>
          <w:tcPr>
            <w:tcW w:w="160" w:type="dxa"/>
            <w:vAlign w:val="bottom"/>
            <w:shd w:val="clear" w:color="auto" w:fill="D5EFF4"/>
          </w:tcPr>
          <w:p>
            <w:pPr>
              <w:spacing w:after="0"/>
              <w:rPr>
                <w:sz w:val="19"/>
                <w:szCs w:val="19"/>
                <w:color w:val="auto"/>
              </w:rPr>
            </w:pPr>
          </w:p>
        </w:tc>
        <w:tc>
          <w:tcPr>
            <w:tcW w:w="9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18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16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8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6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410 bps</w:t>
            </w:r>
          </w:p>
        </w:tc>
        <w:tc>
          <w:tcPr>
            <w:tcW w:w="380" w:type="dxa"/>
            <w:vAlign w:val="bottom"/>
            <w:shd w:val="clear" w:color="auto" w:fill="D5EFF4"/>
          </w:tcPr>
          <w:p>
            <w:pPr>
              <w:spacing w:after="0"/>
              <w:rPr>
                <w:sz w:val="19"/>
                <w:szCs w:val="19"/>
                <w:color w:val="auto"/>
              </w:rPr>
            </w:pPr>
          </w:p>
        </w:tc>
        <w:tc>
          <w:tcPr>
            <w:tcW w:w="18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7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280 bps</w:t>
            </w:r>
          </w:p>
        </w:tc>
        <w:tc>
          <w:tcPr>
            <w:tcW w:w="240" w:type="dxa"/>
            <w:vAlign w:val="bottom"/>
            <w:shd w:val="clear" w:color="auto" w:fill="D5EFF4"/>
          </w:tcPr>
          <w:p>
            <w:pPr>
              <w:spacing w:after="0"/>
              <w:rPr>
                <w:sz w:val="19"/>
                <w:szCs w:val="19"/>
                <w:color w:val="auto"/>
              </w:rPr>
            </w:pPr>
          </w:p>
        </w:tc>
        <w:tc>
          <w:tcPr>
            <w:tcW w:w="8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Adjusted EBITDA as a percent of sales</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 bps</w:t>
            </w: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 bps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-1710690</wp:posOffset>
            </wp:positionV>
            <wp:extent cx="649541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19">
                      <a:extLst>
                        <a:ext uri="{28A0092B-C50C-407E-A947-70E740481C1C}"/>
                      </a:extLst>
                    </a:blip>
                    <a:srcRect/>
                    <a:stretch>
                      <a:fillRect/>
                    </a:stretch>
                  </pic:blipFill>
                  <pic:spPr bwMode="auto">
                    <a:xfrm>
                      <a:off x="0" y="0"/>
                      <a:ext cx="649541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649541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20">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pacing w:after="0" w:line="85" w:lineRule="exact"/>
        <w:rPr>
          <w:sz w:val="20"/>
          <w:szCs w:val="20"/>
          <w:color w:val="auto"/>
        </w:rPr>
      </w:pPr>
    </w:p>
    <w:p>
      <w:pPr>
        <w:ind w:left="566" w:hanging="566"/>
        <w:spacing w:after="0" w:line="325" w:lineRule="auto"/>
        <w:tabs>
          <w:tab w:leader="none" w:pos="56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for Personal Care includes $2 million associated with the Avoca business assets in 2025 and excludes accelerated depreciation of $1 million in 2025 and $2 million in 2024, which is included as a key item within this table as a component of Adjusted EBITDA.</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2025 compared to 2024</w:t>
      </w:r>
    </w:p>
    <w:p>
      <w:pPr>
        <w:spacing w:after="0" w:line="164"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Personal Care's sales and Adjusted EBITDA decreased in 2025 primarily due to lower volume, including the divestiture of the Avoca business and other portfolio optimization actions, and unfavorable price/mix, partially offset by lower costs and favorable foreign exchange currency. Operating income increased due to lower costs and favorable foreign exchange currency, partially offset by unfavorable price/mix.</w:t>
      </w:r>
    </w:p>
    <w:p>
      <w:pPr>
        <w:spacing w:after="0" w:line="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2024 compared to 2023</w:t>
      </w:r>
    </w:p>
    <w:p>
      <w:pPr>
        <w:spacing w:after="0" w:line="164" w:lineRule="exact"/>
        <w:rPr>
          <w:sz w:val="20"/>
          <w:szCs w:val="20"/>
          <w:color w:val="auto"/>
        </w:rPr>
      </w:pPr>
    </w:p>
    <w:p>
      <w:pPr>
        <w:jc w:val="both"/>
        <w:ind w:left="6" w:firstLine="360"/>
        <w:spacing w:after="0" w:line="293" w:lineRule="auto"/>
        <w:rPr>
          <w:sz w:val="20"/>
          <w:szCs w:val="20"/>
          <w:color w:val="auto"/>
        </w:rPr>
      </w:pPr>
      <w:r>
        <w:rPr>
          <w:rFonts w:ascii="Times New Roman" w:cs="Times New Roman" w:eastAsia="Times New Roman" w:hAnsi="Times New Roman"/>
          <w:sz w:val="20"/>
          <w:szCs w:val="20"/>
          <w:color w:val="auto"/>
        </w:rPr>
        <w:t>Personal Care's sales increased in 2024 primarily due to higher volume partially offset by unfavorable pricing. Sales growth for Personal Care reflects improved demand in most regions for skin care and hair care. Personal Care’s globalization initiatives for biofunctionals and microbial protection also contributed to sales growth. As expected, oral care sales were adversely impacted by order timing with a key customer. Operating income and Adjusted EBITDA increased primarily due to higher volume, favorable product mix and foreign currency exchange, partially offset by higher cost including $11 million for a capital impairment charge and $2 million of accelerated depreciation for product line optimization activities associated with a manufacturing facility. The CMC portfolio optimization initiative had an approximate $7 million negative sales impact during the year.</w:t>
      </w:r>
    </w:p>
    <w:p>
      <w:pPr>
        <w:sectPr>
          <w:pgSz w:w="12240" w:h="15840" w:orient="portrait"/>
          <w:cols w:equalWidth="0" w:num="1">
            <w:col w:w="10246"/>
          </w:cols>
          <w:pgMar w:left="994" w:top="988"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M-21</w:t>
      </w:r>
    </w:p>
    <w:p>
      <w:pPr>
        <w:sectPr>
          <w:pgSz w:w="12240" w:h="15840" w:orient="portrait"/>
          <w:cols w:equalWidth="0" w:num="1">
            <w:col w:w="10246"/>
          </w:cols>
          <w:pgMar w:left="994" w:top="988" w:right="1000" w:bottom="186"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Specialty Additives</w:t>
      </w:r>
    </w:p>
    <w:p>
      <w:pPr>
        <w:spacing w:after="0" w:line="170"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spacing w:after="0" w:line="82"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Specialty Additives between fiscal years 2025 and 2024 and between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649414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21">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0" w:type="dxa"/>
            <w:vAlign w:val="bottom"/>
          </w:tcPr>
          <w:p>
            <w:pPr>
              <w:spacing w:after="0"/>
              <w:rPr>
                <w:sz w:val="21"/>
                <w:szCs w:val="21"/>
                <w:color w:val="auto"/>
              </w:rPr>
            </w:pPr>
          </w:p>
        </w:tc>
        <w:tc>
          <w:tcPr>
            <w:tcW w:w="17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 change</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2024 change</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596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Sales change</w:t>
            </w:r>
          </w:p>
        </w:tc>
        <w:tc>
          <w:tcPr>
            <w:tcW w:w="280" w:type="dxa"/>
            <w:vAlign w:val="bottom"/>
            <w:shd w:val="clear" w:color="auto" w:fill="D4EFF4"/>
          </w:tcPr>
          <w:p>
            <w:pPr>
              <w:spacing w:after="0"/>
              <w:rPr>
                <w:sz w:val="19"/>
                <w:szCs w:val="19"/>
                <w:color w:val="auto"/>
              </w:rPr>
            </w:pPr>
          </w:p>
        </w:tc>
        <w:tc>
          <w:tcPr>
            <w:tcW w:w="178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280" w:type="dxa"/>
            <w:vAlign w:val="bottom"/>
            <w:shd w:val="clear" w:color="auto" w:fill="D4EFF4"/>
          </w:tcPr>
          <w:p>
            <w:pPr>
              <w:spacing w:after="0"/>
              <w:rPr>
                <w:sz w:val="19"/>
                <w:szCs w:val="19"/>
                <w:color w:val="auto"/>
              </w:rPr>
            </w:pPr>
          </w:p>
        </w:tc>
        <w:tc>
          <w:tcPr>
            <w:tcW w:w="166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r>
      <w:tr>
        <w:trPr>
          <w:trHeight w:val="230"/>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Volume</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w:t>
            </w:r>
          </w:p>
        </w:tc>
      </w:tr>
      <w:tr>
        <w:trPr>
          <w:trHeight w:val="230"/>
        </w:trPr>
        <w:tc>
          <w:tcPr>
            <w:tcW w:w="59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Price/mix</w:t>
            </w:r>
          </w:p>
        </w:tc>
        <w:tc>
          <w:tcPr>
            <w:tcW w:w="280" w:type="dxa"/>
            <w:vAlign w:val="bottom"/>
            <w:shd w:val="clear" w:color="auto" w:fill="D4EFF4"/>
          </w:tcPr>
          <w:p>
            <w:pPr>
              <w:spacing w:after="0"/>
              <w:rPr>
                <w:sz w:val="20"/>
                <w:szCs w:val="20"/>
                <w:color w:val="auto"/>
              </w:rPr>
            </w:pPr>
          </w:p>
        </w:tc>
        <w:tc>
          <w:tcPr>
            <w:tcW w:w="17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shd w:val="clear" w:color="auto" w:fill="D4EFF4"/>
          </w:tcPr>
          <w:p>
            <w:pPr>
              <w:spacing w:after="0"/>
              <w:rPr>
                <w:sz w:val="20"/>
                <w:szCs w:val="20"/>
                <w:color w:val="auto"/>
              </w:rPr>
            </w:pPr>
          </w:p>
        </w:tc>
        <w:tc>
          <w:tcPr>
            <w:tcW w:w="280" w:type="dxa"/>
            <w:vAlign w:val="bottom"/>
            <w:shd w:val="clear" w:color="auto" w:fill="D4EFF4"/>
          </w:tcPr>
          <w:p>
            <w:pPr>
              <w:spacing w:after="0"/>
              <w:rPr>
                <w:sz w:val="20"/>
                <w:szCs w:val="20"/>
                <w:color w:val="auto"/>
              </w:rPr>
            </w:pPr>
          </w:p>
        </w:tc>
        <w:tc>
          <w:tcPr>
            <w:tcW w:w="174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Currency</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r>
      <w:tr>
        <w:trPr>
          <w:trHeight w:val="250"/>
        </w:trPr>
        <w:tc>
          <w:tcPr>
            <w:tcW w:w="59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Divestiture</w:t>
            </w:r>
          </w:p>
        </w:tc>
        <w:tc>
          <w:tcPr>
            <w:tcW w:w="280" w:type="dxa"/>
            <w:vAlign w:val="bottom"/>
            <w:tcBorders>
              <w:bottom w:val="single" w:sz="8" w:color="auto"/>
            </w:tcBorders>
            <w:shd w:val="clear" w:color="auto" w:fill="D4EFF4"/>
          </w:tcPr>
          <w:p>
            <w:pPr>
              <w:spacing w:after="0"/>
              <w:rPr>
                <w:sz w:val="21"/>
                <w:szCs w:val="21"/>
                <w:color w:val="auto"/>
              </w:rPr>
            </w:pPr>
          </w:p>
        </w:tc>
        <w:tc>
          <w:tcPr>
            <w:tcW w:w="17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shd w:val="clear" w:color="auto" w:fill="D4EFF4"/>
          </w:tcPr>
          <w:p>
            <w:pPr>
              <w:spacing w:after="0"/>
              <w:rPr>
                <w:sz w:val="21"/>
                <w:szCs w:val="21"/>
                <w:color w:val="auto"/>
              </w:rPr>
            </w:pPr>
          </w:p>
        </w:tc>
        <w:tc>
          <w:tcPr>
            <w:tcW w:w="280" w:type="dxa"/>
            <w:vAlign w:val="bottom"/>
            <w:tcBorders>
              <w:bottom w:val="single" w:sz="8" w:color="auto"/>
            </w:tcBorders>
            <w:shd w:val="clear" w:color="auto" w:fill="D4EFF4"/>
          </w:tcPr>
          <w:p>
            <w:pPr>
              <w:spacing w:after="0"/>
              <w:rPr>
                <w:sz w:val="21"/>
                <w:szCs w:val="21"/>
                <w:color w:val="auto"/>
              </w:rPr>
            </w:pPr>
          </w:p>
        </w:tc>
        <w:tc>
          <w:tcPr>
            <w:tcW w:w="174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r>
      <w:tr>
        <w:trPr>
          <w:trHeight w:val="205"/>
        </w:trPr>
        <w:tc>
          <w:tcPr>
            <w:tcW w:w="5960" w:type="dxa"/>
            <w:vAlign w:val="bottom"/>
          </w:tcPr>
          <w:p>
            <w:pPr>
              <w:spacing w:after="0"/>
              <w:rPr>
                <w:sz w:val="17"/>
                <w:szCs w:val="17"/>
                <w:color w:val="auto"/>
              </w:rPr>
            </w:pPr>
          </w:p>
        </w:tc>
        <w:tc>
          <w:tcPr>
            <w:tcW w:w="280" w:type="dxa"/>
            <w:vAlign w:val="bottom"/>
            <w:tcBorders>
              <w:bottom w:val="single" w:sz="8" w:color="auto"/>
            </w:tcBorders>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(61)</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Borders>
              <w:bottom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20"/>
                <w:szCs w:val="20"/>
                <w:color w:val="auto"/>
              </w:rPr>
              <w:t>(28)</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5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-991235</wp:posOffset>
            </wp:positionV>
            <wp:extent cx="649414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22">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-23495</wp:posOffset>
            </wp:positionV>
            <wp:extent cx="649414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23">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for Specialty Additives between fiscal years 2025 and 2024 and between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652970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24">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0" w:type="dxa"/>
            <w:vAlign w:val="bottom"/>
          </w:tcPr>
          <w:p>
            <w:pPr>
              <w:spacing w:after="0"/>
              <w:rPr>
                <w:sz w:val="21"/>
                <w:szCs w:val="21"/>
                <w:color w:val="auto"/>
              </w:rPr>
            </w:pPr>
          </w:p>
        </w:tc>
        <w:tc>
          <w:tcPr>
            <w:tcW w:w="17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 change</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2024 change</w:t>
            </w:r>
          </w:p>
        </w:tc>
      </w:tr>
      <w:tr>
        <w:trPr>
          <w:trHeight w:val="239"/>
        </w:trPr>
        <w:tc>
          <w:tcPr>
            <w:tcW w:w="59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Operating income (loss) change</w:t>
            </w:r>
          </w:p>
        </w:tc>
        <w:tc>
          <w:tcPr>
            <w:tcW w:w="280" w:type="dxa"/>
            <w:vAlign w:val="bottom"/>
            <w:shd w:val="clear" w:color="auto" w:fill="D4EFF4"/>
          </w:tcPr>
          <w:p>
            <w:pPr>
              <w:spacing w:after="0"/>
              <w:rPr>
                <w:sz w:val="20"/>
                <w:szCs w:val="20"/>
                <w:color w:val="auto"/>
              </w:rPr>
            </w:pPr>
          </w:p>
        </w:tc>
        <w:tc>
          <w:tcPr>
            <w:tcW w:w="1780" w:type="dxa"/>
            <w:vAlign w:val="bottom"/>
            <w:shd w:val="clear" w:color="auto" w:fill="D4EFF4"/>
          </w:tcPr>
          <w:p>
            <w:pPr>
              <w:spacing w:after="0"/>
              <w:rPr>
                <w:sz w:val="20"/>
                <w:szCs w:val="20"/>
                <w:color w:val="auto"/>
              </w:rPr>
            </w:pPr>
          </w:p>
        </w:tc>
        <w:tc>
          <w:tcPr>
            <w:tcW w:w="200" w:type="dxa"/>
            <w:vAlign w:val="bottom"/>
            <w:shd w:val="clear" w:color="auto" w:fill="D4EFF4"/>
          </w:tcPr>
          <w:p>
            <w:pPr>
              <w:spacing w:after="0"/>
              <w:rPr>
                <w:sz w:val="20"/>
                <w:szCs w:val="20"/>
                <w:color w:val="auto"/>
              </w:rPr>
            </w:pPr>
          </w:p>
        </w:tc>
        <w:tc>
          <w:tcPr>
            <w:tcW w:w="280" w:type="dxa"/>
            <w:vAlign w:val="bottom"/>
            <w:shd w:val="clear" w:color="auto" w:fill="D4EFF4"/>
          </w:tcPr>
          <w:p>
            <w:pPr>
              <w:spacing w:after="0"/>
              <w:rPr>
                <w:sz w:val="20"/>
                <w:szCs w:val="20"/>
                <w:color w:val="auto"/>
              </w:rPr>
            </w:pPr>
          </w:p>
        </w:tc>
        <w:tc>
          <w:tcPr>
            <w:tcW w:w="1660" w:type="dxa"/>
            <w:vAlign w:val="bottom"/>
            <w:shd w:val="clear" w:color="auto" w:fill="D4EFF4"/>
          </w:tcPr>
          <w:p>
            <w:pPr>
              <w:spacing w:after="0"/>
              <w:rPr>
                <w:sz w:val="20"/>
                <w:szCs w:val="20"/>
                <w:color w:val="auto"/>
              </w:rPr>
            </w:pPr>
          </w:p>
        </w:tc>
        <w:tc>
          <w:tcPr>
            <w:tcW w:w="80" w:type="dxa"/>
            <w:vAlign w:val="bottom"/>
            <w:tcBorders>
              <w:top w:val="single" w:sz="8" w:color="auto"/>
            </w:tcBorders>
            <w:shd w:val="clear" w:color="auto" w:fill="D4EFF4"/>
          </w:tcPr>
          <w:p>
            <w:pPr>
              <w:spacing w:after="0"/>
              <w:rPr>
                <w:sz w:val="20"/>
                <w:szCs w:val="20"/>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Goodwill impairment</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Price/mix</w:t>
            </w:r>
          </w:p>
        </w:tc>
        <w:tc>
          <w:tcPr>
            <w:tcW w:w="280" w:type="dxa"/>
            <w:vAlign w:val="bottom"/>
            <w:shd w:val="clear" w:color="auto" w:fill="D4EFF4"/>
          </w:tcPr>
          <w:p>
            <w:pPr>
              <w:spacing w:after="0"/>
              <w:rPr>
                <w:sz w:val="21"/>
                <w:szCs w:val="21"/>
                <w:color w:val="auto"/>
              </w:rPr>
            </w:pPr>
          </w:p>
        </w:tc>
        <w:tc>
          <w:tcPr>
            <w:tcW w:w="17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shd w:val="clear" w:color="auto" w:fill="D4EFF4"/>
          </w:tcPr>
          <w:p>
            <w:pPr>
              <w:spacing w:after="0"/>
              <w:rPr>
                <w:sz w:val="21"/>
                <w:szCs w:val="21"/>
                <w:color w:val="auto"/>
              </w:rPr>
            </w:pPr>
          </w:p>
        </w:tc>
        <w:tc>
          <w:tcPr>
            <w:tcW w:w="280" w:type="dxa"/>
            <w:vAlign w:val="bottom"/>
            <w:shd w:val="clear" w:color="auto" w:fill="D4EFF4"/>
          </w:tcPr>
          <w:p>
            <w:pPr>
              <w:spacing w:after="0"/>
              <w:rPr>
                <w:sz w:val="21"/>
                <w:szCs w:val="21"/>
                <w:color w:val="auto"/>
              </w:rPr>
            </w:pPr>
          </w:p>
        </w:tc>
        <w:tc>
          <w:tcPr>
            <w:tcW w:w="174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Volume</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1"/>
                <w:szCs w:val="21"/>
                <w:color w:val="auto"/>
              </w:rPr>
            </w:pPr>
          </w:p>
        </w:tc>
      </w:tr>
      <w:tr>
        <w:trPr>
          <w:trHeight w:val="244"/>
        </w:trPr>
        <w:tc>
          <w:tcPr>
            <w:tcW w:w="59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Foreign Currency</w:t>
            </w:r>
          </w:p>
        </w:tc>
        <w:tc>
          <w:tcPr>
            <w:tcW w:w="280" w:type="dxa"/>
            <w:vAlign w:val="bottom"/>
            <w:shd w:val="clear" w:color="auto" w:fill="D4EFF4"/>
          </w:tcPr>
          <w:p>
            <w:pPr>
              <w:spacing w:after="0"/>
              <w:rPr>
                <w:sz w:val="21"/>
                <w:szCs w:val="21"/>
                <w:color w:val="auto"/>
              </w:rPr>
            </w:pPr>
          </w:p>
        </w:tc>
        <w:tc>
          <w:tcPr>
            <w:tcW w:w="17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shd w:val="clear" w:color="auto" w:fill="D4EFF4"/>
          </w:tcPr>
          <w:p>
            <w:pPr>
              <w:spacing w:after="0"/>
              <w:rPr>
                <w:sz w:val="21"/>
                <w:szCs w:val="21"/>
                <w:color w:val="auto"/>
              </w:rPr>
            </w:pPr>
          </w:p>
        </w:tc>
        <w:tc>
          <w:tcPr>
            <w:tcW w:w="280" w:type="dxa"/>
            <w:vAlign w:val="bottom"/>
            <w:shd w:val="clear" w:color="auto" w:fill="D4EFF4"/>
          </w:tcPr>
          <w:p>
            <w:pPr>
              <w:spacing w:after="0"/>
              <w:rPr>
                <w:sz w:val="21"/>
                <w:szCs w:val="21"/>
                <w:color w:val="auto"/>
              </w:rPr>
            </w:pPr>
          </w:p>
        </w:tc>
        <w:tc>
          <w:tcPr>
            <w:tcW w:w="16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D4EFF4"/>
          </w:tcPr>
          <w:p>
            <w:pPr>
              <w:spacing w:after="0"/>
              <w:rPr>
                <w:sz w:val="21"/>
                <w:szCs w:val="21"/>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Costs</w:t>
            </w:r>
          </w:p>
        </w:tc>
        <w:tc>
          <w:tcPr>
            <w:tcW w:w="280" w:type="dxa"/>
            <w:vAlign w:val="bottom"/>
          </w:tcPr>
          <w:p>
            <w:pPr>
              <w:spacing w:after="0"/>
              <w:rPr>
                <w:sz w:val="21"/>
                <w:szCs w:val="21"/>
                <w:color w:val="auto"/>
              </w:rPr>
            </w:pP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r>
      <w:tr>
        <w:trPr>
          <w:trHeight w:val="264"/>
        </w:trPr>
        <w:tc>
          <w:tcPr>
            <w:tcW w:w="59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Divestiture</w:t>
            </w:r>
          </w:p>
        </w:tc>
        <w:tc>
          <w:tcPr>
            <w:tcW w:w="280" w:type="dxa"/>
            <w:vAlign w:val="bottom"/>
            <w:tcBorders>
              <w:bottom w:val="single" w:sz="8" w:color="auto"/>
            </w:tcBorders>
            <w:shd w:val="clear" w:color="auto" w:fill="D4EFF4"/>
          </w:tcPr>
          <w:p>
            <w:pPr>
              <w:spacing w:after="0"/>
              <w:rPr>
                <w:sz w:val="22"/>
                <w:szCs w:val="22"/>
                <w:color w:val="auto"/>
              </w:rPr>
            </w:pPr>
          </w:p>
        </w:tc>
        <w:tc>
          <w:tcPr>
            <w:tcW w:w="178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shd w:val="clear" w:color="auto" w:fill="D4EFF4"/>
          </w:tcPr>
          <w:p>
            <w:pPr>
              <w:spacing w:after="0"/>
              <w:rPr>
                <w:sz w:val="22"/>
                <w:szCs w:val="22"/>
                <w:color w:val="auto"/>
              </w:rPr>
            </w:pPr>
          </w:p>
        </w:tc>
        <w:tc>
          <w:tcPr>
            <w:tcW w:w="280" w:type="dxa"/>
            <w:vAlign w:val="bottom"/>
            <w:tcBorders>
              <w:bottom w:val="single" w:sz="8" w:color="auto"/>
            </w:tcBorders>
            <w:shd w:val="clear" w:color="auto" w:fill="D4EFF4"/>
          </w:tcPr>
          <w:p>
            <w:pPr>
              <w:spacing w:after="0"/>
              <w:rPr>
                <w:sz w:val="22"/>
                <w:szCs w:val="22"/>
                <w:color w:val="auto"/>
              </w:rPr>
            </w:pPr>
          </w:p>
        </w:tc>
        <w:tc>
          <w:tcPr>
            <w:tcW w:w="174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19"/>
        </w:trPr>
        <w:tc>
          <w:tcPr>
            <w:tcW w:w="596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(306)</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(42)</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5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-1363345</wp:posOffset>
            </wp:positionV>
            <wp:extent cx="649414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25">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-23495</wp:posOffset>
            </wp:positionV>
            <wp:extent cx="649414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26">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64"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The following EBITDA presentation (as defined and described in the section above) for the years ended September 30, 2025, 2024 and 2023 below is provided as a means to enhance the understanding of financial measurements that Ashland has internally determined to be relevant measures of comparison for the results of Specialty Additives. There were key items for the years ended September 30, 2025, 2024 and 2023. These items are listed below and described within the "Use of Non-GAAP Financial Measures" section above.</w:t>
      </w:r>
    </w:p>
    <w:p>
      <w:pPr>
        <w:sectPr>
          <w:pgSz w:w="12240" w:h="15840" w:orient="portrait"/>
          <w:cols w:equalWidth="0" w:num="1">
            <w:col w:w="10240"/>
          </w:cols>
          <w:pgMar w:left="1000" w:top="984"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M-22</w:t>
      </w:r>
    </w:p>
    <w:p>
      <w:pPr>
        <w:sectPr>
          <w:pgSz w:w="12240" w:h="15840" w:orient="portrait"/>
          <w:cols w:equalWidth="0" w:num="1">
            <w:col w:w="10240"/>
          </w:cols>
          <w:pgMar w:left="1000" w:top="984" w:right="1000" w:bottom="186" w:gutter="0" w:footer="0" w:header="0"/>
          <w:type w:val="continuous"/>
        </w:sectPr>
      </w:pPr>
    </w:p>
    <w:bookmarkStart w:id="80" w:name="page81"/>
    <w:bookmarkEnd w:id="80"/>
    <w:tbl>
      <w:tblPr>
        <w:tblLayout w:type="fixed"/>
        <w:tblInd w:w="6" w:type="dxa"/>
        <w:tblCellMar>
          <w:top w:w="0" w:type="dxa"/>
          <w:left w:w="0" w:type="dxa"/>
          <w:bottom w:w="0" w:type="dxa"/>
          <w:right w:w="0" w:type="dxa"/>
        </w:tblCellMar>
      </w:tblPr>
      <w:tr>
        <w:trPr>
          <w:trHeight w:val="244"/>
        </w:trPr>
        <w:tc>
          <w:tcPr>
            <w:tcW w:w="4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2025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40" w:type="dxa"/>
            <w:vAlign w:val="bottom"/>
          </w:tcPr>
          <w:p>
            <w:pPr>
              <w:spacing w:after="0"/>
              <w:rPr>
                <w:sz w:val="21"/>
                <w:szCs w:val="21"/>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rPr>
              <w:t>change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change</w:t>
            </w:r>
          </w:p>
        </w:tc>
        <w:tc>
          <w:tcPr>
            <w:tcW w:w="1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Operating income (loss)</w:t>
            </w:r>
          </w:p>
        </w:tc>
        <w:tc>
          <w:tcPr>
            <w:tcW w:w="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(338)</w:t>
            </w:r>
          </w:p>
        </w:tc>
        <w:tc>
          <w:tcPr>
            <w:tcW w:w="340" w:type="dxa"/>
            <w:vAlign w:val="bottom"/>
            <w:gridSpan w:val="3"/>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(32)</w:t>
            </w:r>
          </w:p>
        </w:tc>
        <w:tc>
          <w:tcPr>
            <w:tcW w:w="20" w:type="dxa"/>
            <w:vAlign w:val="bottom"/>
            <w:shd w:val="clear" w:color="auto" w:fill="D5EFF4"/>
          </w:tcPr>
          <w:p>
            <w:pPr>
              <w:spacing w:after="0"/>
              <w:rPr>
                <w:sz w:val="20"/>
                <w:szCs w:val="20"/>
                <w:color w:val="auto"/>
              </w:rPr>
            </w:pPr>
          </w:p>
        </w:tc>
        <w:tc>
          <w:tcPr>
            <w:tcW w:w="300" w:type="dxa"/>
            <w:vAlign w:val="bottom"/>
            <w:gridSpan w:val="3"/>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shd w:val="clear" w:color="auto" w:fill="D5EFF4"/>
          </w:tcPr>
          <w:p>
            <w:pPr>
              <w:spacing w:after="0"/>
              <w:rPr>
                <w:sz w:val="20"/>
                <w:szCs w:val="20"/>
                <w:color w:val="auto"/>
              </w:rPr>
            </w:pPr>
          </w:p>
        </w:tc>
        <w:tc>
          <w:tcPr>
            <w:tcW w:w="300" w:type="dxa"/>
            <w:vAlign w:val="bottom"/>
            <w:gridSpan w:val="3"/>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20" w:type="dxa"/>
            <w:vAlign w:val="bottom"/>
            <w:shd w:val="clear" w:color="auto" w:fill="D5EFF4"/>
          </w:tcPr>
          <w:p>
            <w:pPr>
              <w:spacing w:after="0"/>
              <w:rPr>
                <w:sz w:val="20"/>
                <w:szCs w:val="20"/>
                <w:color w:val="auto"/>
              </w:rPr>
            </w:pPr>
          </w:p>
        </w:tc>
        <w:tc>
          <w:tcPr>
            <w:tcW w:w="300" w:type="dxa"/>
            <w:vAlign w:val="bottom"/>
            <w:gridSpan w:val="3"/>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D5EFF4"/>
            </w:tcBorders>
            <w:gridSpan w:val="2"/>
          </w:tcPr>
          <w:p>
            <w:pPr>
              <w:spacing w:after="0" w:line="244" w:lineRule="exact"/>
              <w:rPr>
                <w:sz w:val="20"/>
                <w:szCs w:val="20"/>
                <w:color w:val="auto"/>
              </w:rPr>
            </w:pPr>
            <w:r>
              <w:rPr>
                <w:rFonts w:ascii="Times New Roman" w:cs="Times New Roman" w:eastAsia="Times New Roman" w:hAnsi="Times New Roman"/>
                <w:sz w:val="20"/>
                <w:szCs w:val="20"/>
                <w:color w:val="auto"/>
              </w:rPr>
              <w:t>Depreciation and amortization</w:t>
            </w:r>
            <w:r>
              <w:rPr>
                <w:rFonts w:ascii="Times New Roman" w:cs="Times New Roman" w:eastAsia="Times New Roman" w:hAnsi="Times New Roman"/>
                <w:sz w:val="25"/>
                <w:szCs w:val="25"/>
                <w:color w:val="auto"/>
                <w:vertAlign w:val="superscript"/>
              </w:rPr>
              <w:t>(a)</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66</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76</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EBITDA</w:t>
            </w:r>
          </w:p>
        </w:tc>
        <w:tc>
          <w:tcPr>
            <w:tcW w:w="20" w:type="dxa"/>
            <w:vAlign w:val="bottom"/>
            <w:tcBorders>
              <w:bottom w:val="single" w:sz="8" w:color="auto"/>
            </w:tcBorders>
            <w:shd w:val="clear" w:color="auto" w:fill="D5EFF4"/>
          </w:tcPr>
          <w:p>
            <w:pPr>
              <w:spacing w:after="0"/>
              <w:rPr>
                <w:sz w:val="20"/>
                <w:szCs w:val="20"/>
                <w:color w:val="auto"/>
              </w:rPr>
            </w:pPr>
          </w:p>
        </w:tc>
        <w:tc>
          <w:tcPr>
            <w:tcW w:w="140" w:type="dxa"/>
            <w:vAlign w:val="bottom"/>
            <w:tcBorders>
              <w:bottom w:val="single" w:sz="8" w:color="auto"/>
            </w:tcBorders>
            <w:shd w:val="clear" w:color="auto" w:fill="D5EFF4"/>
          </w:tcPr>
          <w:p>
            <w:pPr>
              <w:spacing w:after="0"/>
              <w:rPr>
                <w:sz w:val="20"/>
                <w:szCs w:val="20"/>
                <w:color w:val="auto"/>
              </w:rPr>
            </w:pPr>
          </w:p>
        </w:tc>
        <w:tc>
          <w:tcPr>
            <w:tcW w:w="900" w:type="dxa"/>
            <w:vAlign w:val="bottom"/>
            <w:tcBorders>
              <w:bottom w:val="single" w:sz="8" w:color="auto"/>
            </w:tcBorders>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(273)</w:t>
            </w:r>
          </w:p>
        </w:tc>
        <w:tc>
          <w:tcPr>
            <w:tcW w:w="18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40" w:type="dxa"/>
            <w:vAlign w:val="bottom"/>
            <w:tcBorders>
              <w:bottom w:val="single" w:sz="8" w:color="auto"/>
            </w:tcBorders>
            <w:shd w:val="clear" w:color="auto" w:fill="D5EFF4"/>
          </w:tcPr>
          <w:p>
            <w:pPr>
              <w:spacing w:after="0"/>
              <w:rPr>
                <w:sz w:val="20"/>
                <w:szCs w:val="20"/>
                <w:color w:val="auto"/>
              </w:rPr>
            </w:pPr>
          </w:p>
        </w:tc>
        <w:tc>
          <w:tcPr>
            <w:tcW w:w="920" w:type="dxa"/>
            <w:vAlign w:val="bottom"/>
            <w:tcBorders>
              <w:bottom w:val="single" w:sz="8" w:color="auto"/>
            </w:tcBorders>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40" w:type="dxa"/>
            <w:vAlign w:val="bottom"/>
            <w:tcBorders>
              <w:bottom w:val="single" w:sz="8" w:color="auto"/>
            </w:tcBorders>
            <w:shd w:val="clear" w:color="auto" w:fill="D5EFF4"/>
          </w:tcPr>
          <w:p>
            <w:pPr>
              <w:spacing w:after="0"/>
              <w:rPr>
                <w:sz w:val="20"/>
                <w:szCs w:val="20"/>
                <w:color w:val="auto"/>
              </w:rPr>
            </w:pPr>
          </w:p>
        </w:tc>
        <w:tc>
          <w:tcPr>
            <w:tcW w:w="920" w:type="dxa"/>
            <w:vAlign w:val="bottom"/>
            <w:tcBorders>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86</w:t>
            </w:r>
          </w:p>
        </w:tc>
        <w:tc>
          <w:tcPr>
            <w:tcW w:w="2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20" w:type="dxa"/>
            <w:vAlign w:val="bottom"/>
            <w:tcBorders>
              <w:bottom w:val="single" w:sz="8" w:color="auto"/>
            </w:tcBorders>
            <w:shd w:val="clear" w:color="auto" w:fill="D5EFF4"/>
          </w:tcPr>
          <w:p>
            <w:pPr>
              <w:spacing w:after="0"/>
              <w:rPr>
                <w:sz w:val="20"/>
                <w:szCs w:val="20"/>
                <w:color w:val="auto"/>
              </w:rPr>
            </w:pPr>
          </w:p>
        </w:tc>
        <w:tc>
          <w:tcPr>
            <w:tcW w:w="92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2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20" w:type="dxa"/>
            <w:vAlign w:val="bottom"/>
            <w:tcBorders>
              <w:bottom w:val="single" w:sz="8" w:color="auto"/>
            </w:tcBorders>
            <w:shd w:val="clear" w:color="auto" w:fill="D5EFF4"/>
          </w:tcPr>
          <w:p>
            <w:pPr>
              <w:spacing w:after="0"/>
              <w:rPr>
                <w:sz w:val="20"/>
                <w:szCs w:val="20"/>
                <w:color w:val="auto"/>
              </w:rPr>
            </w:pPr>
          </w:p>
        </w:tc>
        <w:tc>
          <w:tcPr>
            <w:tcW w:w="90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(52)</w:t>
            </w:r>
          </w:p>
        </w:tc>
        <w:tc>
          <w:tcPr>
            <w:tcW w:w="2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Goodwill impairment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331</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331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Accelerated depreciation</w:t>
            </w:r>
          </w:p>
        </w:tc>
        <w:tc>
          <w:tcPr>
            <w:tcW w:w="14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2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55</w:t>
            </w: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40" w:type="dxa"/>
            <w:vAlign w:val="bottom"/>
            <w:gridSpan w:val="2"/>
            <w:shd w:val="clear" w:color="auto" w:fill="D5EFF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8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plant optimization costs</w:t>
            </w:r>
          </w:p>
        </w:tc>
        <w:tc>
          <w:tcPr>
            <w:tcW w:w="140" w:type="dxa"/>
            <w:vAlign w:val="bottom"/>
          </w:tcPr>
          <w:p>
            <w:pPr>
              <w:spacing w:after="0"/>
              <w:rPr>
                <w:sz w:val="21"/>
                <w:szCs w:val="21"/>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Environmental reserve adjustments</w:t>
            </w:r>
          </w:p>
        </w:tc>
        <w:tc>
          <w:tcPr>
            <w:tcW w:w="14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2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2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9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90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shd w:val="clear" w:color="auto" w:fill="D5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D5EFF4"/>
            </w:tcBorders>
            <w:gridSpan w:val="2"/>
          </w:tcPr>
          <w:p>
            <w:pPr>
              <w:spacing w:after="0"/>
              <w:rPr>
                <w:sz w:val="20"/>
                <w:szCs w:val="20"/>
                <w:color w:val="auto"/>
              </w:rPr>
            </w:pPr>
            <w:r>
              <w:rPr>
                <w:rFonts w:ascii="Times New Roman" w:cs="Times New Roman" w:eastAsia="Times New Roman" w:hAnsi="Times New Roman"/>
                <w:sz w:val="20"/>
                <w:szCs w:val="20"/>
                <w:color w:val="auto"/>
              </w:rPr>
              <w:t>Asset impairment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20" w:type="dxa"/>
            <w:vAlign w:val="bottom"/>
            <w:tcBorders>
              <w:bottom w:val="single" w:sz="8" w:color="auto"/>
            </w:tcBorders>
            <w:shd w:val="clear" w:color="auto" w:fill="D5EFF4"/>
          </w:tcPr>
          <w:p>
            <w:pPr>
              <w:spacing w:after="0"/>
              <w:rPr>
                <w:sz w:val="20"/>
                <w:szCs w:val="20"/>
                <w:color w:val="auto"/>
              </w:rPr>
            </w:pPr>
          </w:p>
        </w:tc>
        <w:tc>
          <w:tcPr>
            <w:tcW w:w="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94</w:t>
            </w:r>
          </w:p>
        </w:tc>
        <w:tc>
          <w:tcPr>
            <w:tcW w:w="18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99</w:t>
            </w:r>
          </w:p>
        </w:tc>
        <w:tc>
          <w:tcPr>
            <w:tcW w:w="2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94</w:t>
            </w:r>
          </w:p>
        </w:tc>
        <w:tc>
          <w:tcPr>
            <w:tcW w:w="2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2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20" w:type="dxa"/>
            <w:vAlign w:val="bottom"/>
            <w:tcBorders>
              <w:bottom w:val="single" w:sz="8" w:color="auto"/>
            </w:tcBorders>
            <w:shd w:val="clear" w:color="auto" w:fill="D5EFF4"/>
          </w:tcPr>
          <w:p>
            <w:pPr>
              <w:spacing w:after="0"/>
              <w:rPr>
                <w:sz w:val="20"/>
                <w:szCs w:val="20"/>
                <w:color w:val="auto"/>
              </w:rPr>
            </w:pPr>
          </w:p>
        </w:tc>
        <w:tc>
          <w:tcPr>
            <w:tcW w:w="12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Borders>
              <w:bottom w:val="single" w:sz="8" w:color="auto"/>
            </w:tcBorders>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income (loss) as a percent of sales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60"/>
              <w:spacing w:after="0" w:line="209" w:lineRule="exact"/>
              <w:rPr>
                <w:sz w:val="20"/>
                <w:szCs w:val="20"/>
                <w:color w:val="auto"/>
              </w:rPr>
            </w:pPr>
            <w:r>
              <w:rPr>
                <w:rFonts w:ascii="Times New Roman" w:cs="Times New Roman" w:eastAsia="Times New Roman" w:hAnsi="Times New Roman"/>
                <w:sz w:val="20"/>
                <w:szCs w:val="20"/>
                <w:color w:val="auto"/>
                <w:w w:val="99"/>
              </w:rPr>
              <w:t>Not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color w:val="auto"/>
                <w:w w:val="98"/>
              </w:rPr>
              <w:t>meaningful</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-730 bps</w:t>
            </w:r>
          </w:p>
        </w:tc>
        <w:tc>
          <w:tcPr>
            <w:tcW w:w="0" w:type="dxa"/>
            <w:vAlign w:val="bottom"/>
          </w:tcPr>
          <w:p>
            <w:pPr>
              <w:spacing w:after="0"/>
              <w:rPr>
                <w:sz w:val="1"/>
                <w:szCs w:val="1"/>
                <w:color w:val="auto"/>
              </w:rPr>
            </w:pPr>
          </w:p>
        </w:tc>
      </w:tr>
      <w:tr>
        <w:trPr>
          <w:trHeight w:val="244"/>
        </w:trPr>
        <w:tc>
          <w:tcPr>
            <w:tcW w:w="42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Adjusted EBITDA as a percent of sales</w:t>
            </w:r>
          </w:p>
        </w:tc>
        <w:tc>
          <w:tcPr>
            <w:tcW w:w="140" w:type="dxa"/>
            <w:vAlign w:val="bottom"/>
            <w:shd w:val="clear" w:color="auto" w:fill="D5EFF4"/>
          </w:tcPr>
          <w:p>
            <w:pPr>
              <w:spacing w:after="0"/>
              <w:rPr>
                <w:sz w:val="21"/>
                <w:szCs w:val="21"/>
                <w:color w:val="auto"/>
              </w:rPr>
            </w:pPr>
          </w:p>
        </w:tc>
        <w:tc>
          <w:tcPr>
            <w:tcW w:w="9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18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060" w:type="dxa"/>
            <w:vAlign w:val="bottom"/>
            <w:gridSpan w:val="3"/>
            <w:shd w:val="clear" w:color="auto" w:fill="D5EFF4"/>
          </w:tcPr>
          <w:p>
            <w:pPr>
              <w:ind w:left="20"/>
              <w:spacing w:after="0"/>
              <w:rPr>
                <w:sz w:val="20"/>
                <w:szCs w:val="20"/>
                <w:color w:val="auto"/>
              </w:rPr>
            </w:pPr>
            <w:r>
              <w:rPr>
                <w:rFonts w:ascii="Times New Roman" w:cs="Times New Roman" w:eastAsia="Times New Roman" w:hAnsi="Times New Roman"/>
                <w:sz w:val="20"/>
                <w:szCs w:val="20"/>
                <w:color w:val="auto"/>
              </w:rPr>
              <w:t>110 bps</w:t>
            </w:r>
          </w:p>
        </w:tc>
        <w:tc>
          <w:tcPr>
            <w:tcW w:w="16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040" w:type="dxa"/>
            <w:vAlign w:val="bottom"/>
            <w:gridSpan w:val="4"/>
            <w:shd w:val="clear" w:color="auto" w:fill="D5EFF4"/>
          </w:tcPr>
          <w:p>
            <w:pPr>
              <w:jc w:val="right"/>
              <w:ind w:right="380"/>
              <w:spacing w:after="0"/>
              <w:rPr>
                <w:sz w:val="20"/>
                <w:szCs w:val="20"/>
                <w:color w:val="auto"/>
              </w:rPr>
            </w:pPr>
            <w:r>
              <w:rPr>
                <w:rFonts w:ascii="Times New Roman" w:cs="Times New Roman" w:eastAsia="Times New Roman" w:hAnsi="Times New Roman"/>
                <w:sz w:val="20"/>
                <w:szCs w:val="20"/>
                <w:color w:val="auto"/>
              </w:rPr>
              <w:t>160 bps</w:t>
            </w:r>
          </w:p>
        </w:tc>
        <w:tc>
          <w:tcPr>
            <w:tcW w:w="0" w:type="dxa"/>
            <w:vAlign w:val="bottom"/>
          </w:tcPr>
          <w:p>
            <w:pPr>
              <w:spacing w:after="0"/>
              <w:rPr>
                <w:sz w:val="1"/>
                <w:szCs w:val="1"/>
                <w:color w:val="auto"/>
              </w:rPr>
            </w:pPr>
          </w:p>
        </w:tc>
      </w:tr>
      <w:tr>
        <w:trPr>
          <w:trHeight w:val="83"/>
        </w:trPr>
        <w:tc>
          <w:tcPr>
            <w:tcW w:w="4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626110</wp:posOffset>
            </wp:positionV>
            <wp:extent cx="652970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27">
                      <a:extLst>
                        <a:ext uri="{28A0092B-C50C-407E-A947-70E740481C1C}"/>
                      </a:extLst>
                    </a:blip>
                    <a:srcRect/>
                    <a:stretch>
                      <a:fillRect/>
                    </a:stretch>
                  </pic:blipFill>
                  <pic:spPr bwMode="auto">
                    <a:xfrm>
                      <a:off x="0" y="0"/>
                      <a:ext cx="652970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-2012315</wp:posOffset>
            </wp:positionV>
            <wp:extent cx="649541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28">
                      <a:extLst>
                        <a:ext uri="{28A0092B-C50C-407E-A947-70E740481C1C}"/>
                      </a:extLst>
                    </a:blip>
                    <a:srcRect/>
                    <a:stretch>
                      <a:fillRect/>
                    </a:stretch>
                  </pic:blipFill>
                  <pic:spPr bwMode="auto">
                    <a:xfrm>
                      <a:off x="0" y="0"/>
                      <a:ext cx="649541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649541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29">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pacing w:after="0" w:line="85" w:lineRule="exact"/>
        <w:rPr>
          <w:sz w:val="20"/>
          <w:szCs w:val="20"/>
          <w:color w:val="auto"/>
        </w:rPr>
      </w:pPr>
    </w:p>
    <w:p>
      <w:pPr>
        <w:ind w:left="566" w:hanging="566"/>
        <w:spacing w:after="0" w:line="325" w:lineRule="auto"/>
        <w:tabs>
          <w:tab w:leader="none" w:pos="56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for Specialty Additives excludes accelerated depreciation of $19 million and $55 million in 2025 and 2024, respectively, which is included as a key item within this table as a component of Adjusted EBITDA.</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2025 compared to 2024</w:t>
      </w:r>
    </w:p>
    <w:p>
      <w:pPr>
        <w:spacing w:after="0" w:line="164" w:lineRule="exact"/>
        <w:rPr>
          <w:sz w:val="20"/>
          <w:szCs w:val="20"/>
          <w:color w:val="auto"/>
        </w:rPr>
      </w:pPr>
    </w:p>
    <w:p>
      <w:pPr>
        <w:jc w:val="both"/>
        <w:ind w:left="6" w:firstLine="360"/>
        <w:spacing w:after="0" w:line="297" w:lineRule="auto"/>
        <w:rPr>
          <w:sz w:val="20"/>
          <w:szCs w:val="20"/>
          <w:color w:val="auto"/>
        </w:rPr>
      </w:pPr>
      <w:r>
        <w:rPr>
          <w:rFonts w:ascii="Times New Roman" w:cs="Times New Roman" w:eastAsia="Times New Roman" w:hAnsi="Times New Roman"/>
          <w:sz w:val="20"/>
          <w:szCs w:val="20"/>
          <w:color w:val="auto"/>
        </w:rPr>
        <w:t>Specialty Additives sales and EBITDA in 2025 decreased primarily due to lower volume and unfavorable price/mix partially offset by favorable foreign exchange currency. Operating income (loss) and Adjusted EBITDA in 2025 decreased primarily due to lower volume and unfavorable price/mix partially offset by lower costs, including the effects of portfolio optimization activities and accelerated depreciation. Operating income (loss) for 2025 included a goodwill impairment charge of $331 million.</w:t>
      </w:r>
    </w:p>
    <w:p>
      <w:pPr>
        <w:spacing w:after="0" w:line="7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2024 compared to 2023</w:t>
      </w:r>
    </w:p>
    <w:p>
      <w:pPr>
        <w:spacing w:after="0" w:line="164" w:lineRule="exact"/>
        <w:rPr>
          <w:sz w:val="20"/>
          <w:szCs w:val="20"/>
          <w:color w:val="auto"/>
        </w:rPr>
      </w:pPr>
    </w:p>
    <w:p>
      <w:pPr>
        <w:jc w:val="both"/>
        <w:ind w:left="6" w:firstLine="360"/>
        <w:spacing w:after="0" w:line="295" w:lineRule="auto"/>
        <w:rPr>
          <w:sz w:val="20"/>
          <w:szCs w:val="20"/>
          <w:color w:val="auto"/>
        </w:rPr>
      </w:pPr>
      <w:r>
        <w:rPr>
          <w:rFonts w:ascii="Times New Roman" w:cs="Times New Roman" w:eastAsia="Times New Roman" w:hAnsi="Times New Roman"/>
          <w:sz w:val="20"/>
          <w:szCs w:val="20"/>
          <w:color w:val="auto"/>
        </w:rPr>
        <w:t>Specialty Additives' sales in 2024 decreased primarily due to unfavorable pricing, while operating income (loss) and EBITDA decreased primarily due to higher costs, including $55 million of accelerated depreciation and $9 million of other costs for product line optimization activities associated with two Specialty Additives manufacturing facilities, and unfavorable price/mix partially offset by higher volume and favorable foreign currency exchange. The unfavorable pricing was primarily in coatings with the largest impact related to China. The CMC and MC portfolio optimization initiatives had an approximate $11 million negative sales impact during the year.</w:t>
      </w:r>
    </w:p>
    <w:p>
      <w:pPr>
        <w:spacing w:after="0" w:line="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Intermediates</w:t>
      </w:r>
    </w:p>
    <w:p>
      <w:pPr>
        <w:spacing w:after="0" w:line="170" w:lineRule="exact"/>
        <w:rPr>
          <w:sz w:val="20"/>
          <w:szCs w:val="20"/>
          <w:color w:val="auto"/>
        </w:rPr>
      </w:pPr>
    </w:p>
    <w:p>
      <w:pPr>
        <w:jc w:val="both"/>
        <w:ind w:left="6" w:firstLine="360"/>
        <w:spacing w:after="0" w:line="297" w:lineRule="auto"/>
        <w:rPr>
          <w:sz w:val="20"/>
          <w:szCs w:val="20"/>
          <w:color w:val="auto"/>
        </w:rPr>
      </w:pPr>
      <w:r>
        <w:rPr>
          <w:rFonts w:ascii="Times New Roman" w:cs="Times New Roman" w:eastAsia="Times New Roman" w:hAnsi="Times New Roman"/>
          <w:sz w:val="20"/>
          <w:szCs w:val="20"/>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spacing w:after="0" w:line="77" w:lineRule="exact"/>
        <w:rPr>
          <w:sz w:val="20"/>
          <w:szCs w:val="20"/>
          <w:color w:val="auto"/>
        </w:rPr>
      </w:pPr>
    </w:p>
    <w:p>
      <w:pPr>
        <w:jc w:val="both"/>
        <w:ind w:left="6"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Intermediates between fiscal years 2025 and 2024 and between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649414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30">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29" w:lineRule="exact"/>
        <w:rPr>
          <w:sz w:val="20"/>
          <w:szCs w:val="20"/>
          <w:color w:val="auto"/>
        </w:rPr>
      </w:pPr>
    </w:p>
    <w:tbl>
      <w:tblPr>
        <w:tblLayout w:type="fixed"/>
        <w:tblInd w:w="6" w:type="dxa"/>
        <w:tblCellMar>
          <w:top w:w="0" w:type="dxa"/>
          <w:left w:w="0" w:type="dxa"/>
          <w:bottom w:w="0" w:type="dxa"/>
          <w:right w:w="0" w:type="dxa"/>
        </w:tblCellMar>
      </w:tblPr>
      <w:tr>
        <w:trPr>
          <w:trHeight w:val="24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0" w:type="dxa"/>
            <w:vAlign w:val="bottom"/>
          </w:tcPr>
          <w:p>
            <w:pPr>
              <w:spacing w:after="0"/>
              <w:rPr>
                <w:sz w:val="21"/>
                <w:szCs w:val="21"/>
                <w:color w:val="auto"/>
              </w:rPr>
            </w:pPr>
          </w:p>
        </w:tc>
        <w:tc>
          <w:tcPr>
            <w:tcW w:w="17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 change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2024 change</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596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Sales change</w:t>
            </w:r>
          </w:p>
        </w:tc>
        <w:tc>
          <w:tcPr>
            <w:tcW w:w="280" w:type="dxa"/>
            <w:vAlign w:val="bottom"/>
            <w:shd w:val="clear" w:color="auto" w:fill="D5EFF4"/>
          </w:tcPr>
          <w:p>
            <w:pPr>
              <w:spacing w:after="0"/>
              <w:rPr>
                <w:sz w:val="19"/>
                <w:szCs w:val="19"/>
                <w:color w:val="auto"/>
              </w:rPr>
            </w:pPr>
          </w:p>
        </w:tc>
        <w:tc>
          <w:tcPr>
            <w:tcW w:w="1780" w:type="dxa"/>
            <w:vAlign w:val="bottom"/>
            <w:shd w:val="clear" w:color="auto" w:fill="D5EFF4"/>
          </w:tcPr>
          <w:p>
            <w:pPr>
              <w:spacing w:after="0"/>
              <w:rPr>
                <w:sz w:val="19"/>
                <w:szCs w:val="19"/>
                <w:color w:val="auto"/>
              </w:rPr>
            </w:pPr>
          </w:p>
        </w:tc>
        <w:tc>
          <w:tcPr>
            <w:tcW w:w="20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260" w:type="dxa"/>
            <w:vAlign w:val="bottom"/>
            <w:shd w:val="clear" w:color="auto" w:fill="D5EFF4"/>
          </w:tcPr>
          <w:p>
            <w:pPr>
              <w:spacing w:after="0"/>
              <w:rPr>
                <w:sz w:val="19"/>
                <w:szCs w:val="19"/>
                <w:color w:val="auto"/>
              </w:rPr>
            </w:pPr>
          </w:p>
        </w:tc>
        <w:tc>
          <w:tcPr>
            <w:tcW w:w="1660" w:type="dxa"/>
            <w:vAlign w:val="bottom"/>
            <w:shd w:val="clear" w:color="auto" w:fill="D5EFF4"/>
          </w:tcPr>
          <w:p>
            <w:pPr>
              <w:spacing w:after="0"/>
              <w:rPr>
                <w:sz w:val="19"/>
                <w:szCs w:val="19"/>
                <w:color w:val="auto"/>
              </w:rPr>
            </w:pPr>
          </w:p>
        </w:tc>
        <w:tc>
          <w:tcPr>
            <w:tcW w:w="80" w:type="dxa"/>
            <w:vAlign w:val="bottom"/>
            <w:shd w:val="clear" w:color="auto" w:fill="D5EFF4"/>
          </w:tcPr>
          <w:p>
            <w:pPr>
              <w:spacing w:after="0"/>
              <w:rPr>
                <w:sz w:val="19"/>
                <w:szCs w:val="19"/>
                <w:color w:val="auto"/>
              </w:rPr>
            </w:pPr>
          </w:p>
        </w:tc>
      </w:tr>
      <w:tr>
        <w:trPr>
          <w:trHeight w:val="230"/>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Price/mix</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480" w:type="dxa"/>
            <w:vAlign w:val="bottom"/>
            <w:gridSpan w:val="3"/>
          </w:tcPr>
          <w:p>
            <w:pPr>
              <w:jc w:val="right"/>
              <w:ind w:right="95"/>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r>
      <w:tr>
        <w:trPr>
          <w:trHeight w:val="230"/>
        </w:trPr>
        <w:tc>
          <w:tcPr>
            <w:tcW w:w="59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Volume</w:t>
            </w:r>
          </w:p>
        </w:tc>
        <w:tc>
          <w:tcPr>
            <w:tcW w:w="280" w:type="dxa"/>
            <w:vAlign w:val="bottom"/>
            <w:shd w:val="clear" w:color="auto" w:fill="D5EFF4"/>
          </w:tcPr>
          <w:p>
            <w:pPr>
              <w:spacing w:after="0"/>
              <w:rPr>
                <w:sz w:val="20"/>
                <w:szCs w:val="20"/>
                <w:color w:val="auto"/>
              </w:rPr>
            </w:pPr>
          </w:p>
        </w:tc>
        <w:tc>
          <w:tcPr>
            <w:tcW w:w="17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74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5960" w:type="dxa"/>
            <w:vAlign w:val="bottom"/>
            <w:tcBorders>
              <w:bottom w:val="single" w:sz="8" w:color="D5EFF4"/>
            </w:tcBorders>
          </w:tcPr>
          <w:p>
            <w:pPr>
              <w:ind w:left="200"/>
              <w:spacing w:after="0"/>
              <w:rPr>
                <w:sz w:val="20"/>
                <w:szCs w:val="20"/>
                <w:color w:val="auto"/>
              </w:rPr>
            </w:pPr>
            <w:r>
              <w:rPr>
                <w:rFonts w:ascii="Times New Roman" w:cs="Times New Roman" w:eastAsia="Times New Roman" w:hAnsi="Times New Roman"/>
                <w:sz w:val="20"/>
                <w:szCs w:val="20"/>
                <w:color w:val="auto"/>
              </w:rPr>
              <w:t>Foreign Currency</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Borders>
              <w:bottom w:val="single" w:sz="8" w:color="D5EFF4"/>
            </w:tcBorders>
          </w:tcPr>
          <w:p>
            <w:pPr>
              <w:spacing w:after="0"/>
              <w:rPr>
                <w:sz w:val="20"/>
                <w:szCs w:val="20"/>
                <w:color w:val="auto"/>
              </w:rPr>
            </w:pPr>
          </w:p>
        </w:tc>
        <w:tc>
          <w:tcPr>
            <w:tcW w:w="20" w:type="dxa"/>
            <w:vAlign w:val="bottom"/>
            <w:tcBorders>
              <w:bottom w:val="single" w:sz="8" w:color="D5EF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5960" w:type="dxa"/>
            <w:vAlign w:val="bottom"/>
            <w:shd w:val="clear" w:color="auto" w:fill="D5EFF4"/>
          </w:tcPr>
          <w:p>
            <w:pPr>
              <w:spacing w:after="0"/>
              <w:rPr>
                <w:sz w:val="19"/>
                <w:szCs w:val="19"/>
                <w:color w:val="auto"/>
              </w:rPr>
            </w:pPr>
          </w:p>
        </w:tc>
        <w:tc>
          <w:tcPr>
            <w:tcW w:w="280" w:type="dxa"/>
            <w:vAlign w:val="bottom"/>
            <w:tcBorders>
              <w:bottom w:val="single" w:sz="8" w:color="auto"/>
            </w:tcBorders>
            <w:shd w:val="clear" w:color="auto" w:fill="D5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(7)</w:t>
            </w:r>
          </w:p>
        </w:tc>
        <w:tc>
          <w:tcPr>
            <w:tcW w:w="200" w:type="dxa"/>
            <w:vAlign w:val="bottom"/>
            <w:shd w:val="clear" w:color="auto" w:fill="D5EFF4"/>
          </w:tcPr>
          <w:p>
            <w:pPr>
              <w:spacing w:after="0"/>
              <w:rPr>
                <w:sz w:val="19"/>
                <w:szCs w:val="19"/>
                <w:color w:val="auto"/>
              </w:rPr>
            </w:pPr>
          </w:p>
        </w:tc>
        <w:tc>
          <w:tcPr>
            <w:tcW w:w="20" w:type="dxa"/>
            <w:vAlign w:val="bottom"/>
            <w:tcBorders>
              <w:bottom w:val="single" w:sz="8" w:color="auto"/>
            </w:tcBorders>
            <w:shd w:val="clear" w:color="auto" w:fill="D5EFF4"/>
          </w:tcPr>
          <w:p>
            <w:pPr>
              <w:spacing w:after="0"/>
              <w:rPr>
                <w:sz w:val="19"/>
                <w:szCs w:val="19"/>
                <w:color w:val="auto"/>
              </w:rPr>
            </w:pPr>
          </w:p>
        </w:tc>
        <w:tc>
          <w:tcPr>
            <w:tcW w:w="260" w:type="dxa"/>
            <w:vAlign w:val="bottom"/>
            <w:tcBorders>
              <w:bottom w:val="single" w:sz="8" w:color="auto"/>
            </w:tcBorders>
            <w:shd w:val="clear" w:color="auto" w:fill="D5EFF4"/>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(41)</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5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-845185</wp:posOffset>
            </wp:positionV>
            <wp:extent cx="649414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31">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649414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32">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ectPr>
          <w:pgSz w:w="12240" w:h="15840" w:orient="portrait"/>
          <w:cols w:equalWidth="0" w:num="1">
            <w:col w:w="10246"/>
          </w:cols>
          <w:pgMar w:left="994" w:top="1056"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M-23</w:t>
      </w:r>
    </w:p>
    <w:p>
      <w:pPr>
        <w:sectPr>
          <w:pgSz w:w="12240" w:h="15840" w:orient="portrait"/>
          <w:cols w:equalWidth="0" w:num="1">
            <w:col w:w="10246"/>
          </w:cols>
          <w:pgMar w:left="994" w:top="1056" w:right="1000" w:bottom="186" w:gutter="0" w:footer="0" w:header="0"/>
          <w:type w:val="continuous"/>
        </w:sectPr>
      </w:pPr>
    </w:p>
    <w:bookmarkStart w:id="81" w:name="page82"/>
    <w:bookmarkEnd w:id="81"/>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for Intermediates between fiscal years 2025 and 2024 and between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652970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33">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0" w:type="dxa"/>
            <w:vAlign w:val="bottom"/>
          </w:tcPr>
          <w:p>
            <w:pPr>
              <w:spacing w:after="0"/>
              <w:rPr>
                <w:sz w:val="21"/>
                <w:szCs w:val="21"/>
                <w:color w:val="auto"/>
              </w:rPr>
            </w:pPr>
          </w:p>
        </w:tc>
        <w:tc>
          <w:tcPr>
            <w:tcW w:w="17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 change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2024 change</w:t>
            </w:r>
          </w:p>
        </w:tc>
      </w:tr>
      <w:tr>
        <w:trPr>
          <w:trHeight w:val="239"/>
        </w:trPr>
        <w:tc>
          <w:tcPr>
            <w:tcW w:w="59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Operating income change</w:t>
            </w:r>
          </w:p>
        </w:tc>
        <w:tc>
          <w:tcPr>
            <w:tcW w:w="280" w:type="dxa"/>
            <w:vAlign w:val="bottom"/>
            <w:shd w:val="clear" w:color="auto" w:fill="D5EFF4"/>
          </w:tcPr>
          <w:p>
            <w:pPr>
              <w:spacing w:after="0"/>
              <w:rPr>
                <w:sz w:val="20"/>
                <w:szCs w:val="20"/>
                <w:color w:val="auto"/>
              </w:rPr>
            </w:pPr>
          </w:p>
        </w:tc>
        <w:tc>
          <w:tcPr>
            <w:tcW w:w="1780" w:type="dxa"/>
            <w:vAlign w:val="bottom"/>
            <w:shd w:val="clear" w:color="auto" w:fill="D5EFF4"/>
          </w:tcPr>
          <w:p>
            <w:pPr>
              <w:spacing w:after="0"/>
              <w:rPr>
                <w:sz w:val="20"/>
                <w:szCs w:val="20"/>
                <w:color w:val="auto"/>
              </w:rPr>
            </w:pPr>
          </w:p>
        </w:tc>
        <w:tc>
          <w:tcPr>
            <w:tcW w:w="20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660" w:type="dxa"/>
            <w:vAlign w:val="bottom"/>
            <w:shd w:val="clear" w:color="auto" w:fill="D5EFF4"/>
          </w:tcPr>
          <w:p>
            <w:pPr>
              <w:spacing w:after="0"/>
              <w:rPr>
                <w:sz w:val="20"/>
                <w:szCs w:val="20"/>
                <w:color w:val="auto"/>
              </w:rPr>
            </w:pPr>
          </w:p>
        </w:tc>
        <w:tc>
          <w:tcPr>
            <w:tcW w:w="80" w:type="dxa"/>
            <w:vAlign w:val="bottom"/>
            <w:tcBorders>
              <w:top w:val="single" w:sz="8" w:color="auto"/>
            </w:tcBorders>
            <w:shd w:val="clear" w:color="auto" w:fill="D5EFF4"/>
          </w:tcPr>
          <w:p>
            <w:pPr>
              <w:spacing w:after="0"/>
              <w:rPr>
                <w:sz w:val="20"/>
                <w:szCs w:val="20"/>
                <w:color w:val="auto"/>
              </w:rPr>
            </w:pPr>
          </w:p>
        </w:tc>
      </w:tr>
      <w:tr>
        <w:trPr>
          <w:trHeight w:val="244"/>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Price/mix</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480" w:type="dxa"/>
            <w:vAlign w:val="bottom"/>
            <w:gridSpan w:val="3"/>
          </w:tcPr>
          <w:p>
            <w:pPr>
              <w:jc w:val="right"/>
              <w:ind w:right="95"/>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w:t>
            </w:r>
          </w:p>
        </w:tc>
      </w:tr>
      <w:tr>
        <w:trPr>
          <w:trHeight w:val="244"/>
        </w:trPr>
        <w:tc>
          <w:tcPr>
            <w:tcW w:w="59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Cost</w:t>
            </w:r>
          </w:p>
        </w:tc>
        <w:tc>
          <w:tcPr>
            <w:tcW w:w="280" w:type="dxa"/>
            <w:vAlign w:val="bottom"/>
            <w:shd w:val="clear" w:color="auto" w:fill="D5EFF4"/>
          </w:tcPr>
          <w:p>
            <w:pPr>
              <w:spacing w:after="0"/>
              <w:rPr>
                <w:sz w:val="21"/>
                <w:szCs w:val="21"/>
                <w:color w:val="auto"/>
              </w:rPr>
            </w:pPr>
          </w:p>
        </w:tc>
        <w:tc>
          <w:tcPr>
            <w:tcW w:w="17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6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shd w:val="clear" w:color="auto" w:fill="D5EFF4"/>
          </w:tcPr>
          <w:p>
            <w:pPr>
              <w:spacing w:after="0"/>
              <w:rPr>
                <w:sz w:val="21"/>
                <w:szCs w:val="21"/>
                <w:color w:val="auto"/>
              </w:rPr>
            </w:pPr>
          </w:p>
        </w:tc>
      </w:tr>
      <w:tr>
        <w:trPr>
          <w:trHeight w:val="244"/>
        </w:trPr>
        <w:tc>
          <w:tcPr>
            <w:tcW w:w="5960" w:type="dxa"/>
            <w:vAlign w:val="bottom"/>
            <w:tcBorders>
              <w:bottom w:val="single" w:sz="8" w:color="D5EFF4"/>
            </w:tcBorders>
          </w:tcPr>
          <w:p>
            <w:pPr>
              <w:ind w:left="200"/>
              <w:spacing w:after="0"/>
              <w:rPr>
                <w:sz w:val="20"/>
                <w:szCs w:val="20"/>
                <w:color w:val="auto"/>
              </w:rPr>
            </w:pPr>
            <w:r>
              <w:rPr>
                <w:rFonts w:ascii="Times New Roman" w:cs="Times New Roman" w:eastAsia="Times New Roman" w:hAnsi="Times New Roman"/>
                <w:sz w:val="20"/>
                <w:szCs w:val="20"/>
                <w:color w:val="auto"/>
              </w:rPr>
              <w:t>Volume</w:t>
            </w: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20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r>
      <w:tr>
        <w:trPr>
          <w:trHeight w:val="259"/>
        </w:trPr>
        <w:tc>
          <w:tcPr>
            <w:tcW w:w="5960" w:type="dxa"/>
            <w:vAlign w:val="bottom"/>
            <w:tcBorders>
              <w:bottom w:val="single" w:sz="8" w:color="D5EFF4"/>
            </w:tcBorders>
            <w:shd w:val="clear" w:color="auto" w:fill="D5EFF4"/>
          </w:tcPr>
          <w:p>
            <w:pPr>
              <w:spacing w:after="0"/>
              <w:rPr>
                <w:sz w:val="22"/>
                <w:szCs w:val="22"/>
                <w:color w:val="auto"/>
              </w:rPr>
            </w:pPr>
          </w:p>
        </w:tc>
        <w:tc>
          <w:tcPr>
            <w:tcW w:w="280" w:type="dxa"/>
            <w:vAlign w:val="bottom"/>
            <w:tcBorders>
              <w:bottom w:val="single" w:sz="8" w:color="auto"/>
            </w:tcBorders>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260" w:type="dxa"/>
            <w:vAlign w:val="bottom"/>
            <w:tcBorders>
              <w:bottom w:val="single" w:sz="8" w:color="auto"/>
            </w:tcBorders>
            <w:shd w:val="clear" w:color="auto" w:fill="D5EFF4"/>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8"/>
        </w:trPr>
        <w:tc>
          <w:tcPr>
            <w:tcW w:w="5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-897890</wp:posOffset>
            </wp:positionV>
            <wp:extent cx="649414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34">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wp:posOffset>
            </wp:positionV>
            <wp:extent cx="649414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35">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reconciliation</w:t>
      </w:r>
    </w:p>
    <w:p>
      <w:pPr>
        <w:spacing w:after="0" w:line="164"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The following EBITDA presentation (as defined and described in the section above) for the years ended September 30, 2025, 2024 and 2023 is provided as a means to enhance the understanding of financial measurements that Ashland has internally determined to be relevant measures of comparison for the results of Intermediates. Intermediates had no key items for the years ended September 30,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45085</wp:posOffset>
            </wp:positionV>
            <wp:extent cx="652970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36">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w w:val="99"/>
              </w:rPr>
              <w:t>2025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60" w:type="dxa"/>
            <w:vAlign w:val="bottom"/>
          </w:tcPr>
          <w:p>
            <w:pPr>
              <w:spacing w:after="0"/>
              <w:rPr>
                <w:sz w:val="21"/>
                <w:szCs w:val="21"/>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change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change</w:t>
            </w: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1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8</w:t>
            </w:r>
          </w:p>
        </w:tc>
        <w:tc>
          <w:tcPr>
            <w:tcW w:w="340" w:type="dxa"/>
            <w:vAlign w:val="bottom"/>
            <w:gridSpan w:val="2"/>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29</w:t>
            </w:r>
          </w:p>
        </w:tc>
        <w:tc>
          <w:tcPr>
            <w:tcW w:w="320" w:type="dxa"/>
            <w:vAlign w:val="bottom"/>
            <w:gridSpan w:val="2"/>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50</w:t>
            </w:r>
          </w:p>
        </w:tc>
        <w:tc>
          <w:tcPr>
            <w:tcW w:w="32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0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4220" w:type="dxa"/>
            <w:vAlign w:val="bottom"/>
            <w:tcBorders>
              <w:top w:val="single" w:sz="8" w:color="D5EFF4"/>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EBITDA</w:t>
            </w:r>
          </w:p>
        </w:tc>
        <w:tc>
          <w:tcPr>
            <w:tcW w:w="160" w:type="dxa"/>
            <w:vAlign w:val="bottom"/>
            <w:tcBorders>
              <w:top w:val="single" w:sz="8" w:color="auto"/>
              <w:bottom w:val="single" w:sz="8" w:color="auto"/>
            </w:tcBorders>
            <w:shd w:val="clear" w:color="auto" w:fill="D5EFF4"/>
          </w:tcPr>
          <w:p>
            <w:pPr>
              <w:spacing w:after="0"/>
              <w:rPr>
                <w:sz w:val="22"/>
                <w:szCs w:val="22"/>
                <w:color w:val="auto"/>
              </w:rPr>
            </w:pPr>
          </w:p>
        </w:tc>
        <w:tc>
          <w:tcPr>
            <w:tcW w:w="900" w:type="dxa"/>
            <w:vAlign w:val="bottom"/>
            <w:tcBorders>
              <w:top w:val="single" w:sz="8" w:color="auto"/>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Borders>
              <w:top w:val="single" w:sz="8" w:color="D5EFF4"/>
              <w:bottom w:val="single" w:sz="8" w:color="D5EFF4"/>
            </w:tcBorders>
            <w:shd w:val="clear" w:color="auto" w:fill="D5EFF4"/>
          </w:tcPr>
          <w:p>
            <w:pPr>
              <w:spacing w:after="0"/>
              <w:rPr>
                <w:sz w:val="22"/>
                <w:szCs w:val="22"/>
                <w:color w:val="auto"/>
              </w:rPr>
            </w:pPr>
          </w:p>
        </w:tc>
        <w:tc>
          <w:tcPr>
            <w:tcW w:w="160" w:type="dxa"/>
            <w:vAlign w:val="bottom"/>
            <w:tcBorders>
              <w:top w:val="single" w:sz="8" w:color="auto"/>
              <w:bottom w:val="single" w:sz="8" w:color="auto"/>
            </w:tcBorders>
            <w:shd w:val="clear" w:color="auto" w:fill="D5EFF4"/>
          </w:tcPr>
          <w:p>
            <w:pPr>
              <w:spacing w:after="0"/>
              <w:rPr>
                <w:sz w:val="22"/>
                <w:szCs w:val="22"/>
                <w:color w:val="auto"/>
              </w:rPr>
            </w:pPr>
          </w:p>
        </w:tc>
        <w:tc>
          <w:tcPr>
            <w:tcW w:w="920" w:type="dxa"/>
            <w:vAlign w:val="bottom"/>
            <w:tcBorders>
              <w:top w:val="single" w:sz="8" w:color="auto"/>
              <w:bottom w:val="single" w:sz="8" w:color="auto"/>
            </w:tcBorders>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tcBorders>
              <w:top w:val="single" w:sz="8" w:color="D5EFF4"/>
              <w:bottom w:val="single" w:sz="8" w:color="D5EFF4"/>
            </w:tcBorders>
            <w:shd w:val="clear" w:color="auto" w:fill="D5EFF4"/>
          </w:tcPr>
          <w:p>
            <w:pPr>
              <w:spacing w:after="0"/>
              <w:rPr>
                <w:sz w:val="22"/>
                <w:szCs w:val="22"/>
                <w:color w:val="auto"/>
              </w:rPr>
            </w:pPr>
          </w:p>
        </w:tc>
        <w:tc>
          <w:tcPr>
            <w:tcW w:w="160" w:type="dxa"/>
            <w:vAlign w:val="bottom"/>
            <w:tcBorders>
              <w:top w:val="single" w:sz="8" w:color="auto"/>
              <w:bottom w:val="single" w:sz="8" w:color="auto"/>
            </w:tcBorders>
            <w:shd w:val="clear" w:color="auto" w:fill="D5EFF4"/>
          </w:tcPr>
          <w:p>
            <w:pPr>
              <w:spacing w:after="0"/>
              <w:rPr>
                <w:sz w:val="22"/>
                <w:szCs w:val="22"/>
                <w:color w:val="auto"/>
              </w:rPr>
            </w:pPr>
          </w:p>
        </w:tc>
        <w:tc>
          <w:tcPr>
            <w:tcW w:w="920" w:type="dxa"/>
            <w:vAlign w:val="bottom"/>
            <w:tcBorders>
              <w:top w:val="single" w:sz="8" w:color="auto"/>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63</w:t>
            </w:r>
          </w:p>
        </w:tc>
        <w:tc>
          <w:tcPr>
            <w:tcW w:w="180" w:type="dxa"/>
            <w:vAlign w:val="bottom"/>
            <w:tcBorders>
              <w:top w:val="single" w:sz="8" w:color="D5EFF4"/>
              <w:bottom w:val="single" w:sz="8" w:color="D5EFF4"/>
            </w:tcBorders>
            <w:shd w:val="clear" w:color="auto" w:fill="D5EFF4"/>
          </w:tcPr>
          <w:p>
            <w:pPr>
              <w:spacing w:after="0"/>
              <w:rPr>
                <w:sz w:val="22"/>
                <w:szCs w:val="22"/>
                <w:color w:val="auto"/>
              </w:rPr>
            </w:pPr>
          </w:p>
        </w:tc>
        <w:tc>
          <w:tcPr>
            <w:tcW w:w="140" w:type="dxa"/>
            <w:vAlign w:val="bottom"/>
            <w:tcBorders>
              <w:top w:val="single" w:sz="8" w:color="auto"/>
              <w:bottom w:val="single" w:sz="8" w:color="auto"/>
            </w:tcBorders>
            <w:shd w:val="clear" w:color="auto" w:fill="D5EFF4"/>
          </w:tcPr>
          <w:p>
            <w:pPr>
              <w:spacing w:after="0"/>
              <w:rPr>
                <w:sz w:val="22"/>
                <w:szCs w:val="22"/>
                <w:color w:val="auto"/>
              </w:rPr>
            </w:pPr>
          </w:p>
        </w:tc>
        <w:tc>
          <w:tcPr>
            <w:tcW w:w="920" w:type="dxa"/>
            <w:vAlign w:val="bottom"/>
            <w:tcBorders>
              <w:top w:val="single" w:sz="8" w:color="auto"/>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Borders>
              <w:top w:val="single" w:sz="8" w:color="D5EFF4"/>
              <w:bottom w:val="single" w:sz="8" w:color="D5EFF4"/>
            </w:tcBorders>
            <w:shd w:val="clear" w:color="auto" w:fill="D5EFF4"/>
          </w:tcPr>
          <w:p>
            <w:pPr>
              <w:spacing w:after="0"/>
              <w:rPr>
                <w:sz w:val="22"/>
                <w:szCs w:val="22"/>
                <w:color w:val="auto"/>
              </w:rPr>
            </w:pPr>
          </w:p>
        </w:tc>
        <w:tc>
          <w:tcPr>
            <w:tcW w:w="120" w:type="dxa"/>
            <w:vAlign w:val="bottom"/>
            <w:tcBorders>
              <w:top w:val="single" w:sz="8" w:color="auto"/>
              <w:bottom w:val="single" w:sz="8" w:color="auto"/>
            </w:tcBorders>
            <w:shd w:val="clear" w:color="auto" w:fill="D5EFF4"/>
          </w:tcPr>
          <w:p>
            <w:pPr>
              <w:spacing w:after="0"/>
              <w:rPr>
                <w:sz w:val="22"/>
                <w:szCs w:val="22"/>
                <w:color w:val="auto"/>
              </w:rPr>
            </w:pPr>
          </w:p>
        </w:tc>
        <w:tc>
          <w:tcPr>
            <w:tcW w:w="920" w:type="dxa"/>
            <w:vAlign w:val="bottom"/>
            <w:tcBorders>
              <w:top w:val="single" w:sz="8" w:color="auto"/>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Borders>
              <w:bottom w:val="single" w:sz="8" w:color="D5EFF4"/>
            </w:tcBorders>
            <w:shd w:val="clear" w:color="auto" w:fill="D5EF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income as a percent of sales</w:t>
            </w: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5.8%</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27.0%</w:t>
            </w:r>
          </w:p>
        </w:tc>
        <w:tc>
          <w:tcPr>
            <w:tcW w:w="180" w:type="dxa"/>
            <w:vAlign w:val="bottom"/>
          </w:tcPr>
          <w:p>
            <w:pPr>
              <w:spacing w:after="0"/>
              <w:rPr>
                <w:sz w:val="18"/>
                <w:szCs w:val="18"/>
                <w:color w:val="auto"/>
              </w:rPr>
            </w:pPr>
          </w:p>
        </w:tc>
        <w:tc>
          <w:tcPr>
            <w:tcW w:w="1060" w:type="dxa"/>
            <w:vAlign w:val="bottom"/>
            <w:tcBorders>
              <w:top w:val="single" w:sz="8" w:color="auto"/>
            </w:tcBorders>
            <w:gridSpan w:val="2"/>
          </w:tcPr>
          <w:p>
            <w:pPr>
              <w:jc w:val="center"/>
              <w:ind w:right="20"/>
              <w:spacing w:after="0" w:line="209" w:lineRule="exact"/>
              <w:rPr>
                <w:sz w:val="20"/>
                <w:szCs w:val="20"/>
                <w:color w:val="auto"/>
              </w:rPr>
            </w:pPr>
            <w:r>
              <w:rPr>
                <w:rFonts w:ascii="Times New Roman" w:cs="Times New Roman" w:eastAsia="Times New Roman" w:hAnsi="Times New Roman"/>
                <w:sz w:val="20"/>
                <w:szCs w:val="20"/>
                <w:color w:val="auto"/>
                <w:w w:val="98"/>
              </w:rPr>
              <w:t>-1430 bps</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center"/>
              <w:ind w:right="220"/>
              <w:spacing w:after="0" w:line="209" w:lineRule="exact"/>
              <w:rPr>
                <w:sz w:val="20"/>
                <w:szCs w:val="20"/>
                <w:color w:val="auto"/>
              </w:rPr>
            </w:pPr>
            <w:r>
              <w:rPr>
                <w:rFonts w:ascii="Times New Roman" w:cs="Times New Roman" w:eastAsia="Times New Roman" w:hAnsi="Times New Roman"/>
                <w:sz w:val="20"/>
                <w:szCs w:val="20"/>
                <w:color w:val="auto"/>
              </w:rPr>
              <w:t>-690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EBITDA as a percent of sales</w:t>
            </w:r>
          </w:p>
        </w:tc>
        <w:tc>
          <w:tcPr>
            <w:tcW w:w="160" w:type="dxa"/>
            <w:vAlign w:val="bottom"/>
            <w:shd w:val="clear" w:color="auto" w:fill="D5EFF4"/>
          </w:tcPr>
          <w:p>
            <w:pPr>
              <w:spacing w:after="0"/>
              <w:rPr>
                <w:sz w:val="21"/>
                <w:szCs w:val="21"/>
                <w:color w:val="auto"/>
              </w:rPr>
            </w:pPr>
          </w:p>
        </w:tc>
        <w:tc>
          <w:tcPr>
            <w:tcW w:w="9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8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16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9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18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center"/>
              <w:ind w:right="20"/>
              <w:spacing w:after="0"/>
              <w:rPr>
                <w:sz w:val="20"/>
                <w:szCs w:val="20"/>
                <w:color w:val="auto"/>
              </w:rPr>
            </w:pPr>
            <w:r>
              <w:rPr>
                <w:rFonts w:ascii="Times New Roman" w:cs="Times New Roman" w:eastAsia="Times New Roman" w:hAnsi="Times New Roman"/>
                <w:sz w:val="20"/>
                <w:szCs w:val="20"/>
                <w:color w:val="auto"/>
                <w:w w:val="98"/>
              </w:rPr>
              <w:t>-1390 bps</w:t>
            </w:r>
          </w:p>
        </w:tc>
        <w:tc>
          <w:tcPr>
            <w:tcW w:w="18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940" w:type="dxa"/>
            <w:vAlign w:val="bottom"/>
            <w:gridSpan w:val="3"/>
            <w:shd w:val="clear" w:color="auto" w:fill="D5EFF4"/>
          </w:tcPr>
          <w:p>
            <w:pPr>
              <w:jc w:val="center"/>
              <w:ind w:right="240"/>
              <w:spacing w:after="0"/>
              <w:rPr>
                <w:sz w:val="20"/>
                <w:szCs w:val="20"/>
                <w:color w:val="auto"/>
              </w:rPr>
            </w:pPr>
            <w:r>
              <w:rPr>
                <w:rFonts w:ascii="Times New Roman" w:cs="Times New Roman" w:eastAsia="Times New Roman" w:hAnsi="Times New Roman"/>
                <w:sz w:val="20"/>
                <w:szCs w:val="20"/>
                <w:color w:val="auto"/>
              </w:rPr>
              <w:t>-490 bps</w:t>
            </w:r>
          </w:p>
        </w:tc>
        <w:tc>
          <w:tcPr>
            <w:tcW w:w="0" w:type="dxa"/>
            <w:vAlign w:val="bottom"/>
          </w:tcPr>
          <w:p>
            <w:pPr>
              <w:spacing w:after="0"/>
              <w:rPr>
                <w:sz w:val="1"/>
                <w:szCs w:val="1"/>
                <w:color w:val="auto"/>
              </w:rPr>
            </w:pPr>
          </w:p>
        </w:tc>
      </w:tr>
      <w:tr>
        <w:trPr>
          <w:trHeight w:val="83"/>
        </w:trPr>
        <w:tc>
          <w:tcPr>
            <w:tcW w:w="4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-897890</wp:posOffset>
            </wp:positionV>
            <wp:extent cx="649541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37">
                      <a:extLst>
                        <a:ext uri="{28A0092B-C50C-407E-A947-70E740481C1C}"/>
                      </a:extLst>
                    </a:blip>
                    <a:srcRect/>
                    <a:stretch>
                      <a:fillRect/>
                    </a:stretch>
                  </pic:blipFill>
                  <pic:spPr bwMode="auto">
                    <a:xfrm>
                      <a:off x="0" y="0"/>
                      <a:ext cx="6495415"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wp:posOffset>
            </wp:positionV>
            <wp:extent cx="649541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38">
                      <a:extLst>
                        <a:ext uri="{28A0092B-C50C-407E-A947-70E740481C1C}"/>
                      </a:extLst>
                    </a:blip>
                    <a:srcRect/>
                    <a:stretch>
                      <a:fillRect/>
                    </a:stretch>
                  </pic:blipFill>
                  <pic:spPr bwMode="auto">
                    <a:xfrm>
                      <a:off x="0" y="0"/>
                      <a:ext cx="6495415" cy="3810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compared to 2024</w:t>
      </w:r>
    </w:p>
    <w:p>
      <w:pPr>
        <w:spacing w:after="0" w:line="164"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Intermediates' sales, operating income and EBITDA for 2025 decreased primarily due to unfavorable price/mix partially offset by higher volume.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2024 compared to 2023</w:t>
      </w:r>
    </w:p>
    <w:p>
      <w:pPr>
        <w:spacing w:after="0" w:line="164"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Intermediates' sales, operating income and EBITDA for 2024 decreased primarily due to unfavorable pricing and lower volume, partially offset by lower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Unallocated and other</w:t>
      </w:r>
    </w:p>
    <w:p>
      <w:pPr>
        <w:spacing w:after="0" w:line="17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summarizes the key components of the Unallocated and other's operating income (loss) for each of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652970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39">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80" w:type="dxa"/>
            <w:vAlign w:val="bottom"/>
          </w:tcPr>
          <w:p>
            <w:pPr>
              <w:spacing w:after="0"/>
              <w:rPr>
                <w:sz w:val="21"/>
                <w:szCs w:val="21"/>
                <w:color w:val="auto"/>
              </w:rPr>
            </w:pPr>
          </w:p>
        </w:tc>
        <w:tc>
          <w:tcPr>
            <w:tcW w:w="8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change</w:t>
            </w:r>
          </w:p>
        </w:tc>
        <w:tc>
          <w:tcPr>
            <w:tcW w:w="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change</w:t>
            </w: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49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Restructuring activities</w:t>
            </w:r>
          </w:p>
        </w:tc>
        <w:tc>
          <w:tcPr>
            <w:tcW w:w="1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8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8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2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c>
          <w:tcPr>
            <w:tcW w:w="22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shd w:val="clear" w:color="auto" w:fill="D5EFF4"/>
          </w:tcPr>
          <w:p>
            <w:pPr>
              <w:spacing w:after="0"/>
              <w:rPr>
                <w:sz w:val="20"/>
                <w:szCs w:val="20"/>
                <w:color w:val="auto"/>
              </w:rPr>
            </w:pPr>
          </w:p>
        </w:tc>
      </w:tr>
      <w:tr>
        <w:trPr>
          <w:trHeight w:val="24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Environmental expenses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9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ICMS Brazil tax credit</w:t>
            </w:r>
          </w:p>
        </w:tc>
        <w:tc>
          <w:tcPr>
            <w:tcW w:w="180" w:type="dxa"/>
            <w:vAlign w:val="bottom"/>
            <w:shd w:val="clear" w:color="auto" w:fill="D5EFF4"/>
          </w:tcPr>
          <w:p>
            <w:pPr>
              <w:spacing w:after="0"/>
              <w:rPr>
                <w:sz w:val="21"/>
                <w:szCs w:val="21"/>
                <w:color w:val="auto"/>
              </w:rPr>
            </w:pPr>
          </w:p>
        </w:tc>
        <w:tc>
          <w:tcPr>
            <w:tcW w:w="880" w:type="dxa"/>
            <w:vAlign w:val="bottom"/>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spacing w:after="0"/>
              <w:rPr>
                <w:sz w:val="21"/>
                <w:szCs w:val="21"/>
                <w:color w:val="auto"/>
              </w:rPr>
            </w:pPr>
          </w:p>
        </w:tc>
        <w:tc>
          <w:tcPr>
            <w:tcW w:w="180" w:type="dxa"/>
            <w:vAlign w:val="bottom"/>
            <w:shd w:val="clear" w:color="auto" w:fill="D5EFF4"/>
          </w:tcPr>
          <w:p>
            <w:pPr>
              <w:spacing w:after="0"/>
              <w:rPr>
                <w:sz w:val="21"/>
                <w:szCs w:val="21"/>
                <w:color w:val="auto"/>
              </w:rPr>
            </w:pPr>
          </w:p>
        </w:tc>
        <w:tc>
          <w:tcPr>
            <w:tcW w:w="8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spacing w:after="0"/>
              <w:rPr>
                <w:sz w:val="21"/>
                <w:szCs w:val="21"/>
                <w:color w:val="auto"/>
              </w:rPr>
            </w:pPr>
          </w:p>
        </w:tc>
        <w:tc>
          <w:tcPr>
            <w:tcW w:w="180" w:type="dxa"/>
            <w:vAlign w:val="bottom"/>
            <w:shd w:val="clear" w:color="auto" w:fill="D5EFF4"/>
          </w:tcPr>
          <w:p>
            <w:pPr>
              <w:spacing w:after="0"/>
              <w:rPr>
                <w:sz w:val="21"/>
                <w:szCs w:val="21"/>
                <w:color w:val="auto"/>
              </w:rPr>
            </w:pPr>
          </w:p>
        </w:tc>
        <w:tc>
          <w:tcPr>
            <w:tcW w:w="8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8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70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shd w:val="clear" w:color="auto" w:fill="D5EFF4"/>
          </w:tcPr>
          <w:p>
            <w:pPr>
              <w:spacing w:after="0"/>
              <w:rPr>
                <w:sz w:val="21"/>
                <w:szCs w:val="21"/>
                <w:color w:val="auto"/>
              </w:rPr>
            </w:pPr>
          </w:p>
        </w:tc>
      </w:tr>
      <w:tr>
        <w:trPr>
          <w:trHeight w:val="24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Income (loss) on acquisitions and divestitures, net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(121)</w:t>
            </w:r>
          </w:p>
        </w:tc>
        <w:tc>
          <w:tcPr>
            <w:tcW w:w="20" w:type="dxa"/>
            <w:vAlign w:val="bottom"/>
          </w:tcPr>
          <w:p>
            <w:pPr>
              <w:spacing w:after="0"/>
              <w:rPr>
                <w:sz w:val="21"/>
                <w:szCs w:val="21"/>
                <w:color w:val="auto"/>
              </w:rPr>
            </w:pPr>
          </w:p>
        </w:tc>
      </w:tr>
      <w:tr>
        <w:trPr>
          <w:trHeight w:val="244"/>
        </w:trPr>
        <w:tc>
          <w:tcPr>
            <w:tcW w:w="492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Argentina currency devaluation impact</w:t>
            </w:r>
          </w:p>
        </w:tc>
        <w:tc>
          <w:tcPr>
            <w:tcW w:w="180" w:type="dxa"/>
            <w:vAlign w:val="bottom"/>
            <w:shd w:val="clear" w:color="auto" w:fill="D5EFF4"/>
          </w:tcPr>
          <w:p>
            <w:pPr>
              <w:spacing w:after="0"/>
              <w:rPr>
                <w:sz w:val="21"/>
                <w:szCs w:val="21"/>
                <w:color w:val="auto"/>
              </w:rPr>
            </w:pPr>
          </w:p>
        </w:tc>
        <w:tc>
          <w:tcPr>
            <w:tcW w:w="880" w:type="dxa"/>
            <w:vAlign w:val="bottom"/>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spacing w:after="0"/>
              <w:rPr>
                <w:sz w:val="21"/>
                <w:szCs w:val="21"/>
                <w:color w:val="auto"/>
              </w:rPr>
            </w:pPr>
          </w:p>
        </w:tc>
        <w:tc>
          <w:tcPr>
            <w:tcW w:w="180" w:type="dxa"/>
            <w:vAlign w:val="bottom"/>
            <w:shd w:val="clear" w:color="auto" w:fill="D5EFF4"/>
          </w:tcPr>
          <w:p>
            <w:pPr>
              <w:spacing w:after="0"/>
              <w:rPr>
                <w:sz w:val="21"/>
                <w:szCs w:val="21"/>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D5EFF4"/>
          </w:tcPr>
          <w:p>
            <w:pPr>
              <w:spacing w:after="0"/>
              <w:rPr>
                <w:sz w:val="21"/>
                <w:szCs w:val="21"/>
                <w:color w:val="auto"/>
              </w:rPr>
            </w:pPr>
          </w:p>
        </w:tc>
        <w:tc>
          <w:tcPr>
            <w:tcW w:w="180" w:type="dxa"/>
            <w:vAlign w:val="bottom"/>
            <w:shd w:val="clear" w:color="auto" w:fill="D5EFF4"/>
          </w:tcPr>
          <w:p>
            <w:pPr>
              <w:spacing w:after="0"/>
              <w:rPr>
                <w:sz w:val="21"/>
                <w:szCs w:val="21"/>
                <w:color w:val="auto"/>
              </w:rPr>
            </w:pPr>
          </w:p>
        </w:tc>
        <w:tc>
          <w:tcPr>
            <w:tcW w:w="8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8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70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shd w:val="clear" w:color="auto" w:fill="D5EFF4"/>
          </w:tcPr>
          <w:p>
            <w:pPr>
              <w:spacing w:after="0"/>
              <w:rPr>
                <w:sz w:val="21"/>
                <w:szCs w:val="21"/>
                <w:color w:val="auto"/>
              </w:rPr>
            </w:pPr>
          </w:p>
        </w:tc>
      </w:tr>
      <w:tr>
        <w:trPr>
          <w:trHeight w:val="24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Tax credit</w:t>
            </w:r>
          </w:p>
        </w:tc>
        <w:tc>
          <w:tcPr>
            <w:tcW w:w="18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492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Other expenses (primarily governance and legacy expenses)</w:t>
            </w:r>
          </w:p>
        </w:tc>
        <w:tc>
          <w:tcPr>
            <w:tcW w:w="180" w:type="dxa"/>
            <w:vAlign w:val="bottom"/>
            <w:tcBorders>
              <w:bottom w:val="single" w:sz="8" w:color="auto"/>
            </w:tcBorders>
            <w:shd w:val="clear" w:color="auto" w:fill="D5EFF4"/>
          </w:tcPr>
          <w:p>
            <w:pPr>
              <w:spacing w:after="0"/>
              <w:rPr>
                <w:sz w:val="22"/>
                <w:szCs w:val="22"/>
                <w:color w:val="auto"/>
              </w:rPr>
            </w:pPr>
          </w:p>
        </w:tc>
        <w:tc>
          <w:tcPr>
            <w:tcW w:w="8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00" w:type="dxa"/>
            <w:vAlign w:val="bottom"/>
            <w:tcBorders>
              <w:bottom w:val="single" w:sz="8" w:color="D5EFF4"/>
            </w:tcBorders>
            <w:shd w:val="clear" w:color="auto" w:fill="D5EFF4"/>
          </w:tcPr>
          <w:p>
            <w:pPr>
              <w:spacing w:after="0"/>
              <w:rPr>
                <w:sz w:val="22"/>
                <w:szCs w:val="22"/>
                <w:color w:val="auto"/>
              </w:rPr>
            </w:pPr>
          </w:p>
        </w:tc>
        <w:tc>
          <w:tcPr>
            <w:tcW w:w="180" w:type="dxa"/>
            <w:vAlign w:val="bottom"/>
            <w:tcBorders>
              <w:bottom w:val="single" w:sz="8" w:color="auto"/>
            </w:tcBorders>
            <w:shd w:val="clear" w:color="auto" w:fill="D5EFF4"/>
          </w:tcPr>
          <w:p>
            <w:pPr>
              <w:spacing w:after="0"/>
              <w:rPr>
                <w:sz w:val="22"/>
                <w:szCs w:val="22"/>
                <w:color w:val="auto"/>
              </w:rPr>
            </w:pPr>
          </w:p>
        </w:tc>
        <w:tc>
          <w:tcPr>
            <w:tcW w:w="8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00" w:type="dxa"/>
            <w:vAlign w:val="bottom"/>
            <w:tcBorders>
              <w:bottom w:val="single" w:sz="8" w:color="D5EFF4"/>
            </w:tcBorders>
            <w:shd w:val="clear" w:color="auto" w:fill="D5EFF4"/>
          </w:tcPr>
          <w:p>
            <w:pPr>
              <w:spacing w:after="0"/>
              <w:rPr>
                <w:sz w:val="22"/>
                <w:szCs w:val="22"/>
                <w:color w:val="auto"/>
              </w:rPr>
            </w:pPr>
          </w:p>
        </w:tc>
        <w:tc>
          <w:tcPr>
            <w:tcW w:w="180" w:type="dxa"/>
            <w:vAlign w:val="bottom"/>
            <w:tcBorders>
              <w:bottom w:val="single" w:sz="8" w:color="auto"/>
            </w:tcBorders>
            <w:shd w:val="clear" w:color="auto" w:fill="D5EFF4"/>
          </w:tcPr>
          <w:p>
            <w:pPr>
              <w:spacing w:after="0"/>
              <w:rPr>
                <w:sz w:val="22"/>
                <w:szCs w:val="22"/>
                <w:color w:val="auto"/>
              </w:rPr>
            </w:pPr>
          </w:p>
        </w:tc>
        <w:tc>
          <w:tcPr>
            <w:tcW w:w="8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00" w:type="dxa"/>
            <w:vAlign w:val="bottom"/>
            <w:tcBorders>
              <w:bottom w:val="single" w:sz="8" w:color="D5EFF4"/>
            </w:tcBorders>
            <w:shd w:val="clear" w:color="auto" w:fill="D5EFF4"/>
          </w:tcPr>
          <w:p>
            <w:pPr>
              <w:spacing w:after="0"/>
              <w:rPr>
                <w:sz w:val="22"/>
                <w:szCs w:val="22"/>
                <w:color w:val="auto"/>
              </w:rPr>
            </w:pPr>
          </w:p>
        </w:tc>
        <w:tc>
          <w:tcPr>
            <w:tcW w:w="120" w:type="dxa"/>
            <w:vAlign w:val="bottom"/>
            <w:tcBorders>
              <w:bottom w:val="single" w:sz="8" w:color="auto"/>
            </w:tcBorders>
            <w:shd w:val="clear" w:color="auto" w:fill="D5EFF4"/>
          </w:tcPr>
          <w:p>
            <w:pPr>
              <w:spacing w:after="0"/>
              <w:rPr>
                <w:sz w:val="22"/>
                <w:szCs w:val="22"/>
                <w:color w:val="auto"/>
              </w:rPr>
            </w:pPr>
          </w:p>
        </w:tc>
        <w:tc>
          <w:tcPr>
            <w:tcW w:w="84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Borders>
              <w:bottom w:val="single" w:sz="8" w:color="D5EFF4"/>
            </w:tcBorders>
            <w:shd w:val="clear" w:color="auto" w:fill="D5EFF4"/>
          </w:tcPr>
          <w:p>
            <w:pPr>
              <w:spacing w:after="0"/>
              <w:rPr>
                <w:sz w:val="22"/>
                <w:szCs w:val="22"/>
                <w:color w:val="auto"/>
              </w:rPr>
            </w:pPr>
          </w:p>
        </w:tc>
        <w:tc>
          <w:tcPr>
            <w:tcW w:w="120" w:type="dxa"/>
            <w:vAlign w:val="bottom"/>
            <w:tcBorders>
              <w:bottom w:val="single" w:sz="8" w:color="auto"/>
            </w:tcBorders>
            <w:shd w:val="clear" w:color="auto" w:fill="D5EFF4"/>
          </w:tcPr>
          <w:p>
            <w:pPr>
              <w:spacing w:after="0"/>
              <w:rPr>
                <w:sz w:val="22"/>
                <w:szCs w:val="22"/>
                <w:color w:val="auto"/>
              </w:rPr>
            </w:pPr>
          </w:p>
        </w:tc>
        <w:tc>
          <w:tcPr>
            <w:tcW w:w="62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r>
      <w:tr>
        <w:trPr>
          <w:trHeight w:val="219"/>
        </w:trPr>
        <w:tc>
          <w:tcPr>
            <w:tcW w:w="49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expense</w:t>
            </w:r>
          </w:p>
        </w:tc>
        <w:tc>
          <w:tcPr>
            <w:tcW w:w="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(152)</w:t>
            </w:r>
          </w:p>
        </w:tc>
        <w:tc>
          <w:tcPr>
            <w:tcW w:w="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
        </w:trPr>
        <w:tc>
          <w:tcPr>
            <w:tcW w:w="4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-1362710</wp:posOffset>
            </wp:positionV>
            <wp:extent cx="6494780"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40">
                      <a:extLst>
                        <a:ext uri="{28A0092B-C50C-407E-A947-70E740481C1C}"/>
                      </a:extLst>
                    </a:blip>
                    <a:srcRect/>
                    <a:stretch>
                      <a:fillRect/>
                    </a:stretch>
                  </pic:blipFill>
                  <pic:spPr bwMode="auto">
                    <a:xfrm>
                      <a:off x="0" y="0"/>
                      <a:ext cx="6494780"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wp:posOffset>
            </wp:positionV>
            <wp:extent cx="6494780"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41">
                      <a:extLst>
                        <a:ext uri="{28A0092B-C50C-407E-A947-70E740481C1C}"/>
                      </a:extLst>
                    </a:blip>
                    <a:srcRect/>
                    <a:stretch>
                      <a:fillRect/>
                    </a:stretch>
                  </pic:blipFill>
                  <pic:spPr bwMode="auto">
                    <a:xfrm>
                      <a:off x="0" y="0"/>
                      <a:ext cx="6494780"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Unallocated and other included expense of $273 million, $264 million and $112 million for 2025, 2024 and 2023, respectively. The charges for restructuring activities of $22 million, $30 million and $9 million during 2025, 2024 and 2023, respectively, were primarily comprised of severance, lease abandonment and other restructuring costs related to company-wide cost reduction programs.</w:t>
      </w:r>
    </w:p>
    <w:p>
      <w:pPr>
        <w:sectPr>
          <w:pgSz w:w="12240" w:h="15840" w:orient="portrait"/>
          <w:cols w:equalWidth="0" w:num="1">
            <w:col w:w="10240"/>
          </w:cols>
          <w:pgMar w:left="1000" w:top="988"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M-24</w:t>
      </w:r>
    </w:p>
    <w:p>
      <w:pPr>
        <w:sectPr>
          <w:pgSz w:w="12240" w:h="15840" w:orient="portrait"/>
          <w:cols w:equalWidth="0" w:num="1">
            <w:col w:w="10240"/>
          </w:cols>
          <w:pgMar w:left="1000" w:top="988" w:right="1000" w:bottom="186" w:gutter="0" w:footer="0" w:header="0"/>
          <w:type w:val="continuous"/>
        </w:sectPr>
      </w:pPr>
    </w:p>
    <w:bookmarkStart w:id="82" w:name="page83"/>
    <w:bookmarkEnd w:id="82"/>
    <w:p>
      <w:pPr>
        <w:jc w:val="both"/>
        <w:ind w:right="20" w:firstLine="360"/>
        <w:spacing w:after="0" w:line="325" w:lineRule="auto"/>
        <w:rPr>
          <w:sz w:val="20"/>
          <w:szCs w:val="20"/>
          <w:color w:val="auto"/>
        </w:rPr>
      </w:pPr>
      <w:r>
        <w:rPr>
          <w:rFonts w:ascii="Times New Roman" w:cs="Times New Roman" w:eastAsia="Times New Roman" w:hAnsi="Times New Roman"/>
          <w:sz w:val="20"/>
          <w:szCs w:val="20"/>
          <w:color w:val="auto"/>
        </w:rPr>
        <w:t>Environmental expenses of $32 million, $43 million and $49 million during 2025, 2024 and 2023, respectively, primarily driven by specific remediation site reserve increases during the period.</w:t>
      </w:r>
    </w:p>
    <w:p>
      <w:pPr>
        <w:spacing w:after="0" w:line="49"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The remaining items included: loss on divestitures of $161 million (primarily related to the $183 million impairment of the Avoca business, $8 million pre-tax gain on the final sale of the Avoca business, and $14 million gain on sale of a property) and a tax credit of $3 million in 2025, expense of $5 million related to the devaluation of the currency in Argentina and loss on divestiture of $115 million (primarily related to the $107 million impairment charge and loss on sale associated with the Nutraceuticals business as well as a $7 million charge related to Nutraceutical VAT reserves) in 2024, and income of $6 million on acquisitions and divestitures related to excess corporate property sales and income of $12 million for ICMS tax credits in Brazil in 2023.</w:t>
      </w:r>
    </w:p>
    <w:p>
      <w:pPr>
        <w:spacing w:after="0" w:line="80" w:lineRule="exact"/>
        <w:rPr>
          <w:sz w:val="20"/>
          <w:szCs w:val="20"/>
          <w:color w:val="auto"/>
        </w:rPr>
      </w:pPr>
    </w:p>
    <w:p>
      <w:pPr>
        <w:jc w:val="both"/>
        <w:ind w:right="20" w:firstLine="360"/>
        <w:spacing w:after="0" w:line="325" w:lineRule="auto"/>
        <w:rPr>
          <w:sz w:val="20"/>
          <w:szCs w:val="20"/>
          <w:color w:val="auto"/>
        </w:rPr>
      </w:pPr>
      <w:r>
        <w:rPr>
          <w:rFonts w:ascii="Times New Roman" w:cs="Times New Roman" w:eastAsia="Times New Roman" w:hAnsi="Times New Roman"/>
          <w:sz w:val="20"/>
          <w:szCs w:val="20"/>
          <w:color w:val="auto"/>
        </w:rPr>
        <w:t>Other expenses between periods were driven by increases and decreases in governance and legacy expenses associated with foreign currency, deferred compensation, stock compensation and incentive compensation.</w:t>
      </w:r>
    </w:p>
    <w:p>
      <w:pPr>
        <w:sectPr>
          <w:pgSz w:w="12240" w:h="15840" w:orient="portrait"/>
          <w:cols w:equalWidth="0" w:num="1">
            <w:col w:w="10260"/>
          </w:cols>
          <w:pgMar w:left="1000" w:top="988" w:right="9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M-25</w:t>
      </w:r>
    </w:p>
    <w:p>
      <w:pPr>
        <w:sectPr>
          <w:pgSz w:w="12240" w:h="15840" w:orient="portrait"/>
          <w:cols w:equalWidth="0" w:num="1">
            <w:col w:w="10260"/>
          </w:cols>
          <w:pgMar w:left="1000" w:top="988" w:right="980" w:bottom="186"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FINANCIAL POSITION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17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had $215 million in cash and cash equivalents as of September 30, 2025, of which $194 million was held by foreign subsidiaries and had no significant limitations that would prohibit remitting the funds to satisfy corporate obligations. In certain circumstances, if such amounts were repatriated to the United States, additional withholding taxes might need to be accrued and paid depending on the source of the earnings remitted. Ashland currently has no plans to repatriate any amounts for which additional taxes would need to be accrued.</w:t>
      </w:r>
    </w:p>
    <w:p>
      <w:pPr>
        <w:spacing w:after="0" w:line="77"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has taken actions and may continue to take actions intended to increase its cash and cash equivalents position and preserve financial flexibility. At September 30, 2025, Ashland has total remaining borrowing capacity of $596 million available under the Revolving Credit Facility. Ashland had no available liquidity under the U.S. and Foreign Accounts Receivable Sales Program, as of September 30, 2025. Ashland has no maturities related to revolving credit facilities or bonds until fiscal 2027.</w:t>
      </w:r>
    </w:p>
    <w:p>
      <w:pPr>
        <w:spacing w:after="0" w:line="74"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On October 19, 2023, Ashland entered, through an Ireland based, wholly-owned, bankruptcy-remote consolidated special purpose entity (SPE), into a three-year agreement with a group of entities (buyers) to sell certain trade receivables, without recourse beyond the pledged receivables, of certain wholly-owned Ashland subsidiaries (Foreign Accounts Receivable Sales Program) primarily in Europe. Under the agreement, Ashland can transfer whole receivables up to a limit established by the buyer, which is currently set at a maximum of €125 million subject to other limitations as applicable. Ashland accounts for receivables transferred to buyers as part of this agreement as sales. See Note H of the Notes to Consolidated Financial Statements for more information on the Foreign Accounts Receivables Sale Program.</w:t>
      </w:r>
    </w:p>
    <w:p>
      <w:pPr>
        <w:spacing w:after="0" w:line="80"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As of September 30, 2025, participation in the program was not significant. There were less than $1 million of confirmed invoices under this program for the year ended September 30, 2025.</w:t>
      </w:r>
    </w:p>
    <w:p>
      <w:pPr>
        <w:spacing w:after="0" w:line="8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w:t>
      </w:r>
    </w:p>
    <w:p>
      <w:pPr>
        <w:spacing w:after="0" w:line="77"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Ashland’s cash flows from operating, investing and financing activities, as reflected in the Statements of Consolidated Cash Flows, are summarized as follows,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29210</wp:posOffset>
            </wp:positionV>
            <wp:extent cx="649414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42">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Pr>
          <w:p>
            <w:pPr>
              <w:spacing w:after="0"/>
              <w:rPr>
                <w:sz w:val="21"/>
                <w:szCs w:val="21"/>
                <w:color w:val="auto"/>
              </w:rPr>
            </w:pPr>
          </w:p>
        </w:tc>
        <w:tc>
          <w:tcPr>
            <w:tcW w:w="100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628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Cash provided (used) by:</w:t>
            </w:r>
          </w:p>
        </w:tc>
        <w:tc>
          <w:tcPr>
            <w:tcW w:w="240" w:type="dxa"/>
            <w:vAlign w:val="bottom"/>
            <w:shd w:val="clear" w:color="auto" w:fill="D5EFF4"/>
          </w:tcPr>
          <w:p>
            <w:pPr>
              <w:spacing w:after="0"/>
              <w:rPr>
                <w:sz w:val="19"/>
                <w:szCs w:val="19"/>
                <w:color w:val="auto"/>
              </w:rPr>
            </w:pPr>
          </w:p>
        </w:tc>
        <w:tc>
          <w:tcPr>
            <w:tcW w:w="1000" w:type="dxa"/>
            <w:vAlign w:val="bottom"/>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260" w:type="dxa"/>
            <w:vAlign w:val="bottom"/>
            <w:shd w:val="clear" w:color="auto" w:fill="D5EFF4"/>
          </w:tcPr>
          <w:p>
            <w:pPr>
              <w:spacing w:after="0"/>
              <w:rPr>
                <w:sz w:val="19"/>
                <w:szCs w:val="19"/>
                <w:color w:val="auto"/>
              </w:rPr>
            </w:pPr>
          </w:p>
        </w:tc>
        <w:tc>
          <w:tcPr>
            <w:tcW w:w="1020" w:type="dxa"/>
            <w:vAlign w:val="bottom"/>
            <w:shd w:val="clear" w:color="auto" w:fill="D5EFF4"/>
          </w:tcPr>
          <w:p>
            <w:pPr>
              <w:spacing w:after="0"/>
              <w:rPr>
                <w:sz w:val="19"/>
                <w:szCs w:val="19"/>
                <w:color w:val="auto"/>
              </w:rPr>
            </w:pPr>
          </w:p>
        </w:tc>
        <w:tc>
          <w:tcPr>
            <w:tcW w:w="120" w:type="dxa"/>
            <w:vAlign w:val="bottom"/>
            <w:shd w:val="clear" w:color="auto" w:fill="D5EFF4"/>
          </w:tcPr>
          <w:p>
            <w:pPr>
              <w:spacing w:after="0"/>
              <w:rPr>
                <w:sz w:val="19"/>
                <w:szCs w:val="19"/>
                <w:color w:val="auto"/>
              </w:rPr>
            </w:pPr>
          </w:p>
        </w:tc>
        <w:tc>
          <w:tcPr>
            <w:tcW w:w="220" w:type="dxa"/>
            <w:vAlign w:val="bottom"/>
            <w:shd w:val="clear" w:color="auto" w:fill="D5EFF4"/>
          </w:tcPr>
          <w:p>
            <w:pPr>
              <w:spacing w:after="0"/>
              <w:rPr>
                <w:sz w:val="19"/>
                <w:szCs w:val="19"/>
                <w:color w:val="auto"/>
              </w:rPr>
            </w:pPr>
          </w:p>
        </w:tc>
        <w:tc>
          <w:tcPr>
            <w:tcW w:w="920" w:type="dxa"/>
            <w:vAlign w:val="bottom"/>
            <w:shd w:val="clear" w:color="auto" w:fill="D5EFF4"/>
          </w:tcPr>
          <w:p>
            <w:pPr>
              <w:spacing w:after="0"/>
              <w:rPr>
                <w:sz w:val="19"/>
                <w:szCs w:val="19"/>
                <w:color w:val="auto"/>
              </w:rPr>
            </w:pPr>
          </w:p>
        </w:tc>
        <w:tc>
          <w:tcPr>
            <w:tcW w:w="80" w:type="dxa"/>
            <w:vAlign w:val="bottom"/>
            <w:shd w:val="clear" w:color="auto" w:fill="D5EFF4"/>
          </w:tcPr>
          <w:p>
            <w:pPr>
              <w:spacing w:after="0"/>
              <w:rPr>
                <w:sz w:val="19"/>
                <w:szCs w:val="19"/>
                <w:color w:val="auto"/>
              </w:rPr>
            </w:pPr>
          </w:p>
        </w:tc>
      </w:tr>
      <w:tr>
        <w:trPr>
          <w:trHeight w:val="230"/>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activities from continuing operations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80" w:type="dxa"/>
            <w:vAlign w:val="bottom"/>
          </w:tcPr>
          <w:p>
            <w:pPr>
              <w:spacing w:after="0"/>
              <w:rPr>
                <w:sz w:val="20"/>
                <w:szCs w:val="20"/>
                <w:color w:val="auto"/>
              </w:rPr>
            </w:pPr>
          </w:p>
        </w:tc>
      </w:tr>
      <w:tr>
        <w:trPr>
          <w:trHeight w:val="230"/>
        </w:trPr>
        <w:tc>
          <w:tcPr>
            <w:tcW w:w="62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Investing activities from continuing operations</w:t>
            </w:r>
          </w:p>
        </w:tc>
        <w:tc>
          <w:tcPr>
            <w:tcW w:w="240" w:type="dxa"/>
            <w:vAlign w:val="bottom"/>
            <w:shd w:val="clear" w:color="auto" w:fill="D5EFF4"/>
          </w:tcPr>
          <w:p>
            <w:pPr>
              <w:spacing w:after="0"/>
              <w:rPr>
                <w:sz w:val="20"/>
                <w:szCs w:val="20"/>
                <w:color w:val="auto"/>
              </w:rPr>
            </w:pPr>
          </w:p>
        </w:tc>
        <w:tc>
          <w:tcPr>
            <w:tcW w:w="10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20" w:type="dxa"/>
            <w:vAlign w:val="bottom"/>
            <w:shd w:val="clear" w:color="auto" w:fill="D5EFF4"/>
          </w:tcPr>
          <w:p>
            <w:pPr>
              <w:spacing w:after="0"/>
              <w:rPr>
                <w:sz w:val="20"/>
                <w:szCs w:val="20"/>
                <w:color w:val="auto"/>
              </w:rPr>
            </w:pPr>
          </w:p>
        </w:tc>
        <w:tc>
          <w:tcPr>
            <w:tcW w:w="220" w:type="dxa"/>
            <w:vAlign w:val="bottom"/>
            <w:shd w:val="clear" w:color="auto" w:fill="D5EFF4"/>
          </w:tcPr>
          <w:p>
            <w:pPr>
              <w:spacing w:after="0"/>
              <w:rPr>
                <w:sz w:val="20"/>
                <w:szCs w:val="20"/>
                <w:color w:val="auto"/>
              </w:rPr>
            </w:pPr>
          </w:p>
        </w:tc>
        <w:tc>
          <w:tcPr>
            <w:tcW w:w="100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(109)</w:t>
            </w:r>
          </w:p>
        </w:tc>
      </w:tr>
      <w:tr>
        <w:trPr>
          <w:trHeight w:val="230"/>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Financing activities from continuing operations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(371)</w:t>
            </w:r>
          </w:p>
        </w:tc>
      </w:tr>
      <w:tr>
        <w:trPr>
          <w:trHeight w:val="230"/>
        </w:trPr>
        <w:tc>
          <w:tcPr>
            <w:tcW w:w="628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Discontinued operations</w:t>
            </w:r>
          </w:p>
        </w:tc>
        <w:tc>
          <w:tcPr>
            <w:tcW w:w="240" w:type="dxa"/>
            <w:vAlign w:val="bottom"/>
            <w:shd w:val="clear" w:color="auto" w:fill="D5EFF4"/>
          </w:tcPr>
          <w:p>
            <w:pPr>
              <w:spacing w:after="0"/>
              <w:rPr>
                <w:sz w:val="20"/>
                <w:szCs w:val="20"/>
                <w:color w:val="auto"/>
              </w:rPr>
            </w:pPr>
          </w:p>
        </w:tc>
        <w:tc>
          <w:tcPr>
            <w:tcW w:w="10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20" w:type="dxa"/>
            <w:vAlign w:val="bottom"/>
            <w:shd w:val="clear" w:color="auto" w:fill="D5EFF4"/>
          </w:tcPr>
          <w:p>
            <w:pPr>
              <w:spacing w:after="0"/>
              <w:rPr>
                <w:sz w:val="20"/>
                <w:szCs w:val="20"/>
                <w:color w:val="auto"/>
              </w:rPr>
            </w:pPr>
          </w:p>
        </w:tc>
        <w:tc>
          <w:tcPr>
            <w:tcW w:w="220" w:type="dxa"/>
            <w:vAlign w:val="bottom"/>
            <w:shd w:val="clear" w:color="auto" w:fill="D5EFF4"/>
          </w:tcPr>
          <w:p>
            <w:pPr>
              <w:spacing w:after="0"/>
              <w:rPr>
                <w:sz w:val="20"/>
                <w:szCs w:val="20"/>
                <w:color w:val="auto"/>
              </w:rPr>
            </w:pPr>
          </w:p>
        </w:tc>
        <w:tc>
          <w:tcPr>
            <w:tcW w:w="100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r>
      <w:tr>
        <w:trPr>
          <w:trHeight w:val="230"/>
        </w:trPr>
        <w:tc>
          <w:tcPr>
            <w:tcW w:w="6280" w:type="dxa"/>
            <w:vAlign w:val="bottom"/>
            <w:tcBorders>
              <w:bottom w:val="single" w:sz="8" w:color="D5EFF4"/>
            </w:tcBorders>
          </w:tcPr>
          <w:p>
            <w:pPr>
              <w:ind w:left="200"/>
              <w:spacing w:after="0"/>
              <w:rPr>
                <w:sz w:val="20"/>
                <w:szCs w:val="20"/>
                <w:color w:val="auto"/>
              </w:rPr>
            </w:pPr>
            <w:r>
              <w:rPr>
                <w:rFonts w:ascii="Times New Roman" w:cs="Times New Roman" w:eastAsia="Times New Roman" w:hAnsi="Times New Roman"/>
                <w:sz w:val="20"/>
                <w:szCs w:val="20"/>
                <w:color w:val="auto"/>
              </w:rPr>
              <w:t>Effect of currency exchange rate changes on cash and cash equivalents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D5EF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Borders>
              <w:bottom w:val="single" w:sz="8" w:color="D5EFF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Borders>
              <w:bottom w:val="single" w:sz="8" w:color="auto"/>
            </w:tcBorders>
          </w:tcPr>
          <w:p>
            <w:pPr>
              <w:spacing w:after="0"/>
              <w:rPr>
                <w:sz w:val="20"/>
                <w:szCs w:val="20"/>
                <w:color w:val="auto"/>
              </w:rPr>
            </w:pPr>
          </w:p>
        </w:tc>
      </w:tr>
      <w:tr>
        <w:trPr>
          <w:trHeight w:val="225"/>
        </w:trPr>
        <w:tc>
          <w:tcPr>
            <w:tcW w:w="628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Net decrease in cash and cash equivalents</w:t>
            </w:r>
          </w:p>
        </w:tc>
        <w:tc>
          <w:tcPr>
            <w:tcW w:w="240" w:type="dxa"/>
            <w:vAlign w:val="bottom"/>
            <w:tcBorders>
              <w:bottom w:val="single" w:sz="8" w:color="auto"/>
            </w:tcBorders>
            <w:shd w:val="clear" w:color="auto" w:fill="D5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(85)</w:t>
            </w:r>
          </w:p>
        </w:tc>
        <w:tc>
          <w:tcPr>
            <w:tcW w:w="100" w:type="dxa"/>
            <w:vAlign w:val="bottom"/>
            <w:shd w:val="clear" w:color="auto" w:fill="D5EFF4"/>
          </w:tcPr>
          <w:p>
            <w:pPr>
              <w:spacing w:after="0"/>
              <w:rPr>
                <w:sz w:val="19"/>
                <w:szCs w:val="19"/>
                <w:color w:val="auto"/>
              </w:rPr>
            </w:pPr>
          </w:p>
        </w:tc>
        <w:tc>
          <w:tcPr>
            <w:tcW w:w="260" w:type="dxa"/>
            <w:vAlign w:val="bottom"/>
            <w:tcBorders>
              <w:bottom w:val="single" w:sz="8" w:color="auto"/>
            </w:tcBorders>
            <w:shd w:val="clear" w:color="auto" w:fill="D5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(117)</w:t>
            </w:r>
          </w:p>
        </w:tc>
        <w:tc>
          <w:tcPr>
            <w:tcW w:w="120" w:type="dxa"/>
            <w:vAlign w:val="bottom"/>
            <w:shd w:val="clear" w:color="auto" w:fill="D5EFF4"/>
          </w:tcPr>
          <w:p>
            <w:pPr>
              <w:spacing w:after="0"/>
              <w:rPr>
                <w:sz w:val="19"/>
                <w:szCs w:val="19"/>
                <w:color w:val="auto"/>
              </w:rPr>
            </w:pPr>
          </w:p>
        </w:tc>
        <w:tc>
          <w:tcPr>
            <w:tcW w:w="220" w:type="dxa"/>
            <w:vAlign w:val="bottom"/>
            <w:tcBorders>
              <w:bottom w:val="single" w:sz="8" w:color="auto"/>
            </w:tcBorders>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(229)</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6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-1136650</wp:posOffset>
            </wp:positionV>
            <wp:extent cx="649414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43">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-23495</wp:posOffset>
            </wp:positionV>
            <wp:extent cx="649414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44">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paid income taxes of $33 million during 2025 compared to $53 million in 2024 and $63 million in 2023 (of which $16 million related to discounted operations). Cash receipts for interest income were $5 million in 2025, $10 million in 2024, and $12 million in 2023, respectively, while cash payments for interest expense amounted to $54 million in 2025, $52 million in 2024 and $53 million in 2023.</w:t>
      </w:r>
    </w:p>
    <w:p>
      <w:pPr>
        <w:sectPr>
          <w:pgSz w:w="12240" w:h="15840" w:orient="portrait"/>
          <w:cols w:equalWidth="0" w:num="1">
            <w:col w:w="10240"/>
          </w:cols>
          <w:pgMar w:left="1000" w:top="984"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M-26</w:t>
      </w:r>
    </w:p>
    <w:p>
      <w:pPr>
        <w:sectPr>
          <w:pgSz w:w="12240" w:h="15840" w:orient="portrait"/>
          <w:cols w:equalWidth="0" w:num="1">
            <w:col w:w="10240"/>
          </w:cols>
          <w:pgMar w:left="1000" w:top="984" w:right="1000" w:bottom="186" w:gutter="0" w:footer="0" w:header="0"/>
          <w:type w:val="continuous"/>
        </w:sectPr>
      </w:pPr>
    </w:p>
    <w:bookmarkStart w:id="84" w:name="page85"/>
    <w:bookmarkEnd w:id="84"/>
    <w:p>
      <w:pPr>
        <w:ind w:left="6"/>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8"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auto"/>
        </w:rPr>
        <w:t>The following summarizes the cash flows associated with Ashland’s operating activities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652970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45">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24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Pr>
          <w:p>
            <w:pPr>
              <w:spacing w:after="0"/>
              <w:rPr>
                <w:sz w:val="21"/>
                <w:szCs w:val="21"/>
                <w:color w:val="auto"/>
              </w:rPr>
            </w:pPr>
          </w:p>
        </w:tc>
        <w:tc>
          <w:tcPr>
            <w:tcW w:w="10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1"/>
                <w:szCs w:val="21"/>
                <w:color w:val="auto"/>
              </w:rPr>
            </w:pPr>
          </w:p>
        </w:tc>
      </w:tr>
      <w:tr>
        <w:trPr>
          <w:trHeight w:val="239"/>
        </w:trPr>
        <w:tc>
          <w:tcPr>
            <w:tcW w:w="63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Cash flows provided by operating activities from continuing operations</w:t>
            </w:r>
          </w:p>
        </w:tc>
        <w:tc>
          <w:tcPr>
            <w:tcW w:w="240" w:type="dxa"/>
            <w:vAlign w:val="bottom"/>
            <w:shd w:val="clear" w:color="auto" w:fill="D5EFF4"/>
          </w:tcPr>
          <w:p>
            <w:pPr>
              <w:spacing w:after="0"/>
              <w:rPr>
                <w:sz w:val="20"/>
                <w:szCs w:val="20"/>
                <w:color w:val="auto"/>
              </w:rPr>
            </w:pPr>
          </w:p>
        </w:tc>
        <w:tc>
          <w:tcPr>
            <w:tcW w:w="106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240" w:type="dxa"/>
            <w:vAlign w:val="bottom"/>
            <w:shd w:val="clear" w:color="auto" w:fill="D5EFF4"/>
          </w:tcPr>
          <w:p>
            <w:pPr>
              <w:spacing w:after="0"/>
              <w:rPr>
                <w:sz w:val="20"/>
                <w:szCs w:val="20"/>
                <w:color w:val="auto"/>
              </w:rPr>
            </w:pPr>
          </w:p>
        </w:tc>
        <w:tc>
          <w:tcPr>
            <w:tcW w:w="102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200" w:type="dxa"/>
            <w:vAlign w:val="bottom"/>
            <w:shd w:val="clear" w:color="auto" w:fill="D5EFF4"/>
          </w:tcPr>
          <w:p>
            <w:pPr>
              <w:spacing w:after="0"/>
              <w:rPr>
                <w:sz w:val="20"/>
                <w:szCs w:val="20"/>
                <w:color w:val="auto"/>
              </w:rPr>
            </w:pPr>
          </w:p>
        </w:tc>
        <w:tc>
          <w:tcPr>
            <w:tcW w:w="84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44"/>
        </w:trPr>
        <w:tc>
          <w:tcPr>
            <w:tcW w:w="6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 w:type="dxa"/>
            <w:vAlign w:val="bottom"/>
          </w:tcPr>
          <w:p>
            <w:pPr>
              <w:spacing w:after="0"/>
              <w:rPr>
                <w:sz w:val="21"/>
                <w:szCs w:val="21"/>
                <w:color w:val="auto"/>
              </w:rPr>
            </w:pPr>
          </w:p>
        </w:tc>
      </w:tr>
      <w:tr>
        <w:trPr>
          <w:trHeight w:val="244"/>
        </w:trPr>
        <w:tc>
          <w:tcPr>
            <w:tcW w:w="6340" w:type="dxa"/>
            <w:vAlign w:val="bottom"/>
            <w:shd w:val="clear" w:color="auto" w:fill="D5EFF4"/>
          </w:tcPr>
          <w:p>
            <w:pPr>
              <w:ind w:left="100"/>
              <w:spacing w:after="0"/>
              <w:rPr>
                <w:sz w:val="20"/>
                <w:szCs w:val="20"/>
                <w:color w:val="auto"/>
              </w:rPr>
            </w:pPr>
            <w:r>
              <w:rPr>
                <w:rFonts w:ascii="Times New Roman" w:cs="Times New Roman" w:eastAsia="Times New Roman" w:hAnsi="Times New Roman"/>
                <w:sz w:val="20"/>
                <w:szCs w:val="20"/>
                <w:color w:val="auto"/>
              </w:rPr>
              <w:t>Loss (income) from discontinued operations, net of income taxes</w:t>
            </w:r>
          </w:p>
        </w:tc>
        <w:tc>
          <w:tcPr>
            <w:tcW w:w="240" w:type="dxa"/>
            <w:vAlign w:val="bottom"/>
            <w:shd w:val="clear" w:color="auto" w:fill="D5EFF4"/>
          </w:tcPr>
          <w:p>
            <w:pPr>
              <w:spacing w:after="0"/>
              <w:rPr>
                <w:sz w:val="21"/>
                <w:szCs w:val="21"/>
                <w:color w:val="auto"/>
              </w:rPr>
            </w:pPr>
          </w:p>
        </w:tc>
        <w:tc>
          <w:tcPr>
            <w:tcW w:w="10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shd w:val="clear" w:color="auto" w:fill="D5EFF4"/>
          </w:tcPr>
          <w:p>
            <w:pPr>
              <w:spacing w:after="0"/>
              <w:rPr>
                <w:sz w:val="21"/>
                <w:szCs w:val="21"/>
                <w:color w:val="auto"/>
              </w:rPr>
            </w:pPr>
          </w:p>
        </w:tc>
        <w:tc>
          <w:tcPr>
            <w:tcW w:w="200" w:type="dxa"/>
            <w:vAlign w:val="bottom"/>
            <w:shd w:val="clear" w:color="auto" w:fill="D5EFF4"/>
          </w:tcPr>
          <w:p>
            <w:pPr>
              <w:spacing w:after="0"/>
              <w:rPr>
                <w:sz w:val="21"/>
                <w:szCs w:val="21"/>
                <w:color w:val="auto"/>
              </w:rPr>
            </w:pPr>
          </w:p>
        </w:tc>
        <w:tc>
          <w:tcPr>
            <w:tcW w:w="92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r>
      <w:tr>
        <w:trPr>
          <w:trHeight w:val="225"/>
        </w:trPr>
        <w:tc>
          <w:tcPr>
            <w:tcW w:w="6340" w:type="dxa"/>
            <w:vAlign w:val="bottom"/>
          </w:tcPr>
          <w:p>
            <w:pPr>
              <w:ind w:left="240"/>
              <w:spacing w:after="0" w:line="225" w:lineRule="exact"/>
              <w:rPr>
                <w:sz w:val="20"/>
                <w:szCs w:val="20"/>
                <w:color w:val="auto"/>
              </w:rPr>
            </w:pPr>
            <w:r>
              <w:rPr>
                <w:rFonts w:ascii="Times New Roman" w:cs="Times New Roman" w:eastAsia="Times New Roman" w:hAnsi="Times New Roman"/>
                <w:sz w:val="20"/>
                <w:szCs w:val="20"/>
                <w:color w:val="auto"/>
              </w:rPr>
              <w:t>Adjustments to reconcile income (loss) from continuing operations to cash</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flows from operating activities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40" w:type="dxa"/>
            <w:vAlign w:val="bottom"/>
            <w:shd w:val="clear" w:color="auto" w:fill="D5EFF4"/>
          </w:tcPr>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shd w:val="clear" w:color="auto" w:fill="D5EFF4"/>
          </w:tcPr>
          <w:p>
            <w:pPr>
              <w:spacing w:after="0"/>
              <w:rPr>
                <w:sz w:val="21"/>
                <w:szCs w:val="21"/>
                <w:color w:val="auto"/>
              </w:rPr>
            </w:pPr>
          </w:p>
        </w:tc>
        <w:tc>
          <w:tcPr>
            <w:tcW w:w="10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237</w:t>
            </w:r>
          </w:p>
        </w:tc>
        <w:tc>
          <w:tcPr>
            <w:tcW w:w="10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120" w:type="dxa"/>
            <w:vAlign w:val="bottom"/>
            <w:shd w:val="clear" w:color="auto" w:fill="D5EFF4"/>
          </w:tcPr>
          <w:p>
            <w:pPr>
              <w:spacing w:after="0"/>
              <w:rPr>
                <w:sz w:val="21"/>
                <w:szCs w:val="21"/>
                <w:color w:val="auto"/>
              </w:rPr>
            </w:pPr>
          </w:p>
        </w:tc>
        <w:tc>
          <w:tcPr>
            <w:tcW w:w="200" w:type="dxa"/>
            <w:vAlign w:val="bottom"/>
            <w:shd w:val="clear" w:color="auto" w:fill="D5EFF4"/>
          </w:tcPr>
          <w:p>
            <w:pPr>
              <w:spacing w:after="0"/>
              <w:rPr>
                <w:sz w:val="21"/>
                <w:szCs w:val="21"/>
                <w:color w:val="auto"/>
              </w:rPr>
            </w:pPr>
          </w:p>
        </w:tc>
        <w:tc>
          <w:tcPr>
            <w:tcW w:w="8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80" w:type="dxa"/>
            <w:vAlign w:val="bottom"/>
            <w:shd w:val="clear" w:color="auto" w:fill="D5EFF4"/>
          </w:tcPr>
          <w:p>
            <w:pPr>
              <w:spacing w:after="0"/>
              <w:rPr>
                <w:sz w:val="21"/>
                <w:szCs w:val="21"/>
                <w:color w:val="auto"/>
              </w:rPr>
            </w:pPr>
          </w:p>
        </w:tc>
      </w:tr>
      <w:tr>
        <w:trPr>
          <w:trHeight w:val="244"/>
        </w:trPr>
        <w:tc>
          <w:tcPr>
            <w:tcW w:w="6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Original issue discount and debt issuance cost amortization</w:t>
            </w:r>
          </w:p>
        </w:tc>
        <w:tc>
          <w:tcPr>
            <w:tcW w:w="24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1"/>
                <w:szCs w:val="21"/>
                <w:color w:val="auto"/>
              </w:rPr>
            </w:pPr>
          </w:p>
        </w:tc>
      </w:tr>
      <w:tr>
        <w:trPr>
          <w:trHeight w:val="244"/>
        </w:trPr>
        <w:tc>
          <w:tcPr>
            <w:tcW w:w="6340" w:type="dxa"/>
            <w:vAlign w:val="bottom"/>
            <w:shd w:val="clear" w:color="auto" w:fill="D5EFF4"/>
          </w:tcPr>
          <w:p>
            <w:pPr>
              <w:ind w:left="400"/>
              <w:spacing w:after="0"/>
              <w:rPr>
                <w:sz w:val="20"/>
                <w:szCs w:val="20"/>
                <w:color w:val="auto"/>
              </w:rPr>
            </w:pPr>
            <w:r>
              <w:rPr>
                <w:rFonts w:ascii="Times New Roman" w:cs="Times New Roman" w:eastAsia="Times New Roman" w:hAnsi="Times New Roman"/>
                <w:sz w:val="20"/>
                <w:szCs w:val="20"/>
                <w:color w:val="auto"/>
              </w:rPr>
              <w:t>Deferred income taxes</w:t>
            </w:r>
          </w:p>
        </w:tc>
        <w:tc>
          <w:tcPr>
            <w:tcW w:w="240" w:type="dxa"/>
            <w:vAlign w:val="bottom"/>
            <w:shd w:val="clear" w:color="auto" w:fill="D5EFF4"/>
          </w:tcPr>
          <w:p>
            <w:pPr>
              <w:spacing w:after="0"/>
              <w:rPr>
                <w:sz w:val="21"/>
                <w:szCs w:val="21"/>
                <w:color w:val="auto"/>
              </w:rPr>
            </w:pPr>
          </w:p>
        </w:tc>
        <w:tc>
          <w:tcPr>
            <w:tcW w:w="10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73</w:t>
            </w:r>
          </w:p>
        </w:tc>
        <w:tc>
          <w:tcPr>
            <w:tcW w:w="10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120" w:type="dxa"/>
            <w:vAlign w:val="bottom"/>
            <w:shd w:val="clear" w:color="auto" w:fill="D5EFF4"/>
          </w:tcPr>
          <w:p>
            <w:pPr>
              <w:spacing w:after="0"/>
              <w:rPr>
                <w:sz w:val="21"/>
                <w:szCs w:val="21"/>
                <w:color w:val="auto"/>
              </w:rPr>
            </w:pPr>
          </w:p>
        </w:tc>
        <w:tc>
          <w:tcPr>
            <w:tcW w:w="200" w:type="dxa"/>
            <w:vAlign w:val="bottom"/>
            <w:shd w:val="clear" w:color="auto" w:fill="D5EFF4"/>
          </w:tcPr>
          <w:p>
            <w:pPr>
              <w:spacing w:after="0"/>
              <w:rPr>
                <w:sz w:val="21"/>
                <w:szCs w:val="21"/>
                <w:color w:val="auto"/>
              </w:rPr>
            </w:pPr>
          </w:p>
        </w:tc>
        <w:tc>
          <w:tcPr>
            <w:tcW w:w="92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(32)</w:t>
            </w:r>
          </w:p>
        </w:tc>
      </w:tr>
      <w:tr>
        <w:trPr>
          <w:trHeight w:val="244"/>
        </w:trPr>
        <w:tc>
          <w:tcPr>
            <w:tcW w:w="6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Gain from sales of property and equipment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44"/>
        </w:trPr>
        <w:tc>
          <w:tcPr>
            <w:tcW w:w="6340" w:type="dxa"/>
            <w:vAlign w:val="bottom"/>
            <w:shd w:val="clear" w:color="auto" w:fill="D5EFF4"/>
          </w:tcPr>
          <w:p>
            <w:pPr>
              <w:ind w:left="400"/>
              <w:spacing w:after="0"/>
              <w:rPr>
                <w:sz w:val="20"/>
                <w:szCs w:val="20"/>
                <w:color w:val="auto"/>
              </w:rPr>
            </w:pPr>
            <w:r>
              <w:rPr>
                <w:rFonts w:ascii="Times New Roman" w:cs="Times New Roman" w:eastAsia="Times New Roman" w:hAnsi="Times New Roman"/>
                <w:sz w:val="20"/>
                <w:szCs w:val="20"/>
                <w:color w:val="auto"/>
              </w:rPr>
              <w:t>Stock based compensation expense</w:t>
            </w:r>
          </w:p>
        </w:tc>
        <w:tc>
          <w:tcPr>
            <w:tcW w:w="240" w:type="dxa"/>
            <w:vAlign w:val="bottom"/>
            <w:shd w:val="clear" w:color="auto" w:fill="D5EFF4"/>
          </w:tcPr>
          <w:p>
            <w:pPr>
              <w:spacing w:after="0"/>
              <w:rPr>
                <w:sz w:val="21"/>
                <w:szCs w:val="21"/>
                <w:color w:val="auto"/>
              </w:rPr>
            </w:pPr>
          </w:p>
        </w:tc>
        <w:tc>
          <w:tcPr>
            <w:tcW w:w="10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shd w:val="clear" w:color="auto" w:fill="D5EFF4"/>
          </w:tcPr>
          <w:p>
            <w:pPr>
              <w:spacing w:after="0"/>
              <w:rPr>
                <w:sz w:val="21"/>
                <w:szCs w:val="21"/>
                <w:color w:val="auto"/>
              </w:rPr>
            </w:pPr>
          </w:p>
        </w:tc>
        <w:tc>
          <w:tcPr>
            <w:tcW w:w="200" w:type="dxa"/>
            <w:vAlign w:val="bottom"/>
            <w:shd w:val="clear" w:color="auto" w:fill="D5EFF4"/>
          </w:tcPr>
          <w:p>
            <w:pPr>
              <w:spacing w:after="0"/>
              <w:rPr>
                <w:sz w:val="21"/>
                <w:szCs w:val="21"/>
                <w:color w:val="auto"/>
              </w:rPr>
            </w:pPr>
          </w:p>
        </w:tc>
        <w:tc>
          <w:tcPr>
            <w:tcW w:w="8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shd w:val="clear" w:color="auto" w:fill="D5EFF4"/>
          </w:tcPr>
          <w:p>
            <w:pPr>
              <w:spacing w:after="0"/>
              <w:rPr>
                <w:sz w:val="21"/>
                <w:szCs w:val="21"/>
                <w:color w:val="auto"/>
              </w:rPr>
            </w:pPr>
          </w:p>
        </w:tc>
      </w:tr>
      <w:tr>
        <w:trPr>
          <w:trHeight w:val="244"/>
        </w:trPr>
        <w:tc>
          <w:tcPr>
            <w:tcW w:w="6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Benefit (loss) from excess tax deduction on stock based compensation</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1"/>
                <w:szCs w:val="21"/>
                <w:color w:val="auto"/>
              </w:rPr>
            </w:pPr>
          </w:p>
        </w:tc>
      </w:tr>
      <w:tr>
        <w:trPr>
          <w:trHeight w:val="244"/>
        </w:trPr>
        <w:tc>
          <w:tcPr>
            <w:tcW w:w="6340" w:type="dxa"/>
            <w:vAlign w:val="bottom"/>
            <w:shd w:val="clear" w:color="auto" w:fill="D5EFF4"/>
          </w:tcPr>
          <w:p>
            <w:pPr>
              <w:ind w:left="400"/>
              <w:spacing w:after="0"/>
              <w:rPr>
                <w:sz w:val="20"/>
                <w:szCs w:val="20"/>
                <w:color w:val="auto"/>
              </w:rPr>
            </w:pPr>
            <w:r>
              <w:rPr>
                <w:rFonts w:ascii="Times New Roman" w:cs="Times New Roman" w:eastAsia="Times New Roman" w:hAnsi="Times New Roman"/>
                <w:sz w:val="20"/>
                <w:szCs w:val="20"/>
                <w:color w:val="auto"/>
              </w:rPr>
              <w:t>Income from restricted investments</w:t>
            </w:r>
          </w:p>
        </w:tc>
        <w:tc>
          <w:tcPr>
            <w:tcW w:w="240" w:type="dxa"/>
            <w:vAlign w:val="bottom"/>
            <w:shd w:val="clear" w:color="auto" w:fill="D5EFF4"/>
          </w:tcPr>
          <w:p>
            <w:pPr>
              <w:spacing w:after="0"/>
              <w:rPr>
                <w:sz w:val="21"/>
                <w:szCs w:val="21"/>
                <w:color w:val="auto"/>
              </w:rPr>
            </w:pPr>
          </w:p>
        </w:tc>
        <w:tc>
          <w:tcPr>
            <w:tcW w:w="10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20" w:type="dxa"/>
            <w:vAlign w:val="bottom"/>
            <w:shd w:val="clear" w:color="auto" w:fill="D5EFF4"/>
          </w:tcPr>
          <w:p>
            <w:pPr>
              <w:spacing w:after="0"/>
              <w:rPr>
                <w:sz w:val="21"/>
                <w:szCs w:val="21"/>
                <w:color w:val="auto"/>
              </w:rPr>
            </w:pPr>
          </w:p>
        </w:tc>
        <w:tc>
          <w:tcPr>
            <w:tcW w:w="200" w:type="dxa"/>
            <w:vAlign w:val="bottom"/>
            <w:shd w:val="clear" w:color="auto" w:fill="D5EFF4"/>
          </w:tcPr>
          <w:p>
            <w:pPr>
              <w:spacing w:after="0"/>
              <w:rPr>
                <w:sz w:val="21"/>
                <w:szCs w:val="21"/>
                <w:color w:val="auto"/>
              </w:rPr>
            </w:pPr>
          </w:p>
        </w:tc>
        <w:tc>
          <w:tcPr>
            <w:tcW w:w="92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r>
      <w:tr>
        <w:trPr>
          <w:trHeight w:val="244"/>
        </w:trPr>
        <w:tc>
          <w:tcPr>
            <w:tcW w:w="6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Loss (income) on acquisitions and divestitures, net</w:t>
            </w:r>
          </w:p>
        </w:tc>
        <w:tc>
          <w:tcPr>
            <w:tcW w:w="24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r>
      <w:tr>
        <w:trPr>
          <w:trHeight w:val="244"/>
        </w:trPr>
        <w:tc>
          <w:tcPr>
            <w:tcW w:w="6340" w:type="dxa"/>
            <w:vAlign w:val="bottom"/>
            <w:shd w:val="clear" w:color="auto" w:fill="D5EFF4"/>
          </w:tcPr>
          <w:p>
            <w:pPr>
              <w:ind w:left="400"/>
              <w:spacing w:after="0"/>
              <w:rPr>
                <w:sz w:val="20"/>
                <w:szCs w:val="20"/>
                <w:color w:val="auto"/>
              </w:rPr>
            </w:pPr>
            <w:r>
              <w:rPr>
                <w:rFonts w:ascii="Times New Roman" w:cs="Times New Roman" w:eastAsia="Times New Roman" w:hAnsi="Times New Roman"/>
                <w:sz w:val="20"/>
                <w:szCs w:val="20"/>
                <w:color w:val="auto"/>
              </w:rPr>
              <w:t>Goodwill impairment</w:t>
            </w:r>
          </w:p>
        </w:tc>
        <w:tc>
          <w:tcPr>
            <w:tcW w:w="240" w:type="dxa"/>
            <w:vAlign w:val="bottom"/>
            <w:shd w:val="clear" w:color="auto" w:fill="D5EFF4"/>
          </w:tcPr>
          <w:p>
            <w:pPr>
              <w:spacing w:after="0"/>
              <w:rPr>
                <w:sz w:val="21"/>
                <w:szCs w:val="21"/>
                <w:color w:val="auto"/>
              </w:rPr>
            </w:pPr>
          </w:p>
        </w:tc>
        <w:tc>
          <w:tcPr>
            <w:tcW w:w="10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706</w:t>
            </w:r>
          </w:p>
        </w:tc>
        <w:tc>
          <w:tcPr>
            <w:tcW w:w="10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00" w:type="dxa"/>
            <w:vAlign w:val="bottom"/>
            <w:shd w:val="clear" w:color="auto" w:fill="D5EFF4"/>
          </w:tcPr>
          <w:p>
            <w:pPr>
              <w:spacing w:after="0"/>
              <w:rPr>
                <w:sz w:val="21"/>
                <w:szCs w:val="21"/>
                <w:color w:val="auto"/>
              </w:rPr>
            </w:pPr>
          </w:p>
        </w:tc>
        <w:tc>
          <w:tcPr>
            <w:tcW w:w="92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Asset impairments</w:t>
            </w:r>
          </w:p>
        </w:tc>
        <w:tc>
          <w:tcPr>
            <w:tcW w:w="24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1"/>
                <w:szCs w:val="21"/>
                <w:color w:val="auto"/>
              </w:rPr>
            </w:pPr>
          </w:p>
        </w:tc>
      </w:tr>
      <w:tr>
        <w:trPr>
          <w:trHeight w:val="244"/>
        </w:trPr>
        <w:tc>
          <w:tcPr>
            <w:tcW w:w="6340" w:type="dxa"/>
            <w:vAlign w:val="bottom"/>
            <w:shd w:val="clear" w:color="auto" w:fill="D5EFF4"/>
          </w:tcPr>
          <w:p>
            <w:pPr>
              <w:ind w:left="400"/>
              <w:spacing w:after="0"/>
              <w:rPr>
                <w:sz w:val="20"/>
                <w:szCs w:val="20"/>
                <w:color w:val="auto"/>
              </w:rPr>
            </w:pPr>
            <w:r>
              <w:rPr>
                <w:rFonts w:ascii="Times New Roman" w:cs="Times New Roman" w:eastAsia="Times New Roman" w:hAnsi="Times New Roman"/>
                <w:sz w:val="20"/>
                <w:szCs w:val="20"/>
                <w:color w:val="auto"/>
              </w:rPr>
              <w:t>Pension contributions</w:t>
            </w:r>
          </w:p>
        </w:tc>
        <w:tc>
          <w:tcPr>
            <w:tcW w:w="240" w:type="dxa"/>
            <w:vAlign w:val="bottom"/>
            <w:shd w:val="clear" w:color="auto" w:fill="D5EFF4"/>
          </w:tcPr>
          <w:p>
            <w:pPr>
              <w:spacing w:after="0"/>
              <w:rPr>
                <w:sz w:val="21"/>
                <w:szCs w:val="21"/>
                <w:color w:val="auto"/>
              </w:rPr>
            </w:pPr>
          </w:p>
        </w:tc>
        <w:tc>
          <w:tcPr>
            <w:tcW w:w="10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shd w:val="clear" w:color="auto" w:fill="D5EFF4"/>
          </w:tcPr>
          <w:p>
            <w:pPr>
              <w:spacing w:after="0"/>
              <w:rPr>
                <w:sz w:val="21"/>
                <w:szCs w:val="21"/>
                <w:color w:val="auto"/>
              </w:rPr>
            </w:pPr>
          </w:p>
        </w:tc>
        <w:tc>
          <w:tcPr>
            <w:tcW w:w="200" w:type="dxa"/>
            <w:vAlign w:val="bottom"/>
            <w:shd w:val="clear" w:color="auto" w:fill="D5EFF4"/>
          </w:tcPr>
          <w:p>
            <w:pPr>
              <w:spacing w:after="0"/>
              <w:rPr>
                <w:sz w:val="21"/>
                <w:szCs w:val="21"/>
                <w:color w:val="auto"/>
              </w:rPr>
            </w:pPr>
          </w:p>
        </w:tc>
        <w:tc>
          <w:tcPr>
            <w:tcW w:w="92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r>
      <w:tr>
        <w:trPr>
          <w:trHeight w:val="244"/>
        </w:trPr>
        <w:tc>
          <w:tcPr>
            <w:tcW w:w="6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Loss (gain) on pension and other postretirement plan remeasurements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r>
      <w:tr>
        <w:trPr>
          <w:trHeight w:val="264"/>
        </w:trPr>
        <w:tc>
          <w:tcPr>
            <w:tcW w:w="6340" w:type="dxa"/>
            <w:vAlign w:val="bottom"/>
            <w:tcBorders>
              <w:bottom w:val="single" w:sz="8" w:color="D5EFF4"/>
            </w:tcBorders>
            <w:shd w:val="clear" w:color="auto" w:fill="D5EFF4"/>
          </w:tcPr>
          <w:p>
            <w:pPr>
              <w:ind w:left="400"/>
              <w:spacing w:after="0" w:line="244" w:lineRule="exact"/>
              <w:rPr>
                <w:sz w:val="20"/>
                <w:szCs w:val="20"/>
                <w:color w:val="auto"/>
              </w:rPr>
            </w:pPr>
            <w:r>
              <w:rPr>
                <w:rFonts w:ascii="Times New Roman" w:cs="Times New Roman" w:eastAsia="Times New Roman" w:hAnsi="Times New Roman"/>
                <w:sz w:val="20"/>
                <w:szCs w:val="20"/>
                <w:color w:val="auto"/>
              </w:rPr>
              <w:t>Change in operating assets and liabilities</w:t>
            </w:r>
            <w:r>
              <w:rPr>
                <w:rFonts w:ascii="Times New Roman" w:cs="Times New Roman" w:eastAsia="Times New Roman" w:hAnsi="Times New Roman"/>
                <w:sz w:val="25"/>
                <w:szCs w:val="25"/>
                <w:color w:val="auto"/>
                <w:vertAlign w:val="superscript"/>
              </w:rPr>
              <w:t>(a)</w:t>
            </w:r>
          </w:p>
        </w:tc>
        <w:tc>
          <w:tcPr>
            <w:tcW w:w="240" w:type="dxa"/>
            <w:vAlign w:val="bottom"/>
            <w:tcBorders>
              <w:bottom w:val="single" w:sz="8" w:color="auto"/>
            </w:tcBorders>
            <w:shd w:val="clear" w:color="auto" w:fill="D5EFF4"/>
          </w:tcPr>
          <w:p>
            <w:pPr>
              <w:spacing w:after="0"/>
              <w:rPr>
                <w:sz w:val="22"/>
                <w:szCs w:val="22"/>
                <w:color w:val="auto"/>
              </w:rPr>
            </w:pPr>
          </w:p>
        </w:tc>
        <w:tc>
          <w:tcPr>
            <w:tcW w:w="10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100" w:type="dxa"/>
            <w:vAlign w:val="bottom"/>
            <w:tcBorders>
              <w:bottom w:val="single" w:sz="8" w:color="D5EFF4"/>
            </w:tcBorders>
            <w:shd w:val="clear" w:color="auto" w:fill="D5EFF4"/>
          </w:tcPr>
          <w:p>
            <w:pPr>
              <w:spacing w:after="0"/>
              <w:rPr>
                <w:sz w:val="22"/>
                <w:szCs w:val="22"/>
                <w:color w:val="auto"/>
              </w:rPr>
            </w:pPr>
          </w:p>
        </w:tc>
        <w:tc>
          <w:tcPr>
            <w:tcW w:w="240" w:type="dxa"/>
            <w:vAlign w:val="bottom"/>
            <w:tcBorders>
              <w:bottom w:val="single" w:sz="8" w:color="auto"/>
            </w:tcBorders>
            <w:shd w:val="clear" w:color="auto" w:fill="D5EFF4"/>
          </w:tcPr>
          <w:p>
            <w:pPr>
              <w:spacing w:after="0"/>
              <w:rPr>
                <w:sz w:val="22"/>
                <w:szCs w:val="22"/>
                <w:color w:val="auto"/>
              </w:rPr>
            </w:pPr>
          </w:p>
        </w:tc>
        <w:tc>
          <w:tcPr>
            <w:tcW w:w="102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120" w:type="dxa"/>
            <w:vAlign w:val="bottom"/>
            <w:tcBorders>
              <w:bottom w:val="single" w:sz="8" w:color="D5EFF4"/>
            </w:tcBorders>
            <w:shd w:val="clear" w:color="auto" w:fill="D5EFF4"/>
          </w:tcPr>
          <w:p>
            <w:pPr>
              <w:spacing w:after="0"/>
              <w:rPr>
                <w:sz w:val="22"/>
                <w:szCs w:val="22"/>
                <w:color w:val="auto"/>
              </w:rPr>
            </w:pPr>
          </w:p>
        </w:tc>
        <w:tc>
          <w:tcPr>
            <w:tcW w:w="200" w:type="dxa"/>
            <w:vAlign w:val="bottom"/>
            <w:tcBorders>
              <w:bottom w:val="single" w:sz="8" w:color="auto"/>
            </w:tcBorders>
            <w:shd w:val="clear" w:color="auto" w:fill="D5EFF4"/>
          </w:tcPr>
          <w:p>
            <w:pPr>
              <w:spacing w:after="0"/>
              <w:rPr>
                <w:sz w:val="22"/>
                <w:szCs w:val="22"/>
                <w:color w:val="auto"/>
              </w:rPr>
            </w:pPr>
          </w:p>
        </w:tc>
        <w:tc>
          <w:tcPr>
            <w:tcW w:w="92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r>
      <w:tr>
        <w:trPr>
          <w:trHeight w:val="219"/>
        </w:trPr>
        <w:tc>
          <w:tcPr>
            <w:tcW w:w="63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cash flows provided by operating activities from continuing operations</w:t>
            </w: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462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294</w:t>
            </w:r>
          </w:p>
        </w:tc>
        <w:tc>
          <w:tcPr>
            <w:tcW w:w="80" w:type="dxa"/>
            <w:vAlign w:val="bottom"/>
            <w:tcBorders>
              <w:bottom w:val="single" w:sz="8" w:color="auto"/>
            </w:tcBorders>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6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-3058160</wp:posOffset>
            </wp:positionV>
            <wp:extent cx="649351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46">
                      <a:extLst>
                        <a:ext uri="{28A0092B-C50C-407E-A947-70E740481C1C}"/>
                      </a:extLst>
                    </a:blip>
                    <a:srcRect/>
                    <a:stretch>
                      <a:fillRect/>
                    </a:stretch>
                  </pic:blipFill>
                  <pic:spPr bwMode="auto">
                    <a:xfrm>
                      <a:off x="0" y="0"/>
                      <a:ext cx="649351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93510" cy="1854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47">
                      <a:extLst>
                        <a:ext uri="{28A0092B-C50C-407E-A947-70E740481C1C}"/>
                      </a:extLst>
                    </a:blip>
                    <a:srcRect/>
                    <a:stretch>
                      <a:fillRect/>
                    </a:stretch>
                  </pic:blipFill>
                  <pic:spPr bwMode="auto">
                    <a:xfrm>
                      <a:off x="0" y="0"/>
                      <a:ext cx="6493510" cy="185420"/>
                    </a:xfrm>
                    <a:prstGeom prst="rect">
                      <a:avLst/>
                    </a:prstGeom>
                    <a:noFill/>
                  </pic:spPr>
                </pic:pic>
              </a:graphicData>
            </a:graphic>
          </wp:anchor>
        </w:drawing>
      </w:r>
    </w:p>
    <w:p>
      <w:pPr>
        <w:spacing w:after="0" w:line="5" w:lineRule="exact"/>
        <w:rPr>
          <w:sz w:val="20"/>
          <w:szCs w:val="20"/>
          <w:color w:val="auto"/>
        </w:rPr>
      </w:pPr>
    </w:p>
    <w:p>
      <w:pPr>
        <w:ind w:left="566" w:hanging="566"/>
        <w:spacing w:after="0"/>
        <w:tabs>
          <w:tab w:leader="none" w:pos="56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Excludes changes resulting from operations </w:t>
      </w:r>
      <w:r>
        <w:rPr>
          <w:rFonts w:ascii="Times New Roman" w:cs="Times New Roman" w:eastAsia="Times New Roman" w:hAnsi="Times New Roman"/>
          <w:sz w:val="16"/>
          <w:szCs w:val="16"/>
          <w:color w:val="auto"/>
          <w:highlight w:val="white"/>
        </w:rPr>
        <w:t>acquired or sold.</w:t>
      </w:r>
    </w:p>
    <w:p>
      <w:pPr>
        <w:spacing w:after="0" w:line="15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Operating Activities - Operating Assets and Liabilities</w:t>
      </w:r>
    </w:p>
    <w:p>
      <w:pPr>
        <w:spacing w:after="0" w:line="164"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The cash results during each year were primarily driven by net income (loss), excluding discontinued operation results, adjusted for certain non-cash items including depreciation and amortization (including debt issuance cost amortization), income (loss) on acquisitions and divestitures, net as well as changes in working capital, which are fluctuations within accounts receivable, inventory, trade payables and accrued expenses.</w:t>
      </w:r>
    </w:p>
    <w:p>
      <w:pPr>
        <w:spacing w:after="0" w:line="74"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auto"/>
        </w:rPr>
        <w:t>The following details certain changes in key operating assets and liabilities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648589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48">
                      <a:extLst>
                        <a:ext uri="{28A0092B-C50C-407E-A947-70E740481C1C}"/>
                      </a:extLst>
                    </a:blip>
                    <a:srcRect/>
                    <a:stretch>
                      <a:fillRect/>
                    </a:stretch>
                  </pic:blipFill>
                  <pic:spPr bwMode="auto">
                    <a:xfrm>
                      <a:off x="0" y="0"/>
                      <a:ext cx="6485890" cy="38100"/>
                    </a:xfrm>
                    <a:prstGeom prst="rect">
                      <a:avLst/>
                    </a:prstGeom>
                    <a:noFill/>
                  </pic:spPr>
                </pic:pic>
              </a:graphicData>
            </a:graphic>
          </wp:anchor>
        </w:drawing>
      </w:r>
    </w:p>
    <w:p>
      <w:pPr>
        <w:spacing w:after="0" w:line="145" w:lineRule="exact"/>
        <w:rPr>
          <w:sz w:val="20"/>
          <w:szCs w:val="20"/>
          <w:color w:val="auto"/>
        </w:rPr>
      </w:pPr>
    </w:p>
    <w:tbl>
      <w:tblPr>
        <w:tblLayout w:type="fixed"/>
        <w:tblInd w:w="6" w:type="dxa"/>
        <w:tblCellMar>
          <w:top w:w="0" w:type="dxa"/>
          <w:left w:w="0" w:type="dxa"/>
          <w:bottom w:w="0" w:type="dxa"/>
          <w:right w:w="0" w:type="dxa"/>
        </w:tblCellMar>
      </w:tblPr>
      <w:tr>
        <w:trPr>
          <w:trHeight w:val="245"/>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60" w:type="dxa"/>
            <w:vAlign w:val="bottom"/>
          </w:tcPr>
          <w:p>
            <w:pPr>
              <w:spacing w:after="0"/>
              <w:rPr>
                <w:sz w:val="21"/>
                <w:szCs w:val="21"/>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tcBorders>
              <w:top w:val="single" w:sz="8" w:color="auto"/>
              <w:bottom w:val="single" w:sz="8" w:color="auto"/>
            </w:tcBorders>
          </w:tcPr>
          <w:p>
            <w:pPr>
              <w:spacing w:after="0"/>
              <w:rPr>
                <w:sz w:val="21"/>
                <w:szCs w:val="21"/>
                <w:color w:val="auto"/>
              </w:rPr>
            </w:pPr>
          </w:p>
        </w:tc>
      </w:tr>
      <w:tr>
        <w:trPr>
          <w:trHeight w:val="225"/>
        </w:trPr>
        <w:tc>
          <w:tcPr>
            <w:tcW w:w="6000" w:type="dxa"/>
            <w:vAlign w:val="bottom"/>
            <w:shd w:val="clear" w:color="auto" w:fill="D5EFF4"/>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Cash flows from assets and liabilities</w:t>
            </w:r>
            <w:r>
              <w:rPr>
                <w:rFonts w:ascii="Times New Roman" w:cs="Times New Roman" w:eastAsia="Times New Roman" w:hAnsi="Times New Roman"/>
                <w:sz w:val="25"/>
                <w:szCs w:val="25"/>
                <w:b w:val="1"/>
                <w:bCs w:val="1"/>
                <w:color w:val="auto"/>
                <w:vertAlign w:val="superscript"/>
              </w:rPr>
              <w:t>(a)</w:t>
            </w:r>
          </w:p>
        </w:tc>
        <w:tc>
          <w:tcPr>
            <w:tcW w:w="260" w:type="dxa"/>
            <w:vAlign w:val="bottom"/>
            <w:shd w:val="clear" w:color="auto" w:fill="D5EFF4"/>
          </w:tcPr>
          <w:p>
            <w:pPr>
              <w:spacing w:after="0"/>
              <w:rPr>
                <w:sz w:val="19"/>
                <w:szCs w:val="19"/>
                <w:color w:val="auto"/>
              </w:rPr>
            </w:pPr>
          </w:p>
        </w:tc>
        <w:tc>
          <w:tcPr>
            <w:tcW w:w="1080" w:type="dxa"/>
            <w:vAlign w:val="bottom"/>
            <w:shd w:val="clear" w:color="auto" w:fill="D5EFF4"/>
          </w:tcPr>
          <w:p>
            <w:pPr>
              <w:spacing w:after="0"/>
              <w:rPr>
                <w:sz w:val="19"/>
                <w:szCs w:val="19"/>
                <w:color w:val="auto"/>
              </w:rPr>
            </w:pPr>
          </w:p>
        </w:tc>
        <w:tc>
          <w:tcPr>
            <w:tcW w:w="120" w:type="dxa"/>
            <w:vAlign w:val="bottom"/>
            <w:shd w:val="clear" w:color="auto" w:fill="D5EFF4"/>
          </w:tcPr>
          <w:p>
            <w:pPr>
              <w:spacing w:after="0"/>
              <w:rPr>
                <w:sz w:val="19"/>
                <w:szCs w:val="19"/>
                <w:color w:val="auto"/>
              </w:rPr>
            </w:pPr>
          </w:p>
        </w:tc>
        <w:tc>
          <w:tcPr>
            <w:tcW w:w="260" w:type="dxa"/>
            <w:vAlign w:val="bottom"/>
            <w:shd w:val="clear" w:color="auto" w:fill="D5EFF4"/>
          </w:tcPr>
          <w:p>
            <w:pPr>
              <w:spacing w:after="0"/>
              <w:rPr>
                <w:sz w:val="19"/>
                <w:szCs w:val="19"/>
                <w:color w:val="auto"/>
              </w:rPr>
            </w:pPr>
          </w:p>
        </w:tc>
        <w:tc>
          <w:tcPr>
            <w:tcW w:w="1080" w:type="dxa"/>
            <w:vAlign w:val="bottom"/>
            <w:shd w:val="clear" w:color="auto" w:fill="D5EFF4"/>
          </w:tcPr>
          <w:p>
            <w:pPr>
              <w:spacing w:after="0"/>
              <w:rPr>
                <w:sz w:val="19"/>
                <w:szCs w:val="19"/>
                <w:color w:val="auto"/>
              </w:rPr>
            </w:pPr>
          </w:p>
        </w:tc>
        <w:tc>
          <w:tcPr>
            <w:tcW w:w="120" w:type="dxa"/>
            <w:vAlign w:val="bottom"/>
            <w:shd w:val="clear" w:color="auto" w:fill="D5EFF4"/>
          </w:tcPr>
          <w:p>
            <w:pPr>
              <w:spacing w:after="0"/>
              <w:rPr>
                <w:sz w:val="19"/>
                <w:szCs w:val="19"/>
                <w:color w:val="auto"/>
              </w:rPr>
            </w:pPr>
          </w:p>
        </w:tc>
        <w:tc>
          <w:tcPr>
            <w:tcW w:w="260" w:type="dxa"/>
            <w:vAlign w:val="bottom"/>
            <w:shd w:val="clear" w:color="auto" w:fill="D5EFF4"/>
          </w:tcPr>
          <w:p>
            <w:pPr>
              <w:spacing w:after="0"/>
              <w:rPr>
                <w:sz w:val="19"/>
                <w:szCs w:val="19"/>
                <w:color w:val="auto"/>
              </w:rPr>
            </w:pPr>
          </w:p>
        </w:tc>
        <w:tc>
          <w:tcPr>
            <w:tcW w:w="960" w:type="dxa"/>
            <w:vAlign w:val="bottom"/>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58</w:t>
            </w:r>
          </w:p>
        </w:tc>
      </w:tr>
      <w:tr>
        <w:trPr>
          <w:trHeight w:val="230"/>
        </w:trPr>
        <w:tc>
          <w:tcPr>
            <w:tcW w:w="600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Inventories</w:t>
            </w:r>
          </w:p>
        </w:tc>
        <w:tc>
          <w:tcPr>
            <w:tcW w:w="260" w:type="dxa"/>
            <w:vAlign w:val="bottom"/>
            <w:shd w:val="clear" w:color="auto" w:fill="D5EFF4"/>
          </w:tcPr>
          <w:p>
            <w:pPr>
              <w:spacing w:after="0"/>
              <w:rPr>
                <w:sz w:val="20"/>
                <w:szCs w:val="20"/>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79</w:t>
            </w:r>
          </w:p>
        </w:tc>
        <w:tc>
          <w:tcPr>
            <w:tcW w:w="1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06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Trade and other payables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(112)</w:t>
            </w:r>
          </w:p>
        </w:tc>
      </w:tr>
      <w:tr>
        <w:trPr>
          <w:trHeight w:val="250"/>
        </w:trPr>
        <w:tc>
          <w:tcPr>
            <w:tcW w:w="600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Other assets and liabilities</w:t>
            </w:r>
          </w:p>
        </w:tc>
        <w:tc>
          <w:tcPr>
            <w:tcW w:w="260" w:type="dxa"/>
            <w:vAlign w:val="bottom"/>
            <w:tcBorders>
              <w:bottom w:val="single" w:sz="8" w:color="auto"/>
            </w:tcBorders>
            <w:shd w:val="clear" w:color="auto" w:fill="D5EFF4"/>
          </w:tcPr>
          <w:p>
            <w:pPr>
              <w:spacing w:after="0"/>
              <w:rPr>
                <w:sz w:val="21"/>
                <w:szCs w:val="21"/>
                <w:color w:val="auto"/>
              </w:rPr>
            </w:pPr>
          </w:p>
        </w:tc>
        <w:tc>
          <w:tcPr>
            <w:tcW w:w="10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120" w:type="dxa"/>
            <w:vAlign w:val="bottom"/>
            <w:tcBorders>
              <w:bottom w:val="single" w:sz="8" w:color="D5EFF4"/>
            </w:tcBorders>
            <w:shd w:val="clear" w:color="auto" w:fill="D5EFF4"/>
          </w:tcPr>
          <w:p>
            <w:pPr>
              <w:spacing w:after="0"/>
              <w:rPr>
                <w:sz w:val="21"/>
                <w:szCs w:val="21"/>
                <w:color w:val="auto"/>
              </w:rPr>
            </w:pPr>
          </w:p>
        </w:tc>
        <w:tc>
          <w:tcPr>
            <w:tcW w:w="260" w:type="dxa"/>
            <w:vAlign w:val="bottom"/>
            <w:tcBorders>
              <w:bottom w:val="single" w:sz="8" w:color="auto"/>
            </w:tcBorders>
            <w:shd w:val="clear" w:color="auto" w:fill="D5EFF4"/>
          </w:tcPr>
          <w:p>
            <w:pPr>
              <w:spacing w:after="0"/>
              <w:rPr>
                <w:sz w:val="21"/>
                <w:szCs w:val="21"/>
                <w:color w:val="auto"/>
              </w:rPr>
            </w:pPr>
          </w:p>
        </w:tc>
        <w:tc>
          <w:tcPr>
            <w:tcW w:w="10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Borders>
              <w:bottom w:val="single" w:sz="8" w:color="D5EFF4"/>
            </w:tcBorders>
            <w:shd w:val="clear" w:color="auto" w:fill="D5EFF4"/>
          </w:tcPr>
          <w:p>
            <w:pPr>
              <w:spacing w:after="0"/>
              <w:rPr>
                <w:sz w:val="21"/>
                <w:szCs w:val="21"/>
                <w:color w:val="auto"/>
              </w:rPr>
            </w:pPr>
          </w:p>
        </w:tc>
        <w:tc>
          <w:tcPr>
            <w:tcW w:w="260" w:type="dxa"/>
            <w:vAlign w:val="bottom"/>
            <w:tcBorders>
              <w:bottom w:val="single" w:sz="8" w:color="auto"/>
            </w:tcBorders>
            <w:shd w:val="clear" w:color="auto" w:fill="D5EFF4"/>
          </w:tcPr>
          <w:p>
            <w:pPr>
              <w:spacing w:after="0"/>
              <w:rPr>
                <w:sz w:val="21"/>
                <w:szCs w:val="21"/>
                <w:color w:val="auto"/>
              </w:rPr>
            </w:pPr>
          </w:p>
        </w:tc>
        <w:tc>
          <w:tcPr>
            <w:tcW w:w="1060" w:type="dxa"/>
            <w:vAlign w:val="bottom"/>
            <w:tcBorders>
              <w:bottom w:val="single" w:sz="8" w:color="auto"/>
            </w:tcBorders>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3</w:t>
            </w:r>
          </w:p>
        </w:tc>
      </w:tr>
      <w:tr>
        <w:trPr>
          <w:trHeight w:val="205"/>
        </w:trPr>
        <w:tc>
          <w:tcPr>
            <w:tcW w:w="6000" w:type="dxa"/>
            <w:vAlign w:val="bottom"/>
          </w:tcPr>
          <w:p>
            <w:pPr>
              <w:spacing w:after="0" w:line="205" w:lineRule="exact"/>
              <w:rPr>
                <w:sz w:val="20"/>
                <w:szCs w:val="20"/>
                <w:color w:val="auto"/>
              </w:rPr>
            </w:pPr>
            <w:r>
              <w:rPr>
                <w:rFonts w:ascii="Times New Roman" w:cs="Times New Roman" w:eastAsia="Times New Roman" w:hAnsi="Times New Roman"/>
                <w:sz w:val="20"/>
                <w:szCs w:val="20"/>
                <w:b w:val="1"/>
                <w:bCs w:val="1"/>
                <w:color w:val="auto"/>
              </w:rPr>
              <w:t>Change in operating assets and liabilities</w:t>
            </w:r>
          </w:p>
        </w:tc>
        <w:tc>
          <w:tcPr>
            <w:tcW w:w="260" w:type="dxa"/>
            <w:vAlign w:val="bottom"/>
            <w:tcBorders>
              <w:bottom w:val="single" w:sz="8" w:color="auto"/>
            </w:tcBorders>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(191)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ind w:right="20"/>
              <w:spacing w:after="0" w:line="205" w:lineRule="exact"/>
              <w:rPr>
                <w:sz w:val="20"/>
                <w:szCs w:val="20"/>
                <w:color w:val="auto"/>
              </w:rPr>
            </w:pPr>
            <w:r>
              <w:rPr>
                <w:rFonts w:ascii="Times New Roman" w:cs="Times New Roman" w:eastAsia="Times New Roman" w:hAnsi="Times New Roman"/>
                <w:sz w:val="20"/>
                <w:szCs w:val="20"/>
                <w:color w:val="auto"/>
              </w:rPr>
              <w:t>227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20"/>
                <w:szCs w:val="20"/>
                <w:color w:val="auto"/>
              </w:rPr>
              <w:t>(58)</w:t>
            </w: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54"/>
        </w:trPr>
        <w:tc>
          <w:tcPr>
            <w:tcW w:w="6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-990600</wp:posOffset>
            </wp:positionV>
            <wp:extent cx="6485890"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49">
                      <a:extLst>
                        <a:ext uri="{28A0092B-C50C-407E-A947-70E740481C1C}"/>
                      </a:extLst>
                    </a:blip>
                    <a:srcRect/>
                    <a:stretch>
                      <a:fillRect/>
                    </a:stretch>
                  </pic:blipFill>
                  <pic:spPr bwMode="auto">
                    <a:xfrm>
                      <a:off x="0" y="0"/>
                      <a:ext cx="648589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85890" cy="1854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50">
                      <a:extLst>
                        <a:ext uri="{28A0092B-C50C-407E-A947-70E740481C1C}"/>
                      </a:extLst>
                    </a:blip>
                    <a:srcRect/>
                    <a:stretch>
                      <a:fillRect/>
                    </a:stretch>
                  </pic:blipFill>
                  <pic:spPr bwMode="auto">
                    <a:xfrm>
                      <a:off x="0" y="0"/>
                      <a:ext cx="6485890" cy="185420"/>
                    </a:xfrm>
                    <a:prstGeom prst="rect">
                      <a:avLst/>
                    </a:prstGeom>
                    <a:noFill/>
                  </pic:spPr>
                </pic:pic>
              </a:graphicData>
            </a:graphic>
          </wp:anchor>
        </w:drawing>
      </w:r>
    </w:p>
    <w:p>
      <w:pPr>
        <w:spacing w:after="0" w:line="5" w:lineRule="exact"/>
        <w:rPr>
          <w:sz w:val="20"/>
          <w:szCs w:val="20"/>
          <w:color w:val="auto"/>
        </w:rPr>
      </w:pPr>
    </w:p>
    <w:p>
      <w:pPr>
        <w:ind w:left="566" w:hanging="566"/>
        <w:spacing w:after="0"/>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Excludes changes resulting from operations </w:t>
      </w:r>
      <w:r>
        <w:rPr>
          <w:rFonts w:ascii="Times New Roman" w:cs="Times New Roman" w:eastAsia="Times New Roman" w:hAnsi="Times New Roman"/>
          <w:sz w:val="16"/>
          <w:szCs w:val="16"/>
          <w:color w:val="auto"/>
          <w:highlight w:val="white"/>
        </w:rPr>
        <w:t>acquired or sold.</w:t>
      </w:r>
    </w:p>
    <w:p>
      <w:pPr>
        <w:sectPr>
          <w:pgSz w:w="12240" w:h="15840" w:orient="portrait"/>
          <w:cols w:equalWidth="0" w:num="1">
            <w:col w:w="10246"/>
          </w:cols>
          <w:pgMar w:left="994" w:top="990"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M-27</w:t>
      </w:r>
    </w:p>
    <w:p>
      <w:pPr>
        <w:sectPr>
          <w:pgSz w:w="12240" w:h="15840" w:orient="portrait"/>
          <w:cols w:equalWidth="0" w:num="1">
            <w:col w:w="10246"/>
          </w:cols>
          <w:pgMar w:left="994" w:top="990" w:right="1000" w:bottom="186" w:gutter="0" w:footer="0" w:header="0"/>
          <w:type w:val="continuous"/>
        </w:sectPr>
      </w:pPr>
    </w:p>
    <w:bookmarkStart w:id="85" w:name="page86"/>
    <w:bookmarkEnd w:id="85"/>
    <w:p>
      <w:pPr>
        <w:ind w:right="20" w:firstLine="360"/>
        <w:spacing w:after="0" w:line="325" w:lineRule="auto"/>
        <w:rPr>
          <w:sz w:val="20"/>
          <w:szCs w:val="20"/>
          <w:color w:val="auto"/>
        </w:rPr>
      </w:pPr>
      <w:r>
        <w:rPr>
          <w:rFonts w:ascii="Times New Roman" w:cs="Times New Roman" w:eastAsia="Times New Roman" w:hAnsi="Times New Roman"/>
          <w:sz w:val="20"/>
          <w:szCs w:val="20"/>
          <w:color w:val="auto"/>
        </w:rPr>
        <w:t>Changes in net working capital accounted for outflows of $94 million in 2025, inflows of $231 in 2024, and outflows of $61 million in 2023, and were driven by the following:</w:t>
      </w:r>
    </w:p>
    <w:p>
      <w:pPr>
        <w:spacing w:after="0" w:line="49" w:lineRule="exact"/>
        <w:rPr>
          <w:sz w:val="20"/>
          <w:szCs w:val="20"/>
          <w:color w:val="auto"/>
        </w:rPr>
      </w:pPr>
    </w:p>
    <w:p>
      <w:pPr>
        <w:jc w:val="both"/>
        <w:ind w:left="720" w:right="20" w:hanging="366"/>
        <w:spacing w:after="0" w:line="295"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 Changes in accounts receivable resulted in outflows of $3 million, and inflows of $96 million and $58 million in 2025, 2024 and 2023, respectively. The U.S. Accounts Receivable Sales Program contributed to outflows of $12 million, inflows of $1 million, and outflows of $40 million 2025, 2024 and 2023, respectively. The Foreign Accounts Receivable Sales Program contributed to outflows of $6 million and inflows of $104 million in 2025 and 2024, respectively. Sales volumes in each period and activity from the U.S. and Foreign Accounts Receivable Sales Program were the main drivers of changes between periods.</w:t>
      </w:r>
    </w:p>
    <w:p>
      <w:pPr>
        <w:spacing w:after="0" w:line="79" w:lineRule="exact"/>
        <w:rPr>
          <w:rFonts w:ascii="Times New Roman" w:cs="Times New Roman" w:eastAsia="Times New Roman" w:hAnsi="Times New Roman"/>
          <w:sz w:val="20"/>
          <w:szCs w:val="20"/>
          <w:color w:val="auto"/>
        </w:rPr>
      </w:pPr>
    </w:p>
    <w:p>
      <w:pPr>
        <w:ind w:left="720" w:right="20" w:hanging="366"/>
        <w:spacing w:after="0" w:line="325"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 Changes in inventory resulted in cash outflows of $28 million in 2025, inflows of $79 million in 2024 and outflows of $7 million in 2023 and were primarily driven by inventory production levels and volumes.</w:t>
      </w:r>
    </w:p>
    <w:p>
      <w:pPr>
        <w:spacing w:after="0" w:line="49" w:lineRule="exact"/>
        <w:rPr>
          <w:rFonts w:ascii="Times New Roman" w:cs="Times New Roman" w:eastAsia="Times New Roman" w:hAnsi="Times New Roman"/>
          <w:sz w:val="20"/>
          <w:szCs w:val="20"/>
          <w:color w:val="auto"/>
        </w:rPr>
      </w:pPr>
    </w:p>
    <w:p>
      <w:pPr>
        <w:jc w:val="both"/>
        <w:ind w:left="720" w:right="20" w:hanging="366"/>
        <w:spacing w:after="0" w:line="30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and other payables – Changes in trade and other payables resulted in cash outflows of $63 million in 2025, cash inflows of $56 million in 2024, and outflows of $112 million in 2023, respectively, and primarily related to restructuring activity, divestitures and the timing of certain other payments, most notably lower incentive plan payments for 2023 paid in 2024.</w:t>
      </w:r>
    </w:p>
    <w:p>
      <w:pPr>
        <w:spacing w:after="0" w:line="74" w:lineRule="exact"/>
        <w:rPr>
          <w:sz w:val="20"/>
          <w:szCs w:val="20"/>
          <w:color w:val="auto"/>
        </w:rPr>
      </w:pPr>
    </w:p>
    <w:p>
      <w:pPr>
        <w:jc w:val="both"/>
        <w:ind w:right="20" w:firstLine="360"/>
        <w:spacing w:after="0" w:line="297" w:lineRule="auto"/>
        <w:rPr>
          <w:sz w:val="20"/>
          <w:szCs w:val="20"/>
          <w:color w:val="auto"/>
        </w:rPr>
      </w:pPr>
      <w:r>
        <w:rPr>
          <w:rFonts w:ascii="Times New Roman" w:cs="Times New Roman" w:eastAsia="Times New Roman" w:hAnsi="Times New Roman"/>
          <w:sz w:val="20"/>
          <w:szCs w:val="20"/>
          <w:color w:val="auto"/>
        </w:rPr>
        <w:t>The remaining cash outflows of $97 million and $4 million, and inflows of $3 million in 2025, 2024 and 2023, respectively, were primarily due to income taxes paid or income tax refunds, interest paid, and adjustments to certain accruals and other long-term assets and liabilities such as payments associated with environmental remediation. 2025 includes the impact of refundable income taxes recorded within the current year that will be received in early fiscal 2026 in the amount of $103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summarizes the cash flows associated with Ashland’s investing activities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105410</wp:posOffset>
            </wp:positionV>
            <wp:extent cx="6481445" cy="349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51">
                      <a:extLst>
                        <a:ext uri="{28A0092B-C50C-407E-A947-70E740481C1C}"/>
                      </a:extLst>
                    </a:blip>
                    <a:srcRect/>
                    <a:stretch>
                      <a:fillRect/>
                    </a:stretch>
                  </pic:blipFill>
                  <pic:spPr bwMode="auto">
                    <a:xfrm>
                      <a:off x="0" y="0"/>
                      <a:ext cx="6481445" cy="3492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highlight w:val="white"/>
                <w:w w:val="97"/>
              </w:rPr>
              <w:t>(In millions)</w:t>
            </w: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94"/>
              </w:rPr>
              <w:t>2025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highlight w:val="white"/>
                <w:w w:val="94"/>
              </w:rPr>
              <w:t>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highlight w:val="white"/>
                <w:w w:val="94"/>
              </w:rPr>
              <w:t>2023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r>
      <w:tr>
        <w:trPr>
          <w:trHeight w:val="225"/>
        </w:trPr>
        <w:tc>
          <w:tcPr>
            <w:tcW w:w="6580" w:type="dxa"/>
            <w:vAlign w:val="bottom"/>
            <w:gridSpan w:val="8"/>
            <w:shd w:val="clear" w:color="auto" w:fill="D6EFF3"/>
          </w:tcPr>
          <w:p>
            <w:pPr>
              <w:spacing w:after="0" w:line="225" w:lineRule="exact"/>
              <w:rPr>
                <w:sz w:val="20"/>
                <w:szCs w:val="20"/>
                <w:color w:val="auto"/>
              </w:rPr>
            </w:pPr>
            <w:r>
              <w:rPr>
                <w:rFonts w:ascii="Times New Roman" w:cs="Times New Roman" w:eastAsia="Times New Roman" w:hAnsi="Times New Roman"/>
                <w:sz w:val="20"/>
                <w:szCs w:val="20"/>
                <w:b w:val="1"/>
                <w:bCs w:val="1"/>
                <w:color w:val="auto"/>
                <w:w w:val="99"/>
                <w:shd w:val="clear" w:color="auto" w:fill="D6EFF3"/>
              </w:rPr>
              <w:t>Cash flows provided (used) by investing activities from continuing operations</w:t>
            </w:r>
          </w:p>
        </w:tc>
        <w:tc>
          <w:tcPr>
            <w:tcW w:w="600" w:type="dxa"/>
            <w:vAlign w:val="bottom"/>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120" w:type="dxa"/>
            <w:vAlign w:val="bottom"/>
            <w:shd w:val="clear" w:color="auto" w:fill="D5EFF4"/>
          </w:tcPr>
          <w:p>
            <w:pPr>
              <w:spacing w:after="0"/>
              <w:rPr>
                <w:sz w:val="19"/>
                <w:szCs w:val="19"/>
                <w:color w:val="auto"/>
              </w:rPr>
            </w:pPr>
          </w:p>
        </w:tc>
        <w:tc>
          <w:tcPr>
            <w:tcW w:w="400" w:type="dxa"/>
            <w:vAlign w:val="bottom"/>
            <w:shd w:val="clear" w:color="auto" w:fill="D5EFF4"/>
          </w:tcPr>
          <w:p>
            <w:pPr>
              <w:spacing w:after="0"/>
              <w:rPr>
                <w:sz w:val="19"/>
                <w:szCs w:val="19"/>
                <w:color w:val="auto"/>
              </w:rPr>
            </w:pPr>
          </w:p>
        </w:tc>
        <w:tc>
          <w:tcPr>
            <w:tcW w:w="40" w:type="dxa"/>
            <w:vAlign w:val="bottom"/>
            <w:tcBorders>
              <w:left w:val="single" w:sz="8" w:color="D5EFF4"/>
            </w:tcBorders>
            <w:shd w:val="clear" w:color="auto" w:fill="D5EFF4"/>
          </w:tcPr>
          <w:p>
            <w:pPr>
              <w:spacing w:after="0"/>
              <w:rPr>
                <w:sz w:val="19"/>
                <w:szCs w:val="19"/>
                <w:color w:val="auto"/>
              </w:rPr>
            </w:pPr>
          </w:p>
        </w:tc>
        <w:tc>
          <w:tcPr>
            <w:tcW w:w="240" w:type="dxa"/>
            <w:vAlign w:val="bottom"/>
            <w:tcBorders>
              <w:right w:val="single" w:sz="8" w:color="D5EFF4"/>
            </w:tcBorders>
            <w:shd w:val="clear" w:color="auto" w:fill="D5EFF4"/>
          </w:tcPr>
          <w:p>
            <w:pPr>
              <w:spacing w:after="0"/>
              <w:rPr>
                <w:sz w:val="19"/>
                <w:szCs w:val="19"/>
                <w:color w:val="auto"/>
              </w:rPr>
            </w:pPr>
          </w:p>
        </w:tc>
        <w:tc>
          <w:tcPr>
            <w:tcW w:w="140" w:type="dxa"/>
            <w:vAlign w:val="bottom"/>
            <w:tcBorders>
              <w:left w:val="single" w:sz="8" w:color="D5EFF4"/>
            </w:tcBorders>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360" w:type="dxa"/>
            <w:vAlign w:val="bottom"/>
            <w:shd w:val="clear" w:color="auto" w:fill="D5EFF4"/>
          </w:tcPr>
          <w:p>
            <w:pPr>
              <w:spacing w:after="0"/>
              <w:rPr>
                <w:sz w:val="19"/>
                <w:szCs w:val="19"/>
                <w:color w:val="auto"/>
              </w:rPr>
            </w:pPr>
          </w:p>
        </w:tc>
        <w:tc>
          <w:tcPr>
            <w:tcW w:w="40" w:type="dxa"/>
            <w:vAlign w:val="bottom"/>
            <w:shd w:val="clear" w:color="auto" w:fill="D5EFF4"/>
          </w:tcPr>
          <w:p>
            <w:pPr>
              <w:spacing w:after="0"/>
              <w:rPr>
                <w:sz w:val="19"/>
                <w:szCs w:val="19"/>
                <w:color w:val="auto"/>
              </w:rPr>
            </w:pPr>
          </w:p>
        </w:tc>
        <w:tc>
          <w:tcPr>
            <w:tcW w:w="120" w:type="dxa"/>
            <w:vAlign w:val="bottom"/>
            <w:tcBorders>
              <w:left w:val="single" w:sz="8" w:color="D5EFF4"/>
              <w:right w:val="single" w:sz="8" w:color="D5EFF4"/>
            </w:tcBorders>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80" w:type="dxa"/>
            <w:vAlign w:val="bottom"/>
            <w:shd w:val="clear" w:color="auto" w:fill="D5EFF4"/>
          </w:tcPr>
          <w:p>
            <w:pPr>
              <w:spacing w:after="0"/>
              <w:rPr>
                <w:sz w:val="19"/>
                <w:szCs w:val="19"/>
                <w:color w:val="auto"/>
              </w:rPr>
            </w:pPr>
          </w:p>
        </w:tc>
        <w:tc>
          <w:tcPr>
            <w:tcW w:w="140" w:type="dxa"/>
            <w:vAlign w:val="bottom"/>
            <w:tcBorders>
              <w:left w:val="single" w:sz="8" w:color="D5EFF4"/>
            </w:tcBorders>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120" w:type="dxa"/>
            <w:vAlign w:val="bottom"/>
            <w:shd w:val="clear" w:color="auto" w:fill="D5EFF4"/>
          </w:tcPr>
          <w:p>
            <w:pPr>
              <w:spacing w:after="0"/>
              <w:rPr>
                <w:sz w:val="19"/>
                <w:szCs w:val="19"/>
                <w:color w:val="auto"/>
              </w:rPr>
            </w:pPr>
          </w:p>
        </w:tc>
        <w:tc>
          <w:tcPr>
            <w:tcW w:w="280" w:type="dxa"/>
            <w:vAlign w:val="bottom"/>
            <w:shd w:val="clear" w:color="auto" w:fill="D5EFF4"/>
          </w:tcPr>
          <w:p>
            <w:pPr>
              <w:spacing w:after="0"/>
              <w:rPr>
                <w:sz w:val="19"/>
                <w:szCs w:val="19"/>
                <w:color w:val="auto"/>
              </w:rPr>
            </w:pPr>
          </w:p>
        </w:tc>
        <w:tc>
          <w:tcPr>
            <w:tcW w:w="120" w:type="dxa"/>
            <w:vAlign w:val="bottom"/>
            <w:shd w:val="clear" w:color="auto" w:fill="D5EFF4"/>
          </w:tcPr>
          <w:p>
            <w:pPr>
              <w:spacing w:after="0"/>
              <w:rPr>
                <w:sz w:val="19"/>
                <w:szCs w:val="19"/>
                <w:color w:val="auto"/>
              </w:rPr>
            </w:pPr>
          </w:p>
        </w:tc>
        <w:tc>
          <w:tcPr>
            <w:tcW w:w="140" w:type="dxa"/>
            <w:vAlign w:val="bottom"/>
            <w:tcBorders>
              <w:left w:val="single" w:sz="8" w:color="D5EFF4"/>
              <w:right w:val="single" w:sz="8" w:color="D5EFF4"/>
            </w:tcBorders>
            <w:shd w:val="clear" w:color="auto" w:fill="D5EFF4"/>
          </w:tcPr>
          <w:p>
            <w:pPr>
              <w:spacing w:after="0"/>
              <w:rPr>
                <w:sz w:val="19"/>
                <w:szCs w:val="19"/>
                <w:color w:val="auto"/>
              </w:rPr>
            </w:pPr>
          </w:p>
        </w:tc>
        <w:tc>
          <w:tcPr>
            <w:tcW w:w="160" w:type="dxa"/>
            <w:vAlign w:val="bottom"/>
            <w:tcBorders>
              <w:right w:val="single" w:sz="8" w:color="D5EFF4"/>
            </w:tcBorders>
            <w:shd w:val="clear" w:color="auto" w:fill="D5EFF4"/>
          </w:tcPr>
          <w:p>
            <w:pPr>
              <w:spacing w:after="0"/>
              <w:rPr>
                <w:sz w:val="19"/>
                <w:szCs w:val="19"/>
                <w:color w:val="auto"/>
              </w:rPr>
            </w:pPr>
          </w:p>
        </w:tc>
        <w:tc>
          <w:tcPr>
            <w:tcW w:w="40" w:type="dxa"/>
            <w:vAlign w:val="bottom"/>
            <w:tcBorders>
              <w:left w:val="single" w:sz="8" w:color="D5EFF4"/>
            </w:tcBorders>
            <w:shd w:val="clear" w:color="auto" w:fill="D5EFF4"/>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6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Additions to property, plant and equipment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40" w:type="dxa"/>
            <w:vAlign w:val="bottom"/>
          </w:tcPr>
          <w:p>
            <w:pPr>
              <w:spacing w:after="0"/>
              <w:rPr>
                <w:sz w:val="20"/>
                <w:szCs w:val="20"/>
                <w:color w:val="auto"/>
              </w:rPr>
            </w:pPr>
          </w:p>
        </w:tc>
      </w:tr>
      <w:tr>
        <w:trPr>
          <w:trHeight w:val="230"/>
        </w:trPr>
        <w:tc>
          <w:tcPr>
            <w:tcW w:w="200" w:type="dxa"/>
            <w:vAlign w:val="bottom"/>
            <w:shd w:val="clear" w:color="auto" w:fill="D5EFF4"/>
          </w:tcPr>
          <w:p>
            <w:pPr>
              <w:spacing w:after="0"/>
              <w:rPr>
                <w:sz w:val="20"/>
                <w:szCs w:val="20"/>
                <w:color w:val="auto"/>
              </w:rPr>
            </w:pPr>
          </w:p>
        </w:tc>
        <w:tc>
          <w:tcPr>
            <w:tcW w:w="4540" w:type="dxa"/>
            <w:vAlign w:val="bottom"/>
            <w:gridSpan w:val="5"/>
            <w:shd w:val="clear" w:color="auto" w:fill="D6EFF3"/>
          </w:tcPr>
          <w:p>
            <w:pPr>
              <w:spacing w:after="0"/>
              <w:rPr>
                <w:sz w:val="20"/>
                <w:szCs w:val="20"/>
                <w:color w:val="auto"/>
              </w:rPr>
            </w:pPr>
            <w:r>
              <w:rPr>
                <w:rFonts w:ascii="Times New Roman" w:cs="Times New Roman" w:eastAsia="Times New Roman" w:hAnsi="Times New Roman"/>
                <w:sz w:val="20"/>
                <w:szCs w:val="20"/>
                <w:color w:val="auto"/>
                <w:w w:val="99"/>
                <w:shd w:val="clear" w:color="auto" w:fill="D6EFF3"/>
              </w:rPr>
              <w:t>Proceeds from disposal of property, plant and equipment</w:t>
            </w:r>
          </w:p>
        </w:tc>
        <w:tc>
          <w:tcPr>
            <w:tcW w:w="1000" w:type="dxa"/>
            <w:vAlign w:val="bottom"/>
            <w:shd w:val="clear" w:color="auto" w:fill="D5EFF4"/>
          </w:tcPr>
          <w:p>
            <w:pPr>
              <w:spacing w:after="0"/>
              <w:rPr>
                <w:sz w:val="20"/>
                <w:szCs w:val="20"/>
                <w:color w:val="auto"/>
              </w:rPr>
            </w:pPr>
          </w:p>
        </w:tc>
        <w:tc>
          <w:tcPr>
            <w:tcW w:w="840" w:type="dxa"/>
            <w:vAlign w:val="bottom"/>
            <w:shd w:val="clear" w:color="auto" w:fill="D5EFF4"/>
          </w:tcPr>
          <w:p>
            <w:pPr>
              <w:spacing w:after="0"/>
              <w:rPr>
                <w:sz w:val="20"/>
                <w:szCs w:val="20"/>
                <w:color w:val="auto"/>
              </w:rPr>
            </w:pPr>
          </w:p>
        </w:tc>
        <w:tc>
          <w:tcPr>
            <w:tcW w:w="60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280" w:type="dxa"/>
            <w:vAlign w:val="bottom"/>
            <w:tcBorders>
              <w:left w:val="single" w:sz="8" w:color="D5EFF4"/>
              <w:right w:val="single" w:sz="8" w:color="D5EFF4"/>
            </w:tcBorders>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6EFF3"/>
              </w:rPr>
              <w:t>16</w:t>
            </w:r>
          </w:p>
        </w:tc>
        <w:tc>
          <w:tcPr>
            <w:tcW w:w="140" w:type="dxa"/>
            <w:vAlign w:val="bottom"/>
            <w:tcBorders>
              <w:left w:val="single" w:sz="8" w:color="D5EFF4"/>
            </w:tcBorders>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60" w:type="dxa"/>
            <w:vAlign w:val="bottom"/>
            <w:shd w:val="clear" w:color="auto" w:fill="D5EFF4"/>
          </w:tcPr>
          <w:p>
            <w:pPr>
              <w:spacing w:after="0"/>
              <w:rPr>
                <w:sz w:val="20"/>
                <w:szCs w:val="20"/>
                <w:color w:val="auto"/>
              </w:rPr>
            </w:pPr>
          </w:p>
        </w:tc>
        <w:tc>
          <w:tcPr>
            <w:tcW w:w="40" w:type="dxa"/>
            <w:vAlign w:val="bottom"/>
            <w:shd w:val="clear" w:color="auto" w:fill="D5EFF4"/>
          </w:tcPr>
          <w:p>
            <w:pPr>
              <w:spacing w:after="0"/>
              <w:rPr>
                <w:sz w:val="20"/>
                <w:szCs w:val="20"/>
                <w:color w:val="auto"/>
              </w:rPr>
            </w:pPr>
          </w:p>
        </w:tc>
        <w:tc>
          <w:tcPr>
            <w:tcW w:w="220" w:type="dxa"/>
            <w:vAlign w:val="bottom"/>
            <w:tcBorders>
              <w:left w:val="single" w:sz="8" w:color="D5EFF4"/>
            </w:tcBorders>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6EFF3"/>
              </w:rPr>
              <w:t>—</w:t>
            </w:r>
          </w:p>
        </w:tc>
        <w:tc>
          <w:tcPr>
            <w:tcW w:w="80" w:type="dxa"/>
            <w:vAlign w:val="bottom"/>
            <w:shd w:val="clear" w:color="auto" w:fill="D5EFF4"/>
          </w:tcPr>
          <w:p>
            <w:pPr>
              <w:spacing w:after="0"/>
              <w:rPr>
                <w:sz w:val="20"/>
                <w:szCs w:val="20"/>
                <w:color w:val="auto"/>
              </w:rPr>
            </w:pPr>
          </w:p>
        </w:tc>
        <w:tc>
          <w:tcPr>
            <w:tcW w:w="140" w:type="dxa"/>
            <w:vAlign w:val="bottom"/>
            <w:tcBorders>
              <w:left w:val="single" w:sz="8" w:color="D5EFF4"/>
            </w:tcBorders>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300" w:type="dxa"/>
            <w:vAlign w:val="bottom"/>
            <w:tcBorders>
              <w:left w:val="single" w:sz="8" w:color="D5EFF4"/>
              <w:right w:val="single" w:sz="8" w:color="D5EFF4"/>
            </w:tcBorders>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shd w:val="clear" w:color="auto" w:fill="D6EFF3"/>
              </w:rPr>
              <w:t>11</w:t>
            </w:r>
          </w:p>
        </w:tc>
        <w:tc>
          <w:tcPr>
            <w:tcW w:w="40" w:type="dxa"/>
            <w:vAlign w:val="bottom"/>
            <w:tcBorders>
              <w:left w:val="single" w:sz="8" w:color="D5EFF4"/>
            </w:tcBorders>
            <w:shd w:val="clear" w:color="auto" w:fill="D5EFF4"/>
          </w:tcPr>
          <w:p>
            <w:pPr>
              <w:spacing w:after="0"/>
              <w:rPr>
                <w:sz w:val="20"/>
                <w:szCs w:val="20"/>
                <w:color w:val="auto"/>
              </w:rPr>
            </w:pPr>
          </w:p>
        </w:tc>
      </w:tr>
      <w:tr>
        <w:trPr>
          <w:trHeight w:val="230"/>
        </w:trPr>
        <w:tc>
          <w:tcPr>
            <w:tcW w:w="200" w:type="dxa"/>
            <w:vAlign w:val="bottom"/>
          </w:tcPr>
          <w:p>
            <w:pPr>
              <w:spacing w:after="0"/>
              <w:rPr>
                <w:sz w:val="20"/>
                <w:szCs w:val="20"/>
                <w:color w:val="auto"/>
              </w:rPr>
            </w:pPr>
          </w:p>
        </w:tc>
        <w:tc>
          <w:tcPr>
            <w:tcW w:w="6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Proceeds from sale or restructuring of operations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00" w:type="dxa"/>
            <w:vAlign w:val="bottom"/>
            <w:shd w:val="clear" w:color="auto" w:fill="D5EFF4"/>
          </w:tcPr>
          <w:p>
            <w:pPr>
              <w:spacing w:after="0"/>
              <w:rPr>
                <w:sz w:val="20"/>
                <w:szCs w:val="20"/>
                <w:color w:val="auto"/>
              </w:rPr>
            </w:pPr>
          </w:p>
        </w:tc>
        <w:tc>
          <w:tcPr>
            <w:tcW w:w="5540" w:type="dxa"/>
            <w:vAlign w:val="bottom"/>
            <w:gridSpan w:val="6"/>
            <w:shd w:val="clear" w:color="auto" w:fill="D6EFF3"/>
          </w:tcPr>
          <w:p>
            <w:pPr>
              <w:spacing w:after="0"/>
              <w:rPr>
                <w:sz w:val="20"/>
                <w:szCs w:val="20"/>
                <w:color w:val="auto"/>
              </w:rPr>
            </w:pPr>
            <w:r>
              <w:rPr>
                <w:rFonts w:ascii="Times New Roman" w:cs="Times New Roman" w:eastAsia="Times New Roman" w:hAnsi="Times New Roman"/>
                <w:sz w:val="20"/>
                <w:szCs w:val="20"/>
                <w:color w:val="auto"/>
                <w:w w:val="99"/>
                <w:shd w:val="clear" w:color="auto" w:fill="D6EFF3"/>
              </w:rPr>
              <w:t>Proceeds from settlement of company-owned life insurance contracts</w:t>
            </w:r>
          </w:p>
        </w:tc>
        <w:tc>
          <w:tcPr>
            <w:tcW w:w="840" w:type="dxa"/>
            <w:vAlign w:val="bottom"/>
            <w:shd w:val="clear" w:color="auto" w:fill="D5EFF4"/>
          </w:tcPr>
          <w:p>
            <w:pPr>
              <w:spacing w:after="0"/>
              <w:rPr>
                <w:sz w:val="20"/>
                <w:szCs w:val="20"/>
                <w:color w:val="auto"/>
              </w:rPr>
            </w:pPr>
          </w:p>
        </w:tc>
        <w:tc>
          <w:tcPr>
            <w:tcW w:w="60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280" w:type="dxa"/>
            <w:vAlign w:val="bottom"/>
            <w:tcBorders>
              <w:left w:val="single" w:sz="8" w:color="D5EFF4"/>
              <w:right w:val="single" w:sz="8" w:color="D5EFF4"/>
            </w:tcBorders>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6EFF3"/>
              </w:rPr>
              <w:t>12</w:t>
            </w:r>
          </w:p>
        </w:tc>
        <w:tc>
          <w:tcPr>
            <w:tcW w:w="140" w:type="dxa"/>
            <w:vAlign w:val="bottom"/>
            <w:tcBorders>
              <w:left w:val="single" w:sz="8" w:color="D5EFF4"/>
            </w:tcBorders>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60" w:type="dxa"/>
            <w:vAlign w:val="bottom"/>
            <w:shd w:val="clear" w:color="auto" w:fill="D5EFF4"/>
          </w:tcPr>
          <w:p>
            <w:pPr>
              <w:spacing w:after="0"/>
              <w:rPr>
                <w:sz w:val="20"/>
                <w:szCs w:val="20"/>
                <w:color w:val="auto"/>
              </w:rPr>
            </w:pPr>
          </w:p>
        </w:tc>
        <w:tc>
          <w:tcPr>
            <w:tcW w:w="160" w:type="dxa"/>
            <w:vAlign w:val="bottom"/>
            <w:tcBorders>
              <w:right w:val="single" w:sz="8" w:color="D5EFF4"/>
            </w:tcBorders>
            <w:gridSpan w:val="2"/>
            <w:shd w:val="clear" w:color="auto" w:fill="D5EFF4"/>
          </w:tcPr>
          <w:p>
            <w:pPr>
              <w:spacing w:after="0"/>
              <w:rPr>
                <w:sz w:val="20"/>
                <w:szCs w:val="20"/>
                <w:color w:val="auto"/>
              </w:rPr>
            </w:pPr>
          </w:p>
        </w:tc>
        <w:tc>
          <w:tcPr>
            <w:tcW w:w="1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6EFF3"/>
              </w:rPr>
              <w:t>1</w:t>
            </w:r>
          </w:p>
        </w:tc>
        <w:tc>
          <w:tcPr>
            <w:tcW w:w="80" w:type="dxa"/>
            <w:vAlign w:val="bottom"/>
            <w:shd w:val="clear" w:color="auto" w:fill="D5EFF4"/>
          </w:tcPr>
          <w:p>
            <w:pPr>
              <w:spacing w:after="0"/>
              <w:rPr>
                <w:sz w:val="20"/>
                <w:szCs w:val="20"/>
                <w:color w:val="auto"/>
              </w:rPr>
            </w:pPr>
          </w:p>
        </w:tc>
        <w:tc>
          <w:tcPr>
            <w:tcW w:w="140" w:type="dxa"/>
            <w:vAlign w:val="bottom"/>
            <w:tcBorders>
              <w:left w:val="single" w:sz="8" w:color="D5EFF4"/>
            </w:tcBorders>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260" w:type="dxa"/>
            <w:vAlign w:val="bottom"/>
            <w:tcBorders>
              <w:right w:val="single" w:sz="8" w:color="D5EFF4"/>
            </w:tcBorders>
            <w:gridSpan w:val="2"/>
            <w:shd w:val="clear" w:color="auto" w:fill="D5EFF4"/>
          </w:tcPr>
          <w:p>
            <w:pPr>
              <w:spacing w:after="0"/>
              <w:rPr>
                <w:sz w:val="20"/>
                <w:szCs w:val="20"/>
                <w:color w:val="auto"/>
              </w:rPr>
            </w:pPr>
          </w:p>
        </w:tc>
        <w:tc>
          <w:tcPr>
            <w:tcW w:w="160" w:type="dxa"/>
            <w:vAlign w:val="bottom"/>
            <w:tcBorders>
              <w:right w:val="single" w:sz="8" w:color="D6EFF3"/>
            </w:tcBorders>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6EFF3"/>
              </w:rPr>
              <w:t>6</w:t>
            </w:r>
          </w:p>
        </w:tc>
        <w:tc>
          <w:tcPr>
            <w:tcW w:w="40" w:type="dxa"/>
            <w:vAlign w:val="bottom"/>
            <w:tcBorders>
              <w:left w:val="single" w:sz="8" w:color="D5EFF4"/>
            </w:tcBorders>
            <w:shd w:val="clear" w:color="auto" w:fill="D5EFF4"/>
          </w:tcPr>
          <w:p>
            <w:pPr>
              <w:spacing w:after="0"/>
              <w:rPr>
                <w:sz w:val="20"/>
                <w:szCs w:val="20"/>
                <w:color w:val="auto"/>
              </w:rPr>
            </w:pPr>
          </w:p>
        </w:tc>
      </w:tr>
      <w:tr>
        <w:trPr>
          <w:trHeight w:val="230"/>
        </w:trPr>
        <w:tc>
          <w:tcPr>
            <w:tcW w:w="200" w:type="dxa"/>
            <w:vAlign w:val="bottom"/>
          </w:tcPr>
          <w:p>
            <w:pPr>
              <w:spacing w:after="0"/>
              <w:rPr>
                <w:sz w:val="20"/>
                <w:szCs w:val="20"/>
                <w:color w:val="auto"/>
              </w:rPr>
            </w:pPr>
          </w:p>
        </w:tc>
        <w:tc>
          <w:tcPr>
            <w:tcW w:w="6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Company-owned life insurance payments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tcPr>
          <w:p>
            <w:pPr>
              <w:spacing w:after="0"/>
              <w:rPr>
                <w:sz w:val="20"/>
                <w:szCs w:val="20"/>
                <w:color w:val="auto"/>
              </w:rPr>
            </w:pPr>
          </w:p>
        </w:tc>
      </w:tr>
      <w:tr>
        <w:trPr>
          <w:trHeight w:val="230"/>
        </w:trPr>
        <w:tc>
          <w:tcPr>
            <w:tcW w:w="200" w:type="dxa"/>
            <w:vAlign w:val="bottom"/>
            <w:shd w:val="clear" w:color="auto" w:fill="D5EFF4"/>
          </w:tcPr>
          <w:p>
            <w:pPr>
              <w:spacing w:after="0"/>
              <w:rPr>
                <w:sz w:val="20"/>
                <w:szCs w:val="20"/>
                <w:color w:val="auto"/>
              </w:rPr>
            </w:pPr>
          </w:p>
        </w:tc>
        <w:tc>
          <w:tcPr>
            <w:tcW w:w="3240" w:type="dxa"/>
            <w:vAlign w:val="bottom"/>
            <w:gridSpan w:val="4"/>
            <w:shd w:val="clear" w:color="auto" w:fill="D6EFF3"/>
          </w:tcPr>
          <w:p>
            <w:pPr>
              <w:spacing w:after="0"/>
              <w:rPr>
                <w:sz w:val="20"/>
                <w:szCs w:val="20"/>
                <w:color w:val="auto"/>
              </w:rPr>
            </w:pPr>
            <w:r>
              <w:rPr>
                <w:rFonts w:ascii="Times New Roman" w:cs="Times New Roman" w:eastAsia="Times New Roman" w:hAnsi="Times New Roman"/>
                <w:sz w:val="20"/>
                <w:szCs w:val="20"/>
                <w:color w:val="auto"/>
                <w:w w:val="99"/>
                <w:shd w:val="clear" w:color="auto" w:fill="D6EFF3"/>
              </w:rPr>
              <w:t>Funds restricted for specific transactions</w:t>
            </w:r>
          </w:p>
        </w:tc>
        <w:tc>
          <w:tcPr>
            <w:tcW w:w="3140" w:type="dxa"/>
            <w:vAlign w:val="bottom"/>
            <w:gridSpan w:val="3"/>
            <w:shd w:val="clear" w:color="auto" w:fill="D5EFF4"/>
          </w:tcPr>
          <w:p>
            <w:pPr>
              <w:spacing w:after="0"/>
              <w:rPr>
                <w:sz w:val="20"/>
                <w:szCs w:val="20"/>
                <w:color w:val="auto"/>
              </w:rPr>
            </w:pPr>
          </w:p>
        </w:tc>
        <w:tc>
          <w:tcPr>
            <w:tcW w:w="60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440" w:type="dxa"/>
            <w:vAlign w:val="bottom"/>
            <w:gridSpan w:val="2"/>
            <w:shd w:val="clear" w:color="auto" w:fill="D5EFF4"/>
          </w:tcPr>
          <w:p>
            <w:pPr>
              <w:spacing w:after="0"/>
              <w:rPr>
                <w:sz w:val="20"/>
                <w:szCs w:val="20"/>
                <w:color w:val="auto"/>
              </w:rPr>
            </w:pPr>
          </w:p>
        </w:tc>
        <w:tc>
          <w:tcPr>
            <w:tcW w:w="240" w:type="dxa"/>
            <w:vAlign w:val="bottom"/>
            <w:tcBorders>
              <w:right w:val="single" w:sz="8" w:color="D6EFF3"/>
            </w:tcBorders>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4"/>
                <w:shd w:val="clear" w:color="auto" w:fill="D6EFF3"/>
              </w:rPr>
              <w:t>(8)</w:t>
            </w:r>
          </w:p>
        </w:tc>
        <w:tc>
          <w:tcPr>
            <w:tcW w:w="140" w:type="dxa"/>
            <w:vAlign w:val="bottom"/>
            <w:tcBorders>
              <w:left w:val="single" w:sz="8" w:color="D5EFF4"/>
            </w:tcBorders>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60" w:type="dxa"/>
            <w:vAlign w:val="bottom"/>
            <w:shd w:val="clear" w:color="auto" w:fill="D5EFF4"/>
          </w:tcPr>
          <w:p>
            <w:pPr>
              <w:spacing w:after="0"/>
              <w:rPr>
                <w:sz w:val="20"/>
                <w:szCs w:val="20"/>
                <w:color w:val="auto"/>
              </w:rPr>
            </w:pPr>
          </w:p>
        </w:tc>
        <w:tc>
          <w:tcPr>
            <w:tcW w:w="160" w:type="dxa"/>
            <w:vAlign w:val="bottom"/>
            <w:tcBorders>
              <w:right w:val="single" w:sz="8" w:color="D6EFF3"/>
            </w:tcBorders>
            <w:gridSpan w:val="2"/>
            <w:shd w:val="clear" w:color="auto" w:fill="D5EFF4"/>
          </w:tcPr>
          <w:p>
            <w:pPr>
              <w:spacing w:after="0"/>
              <w:rPr>
                <w:sz w:val="20"/>
                <w:szCs w:val="20"/>
                <w:color w:val="auto"/>
              </w:rPr>
            </w:pPr>
          </w:p>
        </w:tc>
        <w:tc>
          <w:tcPr>
            <w:tcW w:w="180" w:type="dxa"/>
            <w:vAlign w:val="bottom"/>
            <w:gridSpan w:val="2"/>
            <w:shd w:val="clear" w:color="auto" w:fill="D6EFF3"/>
          </w:tcPr>
          <w:p>
            <w:pPr>
              <w:jc w:val="right"/>
              <w:spacing w:after="0"/>
              <w:rPr>
                <w:sz w:val="20"/>
                <w:szCs w:val="20"/>
                <w:color w:val="auto"/>
              </w:rPr>
            </w:pPr>
            <w:r>
              <w:rPr>
                <w:rFonts w:ascii="Times New Roman" w:cs="Times New Roman" w:eastAsia="Times New Roman" w:hAnsi="Times New Roman"/>
                <w:sz w:val="19"/>
                <w:szCs w:val="19"/>
                <w:color w:val="auto"/>
                <w:w w:val="71"/>
                <w:shd w:val="clear" w:color="auto" w:fill="D6EFF3"/>
              </w:rPr>
              <w:t>(5)</w:t>
            </w:r>
          </w:p>
        </w:tc>
        <w:tc>
          <w:tcPr>
            <w:tcW w:w="140" w:type="dxa"/>
            <w:vAlign w:val="bottom"/>
            <w:tcBorders>
              <w:left w:val="single" w:sz="8" w:color="D5EFF4"/>
            </w:tcBorders>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260" w:type="dxa"/>
            <w:vAlign w:val="bottom"/>
            <w:tcBorders>
              <w:right w:val="single" w:sz="8" w:color="D6EFF3"/>
            </w:tcBorders>
            <w:gridSpan w:val="2"/>
            <w:shd w:val="clear" w:color="auto" w:fill="D5EFF4"/>
          </w:tcPr>
          <w:p>
            <w:pPr>
              <w:spacing w:after="0"/>
              <w:rPr>
                <w:sz w:val="20"/>
                <w:szCs w:val="20"/>
                <w:color w:val="auto"/>
              </w:rPr>
            </w:pPr>
          </w:p>
        </w:tc>
        <w:tc>
          <w:tcPr>
            <w:tcW w:w="160" w:type="dxa"/>
            <w:vAlign w:val="bottom"/>
            <w:tcBorders>
              <w:right w:val="single" w:sz="8" w:color="D6EFF3"/>
            </w:tcBorders>
            <w:shd w:val="clear" w:color="auto" w:fill="D6EFF3"/>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6EFF3"/>
              </w:rPr>
              <w:t>(9)</w:t>
            </w:r>
          </w:p>
        </w:tc>
        <w:tc>
          <w:tcPr>
            <w:tcW w:w="40" w:type="dxa"/>
            <w:vAlign w:val="bottom"/>
            <w:tcBorders>
              <w:left w:val="single" w:sz="8" w:color="D5EFF4"/>
            </w:tcBorders>
            <w:shd w:val="clear" w:color="auto" w:fill="D5EFF4"/>
          </w:tcPr>
          <w:p>
            <w:pPr>
              <w:spacing w:after="0"/>
              <w:rPr>
                <w:sz w:val="20"/>
                <w:szCs w:val="20"/>
                <w:color w:val="auto"/>
              </w:rPr>
            </w:pPr>
          </w:p>
        </w:tc>
      </w:tr>
      <w:tr>
        <w:trPr>
          <w:trHeight w:val="230"/>
        </w:trPr>
        <w:tc>
          <w:tcPr>
            <w:tcW w:w="200" w:type="dxa"/>
            <w:vAlign w:val="bottom"/>
          </w:tcPr>
          <w:p>
            <w:pPr>
              <w:spacing w:after="0"/>
              <w:rPr>
                <w:sz w:val="20"/>
                <w:szCs w:val="20"/>
                <w:color w:val="auto"/>
              </w:rPr>
            </w:pPr>
          </w:p>
        </w:tc>
        <w:tc>
          <w:tcPr>
            <w:tcW w:w="6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Reimbursement from restricted investments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40" w:type="dxa"/>
            <w:vAlign w:val="bottom"/>
          </w:tcPr>
          <w:p>
            <w:pPr>
              <w:spacing w:after="0"/>
              <w:rPr>
                <w:sz w:val="20"/>
                <w:szCs w:val="20"/>
                <w:color w:val="auto"/>
              </w:rPr>
            </w:pPr>
          </w:p>
        </w:tc>
      </w:tr>
      <w:tr>
        <w:trPr>
          <w:trHeight w:val="230"/>
        </w:trPr>
        <w:tc>
          <w:tcPr>
            <w:tcW w:w="200" w:type="dxa"/>
            <w:vAlign w:val="bottom"/>
            <w:shd w:val="clear" w:color="auto" w:fill="D5EFF4"/>
          </w:tcPr>
          <w:p>
            <w:pPr>
              <w:spacing w:after="0"/>
              <w:rPr>
                <w:sz w:val="20"/>
                <w:szCs w:val="20"/>
                <w:color w:val="auto"/>
              </w:rPr>
            </w:pPr>
          </w:p>
        </w:tc>
        <w:tc>
          <w:tcPr>
            <w:tcW w:w="2540" w:type="dxa"/>
            <w:vAlign w:val="bottom"/>
            <w:gridSpan w:val="3"/>
            <w:shd w:val="clear" w:color="auto" w:fill="D6EFF3"/>
          </w:tcPr>
          <w:p>
            <w:pPr>
              <w:spacing w:after="0"/>
              <w:rPr>
                <w:sz w:val="20"/>
                <w:szCs w:val="20"/>
                <w:color w:val="auto"/>
              </w:rPr>
            </w:pPr>
            <w:r>
              <w:rPr>
                <w:rFonts w:ascii="Times New Roman" w:cs="Times New Roman" w:eastAsia="Times New Roman" w:hAnsi="Times New Roman"/>
                <w:sz w:val="20"/>
                <w:szCs w:val="20"/>
                <w:color w:val="auto"/>
                <w:w w:val="99"/>
                <w:shd w:val="clear" w:color="auto" w:fill="D6EFF3"/>
              </w:rPr>
              <w:t>Proceeds from sale of securities</w:t>
            </w:r>
          </w:p>
        </w:tc>
        <w:tc>
          <w:tcPr>
            <w:tcW w:w="3840" w:type="dxa"/>
            <w:vAlign w:val="bottom"/>
            <w:gridSpan w:val="4"/>
            <w:shd w:val="clear" w:color="auto" w:fill="D5EFF4"/>
          </w:tcPr>
          <w:p>
            <w:pPr>
              <w:spacing w:after="0"/>
              <w:rPr>
                <w:sz w:val="20"/>
                <w:szCs w:val="20"/>
                <w:color w:val="auto"/>
              </w:rPr>
            </w:pPr>
          </w:p>
        </w:tc>
        <w:tc>
          <w:tcPr>
            <w:tcW w:w="60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280" w:type="dxa"/>
            <w:vAlign w:val="bottom"/>
            <w:tcBorders>
              <w:left w:val="single" w:sz="8" w:color="D5EFF4"/>
              <w:right w:val="single" w:sz="8" w:color="D5EFF4"/>
            </w:tcBorders>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6EFF3"/>
              </w:rPr>
              <w:t>56</w:t>
            </w:r>
          </w:p>
        </w:tc>
        <w:tc>
          <w:tcPr>
            <w:tcW w:w="140" w:type="dxa"/>
            <w:vAlign w:val="bottom"/>
            <w:tcBorders>
              <w:left w:val="single" w:sz="8" w:color="D5EFF4"/>
            </w:tcBorders>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60" w:type="dxa"/>
            <w:vAlign w:val="bottom"/>
            <w:shd w:val="clear" w:color="auto" w:fill="D5EFF4"/>
          </w:tcPr>
          <w:p>
            <w:pPr>
              <w:spacing w:after="0"/>
              <w:rPr>
                <w:sz w:val="20"/>
                <w:szCs w:val="20"/>
                <w:color w:val="auto"/>
              </w:rPr>
            </w:pPr>
          </w:p>
        </w:tc>
        <w:tc>
          <w:tcPr>
            <w:tcW w:w="40" w:type="dxa"/>
            <w:vAlign w:val="bottom"/>
            <w:shd w:val="clear" w:color="auto" w:fill="D5EFF4"/>
          </w:tcPr>
          <w:p>
            <w:pPr>
              <w:spacing w:after="0"/>
              <w:rPr>
                <w:sz w:val="20"/>
                <w:szCs w:val="20"/>
                <w:color w:val="auto"/>
              </w:rPr>
            </w:pPr>
          </w:p>
        </w:tc>
        <w:tc>
          <w:tcPr>
            <w:tcW w:w="220" w:type="dxa"/>
            <w:vAlign w:val="bottom"/>
            <w:tcBorders>
              <w:left w:val="single" w:sz="8" w:color="D5EFF4"/>
            </w:tcBorders>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6EFF3"/>
              </w:rPr>
              <w:t>53</w:t>
            </w:r>
          </w:p>
        </w:tc>
        <w:tc>
          <w:tcPr>
            <w:tcW w:w="80" w:type="dxa"/>
            <w:vAlign w:val="bottom"/>
            <w:shd w:val="clear" w:color="auto" w:fill="D5EFF4"/>
          </w:tcPr>
          <w:p>
            <w:pPr>
              <w:spacing w:after="0"/>
              <w:rPr>
                <w:sz w:val="20"/>
                <w:szCs w:val="20"/>
                <w:color w:val="auto"/>
              </w:rPr>
            </w:pPr>
          </w:p>
        </w:tc>
        <w:tc>
          <w:tcPr>
            <w:tcW w:w="140" w:type="dxa"/>
            <w:vAlign w:val="bottom"/>
            <w:tcBorders>
              <w:left w:val="single" w:sz="8" w:color="D5EFF4"/>
            </w:tcBorders>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300" w:type="dxa"/>
            <w:vAlign w:val="bottom"/>
            <w:tcBorders>
              <w:left w:val="single" w:sz="8" w:color="D5EFF4"/>
              <w:right w:val="single" w:sz="8" w:color="D5EFF4"/>
            </w:tcBorders>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shd w:val="clear" w:color="auto" w:fill="D6EFF3"/>
              </w:rPr>
              <w:t>47</w:t>
            </w:r>
          </w:p>
        </w:tc>
        <w:tc>
          <w:tcPr>
            <w:tcW w:w="40" w:type="dxa"/>
            <w:vAlign w:val="bottom"/>
            <w:tcBorders>
              <w:left w:val="single" w:sz="8" w:color="D5EFF4"/>
            </w:tcBorders>
            <w:shd w:val="clear" w:color="auto" w:fill="D5EFF4"/>
          </w:tcPr>
          <w:p>
            <w:pPr>
              <w:spacing w:after="0"/>
              <w:rPr>
                <w:sz w:val="20"/>
                <w:szCs w:val="20"/>
                <w:color w:val="auto"/>
              </w:rPr>
            </w:pPr>
          </w:p>
        </w:tc>
      </w:tr>
      <w:tr>
        <w:trPr>
          <w:trHeight w:val="230"/>
        </w:trPr>
        <w:tc>
          <w:tcPr>
            <w:tcW w:w="200" w:type="dxa"/>
            <w:vAlign w:val="bottom"/>
          </w:tcPr>
          <w:p>
            <w:pPr>
              <w:spacing w:after="0"/>
              <w:rPr>
                <w:sz w:val="20"/>
                <w:szCs w:val="20"/>
                <w:color w:val="auto"/>
              </w:rPr>
            </w:pPr>
          </w:p>
        </w:tc>
        <w:tc>
          <w:tcPr>
            <w:tcW w:w="6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Purchase of securities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40" w:type="dxa"/>
            <w:vAlign w:val="bottom"/>
          </w:tcPr>
          <w:p>
            <w:pPr>
              <w:spacing w:after="0"/>
              <w:rPr>
                <w:sz w:val="20"/>
                <w:szCs w:val="20"/>
                <w:color w:val="auto"/>
              </w:rPr>
            </w:pPr>
          </w:p>
        </w:tc>
      </w:tr>
      <w:tr>
        <w:trPr>
          <w:trHeight w:val="230"/>
        </w:trPr>
        <w:tc>
          <w:tcPr>
            <w:tcW w:w="200" w:type="dxa"/>
            <w:vAlign w:val="bottom"/>
            <w:shd w:val="clear" w:color="auto" w:fill="D5EFF4"/>
          </w:tcPr>
          <w:p>
            <w:pPr>
              <w:spacing w:after="0"/>
              <w:rPr>
                <w:sz w:val="20"/>
                <w:szCs w:val="20"/>
                <w:color w:val="auto"/>
              </w:rPr>
            </w:pPr>
          </w:p>
        </w:tc>
        <w:tc>
          <w:tcPr>
            <w:tcW w:w="2140" w:type="dxa"/>
            <w:vAlign w:val="bottom"/>
            <w:gridSpan w:val="2"/>
            <w:shd w:val="clear" w:color="auto" w:fill="D6EFF3"/>
          </w:tcPr>
          <w:p>
            <w:pPr>
              <w:spacing w:after="0"/>
              <w:rPr>
                <w:sz w:val="20"/>
                <w:szCs w:val="20"/>
                <w:color w:val="auto"/>
              </w:rPr>
            </w:pPr>
            <w:r>
              <w:rPr>
                <w:rFonts w:ascii="Times New Roman" w:cs="Times New Roman" w:eastAsia="Times New Roman" w:hAnsi="Times New Roman"/>
                <w:sz w:val="20"/>
                <w:szCs w:val="20"/>
                <w:color w:val="auto"/>
                <w:w w:val="99"/>
                <w:shd w:val="clear" w:color="auto" w:fill="D6EFF3"/>
              </w:rPr>
              <w:t>Other investing cash flows</w:t>
            </w:r>
          </w:p>
        </w:tc>
        <w:tc>
          <w:tcPr>
            <w:tcW w:w="4240" w:type="dxa"/>
            <w:vAlign w:val="bottom"/>
            <w:gridSpan w:val="5"/>
            <w:shd w:val="clear" w:color="auto" w:fill="D5EFF4"/>
          </w:tcPr>
          <w:p>
            <w:pPr>
              <w:spacing w:after="0"/>
              <w:rPr>
                <w:sz w:val="20"/>
                <w:szCs w:val="20"/>
                <w:color w:val="auto"/>
              </w:rPr>
            </w:pPr>
          </w:p>
        </w:tc>
        <w:tc>
          <w:tcPr>
            <w:tcW w:w="60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280" w:type="dxa"/>
            <w:vAlign w:val="bottom"/>
            <w:tcBorders>
              <w:left w:val="single" w:sz="8" w:color="D5EFF4"/>
              <w:right w:val="single" w:sz="8" w:color="D5EFF4"/>
            </w:tcBorders>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6EFF3"/>
              </w:rPr>
              <w:t>—</w:t>
            </w:r>
          </w:p>
        </w:tc>
        <w:tc>
          <w:tcPr>
            <w:tcW w:w="140" w:type="dxa"/>
            <w:vAlign w:val="bottom"/>
            <w:tcBorders>
              <w:left w:val="single" w:sz="8" w:color="D5EFF4"/>
            </w:tcBorders>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60" w:type="dxa"/>
            <w:vAlign w:val="bottom"/>
            <w:shd w:val="clear" w:color="auto" w:fill="D5EFF4"/>
          </w:tcPr>
          <w:p>
            <w:pPr>
              <w:spacing w:after="0"/>
              <w:rPr>
                <w:sz w:val="20"/>
                <w:szCs w:val="20"/>
                <w:color w:val="auto"/>
              </w:rPr>
            </w:pPr>
          </w:p>
        </w:tc>
        <w:tc>
          <w:tcPr>
            <w:tcW w:w="340" w:type="dxa"/>
            <w:vAlign w:val="bottom"/>
            <w:gridSpan w:val="4"/>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6EFF3"/>
              </w:rPr>
              <w:t>(10)</w:t>
            </w:r>
          </w:p>
        </w:tc>
        <w:tc>
          <w:tcPr>
            <w:tcW w:w="140" w:type="dxa"/>
            <w:vAlign w:val="bottom"/>
            <w:tcBorders>
              <w:left w:val="single" w:sz="8" w:color="D5EFF4"/>
            </w:tcBorders>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300" w:type="dxa"/>
            <w:vAlign w:val="bottom"/>
            <w:tcBorders>
              <w:left w:val="single" w:sz="8" w:color="D5EFF4"/>
              <w:right w:val="single" w:sz="8" w:color="D5EFF4"/>
            </w:tcBorders>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shd w:val="clear" w:color="auto" w:fill="D6EFF3"/>
              </w:rPr>
              <w:t>—</w:t>
            </w:r>
          </w:p>
        </w:tc>
        <w:tc>
          <w:tcPr>
            <w:tcW w:w="40" w:type="dxa"/>
            <w:vAlign w:val="bottom"/>
            <w:tcBorders>
              <w:left w:val="single" w:sz="8" w:color="D5EFF4"/>
            </w:tcBorders>
            <w:shd w:val="clear" w:color="auto" w:fill="D5EFF4"/>
          </w:tcPr>
          <w:p>
            <w:pPr>
              <w:spacing w:after="0"/>
              <w:rPr>
                <w:sz w:val="20"/>
                <w:szCs w:val="20"/>
                <w:color w:val="auto"/>
              </w:rPr>
            </w:pPr>
          </w:p>
        </w:tc>
      </w:tr>
      <w:tr>
        <w:trPr>
          <w:trHeight w:val="225"/>
        </w:trPr>
        <w:tc>
          <w:tcPr>
            <w:tcW w:w="6580" w:type="dxa"/>
            <w:vAlign w:val="bottom"/>
            <w:gridSpan w:val="8"/>
          </w:tcPr>
          <w:p>
            <w:pPr>
              <w:spacing w:after="0" w:line="225" w:lineRule="exact"/>
              <w:rPr>
                <w:sz w:val="20"/>
                <w:szCs w:val="20"/>
                <w:color w:val="auto"/>
              </w:rPr>
            </w:pPr>
            <w:r>
              <w:rPr>
                <w:rFonts w:ascii="Times New Roman" w:cs="Times New Roman" w:eastAsia="Times New Roman" w:hAnsi="Times New Roman"/>
                <w:sz w:val="20"/>
                <w:szCs w:val="20"/>
                <w:color w:val="auto"/>
              </w:rPr>
              <w:t>Total cash flows used by investing activities from continuing operations</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spacing w:after="0"/>
              <w:rPr>
                <w:sz w:val="19"/>
                <w:szCs w:val="19"/>
                <w:color w:val="auto"/>
              </w:rPr>
            </w:pPr>
          </w:p>
        </w:tc>
        <w:tc>
          <w:tcPr>
            <w:tcW w:w="2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94"/>
              </w:rPr>
              <w:t>(3)</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4"/>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95"/>
              </w:rPr>
              <w:t>(51)</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92"/>
              </w:rPr>
              <w:t>(109)</w:t>
            </w:r>
          </w:p>
        </w:tc>
        <w:tc>
          <w:tcPr>
            <w:tcW w:w="40" w:type="dxa"/>
            <w:vAlign w:val="bottom"/>
          </w:tcPr>
          <w:p>
            <w:pPr>
              <w:spacing w:after="0"/>
              <w:rPr>
                <w:sz w:val="19"/>
                <w:szCs w:val="19"/>
                <w:color w:val="auto"/>
              </w:rPr>
            </w:pPr>
          </w:p>
        </w:tc>
      </w:tr>
      <w:tr>
        <w:trPr>
          <w:trHeight w:val="114"/>
        </w:trPr>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-1865630</wp:posOffset>
            </wp:positionV>
            <wp:extent cx="6481445" cy="349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52">
                      <a:extLst>
                        <a:ext uri="{28A0092B-C50C-407E-A947-70E740481C1C}"/>
                      </a:extLst>
                    </a:blip>
                    <a:srcRect/>
                    <a:stretch>
                      <a:fillRect/>
                    </a:stretch>
                  </pic:blipFill>
                  <pic:spPr bwMode="auto">
                    <a:xfrm>
                      <a:off x="0" y="0"/>
                      <a:ext cx="6481445" cy="349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-100330</wp:posOffset>
            </wp:positionV>
            <wp:extent cx="6548755" cy="1155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53">
                      <a:extLst>
                        <a:ext uri="{28A0092B-C50C-407E-A947-70E740481C1C}"/>
                      </a:extLst>
                    </a:blip>
                    <a:srcRect/>
                    <a:stretch>
                      <a:fillRect/>
                    </a:stretch>
                  </pic:blipFill>
                  <pic:spPr bwMode="auto">
                    <a:xfrm>
                      <a:off x="0" y="0"/>
                      <a:ext cx="6548755" cy="115570"/>
                    </a:xfrm>
                    <a:prstGeom prst="rect">
                      <a:avLst/>
                    </a:prstGeom>
                    <a:noFill/>
                  </pic:spPr>
                </pic:pic>
              </a:graphicData>
            </a:graphic>
          </wp:anchor>
        </w:drawing>
      </w:r>
    </w:p>
    <w:p>
      <w:pPr>
        <w:spacing w:after="0" w:line="81" w:lineRule="exact"/>
        <w:rPr>
          <w:sz w:val="20"/>
          <w:szCs w:val="20"/>
          <w:color w:val="auto"/>
        </w:rPr>
      </w:pPr>
    </w:p>
    <w:p>
      <w:pPr>
        <w:jc w:val="both"/>
        <w:ind w:right="20" w:firstLine="360"/>
        <w:spacing w:after="0" w:line="297" w:lineRule="auto"/>
        <w:rPr>
          <w:sz w:val="20"/>
          <w:szCs w:val="20"/>
          <w:color w:val="auto"/>
        </w:rPr>
      </w:pPr>
      <w:r>
        <w:rPr>
          <w:rFonts w:ascii="Times New Roman" w:cs="Times New Roman" w:eastAsia="Times New Roman" w:hAnsi="Times New Roman"/>
          <w:sz w:val="20"/>
          <w:szCs w:val="20"/>
          <w:color w:val="auto"/>
        </w:rPr>
        <w:t>The significant cash investing activities for 2025 primarily related to cash outflows of $98 million for capital expenditures and $8 million restricted for investment trust purposes for environmental remediation. Additionally, there were inflows of $16 million from proceeds from the sale of the Avoca business, $16 million of proceeds from the sale of land property, $12 million of proceeds from settlement of company-owned life insurance contracts and reimbursements of $62 million from the restricted renewable annual investment trusts.</w:t>
      </w:r>
    </w:p>
    <w:p>
      <w:pPr>
        <w:spacing w:after="0" w:line="77" w:lineRule="exact"/>
        <w:rPr>
          <w:sz w:val="20"/>
          <w:szCs w:val="20"/>
          <w:color w:val="auto"/>
        </w:rPr>
      </w:pPr>
    </w:p>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The significant cash investing activities for 2024 primarily related to cash outflows of $137 million for capital expenditures, $10 million for lease asset acquisition and $5 million restricted for investment trust purposes for environmental remediation. Additionally, there were inflows of $26 million from the sale of the Nutraceuticals business and reimbursements of $79 million from the restricted renewable annual investment trusts.</w:t>
      </w:r>
    </w:p>
    <w:p>
      <w:pPr>
        <w:spacing w:after="0" w:line="74"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significant cash investing activities for 2023 primarily related to cash outflows of $170 million for capital expenditures and $9 million restricted for investment trust purposes for environmental remediation. Additionally, there were inflows of $11</w:t>
      </w:r>
    </w:p>
    <w:p>
      <w:pPr>
        <w:sectPr>
          <w:pgSz w:w="12240" w:h="15840" w:orient="portrait"/>
          <w:cols w:equalWidth="0" w:num="1">
            <w:col w:w="10260"/>
          </w:cols>
          <w:pgMar w:left="1000" w:top="988" w:right="9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M-28</w:t>
      </w:r>
    </w:p>
    <w:p>
      <w:pPr>
        <w:sectPr>
          <w:pgSz w:w="12240" w:h="15840" w:orient="portrait"/>
          <w:cols w:equalWidth="0" w:num="1">
            <w:col w:w="10260"/>
          </w:cols>
          <w:pgMar w:left="1000" w:top="988" w:right="980" w:bottom="186" w:gutter="0" w:footer="0" w:header="0"/>
          <w:type w:val="continuous"/>
        </w:sectPr>
      </w:pPr>
    </w:p>
    <w:bookmarkStart w:id="86" w:name="page87"/>
    <w:bookmarkEnd w:id="86"/>
    <w:p>
      <w:pPr>
        <w:jc w:val="both"/>
        <w:spacing w:after="0" w:line="325" w:lineRule="auto"/>
        <w:rPr>
          <w:sz w:val="20"/>
          <w:szCs w:val="20"/>
          <w:color w:val="auto"/>
        </w:rPr>
      </w:pPr>
      <w:r>
        <w:rPr>
          <w:rFonts w:ascii="Times New Roman" w:cs="Times New Roman" w:eastAsia="Times New Roman" w:hAnsi="Times New Roman"/>
          <w:sz w:val="20"/>
          <w:szCs w:val="20"/>
          <w:color w:val="auto"/>
        </w:rPr>
        <w:t>million from the disposal of excess corporate property, which were used to provide additional funding to the environmental trust, and reimbursements of $58 million from the restricted renewable annual investment trusts.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summarizes the cash flows associated with Ashland’s financing activities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103505</wp:posOffset>
            </wp:positionV>
            <wp:extent cx="652970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54">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1"/>
                <w:szCs w:val="21"/>
                <w:color w:val="auto"/>
              </w:rPr>
            </w:pPr>
          </w:p>
        </w:tc>
      </w:tr>
      <w:tr>
        <w:trPr>
          <w:trHeight w:val="239"/>
        </w:trPr>
        <w:tc>
          <w:tcPr>
            <w:tcW w:w="690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Cash flows provided (used) by financing activities from continuing operations</w:t>
            </w:r>
          </w:p>
        </w:tc>
        <w:tc>
          <w:tcPr>
            <w:tcW w:w="2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88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80" w:type="dxa"/>
            <w:vAlign w:val="bottom"/>
            <w:shd w:val="clear" w:color="auto" w:fill="D5EFF4"/>
          </w:tcPr>
          <w:p>
            <w:pPr>
              <w:spacing w:after="0"/>
              <w:rPr>
                <w:sz w:val="20"/>
                <w:szCs w:val="20"/>
                <w:color w:val="auto"/>
              </w:rPr>
            </w:pPr>
          </w:p>
        </w:tc>
        <w:tc>
          <w:tcPr>
            <w:tcW w:w="88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180" w:type="dxa"/>
            <w:vAlign w:val="bottom"/>
            <w:shd w:val="clear" w:color="auto" w:fill="D5EFF4"/>
          </w:tcPr>
          <w:p>
            <w:pPr>
              <w:spacing w:after="0"/>
              <w:rPr>
                <w:sz w:val="20"/>
                <w:szCs w:val="20"/>
                <w:color w:val="auto"/>
              </w:rPr>
            </w:pPr>
          </w:p>
        </w:tc>
        <w:tc>
          <w:tcPr>
            <w:tcW w:w="76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44"/>
        </w:trPr>
        <w:tc>
          <w:tcPr>
            <w:tcW w:w="6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(repayment of) short-term debt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Pr>
          <w:p>
            <w:pPr>
              <w:spacing w:after="0"/>
              <w:rPr>
                <w:sz w:val="21"/>
                <w:szCs w:val="21"/>
                <w:color w:val="auto"/>
              </w:rPr>
            </w:pPr>
          </w:p>
        </w:tc>
      </w:tr>
      <w:tr>
        <w:trPr>
          <w:trHeight w:val="244"/>
        </w:trPr>
        <w:tc>
          <w:tcPr>
            <w:tcW w:w="690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Repurchase of common stock</w:t>
            </w:r>
          </w:p>
        </w:tc>
        <w:tc>
          <w:tcPr>
            <w:tcW w:w="2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8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shd w:val="clear" w:color="auto" w:fill="D5EFF4"/>
          </w:tcPr>
          <w:p>
            <w:pPr>
              <w:spacing w:after="0"/>
              <w:rPr>
                <w:sz w:val="21"/>
                <w:szCs w:val="21"/>
                <w:color w:val="auto"/>
              </w:rPr>
            </w:pPr>
          </w:p>
        </w:tc>
        <w:tc>
          <w:tcPr>
            <w:tcW w:w="180" w:type="dxa"/>
            <w:vAlign w:val="bottom"/>
            <w:shd w:val="clear" w:color="auto" w:fill="D5EFF4"/>
          </w:tcPr>
          <w:p>
            <w:pPr>
              <w:spacing w:after="0"/>
              <w:rPr>
                <w:sz w:val="21"/>
                <w:szCs w:val="21"/>
                <w:color w:val="auto"/>
              </w:rPr>
            </w:pPr>
          </w:p>
        </w:tc>
        <w:tc>
          <w:tcPr>
            <w:tcW w:w="8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100" w:type="dxa"/>
            <w:vAlign w:val="bottom"/>
            <w:shd w:val="clear" w:color="auto" w:fill="D5EFF4"/>
          </w:tcPr>
          <w:p>
            <w:pPr>
              <w:spacing w:after="0"/>
              <w:rPr>
                <w:sz w:val="21"/>
                <w:szCs w:val="21"/>
                <w:color w:val="auto"/>
              </w:rPr>
            </w:pPr>
          </w:p>
        </w:tc>
        <w:tc>
          <w:tcPr>
            <w:tcW w:w="180" w:type="dxa"/>
            <w:vAlign w:val="bottom"/>
            <w:shd w:val="clear" w:color="auto" w:fill="D5EFF4"/>
          </w:tcPr>
          <w:p>
            <w:pPr>
              <w:spacing w:after="0"/>
              <w:rPr>
                <w:sz w:val="21"/>
                <w:szCs w:val="21"/>
                <w:color w:val="auto"/>
              </w:rPr>
            </w:pPr>
          </w:p>
        </w:tc>
        <w:tc>
          <w:tcPr>
            <w:tcW w:w="84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(300)</w:t>
            </w:r>
          </w:p>
        </w:tc>
      </w:tr>
      <w:tr>
        <w:trPr>
          <w:trHeight w:val="244"/>
        </w:trPr>
        <w:tc>
          <w:tcPr>
            <w:tcW w:w="6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dividends paid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(76)</w:t>
            </w:r>
          </w:p>
        </w:tc>
      </w:tr>
      <w:tr>
        <w:trPr>
          <w:trHeight w:val="264"/>
        </w:trPr>
        <w:tc>
          <w:tcPr>
            <w:tcW w:w="6900" w:type="dxa"/>
            <w:vAlign w:val="bottom"/>
            <w:tcBorders>
              <w:bottom w:val="single" w:sz="8" w:color="D5EFF4"/>
            </w:tcBorders>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Stock based compensation employee withholding taxes paid in cash</w:t>
            </w:r>
          </w:p>
        </w:tc>
        <w:tc>
          <w:tcPr>
            <w:tcW w:w="20" w:type="dxa"/>
            <w:vAlign w:val="bottom"/>
            <w:tcBorders>
              <w:bottom w:val="single" w:sz="8" w:color="D5EFF4"/>
            </w:tcBorders>
            <w:shd w:val="clear" w:color="auto" w:fill="D5EFF4"/>
          </w:tcPr>
          <w:p>
            <w:pPr>
              <w:spacing w:after="0"/>
              <w:rPr>
                <w:sz w:val="22"/>
                <w:szCs w:val="22"/>
                <w:color w:val="auto"/>
              </w:rPr>
            </w:pPr>
          </w:p>
        </w:tc>
        <w:tc>
          <w:tcPr>
            <w:tcW w:w="160" w:type="dxa"/>
            <w:vAlign w:val="bottom"/>
            <w:tcBorders>
              <w:bottom w:val="single" w:sz="8" w:color="D5EFF4"/>
            </w:tcBorders>
            <w:shd w:val="clear" w:color="auto" w:fill="D5EFF4"/>
          </w:tcPr>
          <w:p>
            <w:pPr>
              <w:spacing w:after="0"/>
              <w:rPr>
                <w:sz w:val="22"/>
                <w:szCs w:val="22"/>
                <w:color w:val="auto"/>
              </w:rPr>
            </w:pPr>
          </w:p>
        </w:tc>
        <w:tc>
          <w:tcPr>
            <w:tcW w:w="880" w:type="dxa"/>
            <w:vAlign w:val="bottom"/>
            <w:tcBorders>
              <w:bottom w:val="single" w:sz="8" w:color="D5EFF4"/>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D5EFF4"/>
            </w:tcBorders>
            <w:shd w:val="clear" w:color="auto" w:fill="D5EFF4"/>
          </w:tcPr>
          <w:p>
            <w:pPr>
              <w:spacing w:after="0"/>
              <w:rPr>
                <w:sz w:val="22"/>
                <w:szCs w:val="22"/>
                <w:color w:val="auto"/>
              </w:rPr>
            </w:pPr>
          </w:p>
        </w:tc>
        <w:tc>
          <w:tcPr>
            <w:tcW w:w="180" w:type="dxa"/>
            <w:vAlign w:val="bottom"/>
            <w:tcBorders>
              <w:bottom w:val="single" w:sz="8" w:color="D5EFF4"/>
            </w:tcBorders>
            <w:shd w:val="clear" w:color="auto" w:fill="D5EFF4"/>
          </w:tcPr>
          <w:p>
            <w:pPr>
              <w:spacing w:after="0"/>
              <w:rPr>
                <w:sz w:val="22"/>
                <w:szCs w:val="22"/>
                <w:color w:val="auto"/>
              </w:rPr>
            </w:pPr>
          </w:p>
        </w:tc>
        <w:tc>
          <w:tcPr>
            <w:tcW w:w="880" w:type="dxa"/>
            <w:vAlign w:val="bottom"/>
            <w:tcBorders>
              <w:bottom w:val="single" w:sz="8" w:color="D5EFF4"/>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Borders>
              <w:bottom w:val="single" w:sz="8" w:color="D5EFF4"/>
            </w:tcBorders>
            <w:shd w:val="clear" w:color="auto" w:fill="D5EFF4"/>
          </w:tcPr>
          <w:p>
            <w:pPr>
              <w:spacing w:after="0"/>
              <w:rPr>
                <w:sz w:val="22"/>
                <w:szCs w:val="22"/>
                <w:color w:val="auto"/>
              </w:rPr>
            </w:pPr>
          </w:p>
        </w:tc>
        <w:tc>
          <w:tcPr>
            <w:tcW w:w="180" w:type="dxa"/>
            <w:vAlign w:val="bottom"/>
            <w:tcBorders>
              <w:bottom w:val="single" w:sz="8" w:color="auto"/>
            </w:tcBorders>
            <w:shd w:val="clear" w:color="auto" w:fill="D5EFF4"/>
          </w:tcPr>
          <w:p>
            <w:pPr>
              <w:spacing w:after="0"/>
              <w:rPr>
                <w:sz w:val="22"/>
                <w:szCs w:val="22"/>
                <w:color w:val="auto"/>
              </w:rPr>
            </w:pPr>
          </w:p>
        </w:tc>
        <w:tc>
          <w:tcPr>
            <w:tcW w:w="84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r>
      <w:tr>
        <w:trPr>
          <w:trHeight w:val="219"/>
        </w:trPr>
        <w:tc>
          <w:tcPr>
            <w:tcW w:w="69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cash flows used by financing activities from continuing operations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(179)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(479)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(371)</w:t>
            </w: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-1052830</wp:posOffset>
            </wp:positionV>
            <wp:extent cx="6493510"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55">
                      <a:extLst>
                        <a:ext uri="{28A0092B-C50C-407E-A947-70E740481C1C}"/>
                      </a:extLst>
                    </a:blip>
                    <a:srcRect/>
                    <a:stretch>
                      <a:fillRect/>
                    </a:stretch>
                  </pic:blipFill>
                  <pic:spPr bwMode="auto">
                    <a:xfrm>
                      <a:off x="0" y="0"/>
                      <a:ext cx="6493510"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wp:posOffset>
            </wp:positionV>
            <wp:extent cx="6493510"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56">
                      <a:extLst>
                        <a:ext uri="{28A0092B-C50C-407E-A947-70E740481C1C}"/>
                      </a:extLst>
                    </a:blip>
                    <a:srcRect/>
                    <a:stretch>
                      <a:fillRect/>
                    </a:stretch>
                  </pic:blipFill>
                  <pic:spPr bwMode="auto">
                    <a:xfrm>
                      <a:off x="0" y="0"/>
                      <a:ext cx="6493510"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Significant cash financing activities for 2025 included outflows of $100 million for common stock repurchases and cash dividends paid of $1.64 per share, for a total of $76 million. See Note N of the Notes to Consolidated Financial Statements for additional information.</w:t>
      </w:r>
    </w:p>
    <w:p>
      <w:pPr>
        <w:spacing w:after="0" w:line="68"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 xml:space="preserve">Significant cash financing activities for </w:t>
      </w:r>
      <w:r>
        <w:rPr>
          <w:rFonts w:ascii="Times New Roman" w:cs="Times New Roman" w:eastAsia="Times New Roman" w:hAnsi="Times New Roman"/>
          <w:sz w:val="19"/>
          <w:szCs w:val="19"/>
          <w:color w:val="auto"/>
        </w:rPr>
        <w:t>2024 included outflows of $380 million for common stock repurchases, short-term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debt repayment of $16 million, and cash dividends paid of $1.58 per share, for a total of $78 million. See Note N </w:t>
      </w:r>
      <w:r>
        <w:rPr>
          <w:rFonts w:ascii="Times New Roman" w:cs="Times New Roman" w:eastAsia="Times New Roman" w:hAnsi="Times New Roman"/>
          <w:sz w:val="20"/>
          <w:szCs w:val="20"/>
          <w:color w:val="auto"/>
        </w:rPr>
        <w:t>of the Notes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Consolidated Financial Statements </w:t>
      </w:r>
      <w:r>
        <w:rPr>
          <w:rFonts w:ascii="Times New Roman" w:cs="Times New Roman" w:eastAsia="Times New Roman" w:hAnsi="Times New Roman"/>
          <w:sz w:val="19"/>
          <w:szCs w:val="19"/>
          <w:color w:val="auto"/>
        </w:rPr>
        <w:t>for additional information.</w:t>
      </w:r>
    </w:p>
    <w:p>
      <w:pPr>
        <w:spacing w:after="0" w:line="68"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Significant cash financing activities for 2023 included outflows of $300 million for common stock repurchases and cash dividends paid of $1.44 per share, for a total of $76 million. See Note N of the Notes to Consolidated Financial Statements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provided (used) by discontinued operations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summarizes the cash flows associated with Ashland’s discontinued operations for the years ended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103505</wp:posOffset>
            </wp:positionV>
            <wp:extent cx="652970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57">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60" w:type="dxa"/>
            <w:vAlign w:val="bottom"/>
          </w:tcPr>
          <w:p>
            <w:pPr>
              <w:spacing w:after="0"/>
              <w:rPr>
                <w:sz w:val="21"/>
                <w:szCs w:val="21"/>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1"/>
                <w:szCs w:val="21"/>
                <w:color w:val="auto"/>
              </w:rPr>
            </w:pPr>
          </w:p>
        </w:tc>
      </w:tr>
      <w:tr>
        <w:trPr>
          <w:trHeight w:val="239"/>
        </w:trPr>
        <w:tc>
          <w:tcPr>
            <w:tcW w:w="59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Cash provided (used) by discontinued operations</w:t>
            </w:r>
          </w:p>
        </w:tc>
        <w:tc>
          <w:tcPr>
            <w:tcW w:w="260" w:type="dxa"/>
            <w:vAlign w:val="bottom"/>
            <w:shd w:val="clear" w:color="auto" w:fill="D5EFF4"/>
          </w:tcPr>
          <w:p>
            <w:pPr>
              <w:spacing w:after="0"/>
              <w:rPr>
                <w:sz w:val="20"/>
                <w:szCs w:val="20"/>
                <w:color w:val="auto"/>
              </w:rPr>
            </w:pPr>
          </w:p>
        </w:tc>
        <w:tc>
          <w:tcPr>
            <w:tcW w:w="108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1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260" w:type="dxa"/>
            <w:vAlign w:val="bottom"/>
            <w:shd w:val="clear" w:color="auto" w:fill="D5EFF4"/>
          </w:tcPr>
          <w:p>
            <w:pPr>
              <w:spacing w:after="0"/>
              <w:rPr>
                <w:sz w:val="20"/>
                <w:szCs w:val="20"/>
                <w:color w:val="auto"/>
              </w:rPr>
            </w:pPr>
          </w:p>
        </w:tc>
        <w:tc>
          <w:tcPr>
            <w:tcW w:w="98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44"/>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r>
      <w:tr>
        <w:trPr>
          <w:trHeight w:val="239"/>
        </w:trPr>
        <w:tc>
          <w:tcPr>
            <w:tcW w:w="5980" w:type="dxa"/>
            <w:vAlign w:val="bottom"/>
            <w:tcBorders>
              <w:top w:val="single" w:sz="8" w:color="D5EFF4"/>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cash provided (used) by discontinued operations</w:t>
            </w:r>
          </w:p>
        </w:tc>
        <w:tc>
          <w:tcPr>
            <w:tcW w:w="260" w:type="dxa"/>
            <w:vAlign w:val="bottom"/>
            <w:tcBorders>
              <w:top w:val="single" w:sz="8" w:color="auto"/>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20" w:type="dxa"/>
            <w:vAlign w:val="bottom"/>
            <w:tcBorders>
              <w:top w:val="single" w:sz="8" w:color="D5EFF4"/>
              <w:bottom w:val="single" w:sz="8" w:color="D5EFF4"/>
            </w:tcBorders>
            <w:shd w:val="clear" w:color="auto" w:fill="D5EFF4"/>
          </w:tcPr>
          <w:p>
            <w:pPr>
              <w:spacing w:after="0"/>
              <w:rPr>
                <w:sz w:val="20"/>
                <w:szCs w:val="20"/>
                <w:color w:val="auto"/>
              </w:rPr>
            </w:pPr>
          </w:p>
        </w:tc>
        <w:tc>
          <w:tcPr>
            <w:tcW w:w="260" w:type="dxa"/>
            <w:vAlign w:val="bottom"/>
            <w:tcBorders>
              <w:top w:val="single" w:sz="8" w:color="auto"/>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20" w:type="dxa"/>
            <w:vAlign w:val="bottom"/>
            <w:tcBorders>
              <w:top w:val="single" w:sz="8" w:color="D5EFF4"/>
              <w:bottom w:val="single" w:sz="8" w:color="D5EFF4"/>
            </w:tcBorders>
            <w:shd w:val="clear" w:color="auto" w:fill="D5EFF4"/>
          </w:tcPr>
          <w:p>
            <w:pPr>
              <w:spacing w:after="0"/>
              <w:rPr>
                <w:sz w:val="20"/>
                <w:szCs w:val="20"/>
                <w:color w:val="auto"/>
              </w:rPr>
            </w:pPr>
          </w:p>
        </w:tc>
        <w:tc>
          <w:tcPr>
            <w:tcW w:w="260" w:type="dxa"/>
            <w:vAlign w:val="bottom"/>
            <w:tcBorders>
              <w:top w:val="single" w:sz="8" w:color="auto"/>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5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-588645</wp:posOffset>
            </wp:positionV>
            <wp:extent cx="6494780"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58">
                      <a:extLst>
                        <a:ext uri="{28A0092B-C50C-407E-A947-70E740481C1C}"/>
                      </a:extLst>
                    </a:blip>
                    <a:srcRect/>
                    <a:stretch>
                      <a:fillRect/>
                    </a:stretch>
                  </pic:blipFill>
                  <pic:spPr bwMode="auto">
                    <a:xfrm>
                      <a:off x="0" y="0"/>
                      <a:ext cx="6494780"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-23495</wp:posOffset>
            </wp:positionV>
            <wp:extent cx="6494780"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59">
                      <a:extLst>
                        <a:ext uri="{28A0092B-C50C-407E-A947-70E740481C1C}"/>
                      </a:extLst>
                    </a:blip>
                    <a:srcRect/>
                    <a:stretch>
                      <a:fillRect/>
                    </a:stretch>
                  </pic:blipFill>
                  <pic:spPr bwMode="auto">
                    <a:xfrm>
                      <a:off x="0" y="0"/>
                      <a:ext cx="6494780"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Cash outflows for discontinued operations in 2025, 2024 and 2023 primarily related to retained liabilities for asbestos and environmental claims directly related to divested businesses that have qualified as discontinued operations. Asbestos net payments were $36 million, $39 million and $42 million in 2025, 2024 and 2023, respectively. Environmental net payments were $4 million, $6 million and $7 million, respectively. The remaining net cash outflows in each period primarily relate to tax and other post closing adjustments.</w:t>
      </w:r>
    </w:p>
    <w:p>
      <w:pPr>
        <w:sectPr>
          <w:pgSz w:w="12240" w:h="15840" w:orient="portrait"/>
          <w:cols w:equalWidth="0" w:num="1">
            <w:col w:w="10240"/>
          </w:cols>
          <w:pgMar w:left="1000" w:top="988"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M-29</w:t>
      </w:r>
    </w:p>
    <w:p>
      <w:pPr>
        <w:sectPr>
          <w:pgSz w:w="12240" w:h="15840" w:orient="portrait"/>
          <w:cols w:equalWidth="0" w:num="1">
            <w:col w:w="10240"/>
          </w:cols>
          <w:pgMar w:left="1000" w:top="988" w:right="1000" w:bottom="186" w:gutter="0" w:footer="0" w:header="0"/>
          <w:type w:val="continuous"/>
        </w:sectPr>
      </w:pPr>
    </w:p>
    <w:bookmarkStart w:id="87" w:name="page88"/>
    <w:bookmarkEnd w:id="87"/>
    <w:p>
      <w:pPr>
        <w:ind w:left="6"/>
        <w:spacing w:after="0"/>
        <w:rPr>
          <w:sz w:val="20"/>
          <w:szCs w:val="20"/>
          <w:color w:val="auto"/>
        </w:rPr>
      </w:pPr>
      <w:r>
        <w:rPr>
          <w:rFonts w:ascii="Times New Roman" w:cs="Times New Roman" w:eastAsia="Times New Roman" w:hAnsi="Times New Roman"/>
          <w:sz w:val="20"/>
          <w:szCs w:val="20"/>
          <w:i w:val="1"/>
          <w:iCs w:val="1"/>
          <w:color w:val="auto"/>
        </w:rPr>
        <w:t>Free Cash Flow and other liquidity resources</w:t>
      </w:r>
    </w:p>
    <w:p>
      <w:pPr>
        <w:spacing w:after="0" w:line="164"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auto"/>
        </w:rPr>
        <w:t>The following represents Ashland’s calculation of Free Cash Flow and Ongoing Free Cash Flow for the periods presented.</w:t>
      </w:r>
    </w:p>
    <w:p>
      <w:pPr>
        <w:spacing w:after="0" w:line="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Free Cash Flow does not reflect adjustments for certain non-discretionary cash flows such as mandatory debt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652970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60">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249"/>
        </w:trPr>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Years Ended September 30</w:t>
            </w:r>
          </w:p>
        </w:tc>
        <w:tc>
          <w:tcPr>
            <w:tcW w:w="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r>
      <w:tr>
        <w:trPr>
          <w:trHeight w:val="23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00" w:type="dxa"/>
            <w:vAlign w:val="bottom"/>
          </w:tcPr>
          <w:p>
            <w:pPr>
              <w:spacing w:after="0"/>
              <w:rPr>
                <w:sz w:val="20"/>
                <w:szCs w:val="20"/>
                <w:color w:val="auto"/>
              </w:rPr>
            </w:pPr>
          </w:p>
        </w:tc>
        <w:tc>
          <w:tcPr>
            <w:tcW w:w="128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2023</w:t>
            </w:r>
          </w:p>
        </w:tc>
        <w:tc>
          <w:tcPr>
            <w:tcW w:w="200" w:type="dxa"/>
            <w:vAlign w:val="bottom"/>
            <w:tcBorders>
              <w:bottom w:val="single" w:sz="8" w:color="auto"/>
            </w:tcBorders>
          </w:tcPr>
          <w:p>
            <w:pPr>
              <w:spacing w:after="0"/>
              <w:rPr>
                <w:sz w:val="20"/>
                <w:szCs w:val="20"/>
                <w:color w:val="auto"/>
              </w:rPr>
            </w:pPr>
          </w:p>
        </w:tc>
      </w:tr>
      <w:tr>
        <w:trPr>
          <w:trHeight w:val="239"/>
        </w:trPr>
        <w:tc>
          <w:tcPr>
            <w:tcW w:w="63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cash flows provided by operating activities from continuing operations</w:t>
            </w:r>
          </w:p>
        </w:tc>
        <w:tc>
          <w:tcPr>
            <w:tcW w:w="300" w:type="dxa"/>
            <w:vAlign w:val="bottom"/>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134</w:t>
            </w:r>
          </w:p>
        </w:tc>
        <w:tc>
          <w:tcPr>
            <w:tcW w:w="26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462</w:t>
            </w:r>
          </w:p>
        </w:tc>
        <w:tc>
          <w:tcPr>
            <w:tcW w:w="26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200" w:type="dxa"/>
            <w:vAlign w:val="bottom"/>
            <w:shd w:val="clear" w:color="auto" w:fill="D5EFF4"/>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64"/>
        </w:trPr>
        <w:tc>
          <w:tcPr>
            <w:tcW w:w="6340" w:type="dxa"/>
            <w:vAlign w:val="bottom"/>
            <w:tcBorders>
              <w:bottom w:val="single" w:sz="8" w:color="D5EFF4"/>
            </w:tcBorders>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Additions to property, plant and equipment</w:t>
            </w:r>
          </w:p>
        </w:tc>
        <w:tc>
          <w:tcPr>
            <w:tcW w:w="300" w:type="dxa"/>
            <w:vAlign w:val="bottom"/>
            <w:tcBorders>
              <w:bottom w:val="single" w:sz="8" w:color="D5EFF4"/>
            </w:tcBorders>
            <w:shd w:val="clear" w:color="auto" w:fill="D5EFF4"/>
          </w:tcPr>
          <w:p>
            <w:pPr>
              <w:spacing w:after="0"/>
              <w:rPr>
                <w:sz w:val="22"/>
                <w:szCs w:val="22"/>
                <w:color w:val="auto"/>
              </w:rPr>
            </w:pPr>
          </w:p>
        </w:tc>
        <w:tc>
          <w:tcPr>
            <w:tcW w:w="1280" w:type="dxa"/>
            <w:vAlign w:val="bottom"/>
            <w:tcBorders>
              <w:bottom w:val="single" w:sz="8" w:color="D5EFF4"/>
            </w:tcBorders>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(98)</w:t>
            </w:r>
          </w:p>
        </w:tc>
        <w:tc>
          <w:tcPr>
            <w:tcW w:w="100" w:type="dxa"/>
            <w:vAlign w:val="bottom"/>
            <w:tcBorders>
              <w:bottom w:val="single" w:sz="8" w:color="D5EFF4"/>
            </w:tcBorders>
            <w:shd w:val="clear" w:color="auto" w:fill="D5EFF4"/>
          </w:tcPr>
          <w:p>
            <w:pPr>
              <w:spacing w:after="0"/>
              <w:rPr>
                <w:sz w:val="22"/>
                <w:szCs w:val="22"/>
                <w:color w:val="auto"/>
              </w:rPr>
            </w:pPr>
          </w:p>
        </w:tc>
        <w:tc>
          <w:tcPr>
            <w:tcW w:w="160" w:type="dxa"/>
            <w:vAlign w:val="bottom"/>
            <w:tcBorders>
              <w:bottom w:val="single" w:sz="8" w:color="D5EFF4"/>
            </w:tcBorders>
            <w:shd w:val="clear" w:color="auto" w:fill="D5EFF4"/>
          </w:tcPr>
          <w:p>
            <w:pPr>
              <w:spacing w:after="0"/>
              <w:rPr>
                <w:sz w:val="22"/>
                <w:szCs w:val="22"/>
                <w:color w:val="auto"/>
              </w:rPr>
            </w:pPr>
          </w:p>
        </w:tc>
        <w:tc>
          <w:tcPr>
            <w:tcW w:w="900" w:type="dxa"/>
            <w:vAlign w:val="bottom"/>
            <w:tcBorders>
              <w:bottom w:val="single" w:sz="8" w:color="D5EFF4"/>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(137)</w:t>
            </w:r>
          </w:p>
        </w:tc>
        <w:tc>
          <w:tcPr>
            <w:tcW w:w="100" w:type="dxa"/>
            <w:vAlign w:val="bottom"/>
            <w:tcBorders>
              <w:bottom w:val="single" w:sz="8" w:color="D5EFF4"/>
            </w:tcBorders>
            <w:shd w:val="clear" w:color="auto" w:fill="D5EFF4"/>
          </w:tcPr>
          <w:p>
            <w:pPr>
              <w:spacing w:after="0"/>
              <w:rPr>
                <w:sz w:val="22"/>
                <w:szCs w:val="22"/>
                <w:color w:val="auto"/>
              </w:rPr>
            </w:pPr>
          </w:p>
        </w:tc>
        <w:tc>
          <w:tcPr>
            <w:tcW w:w="160" w:type="dxa"/>
            <w:vAlign w:val="bottom"/>
            <w:tcBorders>
              <w:bottom w:val="single" w:sz="8" w:color="auto"/>
            </w:tcBorders>
            <w:shd w:val="clear" w:color="auto" w:fill="D5EFF4"/>
          </w:tcPr>
          <w:p>
            <w:pPr>
              <w:spacing w:after="0"/>
              <w:rPr>
                <w:sz w:val="22"/>
                <w:szCs w:val="22"/>
                <w:color w:val="auto"/>
              </w:rPr>
            </w:pPr>
          </w:p>
        </w:tc>
        <w:tc>
          <w:tcPr>
            <w:tcW w:w="900" w:type="dxa"/>
            <w:vAlign w:val="bottom"/>
            <w:tcBorders>
              <w:bottom w:val="single" w:sz="8" w:color="auto"/>
            </w:tcBorders>
            <w:gridSpan w:val="2"/>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(170)</w:t>
            </w:r>
          </w:p>
        </w:tc>
      </w:tr>
      <w:tr>
        <w:trPr>
          <w:trHeight w:val="219"/>
        </w:trPr>
        <w:tc>
          <w:tcPr>
            <w:tcW w:w="63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Free Cash Flow</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325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124</w:t>
            </w:r>
          </w:p>
        </w:tc>
        <w:tc>
          <w:tcPr>
            <w:tcW w:w="200" w:type="dxa"/>
            <w:vAlign w:val="bottom"/>
            <w:tcBorders>
              <w:top w:val="single" w:sz="8" w:color="auto"/>
            </w:tcBorders>
          </w:tcPr>
          <w:p>
            <w:pPr>
              <w:spacing w:after="0"/>
              <w:rPr>
                <w:sz w:val="19"/>
                <w:szCs w:val="19"/>
                <w:color w:val="auto"/>
              </w:rPr>
            </w:pPr>
          </w:p>
        </w:tc>
      </w:tr>
      <w:tr>
        <w:trPr>
          <w:trHeight w:val="244"/>
        </w:trPr>
        <w:tc>
          <w:tcPr>
            <w:tcW w:w="6340" w:type="dxa"/>
            <w:vAlign w:val="bottom"/>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Cash (inflows) outflows from U.S. Accounts Receivable Sales Program</w:t>
            </w:r>
            <w:r>
              <w:rPr>
                <w:rFonts w:ascii="Times New Roman" w:cs="Times New Roman" w:eastAsia="Times New Roman" w:hAnsi="Times New Roman"/>
                <w:sz w:val="25"/>
                <w:szCs w:val="25"/>
                <w:color w:val="auto"/>
                <w:vertAlign w:val="superscript"/>
              </w:rPr>
              <w:t>(a)</w:t>
            </w:r>
          </w:p>
        </w:tc>
        <w:tc>
          <w:tcPr>
            <w:tcW w:w="300" w:type="dxa"/>
            <w:vAlign w:val="bottom"/>
            <w:shd w:val="clear" w:color="auto" w:fill="D5EFF4"/>
          </w:tcPr>
          <w:p>
            <w:pPr>
              <w:spacing w:after="0"/>
              <w:rPr>
                <w:sz w:val="21"/>
                <w:szCs w:val="21"/>
                <w:color w:val="auto"/>
              </w:rPr>
            </w:pPr>
          </w:p>
        </w:tc>
        <w:tc>
          <w:tcPr>
            <w:tcW w:w="128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7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00" w:type="dxa"/>
            <w:vAlign w:val="bottom"/>
            <w:shd w:val="clear" w:color="auto" w:fill="D5EFF4"/>
          </w:tcPr>
          <w:p>
            <w:pPr>
              <w:spacing w:after="0"/>
              <w:rPr>
                <w:sz w:val="21"/>
                <w:szCs w:val="21"/>
                <w:color w:val="auto"/>
              </w:rPr>
            </w:pPr>
          </w:p>
        </w:tc>
      </w:tr>
      <w:tr>
        <w:trPr>
          <w:trHeight w:val="244"/>
        </w:trPr>
        <w:tc>
          <w:tcPr>
            <w:tcW w:w="634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Cash (inflows) outflows from Foreign Accounts Receivable Sales Program</w:t>
            </w:r>
            <w:r>
              <w:rPr>
                <w:rFonts w:ascii="Times New Roman" w:cs="Times New Roman" w:eastAsia="Times New Roman" w:hAnsi="Times New Roman"/>
                <w:sz w:val="25"/>
                <w:szCs w:val="25"/>
                <w:color w:val="auto"/>
                <w:vertAlign w:val="superscript"/>
              </w:rPr>
              <w:t>(b)</w:t>
            </w:r>
          </w:p>
        </w:tc>
        <w:tc>
          <w:tcPr>
            <w:tcW w:w="300" w:type="dxa"/>
            <w:vAlign w:val="bottom"/>
          </w:tcPr>
          <w:p>
            <w:pPr>
              <w:spacing w:after="0"/>
              <w:rPr>
                <w:sz w:val="21"/>
                <w:szCs w:val="21"/>
                <w:color w:val="auto"/>
              </w:rPr>
            </w:pP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340" w:type="dxa"/>
            <w:vAlign w:val="bottom"/>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Restructuring-related payments</w:t>
            </w:r>
            <w:r>
              <w:rPr>
                <w:rFonts w:ascii="Times New Roman" w:cs="Times New Roman" w:eastAsia="Times New Roman" w:hAnsi="Times New Roman"/>
                <w:sz w:val="25"/>
                <w:szCs w:val="25"/>
                <w:color w:val="auto"/>
                <w:vertAlign w:val="superscript"/>
              </w:rPr>
              <w:t>(c)</w:t>
            </w:r>
          </w:p>
        </w:tc>
        <w:tc>
          <w:tcPr>
            <w:tcW w:w="300" w:type="dxa"/>
            <w:vAlign w:val="bottom"/>
            <w:shd w:val="clear" w:color="auto" w:fill="D5EFF4"/>
          </w:tcPr>
          <w:p>
            <w:pPr>
              <w:spacing w:after="0"/>
              <w:rPr>
                <w:sz w:val="21"/>
                <w:szCs w:val="21"/>
                <w:color w:val="auto"/>
              </w:rPr>
            </w:pPr>
          </w:p>
        </w:tc>
        <w:tc>
          <w:tcPr>
            <w:tcW w:w="128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34</w:t>
            </w:r>
          </w:p>
        </w:tc>
        <w:tc>
          <w:tcPr>
            <w:tcW w:w="1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7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0" w:type="dxa"/>
            <w:vAlign w:val="bottom"/>
            <w:shd w:val="clear" w:color="auto" w:fill="D5EFF4"/>
          </w:tcPr>
          <w:p>
            <w:pPr>
              <w:spacing w:after="0"/>
              <w:rPr>
                <w:sz w:val="21"/>
                <w:szCs w:val="21"/>
                <w:color w:val="auto"/>
              </w:rPr>
            </w:pPr>
          </w:p>
        </w:tc>
      </w:tr>
      <w:tr>
        <w:trPr>
          <w:trHeight w:val="244"/>
        </w:trPr>
        <w:tc>
          <w:tcPr>
            <w:tcW w:w="6340" w:type="dxa"/>
            <w:vAlign w:val="bottom"/>
            <w:tcBorders>
              <w:bottom w:val="single" w:sz="8" w:color="D5EFF4"/>
            </w:tcBorders>
          </w:tcPr>
          <w:p>
            <w:pPr>
              <w:spacing w:after="0" w:line="244" w:lineRule="exact"/>
              <w:rPr>
                <w:sz w:val="20"/>
                <w:szCs w:val="20"/>
                <w:color w:val="auto"/>
              </w:rPr>
            </w:pPr>
            <w:r>
              <w:rPr>
                <w:rFonts w:ascii="Times New Roman" w:cs="Times New Roman" w:eastAsia="Times New Roman" w:hAnsi="Times New Roman"/>
                <w:sz w:val="20"/>
                <w:szCs w:val="20"/>
                <w:color w:val="auto"/>
              </w:rPr>
              <w:t>Environmental and related litigation payments</w:t>
            </w:r>
            <w:r>
              <w:rPr>
                <w:rFonts w:ascii="Times New Roman" w:cs="Times New Roman" w:eastAsia="Times New Roman" w:hAnsi="Times New Roman"/>
                <w:sz w:val="25"/>
                <w:szCs w:val="25"/>
                <w:color w:val="auto"/>
                <w:vertAlign w:val="superscript"/>
              </w:rPr>
              <w:t>(d)</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Borders>
              <w:bottom w:val="single" w:sz="8" w:color="D5EFF4"/>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Borders>
              <w:bottom w:val="single" w:sz="8" w:color="D5EFF4"/>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00" w:type="dxa"/>
            <w:vAlign w:val="bottom"/>
            <w:tcBorders>
              <w:bottom w:val="single" w:sz="8" w:color="auto"/>
            </w:tcBorders>
          </w:tcPr>
          <w:p>
            <w:pPr>
              <w:spacing w:after="0"/>
              <w:rPr>
                <w:sz w:val="21"/>
                <w:szCs w:val="21"/>
                <w:color w:val="auto"/>
              </w:rPr>
            </w:pPr>
          </w:p>
        </w:tc>
      </w:tr>
      <w:tr>
        <w:trPr>
          <w:trHeight w:val="259"/>
        </w:trPr>
        <w:tc>
          <w:tcPr>
            <w:tcW w:w="634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Ongoing Free Cash Flow</w:t>
            </w:r>
          </w:p>
        </w:tc>
        <w:tc>
          <w:tcPr>
            <w:tcW w:w="300" w:type="dxa"/>
            <w:vAlign w:val="bottom"/>
            <w:tcBorders>
              <w:bottom w:val="single" w:sz="8" w:color="auto"/>
            </w:tcBorders>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127</w:t>
            </w:r>
          </w:p>
        </w:tc>
        <w:tc>
          <w:tcPr>
            <w:tcW w:w="100" w:type="dxa"/>
            <w:vAlign w:val="bottom"/>
            <w:tcBorders>
              <w:bottom w:val="single" w:sz="8" w:color="D5EFF4"/>
            </w:tcBorders>
            <w:shd w:val="clear" w:color="auto" w:fill="D5EFF4"/>
          </w:tcPr>
          <w:p>
            <w:pPr>
              <w:spacing w:after="0"/>
              <w:rPr>
                <w:sz w:val="22"/>
                <w:szCs w:val="22"/>
                <w:color w:val="auto"/>
              </w:rPr>
            </w:pPr>
          </w:p>
        </w:tc>
        <w:tc>
          <w:tcPr>
            <w:tcW w:w="1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270</w:t>
            </w:r>
          </w:p>
        </w:tc>
        <w:tc>
          <w:tcPr>
            <w:tcW w:w="100" w:type="dxa"/>
            <w:vAlign w:val="bottom"/>
            <w:tcBorders>
              <w:bottom w:val="single" w:sz="8" w:color="D5EFF4"/>
            </w:tcBorders>
            <w:shd w:val="clear" w:color="auto" w:fill="D5EFF4"/>
          </w:tcPr>
          <w:p>
            <w:pPr>
              <w:spacing w:after="0"/>
              <w:rPr>
                <w:sz w:val="22"/>
                <w:szCs w:val="22"/>
                <w:color w:val="auto"/>
              </w:rPr>
            </w:pPr>
          </w:p>
        </w:tc>
        <w:tc>
          <w:tcPr>
            <w:tcW w:w="1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200" w:type="dxa"/>
            <w:vAlign w:val="bottom"/>
            <w:tcBorders>
              <w:bottom w:val="single" w:sz="8" w:color="auto"/>
            </w:tcBorders>
            <w:shd w:val="clear" w:color="auto" w:fill="D5EFF4"/>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9"/>
        </w:trPr>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63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300" w:type="dxa"/>
            <w:vAlign w:val="bottom"/>
            <w:shd w:val="clear" w:color="auto" w:fill="D5EFF4"/>
          </w:tcPr>
          <w:p>
            <w:pPr>
              <w:spacing w:after="0"/>
              <w:rPr>
                <w:sz w:val="21"/>
                <w:szCs w:val="21"/>
                <w:color w:val="auto"/>
              </w:rPr>
            </w:pPr>
          </w:p>
        </w:tc>
        <w:tc>
          <w:tcPr>
            <w:tcW w:w="1280" w:type="dxa"/>
            <w:vAlign w:val="bottom"/>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(845)</w:t>
            </w:r>
          </w:p>
        </w:tc>
        <w:tc>
          <w:tcPr>
            <w:tcW w:w="1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169</w:t>
            </w:r>
          </w:p>
        </w:tc>
        <w:tc>
          <w:tcPr>
            <w:tcW w:w="1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7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200" w:type="dxa"/>
            <w:vAlign w:val="bottom"/>
            <w:shd w:val="clear" w:color="auto" w:fill="D5EFF4"/>
          </w:tcPr>
          <w:p>
            <w:pPr>
              <w:spacing w:after="0"/>
              <w:rPr>
                <w:sz w:val="21"/>
                <w:szCs w:val="21"/>
                <w:color w:val="auto"/>
              </w:rPr>
            </w:pPr>
          </w:p>
        </w:tc>
      </w:tr>
      <w:tr>
        <w:trPr>
          <w:trHeight w:val="244"/>
        </w:trPr>
        <w:tc>
          <w:tcPr>
            <w:tcW w:w="634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(e)</w:t>
            </w:r>
          </w:p>
        </w:tc>
        <w:tc>
          <w:tcPr>
            <w:tcW w:w="300" w:type="dxa"/>
            <w:vAlign w:val="bottom"/>
          </w:tcPr>
          <w:p>
            <w:pPr>
              <w:spacing w:after="0"/>
              <w:rPr>
                <w:sz w:val="21"/>
                <w:szCs w:val="21"/>
                <w:color w:val="auto"/>
              </w:rPr>
            </w:pP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200" w:type="dxa"/>
            <w:vAlign w:val="bottom"/>
          </w:tcPr>
          <w:p>
            <w:pPr>
              <w:spacing w:after="0"/>
              <w:rPr>
                <w:sz w:val="21"/>
                <w:szCs w:val="21"/>
                <w:color w:val="auto"/>
              </w:rPr>
            </w:pPr>
          </w:p>
        </w:tc>
      </w:tr>
      <w:tr>
        <w:trPr>
          <w:trHeight w:val="244"/>
        </w:trPr>
        <w:tc>
          <w:tcPr>
            <w:tcW w:w="6340" w:type="dxa"/>
            <w:vAlign w:val="bottom"/>
            <w:shd w:val="clear" w:color="auto" w:fill="D5EFF4"/>
          </w:tcPr>
          <w:p>
            <w:pPr>
              <w:spacing w:after="0"/>
              <w:rPr>
                <w:sz w:val="21"/>
                <w:szCs w:val="21"/>
                <w:color w:val="auto"/>
              </w:rPr>
            </w:pPr>
          </w:p>
        </w:tc>
        <w:tc>
          <w:tcPr>
            <w:tcW w:w="1580" w:type="dxa"/>
            <w:vAlign w:val="bottom"/>
            <w:gridSpan w:val="2"/>
            <w:shd w:val="clear" w:color="auto" w:fill="D5EFF4"/>
          </w:tcPr>
          <w:p>
            <w:pPr>
              <w:spacing w:after="0"/>
              <w:rPr>
                <w:sz w:val="21"/>
                <w:szCs w:val="21"/>
                <w:color w:val="auto"/>
              </w:rPr>
            </w:pPr>
          </w:p>
        </w:tc>
        <w:tc>
          <w:tcPr>
            <w:tcW w:w="1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900" w:type="dxa"/>
            <w:vAlign w:val="bottom"/>
            <w:shd w:val="clear" w:color="auto" w:fill="D5EFF4"/>
          </w:tcPr>
          <w:p>
            <w:pPr>
              <w:spacing w:after="0"/>
              <w:rPr>
                <w:sz w:val="21"/>
                <w:szCs w:val="21"/>
                <w:color w:val="auto"/>
              </w:rPr>
            </w:pPr>
          </w:p>
        </w:tc>
        <w:tc>
          <w:tcPr>
            <w:tcW w:w="1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700" w:type="dxa"/>
            <w:vAlign w:val="bottom"/>
            <w:shd w:val="clear" w:color="auto" w:fill="D5EFF4"/>
          </w:tcPr>
          <w:p>
            <w:pPr>
              <w:spacing w:after="0"/>
              <w:rPr>
                <w:sz w:val="21"/>
                <w:szCs w:val="21"/>
                <w:color w:val="auto"/>
              </w:rPr>
            </w:pPr>
          </w:p>
        </w:tc>
        <w:tc>
          <w:tcPr>
            <w:tcW w:w="200" w:type="dxa"/>
            <w:vAlign w:val="bottom"/>
            <w:shd w:val="clear" w:color="auto" w:fill="D5EFF4"/>
          </w:tcPr>
          <w:p>
            <w:pPr>
              <w:spacing w:after="0"/>
              <w:rPr>
                <w:sz w:val="21"/>
                <w:szCs w:val="21"/>
                <w:color w:val="auto"/>
              </w:rPr>
            </w:pPr>
          </w:p>
        </w:tc>
      </w:tr>
      <w:tr>
        <w:trPr>
          <w:trHeight w:val="244"/>
        </w:trPr>
        <w:tc>
          <w:tcPr>
            <w:tcW w:w="634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Operating Cash Flow Conversion</w:t>
            </w:r>
            <w:r>
              <w:rPr>
                <w:rFonts w:ascii="Times New Roman" w:cs="Times New Roman" w:eastAsia="Times New Roman" w:hAnsi="Times New Roman"/>
                <w:sz w:val="25"/>
                <w:szCs w:val="25"/>
                <w:color w:val="auto"/>
                <w:vertAlign w:val="superscript"/>
              </w:rPr>
              <w:t>(f)</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Not meaningful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165%</w:t>
            </w:r>
          </w:p>
        </w:tc>
      </w:tr>
      <w:tr>
        <w:trPr>
          <w:trHeight w:val="244"/>
        </w:trPr>
        <w:tc>
          <w:tcPr>
            <w:tcW w:w="6340" w:type="dxa"/>
            <w:vAlign w:val="bottom"/>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Ongoing Free Cash Flow Conversion</w:t>
            </w:r>
            <w:r>
              <w:rPr>
                <w:rFonts w:ascii="Times New Roman" w:cs="Times New Roman" w:eastAsia="Times New Roman" w:hAnsi="Times New Roman"/>
                <w:sz w:val="25"/>
                <w:szCs w:val="25"/>
                <w:color w:val="auto"/>
                <w:vertAlign w:val="superscript"/>
              </w:rPr>
              <w:t>(g)</w:t>
            </w:r>
          </w:p>
        </w:tc>
        <w:tc>
          <w:tcPr>
            <w:tcW w:w="300" w:type="dxa"/>
            <w:vAlign w:val="bottom"/>
            <w:shd w:val="clear" w:color="auto" w:fill="D5EFF4"/>
          </w:tcPr>
          <w:p>
            <w:pPr>
              <w:spacing w:after="0"/>
              <w:rPr>
                <w:sz w:val="21"/>
                <w:szCs w:val="21"/>
                <w:color w:val="auto"/>
              </w:rPr>
            </w:pPr>
          </w:p>
        </w:tc>
        <w:tc>
          <w:tcPr>
            <w:tcW w:w="12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9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900" w:type="dxa"/>
            <w:vAlign w:val="bottom"/>
            <w:gridSpan w:val="2"/>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47%</w:t>
            </w:r>
          </w:p>
        </w:tc>
      </w:tr>
      <w:tr>
        <w:trPr>
          <w:trHeight w:val="83"/>
        </w:trPr>
        <w:tc>
          <w:tcPr>
            <w:tcW w:w="6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-2621280</wp:posOffset>
            </wp:positionV>
            <wp:extent cx="2381250"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61">
                      <a:extLst>
                        <a:ext uri="{28A0092B-C50C-407E-A947-70E740481C1C}"/>
                      </a:extLst>
                    </a:blip>
                    <a:srcRect/>
                    <a:stretch>
                      <a:fillRect/>
                    </a:stretch>
                  </pic:blipFill>
                  <pic:spPr bwMode="auto">
                    <a:xfrm>
                      <a:off x="0" y="0"/>
                      <a:ext cx="2381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-2456815</wp:posOffset>
            </wp:positionV>
            <wp:extent cx="6414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62">
                      <a:extLst>
                        <a:ext uri="{28A0092B-C50C-407E-A947-70E740481C1C}"/>
                      </a:extLst>
                    </a:blip>
                    <a:srcRect/>
                    <a:stretch>
                      <a:fillRect/>
                    </a:stretch>
                  </pic:blipFill>
                  <pic:spPr bwMode="auto">
                    <a:xfrm>
                      <a:off x="0" y="0"/>
                      <a:ext cx="641413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14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63">
                      <a:extLst>
                        <a:ext uri="{28A0092B-C50C-407E-A947-70E740481C1C}"/>
                      </a:extLst>
                    </a:blip>
                    <a:srcRect/>
                    <a:stretch>
                      <a:fillRect/>
                    </a:stretch>
                  </pic:blipFill>
                  <pic:spPr bwMode="auto">
                    <a:xfrm>
                      <a:off x="0" y="0"/>
                      <a:ext cx="6414135" cy="38100"/>
                    </a:xfrm>
                    <a:prstGeom prst="rect">
                      <a:avLst/>
                    </a:prstGeom>
                    <a:noFill/>
                  </pic:spPr>
                </pic:pic>
              </a:graphicData>
            </a:graphic>
          </wp:anchor>
        </w:drawing>
      </w:r>
    </w:p>
    <w:p>
      <w:pPr>
        <w:spacing w:after="0" w:line="5" w:lineRule="exact"/>
        <w:rPr>
          <w:sz w:val="20"/>
          <w:szCs w:val="20"/>
          <w:color w:val="auto"/>
        </w:rPr>
      </w:pPr>
    </w:p>
    <w:p>
      <w:pPr>
        <w:ind w:left="566" w:hanging="566"/>
        <w:spacing w:after="0"/>
        <w:tabs>
          <w:tab w:leader="none" w:pos="56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activity associated with the U.S. Accounts Receivable Sales Program impacting each period presented.</w:t>
      </w:r>
    </w:p>
    <w:p>
      <w:pPr>
        <w:spacing w:after="0" w:line="76"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activity associated with the Foreign Accounts Receivable Sales Program impacting each period presented.</w:t>
      </w:r>
    </w:p>
    <w:p>
      <w:pPr>
        <w:spacing w:after="0" w:line="76"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payments incurred during each period.</w:t>
      </w:r>
    </w:p>
    <w:p>
      <w:pPr>
        <w:spacing w:after="0" w:line="76"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outflows associated with environmental and related litigation payments which will be reimbursed by the environmental trust.</w:t>
      </w:r>
    </w:p>
    <w:p>
      <w:pPr>
        <w:spacing w:after="0" w:line="76"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Adjusted EBITDA reconciliation.</w:t>
      </w:r>
    </w:p>
    <w:p>
      <w:pPr>
        <w:spacing w:after="0" w:line="76"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Cash Flow Conversion is defined as Cash flows provided by operating activities from continuing operations divided by net income (loss).</w:t>
      </w:r>
    </w:p>
    <w:p>
      <w:pPr>
        <w:spacing w:after="0" w:line="76"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Ongoing Free Cash Flow Conversion is defined as Ongoing Free Cash Flow divided by Adjusted EBITDA.</w:t>
      </w:r>
    </w:p>
    <w:p>
      <w:pPr>
        <w:spacing w:after="0" w:line="152" w:lineRule="exact"/>
        <w:rPr>
          <w:sz w:val="20"/>
          <w:szCs w:val="20"/>
          <w:color w:val="auto"/>
        </w:rPr>
      </w:pPr>
    </w:p>
    <w:p>
      <w:pPr>
        <w:jc w:val="both"/>
        <w:ind w:left="6" w:firstLine="360"/>
        <w:spacing w:after="0" w:line="293" w:lineRule="auto"/>
        <w:rPr>
          <w:sz w:val="20"/>
          <w:szCs w:val="20"/>
          <w:color w:val="auto"/>
        </w:rPr>
      </w:pPr>
      <w:r>
        <w:rPr>
          <w:rFonts w:ascii="Times New Roman" w:cs="Times New Roman" w:eastAsia="Times New Roman" w:hAnsi="Times New Roman"/>
          <w:sz w:val="20"/>
          <w:szCs w:val="20"/>
          <w:color w:val="auto"/>
        </w:rPr>
        <w:t>Working capital (current assets minus current liabilities, excluding long-term debt due within one year) amounted to $782 million and $705 million as of September 30, 2025 and 2024, respectively. The $77 million increase in working capital was driven by a higher trade working capital (accounts receivable and inventories minus trade and other payables and accrued expenses and other liabilities), including sales of foreign accounts receivables under the Foreign Accounts Receivable Sales Program, and other assets, partially offset by a reduction in cash and cash equivalent. The $143 million decrease in Ongoing Free Cash Flows between periods was primarily a result of increased trade working capital compared to the prior year. Liquid assets (cash, cash equivalents and accounts receivable) amounted to 108% and 111% of current liabilities as of September 30, 2025 and 2024, respectively.</w:t>
      </w:r>
    </w:p>
    <w:p>
      <w:pPr>
        <w:spacing w:after="0" w:line="82"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auto"/>
        </w:rPr>
        <w:t>The following summary reflects Ashland’s cash, cash equivalents, investment securities and unused borrowing capacity as</w:t>
      </w:r>
    </w:p>
    <w:p>
      <w:pPr>
        <w:spacing w:after="0" w:line="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652970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64">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249"/>
        </w:trPr>
        <w:tc>
          <w:tcPr>
            <w:tcW w:w="5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September 30</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180" w:type="dxa"/>
            <w:vAlign w:val="bottom"/>
          </w:tcPr>
          <w:p>
            <w:pPr>
              <w:spacing w:after="0"/>
              <w:rPr>
                <w:sz w:val="20"/>
                <w:szCs w:val="20"/>
                <w:color w:val="auto"/>
              </w:rPr>
            </w:pPr>
          </w:p>
        </w:tc>
        <w:tc>
          <w:tcPr>
            <w:tcW w:w="110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rPr>
              <w:t>2025</w:t>
            </w:r>
          </w:p>
        </w:tc>
        <w:tc>
          <w:tcPr>
            <w:tcW w:w="380" w:type="dxa"/>
            <w:vAlign w:val="bottom"/>
          </w:tcPr>
          <w:p>
            <w:pPr>
              <w:spacing w:after="0"/>
              <w:rPr>
                <w:sz w:val="20"/>
                <w:szCs w:val="20"/>
                <w:color w:val="auto"/>
              </w:rPr>
            </w:pPr>
          </w:p>
        </w:tc>
        <w:tc>
          <w:tcPr>
            <w:tcW w:w="110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rPr>
              <w:t>2024</w:t>
            </w:r>
          </w:p>
        </w:tc>
        <w:tc>
          <w:tcPr>
            <w:tcW w:w="380" w:type="dxa"/>
            <w:vAlign w:val="bottom"/>
          </w:tcPr>
          <w:p>
            <w:pPr>
              <w:spacing w:after="0"/>
              <w:rPr>
                <w:sz w:val="20"/>
                <w:szCs w:val="20"/>
                <w:color w:val="auto"/>
              </w:rPr>
            </w:pPr>
          </w:p>
        </w:tc>
        <w:tc>
          <w:tcPr>
            <w:tcW w:w="10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bottom w:val="single" w:sz="8" w:color="auto"/>
            </w:tcBorders>
          </w:tcPr>
          <w:p>
            <w:pPr>
              <w:spacing w:after="0"/>
              <w:rPr>
                <w:sz w:val="20"/>
                <w:szCs w:val="20"/>
                <w:color w:val="auto"/>
              </w:rPr>
            </w:pPr>
          </w:p>
        </w:tc>
      </w:tr>
      <w:tr>
        <w:trPr>
          <w:trHeight w:val="239"/>
        </w:trPr>
        <w:tc>
          <w:tcPr>
            <w:tcW w:w="50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Cash, cash equivalents and investment securities</w:t>
            </w:r>
          </w:p>
        </w:tc>
        <w:tc>
          <w:tcPr>
            <w:tcW w:w="1180" w:type="dxa"/>
            <w:vAlign w:val="bottom"/>
            <w:shd w:val="clear" w:color="auto" w:fill="D5EFF4"/>
          </w:tcPr>
          <w:p>
            <w:pPr>
              <w:spacing w:after="0"/>
              <w:rPr>
                <w:sz w:val="20"/>
                <w:szCs w:val="20"/>
                <w:color w:val="auto"/>
              </w:rPr>
            </w:pPr>
          </w:p>
        </w:tc>
        <w:tc>
          <w:tcPr>
            <w:tcW w:w="1100" w:type="dxa"/>
            <w:vAlign w:val="bottom"/>
            <w:shd w:val="clear" w:color="auto" w:fill="D5EFF4"/>
          </w:tcPr>
          <w:p>
            <w:pPr>
              <w:spacing w:after="0"/>
              <w:rPr>
                <w:sz w:val="20"/>
                <w:szCs w:val="20"/>
                <w:color w:val="auto"/>
              </w:rPr>
            </w:pPr>
          </w:p>
        </w:tc>
        <w:tc>
          <w:tcPr>
            <w:tcW w:w="380" w:type="dxa"/>
            <w:vAlign w:val="bottom"/>
            <w:shd w:val="clear" w:color="auto" w:fill="D5EFF4"/>
          </w:tcPr>
          <w:p>
            <w:pPr>
              <w:spacing w:after="0"/>
              <w:rPr>
                <w:sz w:val="20"/>
                <w:szCs w:val="20"/>
                <w:color w:val="auto"/>
              </w:rPr>
            </w:pPr>
          </w:p>
        </w:tc>
        <w:tc>
          <w:tcPr>
            <w:tcW w:w="1100" w:type="dxa"/>
            <w:vAlign w:val="bottom"/>
            <w:shd w:val="clear" w:color="auto" w:fill="D5EFF4"/>
          </w:tcPr>
          <w:p>
            <w:pPr>
              <w:spacing w:after="0"/>
              <w:rPr>
                <w:sz w:val="20"/>
                <w:szCs w:val="20"/>
                <w:color w:val="auto"/>
              </w:rPr>
            </w:pPr>
          </w:p>
        </w:tc>
        <w:tc>
          <w:tcPr>
            <w:tcW w:w="380" w:type="dxa"/>
            <w:vAlign w:val="bottom"/>
            <w:shd w:val="clear" w:color="auto" w:fill="D5EFF4"/>
          </w:tcPr>
          <w:p>
            <w:pPr>
              <w:spacing w:after="0"/>
              <w:rPr>
                <w:sz w:val="20"/>
                <w:szCs w:val="20"/>
                <w:color w:val="auto"/>
              </w:rPr>
            </w:pPr>
          </w:p>
        </w:tc>
        <w:tc>
          <w:tcPr>
            <w:tcW w:w="1000" w:type="dxa"/>
            <w:vAlign w:val="bottom"/>
            <w:shd w:val="clear" w:color="auto" w:fill="D5EFF4"/>
          </w:tcPr>
          <w:p>
            <w:pPr>
              <w:spacing w:after="0"/>
              <w:rPr>
                <w:sz w:val="20"/>
                <w:szCs w:val="20"/>
                <w:color w:val="auto"/>
              </w:rPr>
            </w:pPr>
          </w:p>
        </w:tc>
        <w:tc>
          <w:tcPr>
            <w:tcW w:w="60" w:type="dxa"/>
            <w:vAlign w:val="bottom"/>
            <w:shd w:val="clear" w:color="auto" w:fill="D5EFF4"/>
          </w:tcPr>
          <w:p>
            <w:pPr>
              <w:spacing w:after="0"/>
              <w:rPr>
                <w:sz w:val="20"/>
                <w:szCs w:val="20"/>
                <w:color w:val="auto"/>
              </w:rPr>
            </w:pPr>
          </w:p>
        </w:tc>
      </w:tr>
      <w:tr>
        <w:trPr>
          <w:trHeight w:val="244"/>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215</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300</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60" w:type="dxa"/>
            <w:vAlign w:val="bottom"/>
          </w:tcPr>
          <w:p>
            <w:pPr>
              <w:spacing w:after="0"/>
              <w:rPr>
                <w:sz w:val="21"/>
                <w:szCs w:val="21"/>
                <w:color w:val="auto"/>
              </w:rPr>
            </w:pPr>
          </w:p>
        </w:tc>
      </w:tr>
      <w:tr>
        <w:trPr>
          <w:trHeight w:val="244"/>
        </w:trPr>
        <w:tc>
          <w:tcPr>
            <w:tcW w:w="5040" w:type="dxa"/>
            <w:vAlign w:val="bottom"/>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Restricted investments</w:t>
            </w:r>
            <w:r>
              <w:rPr>
                <w:rFonts w:ascii="Times New Roman" w:cs="Times New Roman" w:eastAsia="Times New Roman" w:hAnsi="Times New Roman"/>
                <w:sz w:val="25"/>
                <w:szCs w:val="25"/>
                <w:color w:val="auto"/>
                <w:vertAlign w:val="superscript"/>
              </w:rPr>
              <w:t>(a)</w:t>
            </w:r>
          </w:p>
        </w:tc>
        <w:tc>
          <w:tcPr>
            <w:tcW w:w="118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347</w:t>
            </w:r>
          </w:p>
        </w:tc>
        <w:tc>
          <w:tcPr>
            <w:tcW w:w="38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368</w:t>
            </w:r>
          </w:p>
        </w:tc>
        <w:tc>
          <w:tcPr>
            <w:tcW w:w="380" w:type="dxa"/>
            <w:vAlign w:val="bottom"/>
            <w:shd w:val="clear" w:color="auto" w:fill="D5EFF4"/>
          </w:tcPr>
          <w:p>
            <w:pPr>
              <w:spacing w:after="0"/>
              <w:rPr>
                <w:sz w:val="21"/>
                <w:szCs w:val="21"/>
                <w:color w:val="auto"/>
              </w:rPr>
            </w:pPr>
          </w:p>
        </w:tc>
        <w:tc>
          <w:tcPr>
            <w:tcW w:w="10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60" w:type="dxa"/>
            <w:vAlign w:val="bottom"/>
            <w:shd w:val="clear" w:color="auto" w:fill="D5EFF4"/>
          </w:tcPr>
          <w:p>
            <w:pPr>
              <w:spacing w:after="0"/>
              <w:rPr>
                <w:sz w:val="21"/>
                <w:szCs w:val="21"/>
                <w:color w:val="auto"/>
              </w:rPr>
            </w:pPr>
          </w:p>
        </w:tc>
      </w:tr>
      <w:tr>
        <w:trPr>
          <w:trHeight w:val="244"/>
        </w:trPr>
        <w:tc>
          <w:tcPr>
            <w:tcW w:w="5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50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Unused borrowing capacity</w:t>
            </w:r>
          </w:p>
        </w:tc>
        <w:tc>
          <w:tcPr>
            <w:tcW w:w="1180" w:type="dxa"/>
            <w:vAlign w:val="bottom"/>
            <w:shd w:val="clear" w:color="auto" w:fill="D5EFF4"/>
          </w:tcPr>
          <w:p>
            <w:pPr>
              <w:spacing w:after="0"/>
              <w:rPr>
                <w:sz w:val="21"/>
                <w:szCs w:val="21"/>
                <w:color w:val="auto"/>
              </w:rPr>
            </w:pPr>
          </w:p>
        </w:tc>
        <w:tc>
          <w:tcPr>
            <w:tcW w:w="1100" w:type="dxa"/>
            <w:vAlign w:val="bottom"/>
            <w:shd w:val="clear" w:color="auto" w:fill="D5EFF4"/>
          </w:tcPr>
          <w:p>
            <w:pPr>
              <w:spacing w:after="0"/>
              <w:rPr>
                <w:sz w:val="21"/>
                <w:szCs w:val="21"/>
                <w:color w:val="auto"/>
              </w:rPr>
            </w:pPr>
          </w:p>
        </w:tc>
        <w:tc>
          <w:tcPr>
            <w:tcW w:w="380" w:type="dxa"/>
            <w:vAlign w:val="bottom"/>
            <w:shd w:val="clear" w:color="auto" w:fill="D5EFF4"/>
          </w:tcPr>
          <w:p>
            <w:pPr>
              <w:spacing w:after="0"/>
              <w:rPr>
                <w:sz w:val="21"/>
                <w:szCs w:val="21"/>
                <w:color w:val="auto"/>
              </w:rPr>
            </w:pPr>
          </w:p>
        </w:tc>
        <w:tc>
          <w:tcPr>
            <w:tcW w:w="1100" w:type="dxa"/>
            <w:vAlign w:val="bottom"/>
            <w:shd w:val="clear" w:color="auto" w:fill="D5EFF4"/>
          </w:tcPr>
          <w:p>
            <w:pPr>
              <w:spacing w:after="0"/>
              <w:rPr>
                <w:sz w:val="21"/>
                <w:szCs w:val="21"/>
                <w:color w:val="auto"/>
              </w:rPr>
            </w:pPr>
          </w:p>
        </w:tc>
        <w:tc>
          <w:tcPr>
            <w:tcW w:w="380" w:type="dxa"/>
            <w:vAlign w:val="bottom"/>
            <w:shd w:val="clear" w:color="auto" w:fill="D5EFF4"/>
          </w:tcPr>
          <w:p>
            <w:pPr>
              <w:spacing w:after="0"/>
              <w:rPr>
                <w:sz w:val="21"/>
                <w:szCs w:val="21"/>
                <w:color w:val="auto"/>
              </w:rPr>
            </w:pPr>
          </w:p>
        </w:tc>
        <w:tc>
          <w:tcPr>
            <w:tcW w:w="1000" w:type="dxa"/>
            <w:vAlign w:val="bottom"/>
            <w:shd w:val="clear" w:color="auto" w:fill="D5EFF4"/>
          </w:tcPr>
          <w:p>
            <w:pPr>
              <w:spacing w:after="0"/>
              <w:rPr>
                <w:sz w:val="21"/>
                <w:szCs w:val="21"/>
                <w:color w:val="auto"/>
              </w:rPr>
            </w:pPr>
          </w:p>
        </w:tc>
        <w:tc>
          <w:tcPr>
            <w:tcW w:w="60" w:type="dxa"/>
            <w:vAlign w:val="bottom"/>
            <w:shd w:val="clear" w:color="auto" w:fill="D5EFF4"/>
          </w:tcPr>
          <w:p>
            <w:pPr>
              <w:spacing w:after="0"/>
              <w:rPr>
                <w:sz w:val="21"/>
                <w:szCs w:val="21"/>
                <w:color w:val="auto"/>
              </w:rPr>
            </w:pPr>
          </w:p>
        </w:tc>
      </w:tr>
      <w:tr>
        <w:trPr>
          <w:trHeight w:val="244"/>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Revolving credit facility</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596</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596</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w:t>
            </w:r>
          </w:p>
        </w:tc>
        <w:tc>
          <w:tcPr>
            <w:tcW w:w="60" w:type="dxa"/>
            <w:vAlign w:val="bottom"/>
          </w:tcPr>
          <w:p>
            <w:pPr>
              <w:spacing w:after="0"/>
              <w:rPr>
                <w:sz w:val="21"/>
                <w:szCs w:val="21"/>
                <w:color w:val="auto"/>
              </w:rPr>
            </w:pPr>
          </w:p>
        </w:tc>
      </w:tr>
      <w:tr>
        <w:trPr>
          <w:trHeight w:val="244"/>
        </w:trPr>
        <w:tc>
          <w:tcPr>
            <w:tcW w:w="50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2018 accounts receivable securitization (foreign)</w:t>
            </w:r>
          </w:p>
        </w:tc>
        <w:tc>
          <w:tcPr>
            <w:tcW w:w="118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NA</w:t>
            </w:r>
          </w:p>
        </w:tc>
        <w:tc>
          <w:tcPr>
            <w:tcW w:w="38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NA</w:t>
            </w:r>
          </w:p>
        </w:tc>
        <w:tc>
          <w:tcPr>
            <w:tcW w:w="380" w:type="dxa"/>
            <w:vAlign w:val="bottom"/>
            <w:shd w:val="clear" w:color="auto" w:fill="D5EFF4"/>
          </w:tcPr>
          <w:p>
            <w:pPr>
              <w:spacing w:after="0"/>
              <w:rPr>
                <w:sz w:val="21"/>
                <w:szCs w:val="21"/>
                <w:color w:val="auto"/>
              </w:rPr>
            </w:pPr>
          </w:p>
        </w:tc>
        <w:tc>
          <w:tcPr>
            <w:tcW w:w="10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shd w:val="clear" w:color="auto" w:fill="D5EFF4"/>
          </w:tcPr>
          <w:p>
            <w:pPr>
              <w:spacing w:after="0"/>
              <w:rPr>
                <w:sz w:val="21"/>
                <w:szCs w:val="21"/>
                <w:color w:val="auto"/>
              </w:rPr>
            </w:pPr>
          </w:p>
        </w:tc>
      </w:tr>
      <w:tr>
        <w:trPr>
          <w:trHeight w:val="244"/>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U.S Accounts Receivable Sales Program</w:t>
            </w:r>
          </w:p>
        </w:tc>
        <w:tc>
          <w:tcPr>
            <w:tcW w:w="118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0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Foreign Accounts Receivable Sales Program</w:t>
            </w:r>
          </w:p>
        </w:tc>
        <w:tc>
          <w:tcPr>
            <w:tcW w:w="118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D5EFF4"/>
          </w:tcPr>
          <w:p>
            <w:pPr>
              <w:spacing w:after="0"/>
              <w:rPr>
                <w:sz w:val="21"/>
                <w:szCs w:val="21"/>
                <w:color w:val="auto"/>
              </w:rPr>
            </w:pPr>
          </w:p>
        </w:tc>
        <w:tc>
          <w:tcPr>
            <w:tcW w:w="11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D5EFF4"/>
          </w:tcPr>
          <w:p>
            <w:pPr>
              <w:spacing w:after="0"/>
              <w:rPr>
                <w:sz w:val="21"/>
                <w:szCs w:val="21"/>
                <w:color w:val="auto"/>
              </w:rPr>
            </w:pPr>
          </w:p>
        </w:tc>
        <w:tc>
          <w:tcPr>
            <w:tcW w:w="1060" w:type="dxa"/>
            <w:vAlign w:val="bottom"/>
            <w:gridSpan w:val="2"/>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83"/>
        </w:trPr>
        <w:tc>
          <w:tcPr>
            <w:tcW w:w="5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-1644015</wp:posOffset>
            </wp:positionV>
            <wp:extent cx="272097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65">
                      <a:extLst>
                        <a:ext uri="{28A0092B-C50C-407E-A947-70E740481C1C}"/>
                      </a:extLst>
                    </a:blip>
                    <a:srcRect/>
                    <a:stretch>
                      <a:fillRect/>
                    </a:stretch>
                  </pic:blipFill>
                  <pic:spPr bwMode="auto">
                    <a:xfrm>
                      <a:off x="0" y="0"/>
                      <a:ext cx="272097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-1480185</wp:posOffset>
            </wp:positionV>
            <wp:extent cx="650811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66">
                      <a:extLst>
                        <a:ext uri="{28A0092B-C50C-407E-A947-70E740481C1C}"/>
                      </a:extLst>
                    </a:blip>
                    <a:srcRect/>
                    <a:stretch>
                      <a:fillRect/>
                    </a:stretch>
                  </pic:blipFill>
                  <pic:spPr bwMode="auto">
                    <a:xfrm>
                      <a:off x="0" y="0"/>
                      <a:ext cx="650811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650811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67">
                      <a:extLst>
                        <a:ext uri="{28A0092B-C50C-407E-A947-70E740481C1C}"/>
                      </a:extLst>
                    </a:blip>
                    <a:srcRect/>
                    <a:stretch>
                      <a:fillRect/>
                    </a:stretch>
                  </pic:blipFill>
                  <pic:spPr bwMode="auto">
                    <a:xfrm>
                      <a:off x="0" y="0"/>
                      <a:ext cx="6508115" cy="38100"/>
                    </a:xfrm>
                    <a:prstGeom prst="rect">
                      <a:avLst/>
                    </a:prstGeom>
                    <a:noFill/>
                  </pic:spPr>
                </pic:pic>
              </a:graphicData>
            </a:graphic>
          </wp:anchor>
        </w:drawing>
      </w:r>
    </w:p>
    <w:p>
      <w:pPr>
        <w:spacing w:after="0" w:line="5" w:lineRule="exact"/>
        <w:rPr>
          <w:sz w:val="20"/>
          <w:szCs w:val="20"/>
          <w:color w:val="auto"/>
        </w:rPr>
      </w:pPr>
    </w:p>
    <w:p>
      <w:pPr>
        <w:ind w:left="566" w:hanging="566"/>
        <w:spacing w:after="0" w:line="277" w:lineRule="auto"/>
        <w:tabs>
          <w:tab w:leader="none" w:pos="56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$231 million, $248 million and $243 million related to the Asbestos trust and $116 million, $120 million and $124 million related to the Environmental trust as of September 30, 2025, 2024 and 2023 respectively.</w:t>
      </w:r>
    </w:p>
    <w:p>
      <w:pPr>
        <w:sectPr>
          <w:pgSz w:w="12240" w:h="15840" w:orient="portrait"/>
          <w:cols w:equalWidth="0" w:num="1">
            <w:col w:w="10246"/>
          </w:cols>
          <w:pgMar w:left="994" w:top="990" w:right="1000" w:bottom="186" w:gutter="0" w:footer="0" w:header="0"/>
        </w:sectPr>
      </w:pPr>
    </w:p>
    <w:p>
      <w:pPr>
        <w:spacing w:after="0" w:line="20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M-30</w:t>
      </w:r>
    </w:p>
    <w:p>
      <w:pPr>
        <w:sectPr>
          <w:pgSz w:w="12240" w:h="15840" w:orient="portrait"/>
          <w:cols w:equalWidth="0" w:num="1">
            <w:col w:w="10246"/>
          </w:cols>
          <w:pgMar w:left="994" w:top="990" w:right="1000" w:bottom="186" w:gutter="0" w:footer="0" w:header="0"/>
          <w:type w:val="continuous"/>
        </w:sectPr>
      </w:pPr>
    </w:p>
    <w:bookmarkStart w:id="88" w:name="page89"/>
    <w:bookmarkEnd w:id="88"/>
    <w:p>
      <w:pPr>
        <w:jc w:val="both"/>
        <w:ind w:left="6" w:right="20" w:firstLine="360"/>
        <w:spacing w:after="0" w:line="294" w:lineRule="auto"/>
        <w:rPr>
          <w:sz w:val="20"/>
          <w:szCs w:val="20"/>
          <w:color w:val="auto"/>
        </w:rPr>
      </w:pPr>
      <w:r>
        <w:rPr>
          <w:rFonts w:ascii="Times New Roman" w:cs="Times New Roman" w:eastAsia="Times New Roman" w:hAnsi="Times New Roman"/>
          <w:sz w:val="20"/>
          <w:szCs w:val="20"/>
          <w:color w:val="auto"/>
        </w:rPr>
        <w:t>The borrowing capacity remaining under the 2022 Credit Agreement was $596 million, which reflects the full $600 million Revolving Credit Facility less a reduction of $4 million for letters of credit outstanding at September 30, 2025. In total, Ashland’s available liquidity position, which includes cash and cash equivalents, the revolving credit facility, and accounts receivable securitization facilities, was $811 million at September 30, 2025, $896 million at September 30, 2024, and $1,115 million at September 30, 2023. Ashland had zero available liquidity under the U.S. and Foreign Accounts Receivable Sales Program as of September 30, 2025. Ashland also maintained $347 million of restricted investments at September 30, 2025 to pay for future asbestos claims and environmental remediation and related litigation.</w:t>
      </w:r>
    </w:p>
    <w:p>
      <w:pPr>
        <w:spacing w:after="0" w:line="76" w:lineRule="exact"/>
        <w:rPr>
          <w:sz w:val="20"/>
          <w:szCs w:val="20"/>
          <w:color w:val="auto"/>
        </w:rPr>
      </w:pPr>
    </w:p>
    <w:tbl>
      <w:tblPr>
        <w:tblLayout w:type="fixed"/>
        <w:tblInd w:w="6" w:type="dxa"/>
        <w:tblCellMar>
          <w:top w:w="0" w:type="dxa"/>
          <w:left w:w="0" w:type="dxa"/>
          <w:bottom w:w="0" w:type="dxa"/>
          <w:right w:w="0" w:type="dxa"/>
        </w:tblCellMar>
      </w:tblPr>
      <w:tr>
        <w:trPr>
          <w:trHeight w:val="274"/>
        </w:trPr>
        <w:tc>
          <w:tcPr>
            <w:tcW w:w="69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Capital resources</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6980" w:type="dxa"/>
            <w:vAlign w:val="bottom"/>
            <w:gridSpan w:val="5"/>
          </w:tcPr>
          <w:p>
            <w:pPr>
              <w:spacing w:after="0"/>
              <w:rPr>
                <w:sz w:val="20"/>
                <w:szCs w:val="20"/>
                <w:color w:val="auto"/>
              </w:rPr>
            </w:pPr>
            <w:r>
              <w:rPr>
                <w:rFonts w:ascii="Times New Roman" w:cs="Times New Roman" w:eastAsia="Times New Roman" w:hAnsi="Times New Roman"/>
                <w:sz w:val="20"/>
                <w:szCs w:val="20"/>
                <w:i w:val="1"/>
                <w:iCs w:val="1"/>
                <w:color w:val="auto"/>
              </w:rPr>
              <w:t>Debt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0" w:type="dxa"/>
            <w:vAlign w:val="bottom"/>
          </w:tcPr>
          <w:p>
            <w:pPr>
              <w:spacing w:after="0"/>
              <w:rPr>
                <w:sz w:val="24"/>
                <w:szCs w:val="24"/>
                <w:color w:val="auto"/>
              </w:rPr>
            </w:pPr>
          </w:p>
        </w:tc>
        <w:tc>
          <w:tcPr>
            <w:tcW w:w="67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The following summary reflects Ashland’s debt as of:</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highlight w:val="white"/>
                <w:w w:val="97"/>
              </w:rPr>
              <w:t>September 30</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7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00" w:type="dxa"/>
            <w:vAlign w:val="bottom"/>
            <w:tcBorders>
              <w:bottom w:val="single" w:sz="8" w:color="D5EFF4"/>
            </w:tcBorders>
            <w:gridSpan w:val="2"/>
          </w:tcPr>
          <w:p>
            <w:pPr>
              <w:spacing w:after="0" w:line="219" w:lineRule="exact"/>
              <w:rPr>
                <w:sz w:val="20"/>
                <w:szCs w:val="20"/>
                <w:color w:val="auto"/>
              </w:rPr>
            </w:pPr>
            <w:r>
              <w:rPr>
                <w:rFonts w:ascii="Times New Roman" w:cs="Times New Roman" w:eastAsia="Times New Roman" w:hAnsi="Times New Roman"/>
                <w:sz w:val="20"/>
                <w:szCs w:val="20"/>
                <w:color w:val="auto"/>
                <w:highlight w:val="white"/>
                <w:w w:val="97"/>
              </w:rPr>
              <w:t>(In millions)</w:t>
            </w:r>
          </w:p>
        </w:tc>
        <w:tc>
          <w:tcPr>
            <w:tcW w:w="20" w:type="dxa"/>
            <w:vAlign w:val="bottom"/>
            <w:tcBorders>
              <w:bottom w:val="single" w:sz="8" w:color="D5EFF4"/>
            </w:tcBorders>
            <w:vMerge w:val="continue"/>
          </w:tcPr>
          <w:p>
            <w:pPr>
              <w:spacing w:after="0"/>
              <w:rPr>
                <w:sz w:val="19"/>
                <w:szCs w:val="19"/>
                <w:color w:val="auto"/>
              </w:rPr>
            </w:pPr>
          </w:p>
        </w:tc>
        <w:tc>
          <w:tcPr>
            <w:tcW w:w="240" w:type="dxa"/>
            <w:vAlign w:val="bottom"/>
            <w:tcBorders>
              <w:bottom w:val="single" w:sz="8" w:color="D5EFF4"/>
            </w:tcBorders>
            <w:vMerge w:val="continue"/>
          </w:tcPr>
          <w:p>
            <w:pPr>
              <w:spacing w:after="0"/>
              <w:rPr>
                <w:sz w:val="19"/>
                <w:szCs w:val="19"/>
                <w:color w:val="auto"/>
              </w:rPr>
            </w:pPr>
          </w:p>
        </w:tc>
        <w:tc>
          <w:tcPr>
            <w:tcW w:w="5720" w:type="dxa"/>
            <w:vAlign w:val="bottom"/>
            <w:tcBorders>
              <w:bottom w:val="single" w:sz="8" w:color="D5EFF4"/>
            </w:tcBorders>
            <w:vMerge w:val="continue"/>
          </w:tcPr>
          <w:p>
            <w:pPr>
              <w:spacing w:after="0"/>
              <w:rPr>
                <w:sz w:val="19"/>
                <w:szCs w:val="19"/>
                <w:color w:val="auto"/>
              </w:rPr>
            </w:pPr>
          </w:p>
        </w:tc>
        <w:tc>
          <w:tcPr>
            <w:tcW w:w="100" w:type="dxa"/>
            <w:vAlign w:val="bottom"/>
            <w:tcBorders>
              <w:bottom w:val="single" w:sz="8" w:color="D5EFF4"/>
            </w:tcBorders>
          </w:tcPr>
          <w:p>
            <w:pPr>
              <w:spacing w:after="0"/>
              <w:rPr>
                <w:sz w:val="19"/>
                <w:szCs w:val="19"/>
                <w:color w:val="auto"/>
              </w:rPr>
            </w:pPr>
          </w:p>
        </w:tc>
        <w:tc>
          <w:tcPr>
            <w:tcW w:w="220" w:type="dxa"/>
            <w:vAlign w:val="bottom"/>
            <w:tcBorders>
              <w:bottom w:val="single" w:sz="8" w:color="D5EFF4"/>
            </w:tcBorders>
          </w:tcPr>
          <w:p>
            <w:pPr>
              <w:spacing w:after="0"/>
              <w:rPr>
                <w:sz w:val="19"/>
                <w:szCs w:val="19"/>
                <w:color w:val="auto"/>
              </w:rPr>
            </w:pPr>
          </w:p>
        </w:tc>
        <w:tc>
          <w:tcPr>
            <w:tcW w:w="200" w:type="dxa"/>
            <w:vAlign w:val="bottom"/>
            <w:tcBorders>
              <w:bottom w:val="single" w:sz="8" w:color="D5EFF4"/>
            </w:tcBorders>
            <w:vMerge w:val="continue"/>
          </w:tcPr>
          <w:p>
            <w:pPr>
              <w:spacing w:after="0"/>
              <w:rPr>
                <w:sz w:val="19"/>
                <w:szCs w:val="19"/>
                <w:color w:val="auto"/>
              </w:rPr>
            </w:pPr>
          </w:p>
        </w:tc>
        <w:tc>
          <w:tcPr>
            <w:tcW w:w="400" w:type="dxa"/>
            <w:vAlign w:val="bottom"/>
            <w:tcBorders>
              <w:bottom w:val="single" w:sz="8" w:color="D5EFF4"/>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highlight w:val="white"/>
                <w:w w:val="94"/>
              </w:rPr>
              <w:t>2025</w:t>
            </w:r>
          </w:p>
        </w:tc>
        <w:tc>
          <w:tcPr>
            <w:tcW w:w="80" w:type="dxa"/>
            <w:vAlign w:val="bottom"/>
            <w:tcBorders>
              <w:bottom w:val="single" w:sz="8" w:color="D5EFF4"/>
            </w:tcBorders>
            <w:vMerge w:val="continue"/>
          </w:tcPr>
          <w:p>
            <w:pPr>
              <w:spacing w:after="0"/>
              <w:rPr>
                <w:sz w:val="19"/>
                <w:szCs w:val="19"/>
                <w:color w:val="auto"/>
              </w:rPr>
            </w:pPr>
          </w:p>
        </w:tc>
        <w:tc>
          <w:tcPr>
            <w:tcW w:w="40" w:type="dxa"/>
            <w:vAlign w:val="bottom"/>
            <w:tcBorders>
              <w:bottom w:val="single" w:sz="8" w:color="D5EFF4"/>
            </w:tcBorders>
            <w:vMerge w:val="continue"/>
          </w:tcPr>
          <w:p>
            <w:pPr>
              <w:spacing w:after="0"/>
              <w:rPr>
                <w:sz w:val="19"/>
                <w:szCs w:val="19"/>
                <w:color w:val="auto"/>
              </w:rPr>
            </w:pPr>
          </w:p>
        </w:tc>
        <w:tc>
          <w:tcPr>
            <w:tcW w:w="220" w:type="dxa"/>
            <w:vAlign w:val="bottom"/>
            <w:tcBorders>
              <w:bottom w:val="single" w:sz="8" w:color="D5EFF4"/>
            </w:tcBorders>
          </w:tcPr>
          <w:p>
            <w:pPr>
              <w:spacing w:after="0"/>
              <w:rPr>
                <w:sz w:val="19"/>
                <w:szCs w:val="19"/>
                <w:color w:val="auto"/>
              </w:rPr>
            </w:pPr>
          </w:p>
        </w:tc>
        <w:tc>
          <w:tcPr>
            <w:tcW w:w="200" w:type="dxa"/>
            <w:vAlign w:val="bottom"/>
            <w:tcBorders>
              <w:bottom w:val="single" w:sz="8" w:color="D5EFF4"/>
            </w:tcBorders>
          </w:tcPr>
          <w:p>
            <w:pPr>
              <w:spacing w:after="0"/>
              <w:rPr>
                <w:sz w:val="19"/>
                <w:szCs w:val="19"/>
                <w:color w:val="auto"/>
              </w:rPr>
            </w:pPr>
          </w:p>
        </w:tc>
        <w:tc>
          <w:tcPr>
            <w:tcW w:w="120" w:type="dxa"/>
            <w:vAlign w:val="bottom"/>
            <w:tcBorders>
              <w:bottom w:val="single" w:sz="8" w:color="D5EFF4"/>
            </w:tcBorders>
          </w:tcPr>
          <w:p>
            <w:pPr>
              <w:spacing w:after="0"/>
              <w:rPr>
                <w:sz w:val="19"/>
                <w:szCs w:val="19"/>
                <w:color w:val="auto"/>
              </w:rPr>
            </w:pPr>
          </w:p>
        </w:tc>
        <w:tc>
          <w:tcPr>
            <w:tcW w:w="140" w:type="dxa"/>
            <w:vAlign w:val="bottom"/>
            <w:tcBorders>
              <w:bottom w:val="single" w:sz="8" w:color="D5EFF4"/>
            </w:tcBorders>
          </w:tcPr>
          <w:p>
            <w:pPr>
              <w:spacing w:after="0"/>
              <w:rPr>
                <w:sz w:val="19"/>
                <w:szCs w:val="19"/>
                <w:color w:val="auto"/>
              </w:rPr>
            </w:pPr>
          </w:p>
        </w:tc>
        <w:tc>
          <w:tcPr>
            <w:tcW w:w="100" w:type="dxa"/>
            <w:vAlign w:val="bottom"/>
            <w:tcBorders>
              <w:bottom w:val="single" w:sz="8" w:color="D5EFF4"/>
            </w:tcBorders>
          </w:tcPr>
          <w:p>
            <w:pPr>
              <w:spacing w:after="0"/>
              <w:rPr>
                <w:sz w:val="19"/>
                <w:szCs w:val="19"/>
                <w:color w:val="auto"/>
              </w:rPr>
            </w:pPr>
          </w:p>
        </w:tc>
        <w:tc>
          <w:tcPr>
            <w:tcW w:w="320" w:type="dxa"/>
            <w:vAlign w:val="bottom"/>
            <w:tcBorders>
              <w:bottom w:val="single" w:sz="8" w:color="D5EFF4"/>
            </w:tcBorders>
          </w:tcPr>
          <w:p>
            <w:pPr>
              <w:spacing w:after="0"/>
              <w:rPr>
                <w:sz w:val="19"/>
                <w:szCs w:val="19"/>
                <w:color w:val="auto"/>
              </w:rPr>
            </w:pPr>
          </w:p>
        </w:tc>
        <w:tc>
          <w:tcPr>
            <w:tcW w:w="60" w:type="dxa"/>
            <w:vAlign w:val="bottom"/>
            <w:tcBorders>
              <w:bottom w:val="single" w:sz="8" w:color="D5EFF4"/>
            </w:tcBorders>
          </w:tcPr>
          <w:p>
            <w:pPr>
              <w:spacing w:after="0"/>
              <w:rPr>
                <w:sz w:val="19"/>
                <w:szCs w:val="19"/>
                <w:color w:val="auto"/>
              </w:rPr>
            </w:pPr>
          </w:p>
        </w:tc>
        <w:tc>
          <w:tcPr>
            <w:tcW w:w="60" w:type="dxa"/>
            <w:vAlign w:val="bottom"/>
            <w:tcBorders>
              <w:bottom w:val="single" w:sz="8" w:color="D5EFF4"/>
            </w:tcBorders>
            <w:vMerge w:val="continue"/>
          </w:tcPr>
          <w:p>
            <w:pPr>
              <w:spacing w:after="0"/>
              <w:rPr>
                <w:sz w:val="19"/>
                <w:szCs w:val="19"/>
                <w:color w:val="auto"/>
              </w:rPr>
            </w:pPr>
          </w:p>
        </w:tc>
        <w:tc>
          <w:tcPr>
            <w:tcW w:w="400" w:type="dxa"/>
            <w:vAlign w:val="bottom"/>
            <w:tcBorders>
              <w:bottom w:val="single" w:sz="8" w:color="D5EFF4"/>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highlight w:val="white"/>
                <w:w w:val="94"/>
              </w:rPr>
              <w:t>2024</w:t>
            </w:r>
          </w:p>
        </w:tc>
        <w:tc>
          <w:tcPr>
            <w:tcW w:w="80" w:type="dxa"/>
            <w:vAlign w:val="bottom"/>
            <w:tcBorders>
              <w:bottom w:val="single" w:sz="8" w:color="D5EFF4"/>
            </w:tcBorders>
            <w:vMerge w:val="continue"/>
          </w:tcPr>
          <w:p>
            <w:pPr>
              <w:spacing w:after="0"/>
              <w:rPr>
                <w:sz w:val="19"/>
                <w:szCs w:val="19"/>
                <w:color w:val="auto"/>
              </w:rPr>
            </w:pPr>
          </w:p>
        </w:tc>
        <w:tc>
          <w:tcPr>
            <w:tcW w:w="240" w:type="dxa"/>
            <w:vAlign w:val="bottom"/>
            <w:tcBorders>
              <w:bottom w:val="single" w:sz="8" w:color="D5EFF4"/>
            </w:tcBorders>
            <w:vMerge w:val="continue"/>
          </w:tcPr>
          <w:p>
            <w:pPr>
              <w:spacing w:after="0"/>
              <w:rPr>
                <w:sz w:val="19"/>
                <w:szCs w:val="19"/>
                <w:color w:val="auto"/>
              </w:rPr>
            </w:pPr>
          </w:p>
        </w:tc>
        <w:tc>
          <w:tcPr>
            <w:tcW w:w="200" w:type="dxa"/>
            <w:vAlign w:val="bottom"/>
            <w:tcBorders>
              <w:bottom w:val="single" w:sz="8" w:color="D5EFF4"/>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gridSpan w:val="4"/>
            <w:shd w:val="clear" w:color="auto" w:fill="D6EFF3"/>
          </w:tcPr>
          <w:p>
            <w:pPr>
              <w:spacing w:after="0"/>
              <w:rPr>
                <w:sz w:val="20"/>
                <w:szCs w:val="20"/>
                <w:color w:val="auto"/>
              </w:rPr>
            </w:pPr>
            <w:r>
              <w:rPr>
                <w:rFonts w:ascii="Times New Roman" w:cs="Times New Roman" w:eastAsia="Times New Roman" w:hAnsi="Times New Roman"/>
                <w:sz w:val="20"/>
                <w:szCs w:val="20"/>
                <w:color w:val="auto"/>
                <w:w w:val="98"/>
                <w:shd w:val="clear" w:color="auto" w:fill="D6EFF3"/>
              </w:rPr>
              <w:t>Short-term debt</w:t>
            </w:r>
          </w:p>
        </w:tc>
        <w:tc>
          <w:tcPr>
            <w:tcW w:w="5720" w:type="dxa"/>
            <w:vAlign w:val="bottom"/>
            <w:shd w:val="clear" w:color="auto" w:fill="D5EFF4"/>
          </w:tcPr>
          <w:p>
            <w:pPr>
              <w:spacing w:after="0"/>
              <w:rPr>
                <w:sz w:val="20"/>
                <w:szCs w:val="20"/>
                <w:color w:val="auto"/>
              </w:rPr>
            </w:pPr>
          </w:p>
        </w:tc>
        <w:tc>
          <w:tcPr>
            <w:tcW w:w="1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220" w:type="dxa"/>
            <w:vAlign w:val="bottom"/>
            <w:shd w:val="clear" w:color="auto" w:fill="D5EFF4"/>
          </w:tcPr>
          <w:p>
            <w:pPr>
              <w:spacing w:after="0"/>
              <w:rPr>
                <w:sz w:val="20"/>
                <w:szCs w:val="20"/>
                <w:color w:val="auto"/>
              </w:rPr>
            </w:pPr>
          </w:p>
        </w:tc>
        <w:tc>
          <w:tcPr>
            <w:tcW w:w="20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c>
          <w:tcPr>
            <w:tcW w:w="40" w:type="dxa"/>
            <w:vAlign w:val="bottom"/>
            <w:shd w:val="clear" w:color="auto" w:fill="D5EFF4"/>
          </w:tcPr>
          <w:p>
            <w:pPr>
              <w:spacing w:after="0"/>
              <w:rPr>
                <w:sz w:val="20"/>
                <w:szCs w:val="20"/>
                <w:color w:val="auto"/>
              </w:rPr>
            </w:pPr>
          </w:p>
        </w:tc>
        <w:tc>
          <w:tcPr>
            <w:tcW w:w="220" w:type="dxa"/>
            <w:vAlign w:val="bottom"/>
            <w:shd w:val="clear" w:color="auto" w:fill="D5EFF4"/>
          </w:tcPr>
          <w:p>
            <w:pPr>
              <w:spacing w:after="0"/>
              <w:rPr>
                <w:sz w:val="20"/>
                <w:szCs w:val="20"/>
                <w:color w:val="auto"/>
              </w:rPr>
            </w:pPr>
          </w:p>
        </w:tc>
        <w:tc>
          <w:tcPr>
            <w:tcW w:w="2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6EFF3"/>
              </w:rPr>
              <w:t>—</w:t>
            </w:r>
          </w:p>
        </w:tc>
        <w:tc>
          <w:tcPr>
            <w:tcW w:w="12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1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320" w:type="dxa"/>
            <w:vAlign w:val="bottom"/>
            <w:shd w:val="clear" w:color="auto" w:fill="D5EFF4"/>
          </w:tcPr>
          <w:p>
            <w:pPr>
              <w:spacing w:after="0"/>
              <w:rPr>
                <w:sz w:val="20"/>
                <w:szCs w:val="20"/>
                <w:color w:val="auto"/>
              </w:rPr>
            </w:pPr>
          </w:p>
        </w:tc>
        <w:tc>
          <w:tcPr>
            <w:tcW w:w="60" w:type="dxa"/>
            <w:vAlign w:val="bottom"/>
            <w:shd w:val="clear" w:color="auto" w:fill="D5EFF4"/>
          </w:tcPr>
          <w:p>
            <w:pPr>
              <w:spacing w:after="0"/>
              <w:rPr>
                <w:sz w:val="20"/>
                <w:szCs w:val="20"/>
                <w:color w:val="auto"/>
              </w:rPr>
            </w:pPr>
          </w:p>
        </w:tc>
        <w:tc>
          <w:tcPr>
            <w:tcW w:w="6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c>
          <w:tcPr>
            <w:tcW w:w="240" w:type="dxa"/>
            <w:vAlign w:val="bottom"/>
            <w:shd w:val="clear" w:color="auto" w:fill="D5EFF4"/>
          </w:tcPr>
          <w:p>
            <w:pPr>
              <w:spacing w:after="0"/>
              <w:rPr>
                <w:sz w:val="20"/>
                <w:szCs w:val="20"/>
                <w:color w:val="auto"/>
              </w:rPr>
            </w:pPr>
          </w:p>
        </w:tc>
        <w:tc>
          <w:tcPr>
            <w:tcW w:w="2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6EFF3"/>
              </w:rPr>
              <w:t>—</w:t>
            </w:r>
          </w:p>
        </w:tc>
        <w:tc>
          <w:tcPr>
            <w:tcW w:w="80" w:type="dxa"/>
            <w:vAlign w:val="bottom"/>
            <w:tcBorders>
              <w:left w:val="single" w:sz="8" w:color="D5EFF4"/>
            </w:tcBorders>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D5EFF4"/>
            </w:tcBorders>
            <w:gridSpan w:val="5"/>
          </w:tcPr>
          <w:p>
            <w:pPr>
              <w:spacing w:after="0" w:line="244" w:lineRule="exact"/>
              <w:rPr>
                <w:sz w:val="20"/>
                <w:szCs w:val="20"/>
                <w:color w:val="auto"/>
              </w:rPr>
            </w:pPr>
            <w:r>
              <w:rPr>
                <w:rFonts w:ascii="Times New Roman" w:cs="Times New Roman" w:eastAsia="Times New Roman" w:hAnsi="Times New Roman"/>
                <w:sz w:val="20"/>
                <w:szCs w:val="20"/>
                <w:color w:val="auto"/>
              </w:rPr>
              <w:t>Long-term debt (less debt issuance cost discounts)</w:t>
            </w:r>
            <w:r>
              <w:rPr>
                <w:rFonts w:ascii="Times New Roman" w:cs="Times New Roman" w:eastAsia="Times New Roman" w:hAnsi="Times New Roman"/>
                <w:sz w:val="25"/>
                <w:szCs w:val="25"/>
                <w:color w:val="auto"/>
                <w:vertAlign w:val="superscript"/>
              </w:rPr>
              <w:t>(a)</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highlight w:val="white"/>
                <w:w w:val="97"/>
              </w:rPr>
              <w:t>1,384</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D5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spacing w:after="0"/>
              <w:rPr>
                <w:sz w:val="22"/>
                <w:szCs w:val="22"/>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highlight w:val="white"/>
                <w:w w:val="93"/>
              </w:rPr>
              <w:t>1,349</w:t>
            </w: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0" w:type="dxa"/>
            <w:vAlign w:val="bottom"/>
            <w:tcBorders>
              <w:top w:val="single" w:sz="8" w:color="D5EFF4"/>
            </w:tcBorders>
            <w:shd w:val="clear" w:color="auto" w:fill="D5EFF4"/>
          </w:tcPr>
          <w:p>
            <w:pPr>
              <w:spacing w:after="0"/>
              <w:rPr>
                <w:sz w:val="21"/>
                <w:szCs w:val="21"/>
                <w:color w:val="auto"/>
              </w:rPr>
            </w:pPr>
          </w:p>
        </w:tc>
        <w:tc>
          <w:tcPr>
            <w:tcW w:w="820" w:type="dxa"/>
            <w:vAlign w:val="bottom"/>
            <w:tcBorders>
              <w:top w:val="single" w:sz="8" w:color="D5EFF4"/>
            </w:tcBorders>
            <w:gridSpan w:val="2"/>
            <w:shd w:val="clear" w:color="auto" w:fill="D6EFF3"/>
          </w:tcPr>
          <w:p>
            <w:pPr>
              <w:spacing w:after="0" w:line="219" w:lineRule="exact"/>
              <w:rPr>
                <w:sz w:val="20"/>
                <w:szCs w:val="20"/>
                <w:color w:val="auto"/>
              </w:rPr>
            </w:pPr>
            <w:r>
              <w:rPr>
                <w:rFonts w:ascii="Times New Roman" w:cs="Times New Roman" w:eastAsia="Times New Roman" w:hAnsi="Times New Roman"/>
                <w:sz w:val="20"/>
                <w:szCs w:val="20"/>
                <w:color w:val="auto"/>
                <w:w w:val="97"/>
                <w:shd w:val="clear" w:color="auto" w:fill="D6EFF3"/>
              </w:rPr>
              <w:t>Total debt</w:t>
            </w:r>
          </w:p>
        </w:tc>
        <w:tc>
          <w:tcPr>
            <w:tcW w:w="5960" w:type="dxa"/>
            <w:vAlign w:val="bottom"/>
            <w:tcBorders>
              <w:top w:val="single" w:sz="8" w:color="D5EFF4"/>
            </w:tcBorders>
            <w:gridSpan w:val="2"/>
            <w:shd w:val="clear" w:color="auto" w:fill="D5EFF4"/>
          </w:tcPr>
          <w:p>
            <w:pPr>
              <w:spacing w:after="0"/>
              <w:rPr>
                <w:sz w:val="21"/>
                <w:szCs w:val="21"/>
                <w:color w:val="auto"/>
              </w:rPr>
            </w:pPr>
          </w:p>
        </w:tc>
        <w:tc>
          <w:tcPr>
            <w:tcW w:w="100" w:type="dxa"/>
            <w:vAlign w:val="bottom"/>
            <w:tcBorders>
              <w:top w:val="single" w:sz="8" w:color="D5EFF4"/>
            </w:tcBorders>
            <w:shd w:val="clear" w:color="auto" w:fill="D6EFF3"/>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220" w:type="dxa"/>
            <w:vAlign w:val="bottom"/>
            <w:tcBorders>
              <w:top w:val="single" w:sz="8" w:color="D5EFF4"/>
            </w:tcBorders>
            <w:shd w:val="clear" w:color="auto" w:fill="D5EFF4"/>
          </w:tcPr>
          <w:p>
            <w:pPr>
              <w:spacing w:after="0"/>
              <w:rPr>
                <w:sz w:val="21"/>
                <w:szCs w:val="21"/>
                <w:color w:val="auto"/>
              </w:rPr>
            </w:pPr>
          </w:p>
        </w:tc>
        <w:tc>
          <w:tcPr>
            <w:tcW w:w="680" w:type="dxa"/>
            <w:vAlign w:val="bottom"/>
            <w:tcBorders>
              <w:top w:val="single" w:sz="8" w:color="D5EFF4"/>
            </w:tcBorders>
            <w:gridSpan w:val="3"/>
            <w:shd w:val="clear" w:color="auto" w:fill="D5EFF4"/>
          </w:tcPr>
          <w:p>
            <w:pPr>
              <w:spacing w:after="0"/>
              <w:rPr>
                <w:sz w:val="21"/>
                <w:szCs w:val="21"/>
                <w:color w:val="auto"/>
              </w:rPr>
            </w:pPr>
          </w:p>
        </w:tc>
        <w:tc>
          <w:tcPr>
            <w:tcW w:w="460" w:type="dxa"/>
            <w:vAlign w:val="bottom"/>
            <w:tcBorders>
              <w:top w:val="single" w:sz="8" w:color="D5EFF4"/>
            </w:tcBorders>
            <w:gridSpan w:val="3"/>
            <w:shd w:val="clear" w:color="auto" w:fill="D6EFF3"/>
          </w:tcPr>
          <w:p>
            <w:pPr>
              <w:jc w:val="right"/>
              <w:spacing w:after="0" w:line="219" w:lineRule="exact"/>
              <w:rPr>
                <w:sz w:val="20"/>
                <w:szCs w:val="20"/>
                <w:color w:val="auto"/>
              </w:rPr>
            </w:pPr>
            <w:r>
              <w:rPr>
                <w:rFonts w:ascii="Times New Roman" w:cs="Times New Roman" w:eastAsia="Times New Roman" w:hAnsi="Times New Roman"/>
                <w:sz w:val="20"/>
                <w:szCs w:val="20"/>
                <w:color w:val="auto"/>
                <w:w w:val="97"/>
                <w:shd w:val="clear" w:color="auto" w:fill="D6EFF3"/>
              </w:rPr>
              <w:t>1,384</w:t>
            </w:r>
          </w:p>
        </w:tc>
        <w:tc>
          <w:tcPr>
            <w:tcW w:w="120" w:type="dxa"/>
            <w:vAlign w:val="bottom"/>
            <w:tcBorders>
              <w:top w:val="single" w:sz="8" w:color="D5EFF4"/>
            </w:tcBorders>
            <w:shd w:val="clear" w:color="auto" w:fill="D5EFF4"/>
          </w:tcPr>
          <w:p>
            <w:pPr>
              <w:spacing w:after="0"/>
              <w:rPr>
                <w:sz w:val="21"/>
                <w:szCs w:val="21"/>
                <w:color w:val="auto"/>
              </w:rPr>
            </w:pPr>
          </w:p>
        </w:tc>
        <w:tc>
          <w:tcPr>
            <w:tcW w:w="140" w:type="dxa"/>
            <w:vAlign w:val="bottom"/>
            <w:tcBorders>
              <w:top w:val="single" w:sz="8" w:color="D5EFF4"/>
            </w:tcBorders>
            <w:shd w:val="clear" w:color="auto" w:fill="D5EFF4"/>
          </w:tcPr>
          <w:p>
            <w:pPr>
              <w:spacing w:after="0"/>
              <w:rPr>
                <w:sz w:val="21"/>
                <w:szCs w:val="21"/>
                <w:color w:val="auto"/>
              </w:rPr>
            </w:pPr>
          </w:p>
        </w:tc>
        <w:tc>
          <w:tcPr>
            <w:tcW w:w="100" w:type="dxa"/>
            <w:vAlign w:val="bottom"/>
            <w:tcBorders>
              <w:top w:val="single" w:sz="8" w:color="D5EFF4"/>
            </w:tcBorders>
            <w:shd w:val="clear" w:color="auto" w:fill="D6EFF3"/>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320" w:type="dxa"/>
            <w:vAlign w:val="bottom"/>
            <w:tcBorders>
              <w:top w:val="single" w:sz="8" w:color="D5EFF4"/>
            </w:tcBorders>
            <w:shd w:val="clear" w:color="auto" w:fill="D5EFF4"/>
          </w:tcPr>
          <w:p>
            <w:pPr>
              <w:spacing w:after="0"/>
              <w:rPr>
                <w:sz w:val="21"/>
                <w:szCs w:val="21"/>
                <w:color w:val="auto"/>
              </w:rPr>
            </w:pPr>
          </w:p>
        </w:tc>
        <w:tc>
          <w:tcPr>
            <w:tcW w:w="60" w:type="dxa"/>
            <w:vAlign w:val="bottom"/>
            <w:tcBorders>
              <w:top w:val="single" w:sz="8" w:color="D5EFF4"/>
            </w:tcBorders>
            <w:shd w:val="clear" w:color="auto" w:fill="D5EFF4"/>
          </w:tcPr>
          <w:p>
            <w:pPr>
              <w:spacing w:after="0"/>
              <w:rPr>
                <w:sz w:val="21"/>
                <w:szCs w:val="21"/>
                <w:color w:val="auto"/>
              </w:rPr>
            </w:pPr>
          </w:p>
        </w:tc>
        <w:tc>
          <w:tcPr>
            <w:tcW w:w="540" w:type="dxa"/>
            <w:vAlign w:val="bottom"/>
            <w:tcBorders>
              <w:top w:val="single" w:sz="8" w:color="D5EFF4"/>
            </w:tcBorders>
            <w:gridSpan w:val="3"/>
            <w:shd w:val="clear" w:color="auto" w:fill="D5EFF4"/>
          </w:tcPr>
          <w:p>
            <w:pPr>
              <w:spacing w:after="0"/>
              <w:rPr>
                <w:sz w:val="21"/>
                <w:szCs w:val="21"/>
                <w:color w:val="auto"/>
              </w:rPr>
            </w:pPr>
          </w:p>
        </w:tc>
        <w:tc>
          <w:tcPr>
            <w:tcW w:w="440" w:type="dxa"/>
            <w:vAlign w:val="bottom"/>
            <w:tcBorders>
              <w:top w:val="single" w:sz="8" w:color="D5EFF4"/>
            </w:tcBorders>
            <w:gridSpan w:val="2"/>
            <w:shd w:val="clear" w:color="auto" w:fill="D6EFF3"/>
          </w:tcPr>
          <w:p>
            <w:pPr>
              <w:jc w:val="right"/>
              <w:spacing w:after="0" w:line="219" w:lineRule="exact"/>
              <w:rPr>
                <w:sz w:val="20"/>
                <w:szCs w:val="20"/>
                <w:color w:val="auto"/>
              </w:rPr>
            </w:pPr>
            <w:r>
              <w:rPr>
                <w:rFonts w:ascii="Times New Roman" w:cs="Times New Roman" w:eastAsia="Times New Roman" w:hAnsi="Times New Roman"/>
                <w:sz w:val="20"/>
                <w:szCs w:val="20"/>
                <w:color w:val="auto"/>
                <w:w w:val="93"/>
                <w:shd w:val="clear" w:color="auto" w:fill="D6EFF3"/>
              </w:rPr>
              <w:t>1,349</w:t>
            </w:r>
          </w:p>
        </w:tc>
        <w:tc>
          <w:tcPr>
            <w:tcW w:w="80" w:type="dxa"/>
            <w:vAlign w:val="bottom"/>
            <w:tcBorders>
              <w:top w:val="single" w:sz="8" w:color="D5EFF4"/>
              <w:left w:val="single" w:sz="8" w:color="D5EFF4"/>
              <w:bottom w:val="single" w:sz="8" w:color="auto"/>
            </w:tcBorders>
            <w:shd w:val="clear" w:color="auto" w:fill="D5EFF4"/>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-915670</wp:posOffset>
            </wp:positionV>
            <wp:extent cx="6494780" cy="349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68">
                      <a:extLst>
                        <a:ext uri="{28A0092B-C50C-407E-A947-70E740481C1C}"/>
                      </a:extLst>
                    </a:blip>
                    <a:srcRect/>
                    <a:stretch>
                      <a:fillRect/>
                    </a:stretch>
                  </pic:blipFill>
                  <pic:spPr bwMode="auto">
                    <a:xfrm>
                      <a:off x="0" y="0"/>
                      <a:ext cx="6494780" cy="349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-586740</wp:posOffset>
            </wp:positionV>
            <wp:extent cx="6494780" cy="349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69">
                      <a:extLst>
                        <a:ext uri="{28A0092B-C50C-407E-A947-70E740481C1C}"/>
                      </a:extLst>
                    </a:blip>
                    <a:srcRect/>
                    <a:stretch>
                      <a:fillRect/>
                    </a:stretch>
                  </pic:blipFill>
                  <pic:spPr bwMode="auto">
                    <a:xfrm>
                      <a:off x="0" y="0"/>
                      <a:ext cx="6494780" cy="349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6507480"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70">
                      <a:extLst>
                        <a:ext uri="{28A0092B-C50C-407E-A947-70E740481C1C}"/>
                      </a:extLst>
                    </a:blip>
                    <a:srcRect/>
                    <a:stretch>
                      <a:fillRect/>
                    </a:stretch>
                  </pic:blipFill>
                  <pic:spPr bwMode="auto">
                    <a:xfrm>
                      <a:off x="0" y="0"/>
                      <a:ext cx="6507480" cy="3810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-109220</wp:posOffset>
            </wp:positionV>
            <wp:extent cx="2072005" cy="666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71">
                      <a:extLst>
                        <a:ext uri="{28A0092B-C50C-407E-A947-70E740481C1C}"/>
                      </a:extLst>
                    </a:blip>
                    <a:srcRect/>
                    <a:stretch>
                      <a:fillRect/>
                    </a:stretch>
                  </pic:blipFill>
                  <pic:spPr bwMode="auto">
                    <a:xfrm>
                      <a:off x="0" y="0"/>
                      <a:ext cx="2072005" cy="66675"/>
                    </a:xfrm>
                    <a:prstGeom prst="rect">
                      <a:avLst/>
                    </a:prstGeom>
                    <a:noFill/>
                  </pic:spPr>
                </pic:pic>
              </a:graphicData>
            </a:graphic>
          </wp:anchor>
        </w:drawing>
      </w:r>
    </w:p>
    <w:p>
      <w:pPr>
        <w:spacing w:after="0" w:line="5" w:lineRule="exact"/>
        <w:rPr>
          <w:sz w:val="20"/>
          <w:szCs w:val="20"/>
          <w:color w:val="auto"/>
        </w:rPr>
      </w:pPr>
    </w:p>
    <w:p>
      <w:pPr>
        <w:ind w:left="566" w:hanging="566"/>
        <w:spacing w:after="0"/>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million and $12 million of debt issuance cost discounts as of September 30, 2025 and 2024, respectively.</w:t>
      </w:r>
    </w:p>
    <w:p>
      <w:pPr>
        <w:spacing w:after="0" w:line="116" w:lineRule="exact"/>
        <w:rPr>
          <w:sz w:val="20"/>
          <w:szCs w:val="20"/>
          <w:color w:val="auto"/>
        </w:rPr>
      </w:pPr>
    </w:p>
    <w:p>
      <w:pPr>
        <w:jc w:val="both"/>
        <w:ind w:left="6" w:right="20" w:firstLine="360"/>
        <w:spacing w:after="0" w:line="306" w:lineRule="auto"/>
        <w:rPr>
          <w:sz w:val="20"/>
          <w:szCs w:val="20"/>
          <w:color w:val="auto"/>
        </w:rPr>
      </w:pPr>
      <w:r>
        <w:rPr>
          <w:rFonts w:ascii="Times New Roman" w:cs="Times New Roman" w:eastAsia="Times New Roman" w:hAnsi="Times New Roman"/>
          <w:sz w:val="20"/>
          <w:szCs w:val="20"/>
          <w:color w:val="auto"/>
        </w:rPr>
        <w:t>Ashland continues to maintain the 2022 Credit Agreement which provides for a $600 million five-year revolving credit facility. Proceeds of borrowings under the 2022 Revolving Credit Facility provide ongoing working capital and are used for other general corporate purposes.</w:t>
      </w:r>
    </w:p>
    <w:p>
      <w:pPr>
        <w:spacing w:after="0" w:line="68" w:lineRule="exact"/>
        <w:rPr>
          <w:sz w:val="20"/>
          <w:szCs w:val="20"/>
          <w:color w:val="auto"/>
        </w:rPr>
      </w:pPr>
    </w:p>
    <w:p>
      <w:pPr>
        <w:jc w:val="both"/>
        <w:ind w:left="6" w:right="20" w:firstLine="360"/>
        <w:spacing w:after="0" w:line="300" w:lineRule="auto"/>
        <w:rPr>
          <w:sz w:val="20"/>
          <w:szCs w:val="20"/>
          <w:color w:val="auto"/>
        </w:rPr>
      </w:pPr>
      <w:r>
        <w:rPr>
          <w:rFonts w:ascii="Times New Roman" w:cs="Times New Roman" w:eastAsia="Times New Roman" w:hAnsi="Times New Roman"/>
          <w:sz w:val="20"/>
          <w:szCs w:val="20"/>
          <w:color w:val="auto"/>
        </w:rPr>
        <w:t>Debt as a percent of capital employed was 42% at September 30, 2025 and 32% at September 30, 2024. At September 30, 2025, Ashland’s total debt had an outstanding principal balance of $1,419 million, discounts of $25 million and debt issuance costs of $10 million. Ashland has no long-term debt (excluding debt issuance costs) maturing within the next year, $4 million due in fiscal 2027, $586 million due in fiscal 2028, $97 million in 2029, and zero in 2030.</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Credit Agreements and Refinancing</w:t>
      </w:r>
    </w:p>
    <w:p>
      <w:pPr>
        <w:spacing w:after="0" w:line="1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2022 Credit Agreement</w:t>
      </w:r>
    </w:p>
    <w:p>
      <w:pPr>
        <w:spacing w:after="0" w:line="164"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During July 2022, Ashland, through two of its subsidiaries, enacted an amendment to the 2020 credit agreement. The amended credit agreement (the 2022 Credit Agreement) provides for a $600 million five-year revolving credit facility (the 2022 Revolving Credit Facility). The 2022 Credit Agreement and the obligations of Ashland Services B.V. under the 2022 Revolving Credit Facility are guaranteed by Ashland.</w:t>
      </w:r>
    </w:p>
    <w:p>
      <w:pPr>
        <w:spacing w:after="0" w:line="74" w:lineRule="exact"/>
        <w:rPr>
          <w:sz w:val="20"/>
          <w:szCs w:val="20"/>
          <w:color w:val="auto"/>
        </w:rPr>
      </w:pPr>
    </w:p>
    <w:p>
      <w:pPr>
        <w:jc w:val="both"/>
        <w:ind w:left="6" w:right="20" w:firstLine="360"/>
        <w:spacing w:after="0" w:line="291" w:lineRule="auto"/>
        <w:rPr>
          <w:sz w:val="20"/>
          <w:szCs w:val="20"/>
          <w:color w:val="auto"/>
        </w:rPr>
      </w:pPr>
      <w:r>
        <w:rPr>
          <w:rFonts w:ascii="Times New Roman" w:cs="Times New Roman" w:eastAsia="Times New Roman" w:hAnsi="Times New Roman"/>
          <w:sz w:val="20"/>
          <w:szCs w:val="20"/>
          <w:color w:val="auto"/>
        </w:rPr>
        <w:t>At Ashland’s option, loans issued under the 2022 Credit Agreement will bear interest at (a) in the case of loans denominated in U.S. dollars, either Term SOFR or an alternate base rate and (b) in the case of loans denominated in Euros, EURIBOR, in each case plus the applicable interest rate margin. Loans will initially bear interest at Term SOFR or EURIBOR plus 1.250% per annum, in the case of Term SOFR borrowings or EURIBOR borrowings, respectively, or at the alternate base rate plus 0.250% per annum, in the case of alternate base rate borrowings, through and including the date of delivery of a quarterly compliance certificate and thereafter the interest rate will fluctuate between Term SOFR or EURIBOR plus 1.250% per annum and Term SOFR or EURIBOR plus 1.750% per annum (or between the alternate base rate plus 0.250% per annum and the alternate base rate plus 0.750% per annum), based upon the Consolidated Net Leverage Ratio (as defined in the 2022 Credit Agreement) at such time. Term SOFR borrowings are subject to a credit spread adjustment of 0.10% per annum. In addition, the Company will initially be required to pay fees of 0.125% per annum on the daily unused amount of the 2022 Revolving Credit Facility through and including the date of delivery of a quarterly compliance certificate, and thereafter the fee rate will fluctuate between 0.125% and 0.275% per annum, based upon the Consolidated Net Leverage Ratio. Borrowings under the 2022 Credit Agreement may be prepaid at any time without premiums.</w:t>
      </w:r>
    </w:p>
    <w:p>
      <w:pPr>
        <w:spacing w:after="0" w:line="83" w:lineRule="exact"/>
        <w:rPr>
          <w:sz w:val="20"/>
          <w:szCs w:val="20"/>
          <w:color w:val="auto"/>
        </w:rPr>
      </w:pPr>
    </w:p>
    <w:p>
      <w:pPr>
        <w:jc w:val="both"/>
        <w:ind w:left="6" w:right="20" w:firstLine="360"/>
        <w:spacing w:after="0" w:line="325" w:lineRule="auto"/>
        <w:rPr>
          <w:sz w:val="20"/>
          <w:szCs w:val="20"/>
          <w:color w:val="auto"/>
        </w:rPr>
      </w:pPr>
      <w:r>
        <w:rPr>
          <w:rFonts w:ascii="Times New Roman" w:cs="Times New Roman" w:eastAsia="Times New Roman" w:hAnsi="Times New Roman"/>
          <w:sz w:val="20"/>
          <w:szCs w:val="20"/>
          <w:color w:val="auto"/>
        </w:rPr>
        <w:t>The 2022 Credit Agreement contains financial covenants for leverage and interest coverage ratios akin to those in effect under the 2020 Credit Agreement. The 2022 Credit Agreement contains usual and customary representations, warranties and</w:t>
      </w:r>
    </w:p>
    <w:p>
      <w:pPr>
        <w:sectPr>
          <w:pgSz w:w="12240" w:h="15840" w:orient="portrait"/>
          <w:cols w:equalWidth="0" w:num="1">
            <w:col w:w="10266"/>
          </w:cols>
          <w:pgMar w:left="994" w:top="988" w:right="980" w:bottom="186" w:gutter="0" w:footer="0" w:header="0"/>
        </w:sectPr>
      </w:pPr>
    </w:p>
    <w:p>
      <w:pPr>
        <w:spacing w:after="0" w:line="356"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9"/>
          <w:szCs w:val="19"/>
          <w:color w:val="auto"/>
        </w:rPr>
        <w:t>M-31</w:t>
      </w:r>
    </w:p>
    <w:p>
      <w:pPr>
        <w:sectPr>
          <w:pgSz w:w="12240" w:h="15840" w:orient="portrait"/>
          <w:cols w:equalWidth="0" w:num="1">
            <w:col w:w="10266"/>
          </w:cols>
          <w:pgMar w:left="994" w:top="988" w:right="980" w:bottom="186" w:gutter="0" w:footer="0" w:header="0"/>
          <w:type w:val="continuous"/>
        </w:sectPr>
      </w:pPr>
    </w:p>
    <w:bookmarkStart w:id="89" w:name="page90"/>
    <w:bookmarkEnd w:id="89"/>
    <w:p>
      <w:pPr>
        <w:jc w:val="both"/>
        <w:spacing w:after="0" w:line="306" w:lineRule="auto"/>
        <w:rPr>
          <w:sz w:val="20"/>
          <w:szCs w:val="20"/>
          <w:color w:val="auto"/>
        </w:rPr>
      </w:pPr>
      <w:r>
        <w:rPr>
          <w:rFonts w:ascii="Times New Roman" w:cs="Times New Roman" w:eastAsia="Times New Roman" w:hAnsi="Times New Roman"/>
          <w:sz w:val="20"/>
          <w:szCs w:val="20"/>
          <w:color w:val="auto"/>
        </w:rPr>
        <w:t>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repayments and repurchases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repatriation</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During 2025 and 2024, Ashland repatriated approximately $403 million and $305 million, respectively, in 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facilities and off-balance sheet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accounts receivable sales program</w:t>
      </w:r>
    </w:p>
    <w:p>
      <w:pPr>
        <w:spacing w:after="0" w:line="164"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On March 17, 2021, a wholly-owned, bankruptcy-remote special purpose entity and consolidated Ashland subsidiary (SPE) entered into an agreement with a group of entities (buyers) to sell certain trade receivables, without recourse beyond the pledged receivables, of two other U.S. based Ashland subsidiaries. On April 14, 2023, Ashland entered into Second and Third Amendments associated with this current program, whereby the scheduled termination date was extended to April 14, 2025 and the buyer's limits were reduced to allow for transfer of whole receivables up to a limit set at $115 million between February and October of each year and up to $100 million all other times (a level 1 fair value measurement). On September 13, 2024, Ashland entered into a Fourth Amendment associated with this current program, whereby the scheduled termination date was extended to September 11, 2026 and the buyer's limits were reduced to allow for transfer of whole receivables up to a limit set at $80 million between September 13, 2024 to (and including) December 31, 2024 and up to $70 million from January 1, 2025 through the termination date of the agreement. Ashland’s continuing involvement is limited to servicing the accounts receivable, including billing, collections and remittance of payments to the buyers as well as a limited guarantee on over-collateralization.</w:t>
      </w:r>
    </w:p>
    <w:p>
      <w:pPr>
        <w:spacing w:after="0" w:line="86"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Ashland determined that any accounts receivable transferred under this agreement are put presumptively beyond the reach of Ashland and its creditors, even in bankruptcy or other receivership. Ashland received a true sale at law and non-consolidation opinions to support the legal isolation of these accounts receivable. Ashland accounts for the accounts receivable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Consolidated Cash Flows. Losses on sale of assets, including related transaction expenses are recorded within the net interest and other expense (income)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89"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Ashland recognized a loss of $3 million within the Statements of Consolidated Comprehensive Income (Loss) for 2025, 2024 and 2023, respectively, within the net interest and other expense (income) caption associated with sales under the program. Ashland has recorded $59 million of sales against the buyer’s limit, which was $59 million at September 30, 2025, compared to $71 million of sales against the buyer's limit, which was $71 million at September 30, 2024. Ashland transferred $75 million and $85 million in accounts receivable to the SPE as of September 30, 2025 and 2024, respectively. Ashland recorded liabilities related to its service obligations and limited guarantee as of September 30, 2025 and 2024 of less than $1 million.</w:t>
      </w:r>
    </w:p>
    <w:p>
      <w:pPr>
        <w:spacing w:after="0" w:line="8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For the years ended September 30, 2025, 2024, and 2023, the gross cash proceeds received for accounts receivable transferred and derecognized were $388 million, $323 million, and $217 million, respectively, of which $400 million, $322 million, $241 million, were collected by Ashland in our capacity as a servicer of the accounts receivable and remitted to the buyer. The difference between accounts receivable transferred and derecognized versus collected of $12 million, $1 million and $24 million for the years ended September 30, 2025, 2024, and 2023, respectively, represents the impact of a net reduction in account receivable sales volume during 2025, a net increase in 2024, and a net decrease during 2023.</w:t>
      </w:r>
    </w:p>
    <w:p>
      <w:pPr>
        <w:sectPr>
          <w:pgSz w:w="12240" w:h="15840" w:orient="portrait"/>
          <w:cols w:equalWidth="0" w:num="1">
            <w:col w:w="10240"/>
          </w:cols>
          <w:pgMar w:left="1000" w:top="988"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M-32</w:t>
      </w:r>
    </w:p>
    <w:p>
      <w:pPr>
        <w:sectPr>
          <w:pgSz w:w="12240" w:h="15840" w:orient="portrait"/>
          <w:cols w:equalWidth="0" w:num="1">
            <w:col w:w="10240"/>
          </w:cols>
          <w:pgMar w:left="1000" w:top="988" w:right="1000" w:bottom="186"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i w:val="1"/>
          <w:iCs w:val="1"/>
          <w:color w:val="auto"/>
        </w:rPr>
        <w:t>Foreign Accounts Receivable Sales Program</w:t>
      </w:r>
    </w:p>
    <w:p>
      <w:pPr>
        <w:spacing w:after="0" w:line="164"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On October 19, 2023, Ashland entered, through an Ireland based, wholly-owned, bankruptcy-remote consolidated special purpose entity (the "SPE"), into a three-year agreement with a group of entities (buyers) to sell certain trade receivables, without recourse beyond the pledged receivables, of certain wholly-owned Ashland subsidiaries (Foreign Accounts Receivable Sales Program) primarily in Europe. Under the agreement, Ashland can transfer whole receivables up to a limit established by the buyer, which is currently set at €125 million (a level 1 fair value measurement). Ashland’s continuing involvement is limited to servicing the accounts receivable, including billing, collections and remittance of payments to the buyers as well as a limited guarantee on over-collateralization.</w:t>
      </w:r>
    </w:p>
    <w:p>
      <w:pPr>
        <w:spacing w:after="0" w:line="8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determined that any accounts receivable transferred under this agreement are put presumptively beyond the reach of Ashland and its creditors, even in bankruptcy or other receivership. Ashland received true sale at law and non-consolidation opinions from independent qualified legal advisors in the jurisdiction of each originating subsidiary to support the legal isolation of these accounts receivable. Consequently, Ashland accounts for accounts receivable transferred to buyers as part of this agreement as sales.</w:t>
      </w:r>
    </w:p>
    <w:p>
      <w:pPr>
        <w:spacing w:after="0" w:line="77"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Ashland recognized a loss of $5 million and $3 million within the Statements of Consolidated Comprehensive Income (Loss) for 2025 and 2024, respectively, within the net interest and other expense (income) caption associated with sales under the program. Ashland has recorded $103 million of sales against the buyer’s limit, which was $103 million at September 30, 2025, compared to $104 million of sales against the buyer's limit, which was $104 million at September 30, 2024. Ashland transferred $142 million and $155 million in accounts receivable to the SPE as of September 30, 2025 and 2024, respectively. Ashland recorded liabilities related to its service obligations and limited guarantee as of September 30, 2025 and 2024 of less than $1 million.</w:t>
      </w:r>
    </w:p>
    <w:p>
      <w:pPr>
        <w:spacing w:after="0" w:line="8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For the years ended September 30, 2025 and 2024, the gross cash proceeds received for accounts receivable transferred and derecognized were $528 million and $104 million, respectively, of which $534 million and zero were collected by Ashland in our capacity as a servicer of the accounts receivable and remitted to the buyer. The difference between accounts receivable transferred and derecognized versus collected of $6 million and $104 million for the years ended September 30, 2025 and 2024, respectively, represents the impact of a net reduction and a net increase in accounts receivable sales volume during each year,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Supply Chain Finance Program</w:t>
      </w:r>
    </w:p>
    <w:p>
      <w:pPr>
        <w:spacing w:after="0" w:line="164"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As of September 30, 2025, participation in the program was not significant. There were less than $1 million of confirmed invoices under this program for the year ended September 30,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debt</w:t>
      </w:r>
    </w:p>
    <w:p>
      <w:pPr>
        <w:spacing w:after="0" w:line="17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At September 30, 2025 and 2024, Ashland held other debt totaling $76 million and $71 million, respectively, comprised primarily of the 6.50% notes due 2029 and other notes.</w:t>
      </w:r>
    </w:p>
    <w:p>
      <w:pPr>
        <w:sectPr>
          <w:pgSz w:w="12240" w:h="15840" w:orient="portrait"/>
          <w:cols w:equalWidth="0" w:num="1">
            <w:col w:w="10240"/>
          </w:cols>
          <w:pgMar w:left="1000" w:top="990"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M-33</w:t>
      </w:r>
    </w:p>
    <w:p>
      <w:pPr>
        <w:sectPr>
          <w:pgSz w:w="12240" w:h="15840" w:orient="portrait"/>
          <w:cols w:equalWidth="0" w:num="1">
            <w:col w:w="10240"/>
          </w:cols>
          <w:pgMar w:left="1000" w:top="990" w:right="1000" w:bottom="186"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auto"/>
        </w:rPr>
        <w:t>Available borrowing capacity and liquidity</w:t>
      </w:r>
    </w:p>
    <w:p>
      <w:pPr>
        <w:spacing w:after="0" w:line="170"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The borrowing capacity remaining under the $600 million 2022 Revolving Credit Facility was $596 million due to a reduction of $4 million for letters of credit outstanding at September 30, 2025. Ashland's total borrowing capacity at September 30, 2025 was $596 million.</w:t>
      </w:r>
    </w:p>
    <w:p>
      <w:pPr>
        <w:spacing w:after="0" w:line="68" w:lineRule="exact"/>
        <w:rPr>
          <w:sz w:val="20"/>
          <w:szCs w:val="20"/>
          <w:color w:val="auto"/>
        </w:rPr>
      </w:pPr>
    </w:p>
    <w:p>
      <w:pPr>
        <w:ind w:right="280" w:firstLine="360"/>
        <w:spacing w:after="0" w:line="413" w:lineRule="auto"/>
        <w:rPr>
          <w:sz w:val="20"/>
          <w:szCs w:val="20"/>
          <w:color w:val="auto"/>
        </w:rPr>
      </w:pPr>
      <w:r>
        <w:rPr>
          <w:rFonts w:ascii="Times New Roman" w:cs="Times New Roman" w:eastAsia="Times New Roman" w:hAnsi="Times New Roman"/>
          <w:sz w:val="20"/>
          <w:szCs w:val="20"/>
          <w:color w:val="auto"/>
        </w:rPr>
        <w:t xml:space="preserve">Additionally, Ashland has no available liquidity under its current U.S. and Foreign Accounts Receivable Sales Program. </w:t>
      </w:r>
      <w:r>
        <w:rPr>
          <w:rFonts w:ascii="Times New Roman" w:cs="Times New Roman" w:eastAsia="Times New Roman" w:hAnsi="Times New Roman"/>
          <w:sz w:val="20"/>
          <w:szCs w:val="20"/>
          <w:b w:val="1"/>
          <w:bCs w:val="1"/>
          <w:color w:val="auto"/>
        </w:rPr>
        <w:t>Covenants related to current Ashland debt agreements</w:t>
      </w:r>
    </w:p>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2025, Ashland was in compliance with all debt agreement covenant restrictions.</w:t>
      </w:r>
    </w:p>
    <w:p>
      <w:pPr>
        <w:spacing w:after="0" w:line="74" w:lineRule="exact"/>
        <w:rPr>
          <w:sz w:val="20"/>
          <w:szCs w:val="20"/>
          <w:color w:val="auto"/>
        </w:rPr>
      </w:pPr>
    </w:p>
    <w:p>
      <w:pPr>
        <w:jc w:val="both"/>
        <w:ind w:right="20" w:firstLine="360"/>
        <w:spacing w:after="0" w:line="291"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(loss) plus consolidated interest charges, taxes, depreciation and amortization expense, fees and expenses related to capital market transactions and proposed or actual acquisitions and divestitures, restructuring and integration charges, certain environmental charges, non-cash stock and equity compensation expense, and any other nonrecurring expenses or losses that do not represent a cash item in such period or any future period; less any non-cash gains or other items increasing net income (loss). The computation of Covenant Adjusted EBITDA differs from the calculation of EBITDA and Adjusted EBITDA, which have been reconciled in the "Use of Non-GAAP Financial Measures" section. In general, consolidated indebtedness includes debt plus all purchase money indebtedness, banker’s acceptances and bank guaranties, deferred purchase price of property or services, attributable indebtedness and guarantees. At September 30, 2025, Ashland’s calculation of the consolidated net leverage ratio was 2.8.</w:t>
      </w:r>
    </w:p>
    <w:p>
      <w:pPr>
        <w:spacing w:after="0" w:line="86" w:lineRule="exact"/>
        <w:rPr>
          <w:sz w:val="20"/>
          <w:szCs w:val="20"/>
          <w:color w:val="auto"/>
        </w:rPr>
      </w:pPr>
    </w:p>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September 30, 2025, Ashland’s calculation of the consolidated interest coverage ratio was 6.5.</w:t>
      </w:r>
    </w:p>
    <w:p>
      <w:pPr>
        <w:spacing w:after="0" w:line="74"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Any change in Covenant Adjusted EBITDA of $100 million would have an approximate 0.5x effect on the consolidated net leverage ratio and a 1.6x effect on the consolidated interest coverage ratio. Any change in consolidated indebtedness of $100 million would affect the consolidated net leverage ratio by approximately 0.2x.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Ashland credit ratings</w:t>
      </w:r>
    </w:p>
    <w:p>
      <w:pPr>
        <w:spacing w:after="0" w:line="170" w:lineRule="exact"/>
        <w:rPr>
          <w:sz w:val="20"/>
          <w:szCs w:val="20"/>
          <w:color w:val="auto"/>
        </w:rPr>
      </w:pPr>
    </w:p>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Ashland’s corporate credit ratings remained unchanged at BB+ by Standard &amp; Poor’s and Ba1 by Moody’s Investor Services. As of September 30, 2025, both Moody’s Investor Services and Standard &amp; Poor’s outlook remained at stable. Subsequent changes to these ratings or outlook may have an effect on Ashland’s borrowing rate or ability to access capital markets in the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cash projection</w:t>
      </w:r>
    </w:p>
    <w:p>
      <w:pPr>
        <w:spacing w:after="0" w:line="164"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Ashland believes that cash flow from operations, availability under existing credit facilities and arrangements, current cash, cash equivalents, investment balances and the ability to obtain other financing, if necessary, will provide adequate cash funds for the Company’s foreseeable working capital needs, capital expenditures at existing facilities, pending acquisitions,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w:t>
      </w:r>
    </w:p>
    <w:p>
      <w:pPr>
        <w:sectPr>
          <w:pgSz w:w="12240" w:h="15840" w:orient="portrait"/>
          <w:cols w:equalWidth="0" w:num="1">
            <w:col w:w="10260"/>
          </w:cols>
          <w:pgMar w:left="1000" w:top="984" w:right="9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M-34</w:t>
      </w:r>
    </w:p>
    <w:p>
      <w:pPr>
        <w:sectPr>
          <w:pgSz w:w="12240" w:h="15840" w:orient="portrait"/>
          <w:cols w:equalWidth="0" w:num="1">
            <w:col w:w="10260"/>
          </w:cols>
          <w:pgMar w:left="1000" w:top="984" w:right="980" w:bottom="186" w:gutter="0" w:footer="0" w:header="0"/>
          <w:type w:val="continuous"/>
        </w:sectPr>
      </w:pPr>
    </w:p>
    <w:bookmarkStart w:id="92" w:name="page93"/>
    <w:bookmarkEnd w:id="92"/>
    <w:p>
      <w:pPr>
        <w:ind w:left="6" w:firstLine="360"/>
        <w:spacing w:after="0" w:line="303" w:lineRule="auto"/>
        <w:rPr>
          <w:sz w:val="20"/>
          <w:szCs w:val="20"/>
          <w:color w:val="auto"/>
        </w:rPr>
      </w:pPr>
      <w:r>
        <w:rPr>
          <w:rFonts w:ascii="Times New Roman" w:cs="Times New Roman" w:eastAsia="Times New Roman" w:hAnsi="Times New Roman"/>
          <w:sz w:val="20"/>
          <w:szCs w:val="20"/>
          <w:color w:val="auto"/>
        </w:rPr>
        <w:t>Ashland expects the following material cash funding requirements from known contractual obligations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-19685</wp:posOffset>
            </wp:positionV>
            <wp:extent cx="652970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72">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44"/>
        </w:trPr>
        <w:tc>
          <w:tcPr>
            <w:tcW w:w="5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Less than</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More than</w:t>
            </w:r>
          </w:p>
        </w:tc>
      </w:tr>
      <w:tr>
        <w:trPr>
          <w:trHeight w:val="249"/>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46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 year</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 year</w:t>
            </w:r>
          </w:p>
        </w:tc>
      </w:tr>
      <w:tr>
        <w:trPr>
          <w:trHeight w:val="239"/>
        </w:trPr>
        <w:tc>
          <w:tcPr>
            <w:tcW w:w="5960" w:type="dxa"/>
            <w:vAlign w:val="bottom"/>
            <w:shd w:val="clear" w:color="auto" w:fill="D5EFF4"/>
          </w:tcPr>
          <w:p>
            <w:pPr>
              <w:spacing w:after="0" w:line="239" w:lineRule="exact"/>
              <w:rPr>
                <w:sz w:val="20"/>
                <w:szCs w:val="20"/>
                <w:color w:val="auto"/>
              </w:rPr>
            </w:pPr>
            <w:r>
              <w:rPr>
                <w:rFonts w:ascii="Times New Roman" w:cs="Times New Roman" w:eastAsia="Times New Roman" w:hAnsi="Times New Roman"/>
                <w:sz w:val="20"/>
                <w:szCs w:val="20"/>
                <w:color w:val="auto"/>
              </w:rPr>
              <w:t>Raw material and service contract purchase obligations</w:t>
            </w:r>
            <w:r>
              <w:rPr>
                <w:rFonts w:ascii="Times New Roman" w:cs="Times New Roman" w:eastAsia="Times New Roman" w:hAnsi="Times New Roman"/>
                <w:sz w:val="25"/>
                <w:szCs w:val="25"/>
                <w:color w:val="auto"/>
                <w:vertAlign w:val="superscript"/>
              </w:rPr>
              <w:t>(a)</w:t>
            </w:r>
          </w:p>
        </w:tc>
        <w:tc>
          <w:tcPr>
            <w:tcW w:w="460" w:type="dxa"/>
            <w:vAlign w:val="bottom"/>
            <w:shd w:val="clear" w:color="auto" w:fill="D5EFF4"/>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74</w:t>
            </w:r>
          </w:p>
        </w:tc>
        <w:tc>
          <w:tcPr>
            <w:tcW w:w="42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56</w:t>
            </w:r>
          </w:p>
        </w:tc>
        <w:tc>
          <w:tcPr>
            <w:tcW w:w="380" w:type="dxa"/>
            <w:vAlign w:val="bottom"/>
            <w:gridSpan w:val="2"/>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Borders>
              <w:top w:val="single" w:sz="8" w:color="auto"/>
            </w:tcBorders>
            <w:shd w:val="clear" w:color="auto" w:fill="D5EFF4"/>
          </w:tcPr>
          <w:p>
            <w:pPr>
              <w:spacing w:after="0"/>
              <w:rPr>
                <w:sz w:val="20"/>
                <w:szCs w:val="20"/>
                <w:color w:val="auto"/>
              </w:rPr>
            </w:pPr>
          </w:p>
        </w:tc>
      </w:tr>
      <w:tr>
        <w:trPr>
          <w:trHeight w:val="244"/>
        </w:trPr>
        <w:tc>
          <w:tcPr>
            <w:tcW w:w="596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Employee benefit obligations</w:t>
            </w:r>
            <w:r>
              <w:rPr>
                <w:rFonts w:ascii="Times New Roman" w:cs="Times New Roman" w:eastAsia="Times New Roman" w:hAnsi="Times New Roman"/>
                <w:sz w:val="25"/>
                <w:szCs w:val="25"/>
                <w:color w:val="auto"/>
                <w:vertAlign w:val="superscript"/>
              </w:rPr>
              <w:t>(b)</w:t>
            </w:r>
          </w:p>
        </w:tc>
        <w:tc>
          <w:tcPr>
            <w:tcW w:w="46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1"/>
                <w:szCs w:val="21"/>
                <w:color w:val="auto"/>
              </w:rPr>
            </w:pPr>
          </w:p>
        </w:tc>
      </w:tr>
      <w:tr>
        <w:trPr>
          <w:trHeight w:val="244"/>
        </w:trPr>
        <w:tc>
          <w:tcPr>
            <w:tcW w:w="5960" w:type="dxa"/>
            <w:vAlign w:val="bottom"/>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Operating lease obligations</w:t>
            </w:r>
            <w:r>
              <w:rPr>
                <w:rFonts w:ascii="Times New Roman" w:cs="Times New Roman" w:eastAsia="Times New Roman" w:hAnsi="Times New Roman"/>
                <w:sz w:val="25"/>
                <w:szCs w:val="25"/>
                <w:color w:val="auto"/>
                <w:vertAlign w:val="superscript"/>
              </w:rPr>
              <w:t>(c)</w:t>
            </w:r>
          </w:p>
        </w:tc>
        <w:tc>
          <w:tcPr>
            <w:tcW w:w="46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118</w:t>
            </w:r>
          </w:p>
        </w:tc>
        <w:tc>
          <w:tcPr>
            <w:tcW w:w="120" w:type="dxa"/>
            <w:vAlign w:val="bottom"/>
            <w:shd w:val="clear" w:color="auto" w:fill="D5EFF4"/>
          </w:tcPr>
          <w:p>
            <w:pPr>
              <w:spacing w:after="0"/>
              <w:rPr>
                <w:sz w:val="21"/>
                <w:szCs w:val="21"/>
                <w:color w:val="auto"/>
              </w:rPr>
            </w:pPr>
          </w:p>
        </w:tc>
        <w:tc>
          <w:tcPr>
            <w:tcW w:w="300" w:type="dxa"/>
            <w:vAlign w:val="bottom"/>
            <w:shd w:val="clear" w:color="auto" w:fill="D5EFF4"/>
          </w:tcPr>
          <w:p>
            <w:pPr>
              <w:spacing w:after="0"/>
              <w:rPr>
                <w:sz w:val="21"/>
                <w:szCs w:val="21"/>
                <w:color w:val="auto"/>
              </w:rPr>
            </w:pPr>
          </w:p>
        </w:tc>
        <w:tc>
          <w:tcPr>
            <w:tcW w:w="10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shd w:val="clear" w:color="auto" w:fill="D5EFF4"/>
          </w:tcPr>
          <w:p>
            <w:pPr>
              <w:spacing w:after="0"/>
              <w:rPr>
                <w:sz w:val="21"/>
                <w:szCs w:val="21"/>
                <w:color w:val="auto"/>
              </w:rPr>
            </w:pPr>
          </w:p>
        </w:tc>
      </w:tr>
      <w:tr>
        <w:trPr>
          <w:trHeight w:val="244"/>
        </w:trPr>
        <w:tc>
          <w:tcPr>
            <w:tcW w:w="596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Interest payments</w:t>
            </w:r>
            <w:r>
              <w:rPr>
                <w:rFonts w:ascii="Times New Roman" w:cs="Times New Roman" w:eastAsia="Times New Roman" w:hAnsi="Times New Roman"/>
                <w:sz w:val="25"/>
                <w:szCs w:val="25"/>
                <w:color w:val="auto"/>
                <w:vertAlign w:val="superscript"/>
              </w:rPr>
              <w:t>(d)</w:t>
            </w:r>
          </w:p>
        </w:tc>
        <w:tc>
          <w:tcPr>
            <w:tcW w:w="46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60" w:type="dxa"/>
            <w:vAlign w:val="bottom"/>
          </w:tcPr>
          <w:p>
            <w:pPr>
              <w:spacing w:after="0"/>
              <w:rPr>
                <w:sz w:val="21"/>
                <w:szCs w:val="21"/>
                <w:color w:val="auto"/>
              </w:rPr>
            </w:pPr>
          </w:p>
        </w:tc>
      </w:tr>
      <w:tr>
        <w:trPr>
          <w:trHeight w:val="244"/>
        </w:trPr>
        <w:tc>
          <w:tcPr>
            <w:tcW w:w="5960" w:type="dxa"/>
            <w:vAlign w:val="bottom"/>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Unrecognized tax benefits</w:t>
            </w:r>
            <w:r>
              <w:rPr>
                <w:rFonts w:ascii="Times New Roman" w:cs="Times New Roman" w:eastAsia="Times New Roman" w:hAnsi="Times New Roman"/>
                <w:sz w:val="25"/>
                <w:szCs w:val="25"/>
                <w:color w:val="auto"/>
                <w:vertAlign w:val="superscript"/>
              </w:rPr>
              <w:t>(e)</w:t>
            </w:r>
          </w:p>
        </w:tc>
        <w:tc>
          <w:tcPr>
            <w:tcW w:w="460" w:type="dxa"/>
            <w:vAlign w:val="bottom"/>
            <w:shd w:val="clear" w:color="auto" w:fill="D5EFF4"/>
          </w:tcPr>
          <w:p>
            <w:pPr>
              <w:spacing w:after="0"/>
              <w:rPr>
                <w:sz w:val="21"/>
                <w:szCs w:val="21"/>
                <w:color w:val="auto"/>
              </w:rPr>
            </w:pPr>
          </w:p>
        </w:tc>
        <w:tc>
          <w:tcPr>
            <w:tcW w:w="9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65</w:t>
            </w:r>
          </w:p>
        </w:tc>
        <w:tc>
          <w:tcPr>
            <w:tcW w:w="120" w:type="dxa"/>
            <w:vAlign w:val="bottom"/>
            <w:shd w:val="clear" w:color="auto" w:fill="D5EFF4"/>
          </w:tcPr>
          <w:p>
            <w:pPr>
              <w:spacing w:after="0"/>
              <w:rPr>
                <w:sz w:val="21"/>
                <w:szCs w:val="21"/>
                <w:color w:val="auto"/>
              </w:rPr>
            </w:pPr>
          </w:p>
        </w:tc>
        <w:tc>
          <w:tcPr>
            <w:tcW w:w="300" w:type="dxa"/>
            <w:vAlign w:val="bottom"/>
            <w:shd w:val="clear" w:color="auto" w:fill="D5EFF4"/>
          </w:tcPr>
          <w:p>
            <w:pPr>
              <w:spacing w:after="0"/>
              <w:rPr>
                <w:sz w:val="21"/>
                <w:szCs w:val="21"/>
                <w:color w:val="auto"/>
              </w:rPr>
            </w:pPr>
          </w:p>
        </w:tc>
        <w:tc>
          <w:tcPr>
            <w:tcW w:w="106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60" w:type="dxa"/>
            <w:vAlign w:val="bottom"/>
            <w:shd w:val="clear" w:color="auto" w:fill="D5EFF4"/>
          </w:tcPr>
          <w:p>
            <w:pPr>
              <w:spacing w:after="0"/>
              <w:rPr>
                <w:sz w:val="21"/>
                <w:szCs w:val="21"/>
                <w:color w:val="auto"/>
              </w:rPr>
            </w:pPr>
          </w:p>
        </w:tc>
      </w:tr>
      <w:tr>
        <w:trPr>
          <w:trHeight w:val="244"/>
        </w:trPr>
        <w:tc>
          <w:tcPr>
            <w:tcW w:w="5960" w:type="dxa"/>
            <w:vAlign w:val="bottom"/>
            <w:tcBorders>
              <w:bottom w:val="single" w:sz="8" w:color="D5EFF4"/>
            </w:tcBorders>
          </w:tcPr>
          <w:p>
            <w:pPr>
              <w:spacing w:after="0" w:line="244" w:lineRule="exact"/>
              <w:rPr>
                <w:sz w:val="20"/>
                <w:szCs w:val="20"/>
                <w:color w:val="auto"/>
              </w:rPr>
            </w:pPr>
            <w:r>
              <w:rPr>
                <w:rFonts w:ascii="Times New Roman" w:cs="Times New Roman" w:eastAsia="Times New Roman" w:hAnsi="Times New Roman"/>
                <w:sz w:val="20"/>
                <w:szCs w:val="20"/>
                <w:color w:val="auto"/>
              </w:rPr>
              <w:t>One-time transition tax</w:t>
            </w:r>
            <w:r>
              <w:rPr>
                <w:rFonts w:ascii="Times New Roman" w:cs="Times New Roman" w:eastAsia="Times New Roman" w:hAnsi="Times New Roman"/>
                <w:sz w:val="25"/>
                <w:szCs w:val="25"/>
                <w:color w:val="auto"/>
                <w:vertAlign w:val="superscript"/>
              </w:rPr>
              <w:t>(f)</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Borders>
              <w:bottom w:val="single" w:sz="8" w:color="D5EFF4"/>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Borders>
              <w:bottom w:val="single" w:sz="8" w:color="D5EF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59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contractual obligations</w:t>
            </w:r>
          </w:p>
        </w:tc>
        <w:tc>
          <w:tcPr>
            <w:tcW w:w="460" w:type="dxa"/>
            <w:vAlign w:val="bottom"/>
            <w:tcBorders>
              <w:bottom w:val="single" w:sz="8" w:color="auto"/>
            </w:tcBorders>
            <w:shd w:val="clear" w:color="auto" w:fill="D5EFF4"/>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847</w:t>
            </w:r>
          </w:p>
        </w:tc>
        <w:tc>
          <w:tcPr>
            <w:tcW w:w="120" w:type="dxa"/>
            <w:vAlign w:val="bottom"/>
            <w:shd w:val="clear" w:color="auto" w:fill="D5EFF4"/>
          </w:tcPr>
          <w:p>
            <w:pPr>
              <w:spacing w:after="0"/>
              <w:rPr>
                <w:sz w:val="20"/>
                <w:szCs w:val="20"/>
                <w:color w:val="auto"/>
              </w:rPr>
            </w:pPr>
          </w:p>
        </w:tc>
        <w:tc>
          <w:tcPr>
            <w:tcW w:w="300" w:type="dxa"/>
            <w:vAlign w:val="bottom"/>
            <w:tcBorders>
              <w:bottom w:val="single" w:sz="8" w:color="auto"/>
            </w:tcBorders>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166</w:t>
            </w:r>
          </w:p>
        </w:tc>
        <w:tc>
          <w:tcPr>
            <w:tcW w:w="120" w:type="dxa"/>
            <w:vAlign w:val="bottom"/>
            <w:shd w:val="clear" w:color="auto" w:fill="D5EFF4"/>
          </w:tcPr>
          <w:p>
            <w:pPr>
              <w:spacing w:after="0"/>
              <w:rPr>
                <w:sz w:val="20"/>
                <w:szCs w:val="20"/>
                <w:color w:val="auto"/>
              </w:rPr>
            </w:pPr>
          </w:p>
        </w:tc>
        <w:tc>
          <w:tcPr>
            <w:tcW w:w="260" w:type="dxa"/>
            <w:vAlign w:val="bottom"/>
            <w:tcBorders>
              <w:bottom w:val="single" w:sz="8" w:color="auto"/>
            </w:tcBorders>
            <w:shd w:val="clear" w:color="auto" w:fill="D5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681</w:t>
            </w:r>
          </w:p>
        </w:tc>
        <w:tc>
          <w:tcPr>
            <w:tcW w:w="60" w:type="dxa"/>
            <w:vAlign w:val="bottom"/>
            <w:tcBorders>
              <w:bottom w:val="single" w:sz="8" w:color="auto"/>
            </w:tcBorders>
            <w:shd w:val="clear" w:color="auto" w:fill="D5EFF4"/>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29"/>
        </w:trPr>
        <w:tc>
          <w:tcPr>
            <w:tcW w:w="5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59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Other commitments</w:t>
            </w:r>
          </w:p>
        </w:tc>
        <w:tc>
          <w:tcPr>
            <w:tcW w:w="460" w:type="dxa"/>
            <w:vAlign w:val="bottom"/>
            <w:shd w:val="clear" w:color="auto" w:fill="D5EFF4"/>
          </w:tcPr>
          <w:p>
            <w:pPr>
              <w:spacing w:after="0"/>
              <w:rPr>
                <w:sz w:val="21"/>
                <w:szCs w:val="21"/>
                <w:color w:val="auto"/>
              </w:rPr>
            </w:pPr>
          </w:p>
        </w:tc>
        <w:tc>
          <w:tcPr>
            <w:tcW w:w="90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300" w:type="dxa"/>
            <w:vAlign w:val="bottom"/>
            <w:shd w:val="clear" w:color="auto" w:fill="D5EFF4"/>
          </w:tcPr>
          <w:p>
            <w:pPr>
              <w:spacing w:after="0"/>
              <w:rPr>
                <w:sz w:val="21"/>
                <w:szCs w:val="21"/>
                <w:color w:val="auto"/>
              </w:rPr>
            </w:pPr>
          </w:p>
        </w:tc>
        <w:tc>
          <w:tcPr>
            <w:tcW w:w="106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260" w:type="dxa"/>
            <w:vAlign w:val="bottom"/>
            <w:shd w:val="clear" w:color="auto" w:fill="D5EFF4"/>
          </w:tcPr>
          <w:p>
            <w:pPr>
              <w:spacing w:after="0"/>
              <w:rPr>
                <w:sz w:val="21"/>
                <w:szCs w:val="21"/>
                <w:color w:val="auto"/>
              </w:rPr>
            </w:pPr>
          </w:p>
        </w:tc>
        <w:tc>
          <w:tcPr>
            <w:tcW w:w="1000" w:type="dxa"/>
            <w:vAlign w:val="bottom"/>
            <w:shd w:val="clear" w:color="auto" w:fill="D5EFF4"/>
          </w:tcPr>
          <w:p>
            <w:pPr>
              <w:spacing w:after="0"/>
              <w:rPr>
                <w:sz w:val="21"/>
                <w:szCs w:val="21"/>
                <w:color w:val="auto"/>
              </w:rPr>
            </w:pPr>
          </w:p>
        </w:tc>
        <w:tc>
          <w:tcPr>
            <w:tcW w:w="60" w:type="dxa"/>
            <w:vAlign w:val="bottom"/>
            <w:shd w:val="clear" w:color="auto" w:fill="D5EFF4"/>
          </w:tcPr>
          <w:p>
            <w:pPr>
              <w:spacing w:after="0"/>
              <w:rPr>
                <w:sz w:val="21"/>
                <w:szCs w:val="21"/>
                <w:color w:val="auto"/>
              </w:rPr>
            </w:pPr>
          </w:p>
        </w:tc>
      </w:tr>
      <w:tr>
        <w:trPr>
          <w:trHeight w:val="346"/>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Letters of credit</w:t>
            </w:r>
            <w:r>
              <w:rPr>
                <w:rFonts w:ascii="Times New Roman" w:cs="Times New Roman" w:eastAsia="Times New Roman" w:hAnsi="Times New Roman"/>
                <w:sz w:val="25"/>
                <w:szCs w:val="25"/>
                <w:color w:val="auto"/>
                <w:vertAlign w:val="superscript"/>
              </w:rPr>
              <w:t>(g)</w:t>
            </w: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-1675130</wp:posOffset>
            </wp:positionV>
            <wp:extent cx="650811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73">
                      <a:extLst>
                        <a:ext uri="{28A0092B-C50C-407E-A947-70E740481C1C}"/>
                      </a:extLst>
                    </a:blip>
                    <a:srcRect/>
                    <a:stretch>
                      <a:fillRect/>
                    </a:stretch>
                  </pic:blipFill>
                  <pic:spPr bwMode="auto">
                    <a:xfrm>
                      <a:off x="0" y="0"/>
                      <a:ext cx="650811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652970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74">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 w:lineRule="exact"/>
        <w:rPr>
          <w:sz w:val="20"/>
          <w:szCs w:val="20"/>
          <w:color w:val="auto"/>
        </w:rPr>
      </w:pPr>
    </w:p>
    <w:p>
      <w:pPr>
        <w:ind w:left="566" w:hanging="566"/>
        <w:spacing w:after="0"/>
        <w:tabs>
          <w:tab w:leader="none" w:pos="56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raw material and service contracts where minimal committed quantities and prices are fixed.</w:t>
      </w:r>
    </w:p>
    <w:p>
      <w:pPr>
        <w:spacing w:after="0" w:line="36" w:lineRule="exact"/>
        <w:rPr>
          <w:rFonts w:ascii="Times New Roman" w:cs="Times New Roman" w:eastAsia="Times New Roman" w:hAnsi="Times New Roman"/>
          <w:sz w:val="16"/>
          <w:szCs w:val="16"/>
          <w:color w:val="auto"/>
        </w:rPr>
      </w:pPr>
    </w:p>
    <w:p>
      <w:pPr>
        <w:jc w:val="both"/>
        <w:ind w:left="566" w:hanging="566"/>
        <w:spacing w:after="0" w:line="288" w:lineRule="auto"/>
        <w:tabs>
          <w:tab w:leader="none" w:pos="56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estimated funding of Ashland’s qualified U.S. and non-U.S. pension plans for 2025 as well as projected benefit payments through 2031 under Ashland’s unfunded pension and other postretirement benefit plans. Excludes the benefit payments from the pension plan trust funds. See Note L of the Notes to Consolidated Financial Statements for additional information.</w:t>
      </w:r>
    </w:p>
    <w:p>
      <w:pPr>
        <w:ind w:left="566" w:hanging="566"/>
        <w:spacing w:after="0" w:line="288" w:lineRule="auto"/>
        <w:tabs>
          <w:tab w:leader="none" w:pos="56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leases for office buildings, transportation equipment, warehouses and storage facilities and other equipment. For further information, see Note J of the Notes to Consolidated Financial Statements.</w:t>
      </w:r>
    </w:p>
    <w:p>
      <w:pPr>
        <w:ind w:left="566" w:hanging="566"/>
        <w:spacing w:after="0" w:line="288" w:lineRule="auto"/>
        <w:tabs>
          <w:tab w:leader="none" w:pos="56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expense on both variable and fixed rate debt assuming no prepayments. Variable interest rates have been assumed to remain constant through the end of the term at rates that existed as of September 30, 2025.</w:t>
      </w:r>
    </w:p>
    <w:p>
      <w:pPr>
        <w:jc w:val="both"/>
        <w:ind w:left="566" w:hanging="566"/>
        <w:spacing w:after="0" w:line="288" w:lineRule="auto"/>
        <w:tabs>
          <w:tab w:leader="none" w:pos="56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uncertainties in the timing of the effective settlement of tax positions with respect to taxing authorities, Ashland is unable to determine the timing of payments related to noncurrent unrecognized tax benefits, including interest and penalties. Therefore, these amounts were included in the “More than 1 year” column.</w:t>
      </w:r>
    </w:p>
    <w:p>
      <w:pPr>
        <w:ind w:left="566" w:hanging="566"/>
        <w:spacing w:after="0"/>
        <w:tabs>
          <w:tab w:leader="none" w:pos="56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Tax Act enacted during fiscal year 2017, Ashland has currently recorded a $13 million liability for the one-time transition tax.</w:t>
      </w:r>
    </w:p>
    <w:p>
      <w:pPr>
        <w:spacing w:after="0" w:line="36"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Ashland issues various types of letters of credit as part of its normal course of business.</w:t>
      </w:r>
    </w:p>
    <w:p>
      <w:pPr>
        <w:spacing w:after="0" w:line="15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Total Equity</w:t>
      </w:r>
    </w:p>
    <w:p>
      <w:pPr>
        <w:spacing w:after="0" w:line="164" w:lineRule="exact"/>
        <w:rPr>
          <w:sz w:val="20"/>
          <w:szCs w:val="20"/>
          <w:color w:val="auto"/>
        </w:rPr>
      </w:pPr>
    </w:p>
    <w:p>
      <w:pPr>
        <w:jc w:val="both"/>
        <w:ind w:left="6" w:firstLine="360"/>
        <w:spacing w:after="0" w:line="297" w:lineRule="auto"/>
        <w:rPr>
          <w:sz w:val="20"/>
          <w:szCs w:val="20"/>
          <w:color w:val="auto"/>
        </w:rPr>
      </w:pPr>
      <w:r>
        <w:rPr>
          <w:rFonts w:ascii="Times New Roman" w:cs="Times New Roman" w:eastAsia="Times New Roman" w:hAnsi="Times New Roman"/>
          <w:sz w:val="20"/>
          <w:szCs w:val="20"/>
          <w:color w:val="auto"/>
        </w:rPr>
        <w:t>Total equity was $1,904 million and $2,868 million at September 30, 2025 and September 30, 2024, respectively. During 2025, there were decreases of $845 million for net income (loss), $101 million for repurchases of common stock (which includes $1 million in excise tax on stock repurchases), and $77 million for dividends paid during 2025. The decreases were partially offset by increases of $45 million for deferred translation gains, $12 million for common shares issued under stock incentive plans, and $2 million increase for unrealized gains on commodity hedges.</w:t>
      </w:r>
    </w:p>
    <w:p>
      <w:pPr>
        <w:spacing w:after="0" w:line="7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2023 Stock repurchase program</w:t>
      </w:r>
    </w:p>
    <w:p>
      <w:pPr>
        <w:spacing w:after="0" w:line="118" w:lineRule="exact"/>
        <w:rPr>
          <w:sz w:val="20"/>
          <w:szCs w:val="20"/>
          <w:color w:val="auto"/>
        </w:rPr>
      </w:pPr>
    </w:p>
    <w:p>
      <w:pPr>
        <w:jc w:val="both"/>
        <w:ind w:left="6" w:firstLine="360"/>
        <w:spacing w:after="0" w:line="300" w:lineRule="auto"/>
        <w:rPr>
          <w:sz w:val="20"/>
          <w:szCs w:val="20"/>
          <w:color w:val="auto"/>
        </w:rPr>
      </w:pPr>
      <w:r>
        <w:rPr>
          <w:rFonts w:ascii="Times New Roman" w:cs="Times New Roman" w:eastAsia="Times New Roman" w:hAnsi="Times New Roman"/>
          <w:sz w:val="20"/>
          <w:szCs w:val="20"/>
          <w:color w:val="auto"/>
        </w:rPr>
        <w:t>On June 28, 2023, Ashland's board of directors ("the Board") authorized a new evergreen $1 billion common share repurchase program ("2023 Stock Repurchase Program"). The new authorization terminated and replaced the 2022 Stock Repurchase Program, which had $200 million outstanding at the date of termination. As of September 30, 2025, $520 million remained available for repurchase under the 2023 Stock Repurchase Program</w:t>
      </w:r>
    </w:p>
    <w:p>
      <w:pPr>
        <w:sectPr>
          <w:pgSz w:w="12240" w:h="15840" w:orient="portrait"/>
          <w:cols w:equalWidth="0" w:num="1">
            <w:col w:w="10246"/>
          </w:cols>
          <w:pgMar w:left="994" w:top="988"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M-35</w:t>
      </w:r>
    </w:p>
    <w:p>
      <w:pPr>
        <w:sectPr>
          <w:pgSz w:w="12240" w:h="15840" w:orient="portrait"/>
          <w:cols w:equalWidth="0" w:num="1">
            <w:col w:w="10246"/>
          </w:cols>
          <w:pgMar w:left="994" w:top="988" w:right="1000" w:bottom="186" w:gutter="0" w:footer="0" w:header="0"/>
          <w:type w:val="continuous"/>
        </w:sectPr>
      </w:pPr>
    </w:p>
    <w:bookmarkStart w:id="93" w:name="page94"/>
    <w:bookmarkEnd w:id="93"/>
    <w:p>
      <w:pPr>
        <w:ind w:left="366"/>
        <w:spacing w:after="0"/>
        <w:rPr>
          <w:sz w:val="20"/>
          <w:szCs w:val="20"/>
          <w:color w:val="auto"/>
        </w:rPr>
      </w:pPr>
      <w:r>
        <w:rPr>
          <w:rFonts w:ascii="Times New Roman" w:cs="Times New Roman" w:eastAsia="Times New Roman" w:hAnsi="Times New Roman"/>
          <w:sz w:val="20"/>
          <w:szCs w:val="20"/>
          <w:color w:val="auto"/>
        </w:rPr>
        <w:t xml:space="preserve">The following table provides the stock repurchase activity for </w:t>
      </w:r>
      <w:r>
        <w:rPr>
          <w:rFonts w:ascii="Times New Roman" w:cs="Times New Roman" w:eastAsia="Times New Roman" w:hAnsi="Times New Roman"/>
          <w:sz w:val="20"/>
          <w:szCs w:val="20"/>
          <w:color w:val="auto"/>
          <w:highlight w:val="white"/>
        </w:rPr>
        <w:t>years</w:t>
      </w:r>
      <w:r>
        <w:rPr>
          <w:sz w:val="1"/>
          <w:szCs w:val="1"/>
          <w:color w:val="auto"/>
        </w:rPr>
        <w:drawing>
          <wp:inline distT="0" distB="0" distL="0" distR="0">
            <wp:extent cx="69850" cy="18415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75">
                      <a:extLst>
                        <a:ext uri="{28A0092B-C50C-407E-A947-70E740481C1C}"/>
                      </a:extLst>
                    </a:blip>
                    <a:srcRect/>
                    <a:stretch>
                      <a:fillRect/>
                    </a:stretch>
                  </pic:blipFill>
                  <pic:spPr bwMode="auto">
                    <a:xfrm>
                      <a:off x="0" y="0"/>
                      <a:ext cx="69850" cy="184150"/>
                    </a:xfrm>
                    <a:prstGeom prst="rect">
                      <a:avLst/>
                    </a:prstGeom>
                    <a:noFill/>
                    <a:ln>
                      <a:noFill/>
                    </a:ln>
                  </pic:spPr>
                </pic:pic>
              </a:graphicData>
            </a:graphic>
          </wp:inline>
        </w:drawing>
      </w:r>
      <w:r>
        <w:rPr>
          <w:rFonts w:ascii="Times New Roman" w:cs="Times New Roman" w:eastAsia="Times New Roman" w:hAnsi="Times New Roman"/>
          <w:sz w:val="20"/>
          <w:szCs w:val="20"/>
          <w:color w:val="auto"/>
          <w:highlight w:val="white"/>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wp:posOffset>
            </wp:positionV>
            <wp:extent cx="6477635" cy="349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76">
                      <a:extLst>
                        <a:ext uri="{28A0092B-C50C-407E-A947-70E740481C1C}"/>
                      </a:extLst>
                    </a:blip>
                    <a:srcRect/>
                    <a:stretch>
                      <a:fillRect/>
                    </a:stretch>
                  </pic:blipFill>
                  <pic:spPr bwMode="auto">
                    <a:xfrm>
                      <a:off x="0" y="0"/>
                      <a:ext cx="6477635" cy="34925"/>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41"/>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(In millions, except per</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highlight w:val="white"/>
                <w:w w:val="94"/>
              </w:rPr>
              <w:t>share</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highlight w:val="white"/>
                <w:w w:val="96"/>
              </w:rPr>
              <w:t>amounts)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auto"/>
                <w:highlight w:val="white"/>
                <w:w w:val="99"/>
              </w:rPr>
              <w:t>2025</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auto"/>
                <w:highlight w:val="white"/>
                <w:w w:val="99"/>
              </w:rPr>
              <w:t>2024</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auto"/>
                <w:highlight w:val="white"/>
                <w:w w:val="99"/>
              </w:rPr>
              <w:t>2023</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r>
      <w:tr>
        <w:trPr>
          <w:trHeight w:val="225"/>
        </w:trPr>
        <w:tc>
          <w:tcPr>
            <w:tcW w:w="2440" w:type="dxa"/>
            <w:vAlign w:val="bottom"/>
            <w:gridSpan w:val="4"/>
            <w:shd w:val="clear" w:color="auto" w:fill="D6EFF3"/>
          </w:tcPr>
          <w:p>
            <w:pPr>
              <w:spacing w:after="0" w:line="225" w:lineRule="exact"/>
              <w:rPr>
                <w:sz w:val="20"/>
                <w:szCs w:val="20"/>
                <w:color w:val="auto"/>
              </w:rPr>
            </w:pPr>
            <w:r>
              <w:rPr>
                <w:rFonts w:ascii="Times New Roman" w:cs="Times New Roman" w:eastAsia="Times New Roman" w:hAnsi="Times New Roman"/>
                <w:sz w:val="20"/>
                <w:szCs w:val="20"/>
                <w:color w:val="auto"/>
                <w:w w:val="99"/>
                <w:shd w:val="clear" w:color="auto" w:fill="D6EFF3"/>
              </w:rPr>
              <w:t>Number of shares repurchased</w:t>
            </w:r>
          </w:p>
        </w:tc>
        <w:tc>
          <w:tcPr>
            <w:tcW w:w="1340" w:type="dxa"/>
            <w:vAlign w:val="bottom"/>
            <w:gridSpan w:val="2"/>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180" w:type="dxa"/>
            <w:vAlign w:val="bottom"/>
            <w:shd w:val="clear" w:color="auto" w:fill="D5EFF4"/>
          </w:tcPr>
          <w:p>
            <w:pPr>
              <w:spacing w:after="0"/>
              <w:rPr>
                <w:sz w:val="19"/>
                <w:szCs w:val="19"/>
                <w:color w:val="auto"/>
              </w:rPr>
            </w:pPr>
          </w:p>
        </w:tc>
        <w:tc>
          <w:tcPr>
            <w:tcW w:w="1200" w:type="dxa"/>
            <w:vAlign w:val="bottom"/>
            <w:gridSpan w:val="3"/>
            <w:shd w:val="clear" w:color="auto" w:fill="D5EFF4"/>
          </w:tcPr>
          <w:p>
            <w:pPr>
              <w:spacing w:after="0"/>
              <w:rPr>
                <w:sz w:val="19"/>
                <w:szCs w:val="19"/>
                <w:color w:val="auto"/>
              </w:rPr>
            </w:pPr>
          </w:p>
        </w:tc>
        <w:tc>
          <w:tcPr>
            <w:tcW w:w="360" w:type="dxa"/>
            <w:vAlign w:val="bottom"/>
            <w:gridSpan w:val="2"/>
            <w:shd w:val="clear" w:color="auto" w:fill="D6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shd w:val="clear" w:color="auto" w:fill="D6EFF3"/>
              </w:rPr>
              <w:t>1.50</w:t>
            </w:r>
          </w:p>
        </w:tc>
        <w:tc>
          <w:tcPr>
            <w:tcW w:w="200" w:type="dxa"/>
            <w:vAlign w:val="bottom"/>
            <w:shd w:val="clear" w:color="auto" w:fill="D5EFF4"/>
          </w:tcPr>
          <w:p>
            <w:pPr>
              <w:spacing w:after="0"/>
              <w:rPr>
                <w:sz w:val="19"/>
                <w:szCs w:val="19"/>
                <w:color w:val="auto"/>
              </w:rPr>
            </w:pPr>
          </w:p>
        </w:tc>
        <w:tc>
          <w:tcPr>
            <w:tcW w:w="200" w:type="dxa"/>
            <w:vAlign w:val="bottom"/>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1380" w:type="dxa"/>
            <w:vAlign w:val="bottom"/>
            <w:gridSpan w:val="3"/>
            <w:shd w:val="clear" w:color="auto" w:fill="D5EFF4"/>
          </w:tcPr>
          <w:p>
            <w:pPr>
              <w:spacing w:after="0"/>
              <w:rPr>
                <w:sz w:val="19"/>
                <w:szCs w:val="19"/>
                <w:color w:val="auto"/>
              </w:rPr>
            </w:pPr>
          </w:p>
        </w:tc>
        <w:tc>
          <w:tcPr>
            <w:tcW w:w="360" w:type="dxa"/>
            <w:vAlign w:val="bottom"/>
            <w:gridSpan w:val="2"/>
            <w:shd w:val="clear" w:color="auto" w:fill="D6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shd w:val="clear" w:color="auto" w:fill="D6EFF3"/>
              </w:rPr>
              <w:t>4.30</w:t>
            </w:r>
          </w:p>
        </w:tc>
        <w:tc>
          <w:tcPr>
            <w:tcW w:w="400" w:type="dxa"/>
            <w:vAlign w:val="bottom"/>
            <w:shd w:val="clear" w:color="auto" w:fill="D5EFF4"/>
          </w:tcPr>
          <w:p>
            <w:pPr>
              <w:spacing w:after="0"/>
              <w:rPr>
                <w:sz w:val="19"/>
                <w:szCs w:val="19"/>
                <w:color w:val="auto"/>
              </w:rPr>
            </w:pPr>
          </w:p>
        </w:tc>
        <w:tc>
          <w:tcPr>
            <w:tcW w:w="120" w:type="dxa"/>
            <w:vAlign w:val="bottom"/>
            <w:tcBorders>
              <w:right w:val="single" w:sz="8" w:color="D5EFF4"/>
            </w:tcBorders>
            <w:shd w:val="clear" w:color="auto" w:fill="D5EFF4"/>
          </w:tcPr>
          <w:p>
            <w:pPr>
              <w:spacing w:after="0"/>
              <w:rPr>
                <w:sz w:val="19"/>
                <w:szCs w:val="19"/>
                <w:color w:val="auto"/>
              </w:rPr>
            </w:pPr>
          </w:p>
        </w:tc>
        <w:tc>
          <w:tcPr>
            <w:tcW w:w="1420" w:type="dxa"/>
            <w:vAlign w:val="bottom"/>
            <w:gridSpan w:val="3"/>
            <w:shd w:val="clear" w:color="auto" w:fill="D5EFF4"/>
          </w:tcPr>
          <w:p>
            <w:pPr>
              <w:spacing w:after="0"/>
              <w:rPr>
                <w:sz w:val="19"/>
                <w:szCs w:val="19"/>
                <w:color w:val="auto"/>
              </w:rPr>
            </w:pPr>
          </w:p>
        </w:tc>
        <w:tc>
          <w:tcPr>
            <w:tcW w:w="360" w:type="dxa"/>
            <w:vAlign w:val="bottom"/>
            <w:gridSpan w:val="2"/>
            <w:shd w:val="clear" w:color="auto" w:fill="D6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shd w:val="clear" w:color="auto" w:fill="D6EFF3"/>
              </w:rPr>
              <w:t>3.10</w:t>
            </w:r>
          </w:p>
        </w:tc>
        <w:tc>
          <w:tcPr>
            <w:tcW w:w="80" w:type="dxa"/>
            <w:vAlign w:val="bottom"/>
            <w:shd w:val="clear" w:color="auto" w:fill="D5EFF4"/>
          </w:tcPr>
          <w:p>
            <w:pPr>
              <w:spacing w:after="0"/>
              <w:rPr>
                <w:sz w:val="19"/>
                <w:szCs w:val="19"/>
                <w:color w:val="auto"/>
              </w:rPr>
            </w:pPr>
          </w:p>
        </w:tc>
      </w:tr>
      <w:tr>
        <w:trPr>
          <w:trHeight w:val="230"/>
        </w:trPr>
        <w:tc>
          <w:tcPr>
            <w:tcW w:w="3780" w:type="dxa"/>
            <w:vAlign w:val="bottom"/>
            <w:gridSpan w:val="6"/>
          </w:tcPr>
          <w:p>
            <w:pPr>
              <w:spacing w:after="0" w:line="230" w:lineRule="exact"/>
              <w:rPr>
                <w:sz w:val="20"/>
                <w:szCs w:val="20"/>
                <w:color w:val="auto"/>
              </w:rPr>
            </w:pPr>
            <w:r>
              <w:rPr>
                <w:rFonts w:ascii="Times New Roman" w:cs="Times New Roman" w:eastAsia="Times New Roman" w:hAnsi="Times New Roman"/>
                <w:sz w:val="20"/>
                <w:szCs w:val="20"/>
                <w:color w:val="auto"/>
              </w:rPr>
              <w:t>Weighted-average price per share</w:t>
            </w:r>
            <w:r>
              <w:rPr>
                <w:rFonts w:ascii="Times New Roman" w:cs="Times New Roman" w:eastAsia="Times New Roman" w:hAnsi="Times New Roman"/>
                <w:sz w:val="25"/>
                <w:szCs w:val="25"/>
                <w:color w:val="auto"/>
                <w:vertAlign w:val="superscript"/>
              </w:rPr>
              <w:t>(a)</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gridSpan w:val="6"/>
          </w:tcPr>
          <w:p>
            <w:pPr>
              <w:jc w:val="right"/>
              <w:ind w:right="200"/>
              <w:spacing w:after="0"/>
              <w:rPr>
                <w:sz w:val="20"/>
                <w:szCs w:val="20"/>
                <w:color w:val="auto"/>
              </w:rPr>
            </w:pPr>
            <w:r>
              <w:rPr>
                <w:rFonts w:ascii="Times New Roman" w:cs="Times New Roman" w:eastAsia="Times New Roman" w:hAnsi="Times New Roman"/>
                <w:sz w:val="20"/>
                <w:szCs w:val="20"/>
                <w:color w:val="auto"/>
              </w:rPr>
              <w:t>64.90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88.70</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w w:val="79"/>
              </w:rPr>
              <w:t>$</w:t>
            </w:r>
          </w:p>
        </w:tc>
        <w:tc>
          <w:tcPr>
            <w:tcW w:w="186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97.33</w:t>
            </w:r>
          </w:p>
        </w:tc>
      </w:tr>
      <w:tr>
        <w:trPr>
          <w:trHeight w:val="230"/>
        </w:trPr>
        <w:tc>
          <w:tcPr>
            <w:tcW w:w="2180" w:type="dxa"/>
            <w:vAlign w:val="bottom"/>
            <w:gridSpan w:val="2"/>
            <w:shd w:val="clear" w:color="auto" w:fill="D6EFF3"/>
          </w:tcPr>
          <w:p>
            <w:pPr>
              <w:spacing w:after="0" w:line="230" w:lineRule="exact"/>
              <w:rPr>
                <w:sz w:val="20"/>
                <w:szCs w:val="20"/>
                <w:color w:val="auto"/>
              </w:rPr>
            </w:pPr>
            <w:r>
              <w:rPr>
                <w:rFonts w:ascii="Times New Roman" w:cs="Times New Roman" w:eastAsia="Times New Roman" w:hAnsi="Times New Roman"/>
                <w:sz w:val="20"/>
                <w:szCs w:val="20"/>
                <w:color w:val="auto"/>
                <w:w w:val="96"/>
                <w:shd w:val="clear" w:color="auto" w:fill="D6EFF3"/>
              </w:rPr>
              <w:t>Aggregate purchase price</w:t>
            </w:r>
            <w:r>
              <w:rPr>
                <w:rFonts w:ascii="Times New Roman" w:cs="Times New Roman" w:eastAsia="Times New Roman" w:hAnsi="Times New Roman"/>
                <w:sz w:val="25"/>
                <w:szCs w:val="25"/>
                <w:color w:val="auto"/>
                <w:w w:val="96"/>
                <w:vertAlign w:val="superscript"/>
                <w:shd w:val="clear" w:color="auto" w:fill="D6EFF3"/>
              </w:rPr>
              <w:t>(a)</w:t>
            </w:r>
          </w:p>
        </w:tc>
        <w:tc>
          <w:tcPr>
            <w:tcW w:w="1600" w:type="dxa"/>
            <w:vAlign w:val="bottom"/>
            <w:gridSpan w:val="4"/>
            <w:shd w:val="clear" w:color="auto" w:fill="D5EFF4"/>
          </w:tcPr>
          <w:p>
            <w:pPr>
              <w:spacing w:after="0"/>
              <w:rPr>
                <w:sz w:val="20"/>
                <w:szCs w:val="20"/>
                <w:color w:val="auto"/>
              </w:rPr>
            </w:pPr>
          </w:p>
        </w:tc>
        <w:tc>
          <w:tcPr>
            <w:tcW w:w="1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180" w:type="dxa"/>
            <w:vAlign w:val="bottom"/>
            <w:shd w:val="clear" w:color="auto" w:fill="D5EFF4"/>
          </w:tcPr>
          <w:p>
            <w:pPr>
              <w:spacing w:after="0"/>
              <w:rPr>
                <w:sz w:val="20"/>
                <w:szCs w:val="20"/>
                <w:color w:val="auto"/>
              </w:rPr>
            </w:pPr>
          </w:p>
        </w:tc>
        <w:tc>
          <w:tcPr>
            <w:tcW w:w="1260" w:type="dxa"/>
            <w:vAlign w:val="bottom"/>
            <w:gridSpan w:val="4"/>
            <w:shd w:val="clear" w:color="auto" w:fill="D5EFF4"/>
          </w:tcPr>
          <w:p>
            <w:pPr>
              <w:spacing w:after="0"/>
              <w:rPr>
                <w:sz w:val="20"/>
                <w:szCs w:val="20"/>
                <w:color w:val="auto"/>
              </w:rPr>
            </w:pPr>
          </w:p>
        </w:tc>
        <w:tc>
          <w:tcPr>
            <w:tcW w:w="3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6EFF3"/>
              </w:rPr>
              <w:t>100</w:t>
            </w:r>
          </w:p>
        </w:tc>
        <w:tc>
          <w:tcPr>
            <w:tcW w:w="200" w:type="dxa"/>
            <w:vAlign w:val="bottom"/>
            <w:shd w:val="clear" w:color="auto" w:fill="D5EFF4"/>
          </w:tcPr>
          <w:p>
            <w:pPr>
              <w:spacing w:after="0"/>
              <w:rPr>
                <w:sz w:val="20"/>
                <w:szCs w:val="20"/>
                <w:color w:val="auto"/>
              </w:rPr>
            </w:pPr>
          </w:p>
        </w:tc>
        <w:tc>
          <w:tcPr>
            <w:tcW w:w="200" w:type="dxa"/>
            <w:vAlign w:val="bottom"/>
            <w:shd w:val="clear" w:color="auto" w:fill="D5EFF4"/>
          </w:tcPr>
          <w:p>
            <w:pPr>
              <w:spacing w:after="0"/>
              <w:rPr>
                <w:sz w:val="20"/>
                <w:szCs w:val="20"/>
                <w:color w:val="auto"/>
              </w:rPr>
            </w:pPr>
          </w:p>
        </w:tc>
        <w:tc>
          <w:tcPr>
            <w:tcW w:w="1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1440" w:type="dxa"/>
            <w:vAlign w:val="bottom"/>
            <w:gridSpan w:val="4"/>
            <w:shd w:val="clear" w:color="auto" w:fill="D5EFF4"/>
          </w:tcPr>
          <w:p>
            <w:pPr>
              <w:spacing w:after="0"/>
              <w:rPr>
                <w:sz w:val="20"/>
                <w:szCs w:val="20"/>
                <w:color w:val="auto"/>
              </w:rPr>
            </w:pPr>
          </w:p>
        </w:tc>
        <w:tc>
          <w:tcPr>
            <w:tcW w:w="3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6EFF3"/>
              </w:rPr>
              <w:t>380</w:t>
            </w:r>
          </w:p>
        </w:tc>
        <w:tc>
          <w:tcPr>
            <w:tcW w:w="400" w:type="dxa"/>
            <w:vAlign w:val="bottom"/>
            <w:shd w:val="clear" w:color="auto" w:fill="D5EFF4"/>
          </w:tcPr>
          <w:p>
            <w:pPr>
              <w:spacing w:after="0"/>
              <w:rPr>
                <w:sz w:val="20"/>
                <w:szCs w:val="20"/>
                <w:color w:val="auto"/>
              </w:rPr>
            </w:pPr>
          </w:p>
        </w:tc>
        <w:tc>
          <w:tcPr>
            <w:tcW w:w="120" w:type="dxa"/>
            <w:vAlign w:val="bottom"/>
            <w:tcBorders>
              <w:right w:val="single" w:sz="8" w:color="D5EFF4"/>
            </w:tcBorders>
            <w:shd w:val="clear" w:color="auto" w:fill="D6EFF3"/>
          </w:tcPr>
          <w:p>
            <w:pPr>
              <w:spacing w:after="0"/>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1480" w:type="dxa"/>
            <w:vAlign w:val="bottom"/>
            <w:gridSpan w:val="4"/>
            <w:shd w:val="clear" w:color="auto" w:fill="D5EFF4"/>
          </w:tcPr>
          <w:p>
            <w:pPr>
              <w:spacing w:after="0"/>
              <w:rPr>
                <w:sz w:val="20"/>
                <w:szCs w:val="20"/>
                <w:color w:val="auto"/>
              </w:rPr>
            </w:pPr>
          </w:p>
        </w:tc>
        <w:tc>
          <w:tcPr>
            <w:tcW w:w="3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6EFF3"/>
              </w:rPr>
              <w:t>300</w:t>
            </w:r>
          </w:p>
        </w:tc>
        <w:tc>
          <w:tcPr>
            <w:tcW w:w="80" w:type="dxa"/>
            <w:vAlign w:val="bottom"/>
            <w:shd w:val="clear" w:color="auto" w:fill="D5EFF4"/>
          </w:tcPr>
          <w:p>
            <w:pPr>
              <w:spacing w:after="0"/>
              <w:rPr>
                <w:sz w:val="20"/>
                <w:szCs w:val="20"/>
                <w:color w:val="auto"/>
              </w:rPr>
            </w:pPr>
          </w:p>
        </w:tc>
      </w:tr>
      <w:tr>
        <w:trPr>
          <w:trHeight w:val="211"/>
        </w:trPr>
        <w:tc>
          <w:tcPr>
            <w:tcW w:w="3780" w:type="dxa"/>
            <w:vAlign w:val="bottom"/>
            <w:gridSpan w:val="6"/>
          </w:tcPr>
          <w:p>
            <w:pPr>
              <w:spacing w:after="0" w:line="210" w:lineRule="exact"/>
              <w:rPr>
                <w:sz w:val="20"/>
                <w:szCs w:val="20"/>
                <w:color w:val="auto"/>
              </w:rPr>
            </w:pPr>
            <w:r>
              <w:rPr>
                <w:rFonts w:ascii="Times New Roman" w:cs="Times New Roman" w:eastAsia="Times New Roman" w:hAnsi="Times New Roman"/>
                <w:sz w:val="20"/>
                <w:szCs w:val="20"/>
                <w:color w:val="auto"/>
              </w:rPr>
              <w:t>Program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6"/>
          </w:tcPr>
          <w:p>
            <w:pPr>
              <w:jc w:val="center"/>
              <w:ind w:right="500"/>
              <w:spacing w:after="0" w:line="210" w:lineRule="exact"/>
              <w:rPr>
                <w:sz w:val="20"/>
                <w:szCs w:val="20"/>
                <w:color w:val="auto"/>
              </w:rPr>
            </w:pPr>
            <w:r>
              <w:rPr>
                <w:rFonts w:ascii="Times New Roman" w:cs="Times New Roman" w:eastAsia="Times New Roman" w:hAnsi="Times New Roman"/>
                <w:sz w:val="20"/>
                <w:szCs w:val="20"/>
                <w:color w:val="auto"/>
                <w:w w:val="99"/>
              </w:rPr>
              <w:t>2023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center"/>
              <w:spacing w:after="0" w:line="210" w:lineRule="exact"/>
              <w:rPr>
                <w:sz w:val="20"/>
                <w:szCs w:val="20"/>
                <w:color w:val="auto"/>
              </w:rPr>
            </w:pPr>
            <w:r>
              <w:rPr>
                <w:rFonts w:ascii="Times New Roman" w:cs="Times New Roman" w:eastAsia="Times New Roman" w:hAnsi="Times New Roman"/>
                <w:sz w:val="20"/>
                <w:szCs w:val="20"/>
                <w:color w:val="auto"/>
              </w:rPr>
              <w:t>2023 Stock</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6"/>
          </w:tcPr>
          <w:p>
            <w:pPr>
              <w:jc w:val="center"/>
              <w:ind w:right="200"/>
              <w:spacing w:after="0" w:line="210" w:lineRule="exact"/>
              <w:rPr>
                <w:sz w:val="20"/>
                <w:szCs w:val="20"/>
                <w:color w:val="auto"/>
              </w:rPr>
            </w:pPr>
            <w:r>
              <w:rPr>
                <w:rFonts w:ascii="Times New Roman" w:cs="Times New Roman" w:eastAsia="Times New Roman" w:hAnsi="Times New Roman"/>
                <w:sz w:val="20"/>
                <w:szCs w:val="20"/>
                <w:color w:val="auto"/>
                <w:w w:val="99"/>
              </w:rPr>
              <w:t>2022 Stock</w:t>
            </w:r>
          </w:p>
        </w:tc>
      </w:tr>
      <w:tr>
        <w:trPr>
          <w:trHeight w:val="266"/>
        </w:trPr>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40" w:type="dxa"/>
            <w:vAlign w:val="bottom"/>
            <w:gridSpan w:val="8"/>
          </w:tcPr>
          <w:p>
            <w:pPr>
              <w:jc w:val="center"/>
              <w:ind w:right="220"/>
              <w:spacing w:after="0"/>
              <w:rPr>
                <w:sz w:val="20"/>
                <w:szCs w:val="20"/>
                <w:color w:val="auto"/>
              </w:rPr>
            </w:pPr>
            <w:r>
              <w:rPr>
                <w:rFonts w:ascii="Times New Roman" w:cs="Times New Roman" w:eastAsia="Times New Roman" w:hAnsi="Times New Roman"/>
                <w:sz w:val="20"/>
                <w:szCs w:val="20"/>
                <w:color w:val="auto"/>
                <w:w w:val="99"/>
              </w:rPr>
              <w:t>Repurchase Program</w:t>
            </w:r>
          </w:p>
        </w:tc>
        <w:tc>
          <w:tcPr>
            <w:tcW w:w="200" w:type="dxa"/>
            <w:vAlign w:val="bottom"/>
          </w:tcPr>
          <w:p>
            <w:pPr>
              <w:spacing w:after="0"/>
              <w:rPr>
                <w:sz w:val="23"/>
                <w:szCs w:val="23"/>
                <w:color w:val="auto"/>
              </w:rPr>
            </w:pPr>
          </w:p>
        </w:tc>
        <w:tc>
          <w:tcPr>
            <w:tcW w:w="1840" w:type="dxa"/>
            <w:vAlign w:val="bottom"/>
            <w:gridSpan w:val="6"/>
          </w:tcPr>
          <w:p>
            <w:pPr>
              <w:jc w:val="center"/>
              <w:spacing w:after="0"/>
              <w:rPr>
                <w:sz w:val="20"/>
                <w:szCs w:val="20"/>
                <w:color w:val="auto"/>
              </w:rPr>
            </w:pPr>
            <w:r>
              <w:rPr>
                <w:rFonts w:ascii="Times New Roman" w:cs="Times New Roman" w:eastAsia="Times New Roman" w:hAnsi="Times New Roman"/>
                <w:sz w:val="20"/>
                <w:szCs w:val="20"/>
                <w:color w:val="auto"/>
              </w:rPr>
              <w:t>Repurchase Program</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gridSpan w:val="6"/>
          </w:tcPr>
          <w:p>
            <w:pPr>
              <w:jc w:val="center"/>
              <w:ind w:right="200"/>
              <w:spacing w:after="0"/>
              <w:rPr>
                <w:sz w:val="20"/>
                <w:szCs w:val="20"/>
                <w:color w:val="auto"/>
              </w:rPr>
            </w:pPr>
            <w:r>
              <w:rPr>
                <w:rFonts w:ascii="Times New Roman" w:cs="Times New Roman" w:eastAsia="Times New Roman" w:hAnsi="Times New Roman"/>
                <w:sz w:val="20"/>
                <w:szCs w:val="20"/>
                <w:color w:val="auto"/>
                <w:w w:val="99"/>
              </w:rPr>
              <w:t>Repurchase 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-762635</wp:posOffset>
            </wp:positionV>
            <wp:extent cx="6477635" cy="349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77">
                      <a:extLst>
                        <a:ext uri="{28A0092B-C50C-407E-A947-70E740481C1C}"/>
                      </a:extLst>
                    </a:blip>
                    <a:srcRect/>
                    <a:stretch>
                      <a:fillRect/>
                    </a:stretch>
                  </pic:blipFill>
                  <pic:spPr bwMode="auto">
                    <a:xfrm>
                      <a:off x="0" y="0"/>
                      <a:ext cx="6477635" cy="349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19050</wp:posOffset>
            </wp:positionV>
            <wp:extent cx="652970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78">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72" w:lineRule="exact"/>
        <w:rPr>
          <w:sz w:val="20"/>
          <w:szCs w:val="20"/>
          <w:color w:val="auto"/>
        </w:rPr>
      </w:pPr>
    </w:p>
    <w:p>
      <w:pPr>
        <w:ind w:left="566" w:hanging="566"/>
        <w:spacing w:after="0"/>
        <w:tabs>
          <w:tab w:leader="none" w:pos="5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transactions costs.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Stockholder dividends</w:t>
      </w:r>
    </w:p>
    <w:p>
      <w:pPr>
        <w:spacing w:after="0" w:line="164"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0"/>
          <w:szCs w:val="20"/>
          <w:color w:val="auto"/>
        </w:rPr>
        <w:t>Ashland paid dividends per common share of $1.64, $1.58 and $1.44 during 2025, 2024 and 2023, respectively.</w:t>
      </w:r>
    </w:p>
    <w:p>
      <w:pPr>
        <w:spacing w:after="0" w:line="166" w:lineRule="exact"/>
        <w:rPr>
          <w:sz w:val="20"/>
          <w:szCs w:val="20"/>
          <w:color w:val="auto"/>
        </w:rPr>
      </w:pPr>
    </w:p>
    <w:p>
      <w:pPr>
        <w:jc w:val="both"/>
        <w:ind w:left="6" w:firstLine="360"/>
        <w:spacing w:after="0" w:line="306" w:lineRule="auto"/>
        <w:rPr>
          <w:sz w:val="20"/>
          <w:szCs w:val="20"/>
          <w:color w:val="auto"/>
        </w:rPr>
      </w:pPr>
      <w:r>
        <w:rPr>
          <w:rFonts w:ascii="Times New Roman" w:cs="Times New Roman" w:eastAsia="Times New Roman" w:hAnsi="Times New Roman"/>
          <w:sz w:val="20"/>
          <w:szCs w:val="20"/>
          <w:color w:val="auto"/>
        </w:rPr>
        <w:t>In May 2025, the Board announced a quarterly cash dividend of 41.5 cents per share to eligible stockholders at record, which represented an increase from the previous quarterly cash dividend of 40.5 cents per share. The dividend was paid in the third and fourth quarter of fiscal 2025.</w:t>
      </w:r>
    </w:p>
    <w:p>
      <w:pPr>
        <w:spacing w:after="0" w:line="68" w:lineRule="exact"/>
        <w:rPr>
          <w:sz w:val="20"/>
          <w:szCs w:val="20"/>
          <w:color w:val="auto"/>
        </w:rPr>
      </w:pPr>
    </w:p>
    <w:p>
      <w:pPr>
        <w:jc w:val="both"/>
        <w:ind w:left="6" w:firstLine="360"/>
        <w:spacing w:after="0" w:line="306" w:lineRule="auto"/>
        <w:rPr>
          <w:sz w:val="20"/>
          <w:szCs w:val="20"/>
          <w:color w:val="auto"/>
        </w:rPr>
      </w:pPr>
      <w:r>
        <w:rPr>
          <w:rFonts w:ascii="Times New Roman" w:cs="Times New Roman" w:eastAsia="Times New Roman" w:hAnsi="Times New Roman"/>
          <w:sz w:val="20"/>
          <w:szCs w:val="20"/>
          <w:color w:val="auto"/>
        </w:rPr>
        <w:t>In May 2024, the Board announced a quarterly cash dividend of 40.5 cents per share to eligible stockholders at record, which represented an increase from the previous quarterly cash dividend of 38.5 cents per share. The dividend was paid in the third and fourth quarter of fiscal 2024.</w:t>
      </w:r>
    </w:p>
    <w:p>
      <w:pPr>
        <w:spacing w:after="0" w:line="68" w:lineRule="exact"/>
        <w:rPr>
          <w:sz w:val="20"/>
          <w:szCs w:val="20"/>
          <w:color w:val="auto"/>
        </w:rPr>
      </w:pPr>
    </w:p>
    <w:p>
      <w:pPr>
        <w:jc w:val="both"/>
        <w:ind w:left="6" w:firstLine="360"/>
        <w:spacing w:after="0" w:line="306" w:lineRule="auto"/>
        <w:rPr>
          <w:sz w:val="20"/>
          <w:szCs w:val="20"/>
          <w:color w:val="auto"/>
        </w:rPr>
      </w:pPr>
      <w:r>
        <w:rPr>
          <w:rFonts w:ascii="Times New Roman" w:cs="Times New Roman" w:eastAsia="Times New Roman" w:hAnsi="Times New Roman"/>
          <w:sz w:val="20"/>
          <w:szCs w:val="20"/>
          <w:color w:val="auto"/>
        </w:rPr>
        <w:t>In May 2023, the Board announced a quarterly cash dividend of 38.5 cents per share to eligible stockholders at record, which represented an increase from the previous quarterly cash dividend of 33.5 cents per share. The dividend was paid in the third and fourth quarter of fiscal 2023.</w:t>
      </w:r>
    </w:p>
    <w:p>
      <w:pPr>
        <w:spacing w:after="0" w:line="68" w:lineRule="exact"/>
        <w:rPr>
          <w:sz w:val="20"/>
          <w:szCs w:val="20"/>
          <w:color w:val="auto"/>
        </w:rPr>
      </w:pPr>
    </w:p>
    <w:p>
      <w:pPr>
        <w:jc w:val="both"/>
        <w:ind w:left="6" w:firstLine="360"/>
        <w:spacing w:after="0" w:line="306" w:lineRule="auto"/>
        <w:rPr>
          <w:sz w:val="20"/>
          <w:szCs w:val="20"/>
          <w:color w:val="auto"/>
        </w:rPr>
      </w:pPr>
      <w:r>
        <w:rPr>
          <w:rFonts w:ascii="Times New Roman" w:cs="Times New Roman" w:eastAsia="Times New Roman" w:hAnsi="Times New Roman"/>
          <w:sz w:val="20"/>
          <w:szCs w:val="20"/>
          <w:color w:val="auto"/>
        </w:rPr>
        <w:t>In May 2022, the Board announced a quarterly cash dividend of 33.5 cents per share to eligible stockholders at record, which represented an increase from the previous quarterly cash dividend of 30.0 cents per share. This dividend was paid in the third and fourth quarters of fiscal 2022 and the first and second quarters of fiscal 2023.</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Capital expenditures</w:t>
      </w:r>
    </w:p>
    <w:p>
      <w:pPr>
        <w:spacing w:after="0" w:line="164" w:lineRule="exact"/>
        <w:rPr>
          <w:sz w:val="20"/>
          <w:szCs w:val="20"/>
          <w:color w:val="auto"/>
        </w:rPr>
      </w:pPr>
    </w:p>
    <w:p>
      <w:pPr>
        <w:jc w:val="both"/>
        <w:ind w:left="6" w:firstLine="360"/>
        <w:spacing w:after="0" w:line="306" w:lineRule="auto"/>
        <w:rPr>
          <w:sz w:val="20"/>
          <w:szCs w:val="20"/>
          <w:color w:val="auto"/>
        </w:rPr>
      </w:pPr>
      <w:r>
        <w:rPr>
          <w:rFonts w:ascii="Times New Roman" w:cs="Times New Roman" w:eastAsia="Times New Roman" w:hAnsi="Times New Roman"/>
          <w:sz w:val="20"/>
          <w:szCs w:val="20"/>
          <w:color w:val="auto"/>
        </w:rPr>
        <w:t>Capital expenditures were $98 million for 2025 and averaged $135 million during the last three years. Ashland expects capital expenditures over the next three years to average approximately $100 million per year. A summary of capital expenditures by reportable segment during the years ended September 30,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36830</wp:posOffset>
            </wp:positionV>
            <wp:extent cx="6508115" cy="476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79">
                      <a:extLst>
                        <a:ext uri="{28A0092B-C50C-407E-A947-70E740481C1C}"/>
                      </a:extLst>
                    </a:blip>
                    <a:srcRect/>
                    <a:stretch>
                      <a:fillRect/>
                    </a:stretch>
                  </pic:blipFill>
                  <pic:spPr bwMode="auto">
                    <a:xfrm>
                      <a:off x="0" y="0"/>
                      <a:ext cx="6508115" cy="47625"/>
                    </a:xfrm>
                    <a:prstGeom prst="rect">
                      <a:avLst/>
                    </a:prstGeom>
                    <a:noFill/>
                  </pic:spPr>
                </pic:pic>
              </a:graphicData>
            </a:graphic>
          </wp:anchor>
        </w:drawing>
      </w:r>
    </w:p>
    <w:p>
      <w:pPr>
        <w:spacing w:after="0" w:line="48" w:lineRule="exact"/>
        <w:rPr>
          <w:sz w:val="20"/>
          <w:szCs w:val="20"/>
          <w:color w:val="auto"/>
        </w:rPr>
      </w:pPr>
    </w:p>
    <w:tbl>
      <w:tblPr>
        <w:tblLayout w:type="fixed"/>
        <w:tblInd w:w="6" w:type="dxa"/>
        <w:tblCellMar>
          <w:top w:w="0" w:type="dxa"/>
          <w:left w:w="0" w:type="dxa"/>
          <w:bottom w:w="0" w:type="dxa"/>
          <w:right w:w="0" w:type="dxa"/>
        </w:tblCellMar>
      </w:tblP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w w:val="97"/>
              </w:rPr>
              <w:t>(In millions)</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94"/>
              </w:rPr>
              <w:t>2025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94"/>
              </w:rPr>
              <w:t>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94"/>
              </w:rPr>
              <w:t>2023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r>
      <w:tr>
        <w:trPr>
          <w:trHeight w:val="225"/>
        </w:trPr>
        <w:tc>
          <w:tcPr>
            <w:tcW w:w="1080" w:type="dxa"/>
            <w:vAlign w:val="bottom"/>
            <w:gridSpan w:val="2"/>
            <w:shd w:val="clear" w:color="auto" w:fill="D6EFF3"/>
          </w:tcPr>
          <w:p>
            <w:pPr>
              <w:spacing w:after="0" w:line="225" w:lineRule="exact"/>
              <w:rPr>
                <w:sz w:val="20"/>
                <w:szCs w:val="20"/>
                <w:color w:val="auto"/>
              </w:rPr>
            </w:pPr>
            <w:r>
              <w:rPr>
                <w:rFonts w:ascii="Times New Roman" w:cs="Times New Roman" w:eastAsia="Times New Roman" w:hAnsi="Times New Roman"/>
                <w:sz w:val="20"/>
                <w:szCs w:val="20"/>
                <w:color w:val="auto"/>
                <w:w w:val="97"/>
                <w:shd w:val="clear" w:color="auto" w:fill="D6EFF3"/>
              </w:rPr>
              <w:t>Life Sciences</w:t>
            </w:r>
          </w:p>
        </w:tc>
        <w:tc>
          <w:tcPr>
            <w:tcW w:w="480" w:type="dxa"/>
            <w:vAlign w:val="bottom"/>
            <w:shd w:val="clear" w:color="auto" w:fill="D5EFF4"/>
          </w:tcPr>
          <w:p>
            <w:pPr>
              <w:spacing w:after="0"/>
              <w:rPr>
                <w:sz w:val="19"/>
                <w:szCs w:val="19"/>
                <w:color w:val="auto"/>
              </w:rPr>
            </w:pPr>
          </w:p>
        </w:tc>
        <w:tc>
          <w:tcPr>
            <w:tcW w:w="240" w:type="dxa"/>
            <w:vAlign w:val="bottom"/>
            <w:shd w:val="clear" w:color="auto" w:fill="D5EFF4"/>
          </w:tcPr>
          <w:p>
            <w:pPr>
              <w:spacing w:after="0"/>
              <w:rPr>
                <w:sz w:val="19"/>
                <w:szCs w:val="19"/>
                <w:color w:val="auto"/>
              </w:rPr>
            </w:pPr>
          </w:p>
        </w:tc>
        <w:tc>
          <w:tcPr>
            <w:tcW w:w="4160" w:type="dxa"/>
            <w:vAlign w:val="bottom"/>
            <w:shd w:val="clear" w:color="auto" w:fill="D5EFF4"/>
          </w:tcPr>
          <w:p>
            <w:pPr>
              <w:spacing w:after="0"/>
              <w:rPr>
                <w:sz w:val="19"/>
                <w:szCs w:val="19"/>
                <w:color w:val="auto"/>
              </w:rPr>
            </w:pPr>
          </w:p>
        </w:tc>
        <w:tc>
          <w:tcPr>
            <w:tcW w:w="100" w:type="dxa"/>
            <w:vAlign w:val="bottom"/>
            <w:shd w:val="clear" w:color="auto" w:fill="D6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960" w:type="dxa"/>
            <w:vAlign w:val="bottom"/>
            <w:gridSpan w:val="3"/>
            <w:shd w:val="clear" w:color="auto" w:fill="D5EFF4"/>
          </w:tcPr>
          <w:p>
            <w:pPr>
              <w:spacing w:after="0"/>
              <w:rPr>
                <w:sz w:val="19"/>
                <w:szCs w:val="19"/>
                <w:color w:val="auto"/>
              </w:rPr>
            </w:pPr>
          </w:p>
        </w:tc>
        <w:tc>
          <w:tcPr>
            <w:tcW w:w="200" w:type="dxa"/>
            <w:vAlign w:val="bottom"/>
            <w:gridSpan w:val="2"/>
            <w:shd w:val="clear" w:color="auto" w:fill="D6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6EFF3"/>
              </w:rPr>
              <w:t>49</w:t>
            </w:r>
          </w:p>
        </w:tc>
        <w:tc>
          <w:tcPr>
            <w:tcW w:w="100" w:type="dxa"/>
            <w:vAlign w:val="bottom"/>
            <w:shd w:val="clear" w:color="auto" w:fill="D5EFF4"/>
          </w:tcPr>
          <w:p>
            <w:pPr>
              <w:spacing w:after="0"/>
              <w:rPr>
                <w:sz w:val="19"/>
                <w:szCs w:val="19"/>
                <w:color w:val="auto"/>
              </w:rPr>
            </w:pPr>
          </w:p>
        </w:tc>
        <w:tc>
          <w:tcPr>
            <w:tcW w:w="120" w:type="dxa"/>
            <w:vAlign w:val="bottom"/>
            <w:shd w:val="clear" w:color="auto" w:fill="D5EFF4"/>
          </w:tcPr>
          <w:p>
            <w:pPr>
              <w:spacing w:after="0"/>
              <w:rPr>
                <w:sz w:val="19"/>
                <w:szCs w:val="19"/>
                <w:color w:val="auto"/>
              </w:rPr>
            </w:pPr>
          </w:p>
        </w:tc>
        <w:tc>
          <w:tcPr>
            <w:tcW w:w="100" w:type="dxa"/>
            <w:vAlign w:val="bottom"/>
            <w:shd w:val="clear" w:color="auto" w:fill="D6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340" w:type="dxa"/>
            <w:vAlign w:val="bottom"/>
            <w:shd w:val="clear" w:color="auto" w:fill="D5EFF4"/>
          </w:tcPr>
          <w:p>
            <w:pPr>
              <w:spacing w:after="0"/>
              <w:rPr>
                <w:sz w:val="19"/>
                <w:szCs w:val="19"/>
                <w:color w:val="auto"/>
              </w:rPr>
            </w:pPr>
          </w:p>
        </w:tc>
        <w:tc>
          <w:tcPr>
            <w:tcW w:w="520" w:type="dxa"/>
            <w:vAlign w:val="bottom"/>
            <w:gridSpan w:val="2"/>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200" w:type="dxa"/>
            <w:vAlign w:val="bottom"/>
            <w:gridSpan w:val="2"/>
            <w:shd w:val="clear" w:color="auto" w:fill="D6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6EFF3"/>
              </w:rPr>
              <w:t>61</w:t>
            </w:r>
          </w:p>
        </w:tc>
        <w:tc>
          <w:tcPr>
            <w:tcW w:w="100" w:type="dxa"/>
            <w:vAlign w:val="bottom"/>
            <w:shd w:val="clear" w:color="auto" w:fill="D5EFF4"/>
          </w:tcPr>
          <w:p>
            <w:pPr>
              <w:spacing w:after="0"/>
              <w:rPr>
                <w:sz w:val="19"/>
                <w:szCs w:val="19"/>
                <w:color w:val="auto"/>
              </w:rPr>
            </w:pPr>
          </w:p>
        </w:tc>
        <w:tc>
          <w:tcPr>
            <w:tcW w:w="120" w:type="dxa"/>
            <w:vAlign w:val="bottom"/>
            <w:shd w:val="clear" w:color="auto" w:fill="D5EFF4"/>
          </w:tcPr>
          <w:p>
            <w:pPr>
              <w:spacing w:after="0"/>
              <w:rPr>
                <w:sz w:val="19"/>
                <w:szCs w:val="19"/>
                <w:color w:val="auto"/>
              </w:rPr>
            </w:pPr>
          </w:p>
        </w:tc>
        <w:tc>
          <w:tcPr>
            <w:tcW w:w="100" w:type="dxa"/>
            <w:vAlign w:val="bottom"/>
            <w:shd w:val="clear" w:color="auto" w:fill="D6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6EFF3"/>
              </w:rPr>
              <w:t>$</w:t>
            </w:r>
          </w:p>
        </w:tc>
        <w:tc>
          <w:tcPr>
            <w:tcW w:w="860" w:type="dxa"/>
            <w:vAlign w:val="bottom"/>
            <w:gridSpan w:val="3"/>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200" w:type="dxa"/>
            <w:vAlign w:val="bottom"/>
            <w:gridSpan w:val="2"/>
            <w:shd w:val="clear" w:color="auto" w:fill="D6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6EFF3"/>
              </w:rPr>
              <w:t>46</w:t>
            </w:r>
          </w:p>
        </w:tc>
        <w:tc>
          <w:tcPr>
            <w:tcW w:w="60" w:type="dxa"/>
            <w:vAlign w:val="bottom"/>
            <w:tcBorders>
              <w:left w:val="single" w:sz="8" w:color="D5EFF4"/>
            </w:tcBorders>
            <w:shd w:val="clear" w:color="auto" w:fill="D5EFF4"/>
          </w:tcPr>
          <w:p>
            <w:pPr>
              <w:spacing w:after="0"/>
              <w:rPr>
                <w:sz w:val="19"/>
                <w:szCs w:val="19"/>
                <w:color w:val="auto"/>
              </w:rPr>
            </w:pPr>
          </w:p>
        </w:tc>
      </w:tr>
      <w:tr>
        <w:trPr>
          <w:trHeight w:val="230"/>
        </w:trPr>
        <w:tc>
          <w:tcPr>
            <w:tcW w:w="59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Personal Care</w:t>
            </w:r>
          </w:p>
        </w:tc>
        <w:tc>
          <w:tcPr>
            <w:tcW w:w="100" w:type="dxa"/>
            <w:vAlign w:val="bottom"/>
          </w:tcPr>
          <w:p>
            <w:pPr>
              <w:spacing w:after="0"/>
              <w:rPr>
                <w:sz w:val="20"/>
                <w:szCs w:val="20"/>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6"/>
          </w:tcPr>
          <w:p>
            <w:pPr>
              <w:jc w:val="right"/>
              <w:ind w:right="100"/>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0"/>
                <w:szCs w:val="20"/>
                <w:color w:val="auto"/>
              </w:rPr>
            </w:pPr>
          </w:p>
        </w:tc>
      </w:tr>
      <w:tr>
        <w:trPr>
          <w:trHeight w:val="230"/>
        </w:trPr>
        <w:tc>
          <w:tcPr>
            <w:tcW w:w="1560" w:type="dxa"/>
            <w:vAlign w:val="bottom"/>
            <w:gridSpan w:val="3"/>
            <w:shd w:val="clear" w:color="auto" w:fill="D6EFF3"/>
          </w:tcPr>
          <w:p>
            <w:pPr>
              <w:spacing w:after="0"/>
              <w:rPr>
                <w:sz w:val="20"/>
                <w:szCs w:val="20"/>
                <w:color w:val="auto"/>
              </w:rPr>
            </w:pPr>
            <w:r>
              <w:rPr>
                <w:rFonts w:ascii="Times New Roman" w:cs="Times New Roman" w:eastAsia="Times New Roman" w:hAnsi="Times New Roman"/>
                <w:sz w:val="20"/>
                <w:szCs w:val="20"/>
                <w:color w:val="auto"/>
                <w:w w:val="97"/>
                <w:shd w:val="clear" w:color="auto" w:fill="D6EFF3"/>
              </w:rPr>
              <w:t>Specialty Additives</w:t>
            </w:r>
          </w:p>
        </w:tc>
        <w:tc>
          <w:tcPr>
            <w:tcW w:w="240" w:type="dxa"/>
            <w:vAlign w:val="bottom"/>
            <w:shd w:val="clear" w:color="auto" w:fill="D5EFF4"/>
          </w:tcPr>
          <w:p>
            <w:pPr>
              <w:spacing w:after="0"/>
              <w:rPr>
                <w:sz w:val="20"/>
                <w:szCs w:val="20"/>
                <w:color w:val="auto"/>
              </w:rPr>
            </w:pPr>
          </w:p>
        </w:tc>
        <w:tc>
          <w:tcPr>
            <w:tcW w:w="416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960" w:type="dxa"/>
            <w:vAlign w:val="bottom"/>
            <w:gridSpan w:val="3"/>
            <w:shd w:val="clear" w:color="auto" w:fill="D5EFF4"/>
          </w:tcPr>
          <w:p>
            <w:pPr>
              <w:spacing w:after="0"/>
              <w:rPr>
                <w:sz w:val="20"/>
                <w:szCs w:val="20"/>
                <w:color w:val="auto"/>
              </w:rPr>
            </w:pPr>
          </w:p>
        </w:tc>
        <w:tc>
          <w:tcPr>
            <w:tcW w:w="200" w:type="dxa"/>
            <w:vAlign w:val="bottom"/>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6EFF3"/>
              </w:rPr>
              <w:t>34</w:t>
            </w: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340" w:type="dxa"/>
            <w:vAlign w:val="bottom"/>
            <w:shd w:val="clear" w:color="auto" w:fill="D5EFF4"/>
          </w:tcPr>
          <w:p>
            <w:pPr>
              <w:spacing w:after="0"/>
              <w:rPr>
                <w:sz w:val="20"/>
                <w:szCs w:val="20"/>
                <w:color w:val="auto"/>
              </w:rPr>
            </w:pPr>
          </w:p>
        </w:tc>
        <w:tc>
          <w:tcPr>
            <w:tcW w:w="520" w:type="dxa"/>
            <w:vAlign w:val="bottom"/>
            <w:gridSpan w:val="2"/>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200" w:type="dxa"/>
            <w:vAlign w:val="bottom"/>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6EFF3"/>
              </w:rPr>
              <w:t>61</w:t>
            </w:r>
          </w:p>
        </w:tc>
        <w:tc>
          <w:tcPr>
            <w:tcW w:w="10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860" w:type="dxa"/>
            <w:vAlign w:val="bottom"/>
            <w:gridSpan w:val="3"/>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200" w:type="dxa"/>
            <w:vAlign w:val="bottom"/>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6EFF3"/>
              </w:rPr>
              <w:t>99</w:t>
            </w:r>
          </w:p>
        </w:tc>
        <w:tc>
          <w:tcPr>
            <w:tcW w:w="60" w:type="dxa"/>
            <w:vAlign w:val="bottom"/>
            <w:tcBorders>
              <w:left w:val="single" w:sz="8" w:color="D5EFF4"/>
            </w:tcBorders>
            <w:shd w:val="clear" w:color="auto" w:fill="D5EFF4"/>
          </w:tcPr>
          <w:p>
            <w:pPr>
              <w:spacing w:after="0"/>
              <w:rPr>
                <w:sz w:val="20"/>
                <w:szCs w:val="20"/>
                <w:color w:val="auto"/>
              </w:rPr>
            </w:pPr>
          </w:p>
        </w:tc>
      </w:tr>
      <w:tr>
        <w:trPr>
          <w:trHeight w:val="230"/>
        </w:trPr>
        <w:tc>
          <w:tcPr>
            <w:tcW w:w="59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Intermediates</w:t>
            </w:r>
          </w:p>
        </w:tc>
        <w:tc>
          <w:tcPr>
            <w:tcW w:w="100" w:type="dxa"/>
            <w:vAlign w:val="bottom"/>
          </w:tcPr>
          <w:p>
            <w:pPr>
              <w:spacing w:after="0"/>
              <w:rPr>
                <w:sz w:val="20"/>
                <w:szCs w:val="20"/>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6"/>
          </w:tcPr>
          <w:p>
            <w:pPr>
              <w:jc w:val="right"/>
              <w:ind w:right="100"/>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0"/>
                <w:szCs w:val="20"/>
                <w:color w:val="auto"/>
              </w:rPr>
            </w:pPr>
          </w:p>
        </w:tc>
      </w:tr>
      <w:tr>
        <w:trPr>
          <w:trHeight w:val="230"/>
        </w:trPr>
        <w:tc>
          <w:tcPr>
            <w:tcW w:w="1800" w:type="dxa"/>
            <w:vAlign w:val="bottom"/>
            <w:gridSpan w:val="4"/>
            <w:shd w:val="clear" w:color="auto" w:fill="D6EFF3"/>
          </w:tcPr>
          <w:p>
            <w:pPr>
              <w:spacing w:after="0"/>
              <w:rPr>
                <w:sz w:val="20"/>
                <w:szCs w:val="20"/>
                <w:color w:val="auto"/>
              </w:rPr>
            </w:pPr>
            <w:r>
              <w:rPr>
                <w:rFonts w:ascii="Times New Roman" w:cs="Times New Roman" w:eastAsia="Times New Roman" w:hAnsi="Times New Roman"/>
                <w:sz w:val="20"/>
                <w:szCs w:val="20"/>
                <w:color w:val="auto"/>
                <w:w w:val="98"/>
                <w:shd w:val="clear" w:color="auto" w:fill="D6EFF3"/>
              </w:rPr>
              <w:t>Unallocated and Other</w:t>
            </w:r>
          </w:p>
        </w:tc>
        <w:tc>
          <w:tcPr>
            <w:tcW w:w="4160" w:type="dxa"/>
            <w:vAlign w:val="bottom"/>
            <w:shd w:val="clear" w:color="auto" w:fill="D5EFF4"/>
          </w:tcPr>
          <w:p>
            <w:pPr>
              <w:spacing w:after="0"/>
              <w:rPr>
                <w:sz w:val="20"/>
                <w:szCs w:val="20"/>
                <w:color w:val="auto"/>
              </w:rPr>
            </w:pPr>
          </w:p>
        </w:tc>
        <w:tc>
          <w:tcPr>
            <w:tcW w:w="100" w:type="dxa"/>
            <w:vAlign w:val="bottom"/>
            <w:tcBorders>
              <w:bottom w:val="single" w:sz="8" w:color="auto"/>
            </w:tcBorders>
            <w:shd w:val="clear" w:color="auto" w:fill="D5EFF4"/>
          </w:tcPr>
          <w:p>
            <w:pPr>
              <w:spacing w:after="0"/>
              <w:rPr>
                <w:sz w:val="20"/>
                <w:szCs w:val="20"/>
                <w:color w:val="auto"/>
              </w:rPr>
            </w:pPr>
          </w:p>
        </w:tc>
        <w:tc>
          <w:tcPr>
            <w:tcW w:w="1060" w:type="dxa"/>
            <w:vAlign w:val="bottom"/>
            <w:tcBorders>
              <w:bottom w:val="single" w:sz="8" w:color="auto"/>
            </w:tcBorders>
            <w:gridSpan w:val="4"/>
            <w:shd w:val="clear" w:color="auto" w:fill="D5EFF4"/>
          </w:tcPr>
          <w:p>
            <w:pPr>
              <w:spacing w:after="0"/>
              <w:rPr>
                <w:sz w:val="20"/>
                <w:szCs w:val="20"/>
                <w:color w:val="auto"/>
              </w:rPr>
            </w:pPr>
          </w:p>
        </w:tc>
        <w:tc>
          <w:tcPr>
            <w:tcW w:w="100" w:type="dxa"/>
            <w:vAlign w:val="bottom"/>
            <w:tcBorders>
              <w:bottom w:val="single" w:sz="8" w:color="auto"/>
            </w:tcBorders>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6EFF3"/>
              </w:rPr>
              <w:t>5</w:t>
            </w:r>
          </w:p>
        </w:tc>
        <w:tc>
          <w:tcPr>
            <w:tcW w:w="100" w:type="dxa"/>
            <w:vAlign w:val="bottom"/>
            <w:tcBorders>
              <w:bottom w:val="single" w:sz="8" w:color="auto"/>
            </w:tcBorders>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100" w:type="dxa"/>
            <w:vAlign w:val="bottom"/>
            <w:tcBorders>
              <w:bottom w:val="single" w:sz="8" w:color="auto"/>
            </w:tcBorders>
            <w:shd w:val="clear" w:color="auto" w:fill="D5EFF4"/>
          </w:tcPr>
          <w:p>
            <w:pPr>
              <w:spacing w:after="0"/>
              <w:rPr>
                <w:sz w:val="20"/>
                <w:szCs w:val="20"/>
                <w:color w:val="auto"/>
              </w:rPr>
            </w:pPr>
          </w:p>
        </w:tc>
        <w:tc>
          <w:tcPr>
            <w:tcW w:w="340" w:type="dxa"/>
            <w:vAlign w:val="bottom"/>
            <w:tcBorders>
              <w:bottom w:val="single" w:sz="8" w:color="auto"/>
            </w:tcBorders>
            <w:shd w:val="clear" w:color="auto" w:fill="D5EFF4"/>
          </w:tcPr>
          <w:p>
            <w:pPr>
              <w:spacing w:after="0"/>
              <w:rPr>
                <w:sz w:val="20"/>
                <w:szCs w:val="20"/>
                <w:color w:val="auto"/>
              </w:rPr>
            </w:pPr>
          </w:p>
        </w:tc>
        <w:tc>
          <w:tcPr>
            <w:tcW w:w="520" w:type="dxa"/>
            <w:vAlign w:val="bottom"/>
            <w:tcBorders>
              <w:bottom w:val="single" w:sz="8" w:color="auto"/>
            </w:tcBorders>
            <w:gridSpan w:val="2"/>
            <w:shd w:val="clear" w:color="auto" w:fill="D5EFF4"/>
          </w:tcPr>
          <w:p>
            <w:pPr>
              <w:spacing w:after="0"/>
              <w:rPr>
                <w:sz w:val="20"/>
                <w:szCs w:val="20"/>
                <w:color w:val="auto"/>
              </w:rPr>
            </w:pPr>
          </w:p>
        </w:tc>
        <w:tc>
          <w:tcPr>
            <w:tcW w:w="200" w:type="dxa"/>
            <w:vAlign w:val="bottom"/>
            <w:tcBorders>
              <w:bottom w:val="single" w:sz="8" w:color="auto"/>
            </w:tcBorders>
            <w:gridSpan w:val="2"/>
            <w:shd w:val="clear" w:color="auto" w:fill="D5EFF4"/>
          </w:tcPr>
          <w:p>
            <w:pPr>
              <w:spacing w:after="0"/>
              <w:rPr>
                <w:sz w:val="20"/>
                <w:szCs w:val="20"/>
                <w:color w:val="auto"/>
              </w:rPr>
            </w:pPr>
          </w:p>
        </w:tc>
        <w:tc>
          <w:tcPr>
            <w:tcW w:w="100" w:type="dxa"/>
            <w:vAlign w:val="bottom"/>
            <w:tcBorders>
              <w:bottom w:val="single" w:sz="8" w:color="auto"/>
            </w:tcBorders>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6EFF3"/>
              </w:rPr>
              <w:t>2</w:t>
            </w:r>
          </w:p>
        </w:tc>
        <w:tc>
          <w:tcPr>
            <w:tcW w:w="100" w:type="dxa"/>
            <w:vAlign w:val="bottom"/>
            <w:tcBorders>
              <w:bottom w:val="single" w:sz="8" w:color="auto"/>
            </w:tcBorders>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100" w:type="dxa"/>
            <w:vAlign w:val="bottom"/>
            <w:tcBorders>
              <w:bottom w:val="single" w:sz="8" w:color="auto"/>
            </w:tcBorders>
            <w:shd w:val="clear" w:color="auto" w:fill="D5EFF4"/>
          </w:tcPr>
          <w:p>
            <w:pPr>
              <w:spacing w:after="0"/>
              <w:rPr>
                <w:sz w:val="20"/>
                <w:szCs w:val="20"/>
                <w:color w:val="auto"/>
              </w:rPr>
            </w:pPr>
          </w:p>
        </w:tc>
        <w:tc>
          <w:tcPr>
            <w:tcW w:w="860" w:type="dxa"/>
            <w:vAlign w:val="bottom"/>
            <w:tcBorders>
              <w:bottom w:val="single" w:sz="8" w:color="auto"/>
            </w:tcBorders>
            <w:gridSpan w:val="3"/>
            <w:shd w:val="clear" w:color="auto" w:fill="D5EFF4"/>
          </w:tcPr>
          <w:p>
            <w:pPr>
              <w:spacing w:after="0"/>
              <w:rPr>
                <w:sz w:val="20"/>
                <w:szCs w:val="20"/>
                <w:color w:val="auto"/>
              </w:rPr>
            </w:pPr>
          </w:p>
        </w:tc>
        <w:tc>
          <w:tcPr>
            <w:tcW w:w="200" w:type="dxa"/>
            <w:vAlign w:val="bottom"/>
            <w:tcBorders>
              <w:bottom w:val="single" w:sz="8" w:color="auto"/>
            </w:tcBorders>
            <w:gridSpan w:val="2"/>
            <w:shd w:val="clear" w:color="auto" w:fill="D5EFF4"/>
          </w:tcPr>
          <w:p>
            <w:pPr>
              <w:spacing w:after="0"/>
              <w:rPr>
                <w:sz w:val="20"/>
                <w:szCs w:val="20"/>
                <w:color w:val="auto"/>
              </w:rPr>
            </w:pPr>
          </w:p>
        </w:tc>
        <w:tc>
          <w:tcPr>
            <w:tcW w:w="100" w:type="dxa"/>
            <w:vAlign w:val="bottom"/>
            <w:tcBorders>
              <w:bottom w:val="single" w:sz="8" w:color="auto"/>
            </w:tcBorders>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6EFF3"/>
              </w:rPr>
              <w:t>2</w:t>
            </w:r>
          </w:p>
        </w:tc>
        <w:tc>
          <w:tcPr>
            <w:tcW w:w="60" w:type="dxa"/>
            <w:vAlign w:val="bottom"/>
            <w:tcBorders>
              <w:left w:val="single" w:sz="8" w:color="D6EFF3"/>
              <w:bottom w:val="single" w:sz="8" w:color="auto"/>
            </w:tcBorders>
            <w:shd w:val="clear" w:color="auto" w:fill="D5EFF4"/>
          </w:tcPr>
          <w:p>
            <w:pPr>
              <w:spacing w:after="0"/>
              <w:rPr>
                <w:sz w:val="20"/>
                <w:szCs w:val="20"/>
                <w:color w:val="auto"/>
              </w:rPr>
            </w:pPr>
          </w:p>
        </w:tc>
      </w:tr>
      <w:tr>
        <w:trPr>
          <w:trHeight w:val="225"/>
        </w:trPr>
        <w:tc>
          <w:tcPr>
            <w:tcW w:w="5960" w:type="dxa"/>
            <w:vAlign w:val="bottom"/>
            <w:gridSpan w:val="5"/>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capital expenditures</w:t>
            </w: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960" w:type="dxa"/>
            <w:vAlign w:val="bottom"/>
            <w:gridSpan w:val="3"/>
          </w:tcPr>
          <w:p>
            <w:pPr>
              <w:spacing w:after="0"/>
              <w:rPr>
                <w:sz w:val="19"/>
                <w:szCs w:val="19"/>
                <w:color w:val="auto"/>
              </w:rPr>
            </w:pPr>
          </w:p>
        </w:tc>
        <w:tc>
          <w:tcPr>
            <w:tcW w:w="20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89"/>
              </w:rPr>
              <w:t>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34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3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93"/>
              </w:rPr>
              <w:t>137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860" w:type="dxa"/>
            <w:vAlign w:val="bottom"/>
            <w:gridSpan w:val="3"/>
          </w:tcPr>
          <w:p>
            <w:pPr>
              <w:spacing w:after="0"/>
              <w:rPr>
                <w:sz w:val="19"/>
                <w:szCs w:val="19"/>
                <w:color w:val="auto"/>
              </w:rPr>
            </w:pPr>
          </w:p>
        </w:tc>
        <w:tc>
          <w:tcPr>
            <w:tcW w:w="3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93"/>
              </w:rPr>
              <w:t>170</w:t>
            </w:r>
          </w:p>
        </w:tc>
        <w:tc>
          <w:tcPr>
            <w:tcW w:w="60" w:type="dxa"/>
            <w:vAlign w:val="bottom"/>
          </w:tcPr>
          <w:p>
            <w:pPr>
              <w:spacing w:after="0"/>
              <w:rPr>
                <w:sz w:val="19"/>
                <w:szCs w:val="19"/>
                <w:color w:val="auto"/>
              </w:rPr>
            </w:pPr>
          </w:p>
        </w:tc>
      </w:tr>
      <w:tr>
        <w:trPr>
          <w:trHeight w:val="114"/>
        </w:trPr>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-995680</wp:posOffset>
            </wp:positionV>
            <wp:extent cx="6508115" cy="476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80">
                      <a:extLst>
                        <a:ext uri="{28A0092B-C50C-407E-A947-70E740481C1C}"/>
                      </a:extLst>
                    </a:blip>
                    <a:srcRect/>
                    <a:stretch>
                      <a:fillRect/>
                    </a:stretch>
                  </pic:blipFill>
                  <pic:spPr bwMode="auto">
                    <a:xfrm>
                      <a:off x="0" y="0"/>
                      <a:ext cx="6508115" cy="476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650811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81">
                      <a:extLst>
                        <a:ext uri="{28A0092B-C50C-407E-A947-70E740481C1C}"/>
                      </a:extLst>
                    </a:blip>
                    <a:srcRect/>
                    <a:stretch>
                      <a:fillRect/>
                    </a:stretch>
                  </pic:blipFill>
                  <pic:spPr bwMode="auto">
                    <a:xfrm>
                      <a:off x="0" y="0"/>
                      <a:ext cx="6508115" cy="3810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-100330</wp:posOffset>
            </wp:positionV>
            <wp:extent cx="2761615" cy="666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82">
                      <a:extLst>
                        <a:ext uri="{28A0092B-C50C-407E-A947-70E740481C1C}"/>
                      </a:extLst>
                    </a:blip>
                    <a:srcRect/>
                    <a:stretch>
                      <a:fillRect/>
                    </a:stretch>
                  </pic:blipFill>
                  <pic:spPr bwMode="auto">
                    <a:xfrm>
                      <a:off x="0" y="0"/>
                      <a:ext cx="2761615" cy="66675"/>
                    </a:xfrm>
                    <a:prstGeom prst="rect">
                      <a:avLst/>
                    </a:prstGeom>
                    <a:noFill/>
                  </pic:spPr>
                </pic:pic>
              </a:graphicData>
            </a:graphic>
          </wp:anchor>
        </w:drawing>
      </w:r>
    </w:p>
    <w:p>
      <w:pPr>
        <w:spacing w:after="0" w:line="81" w:lineRule="exact"/>
        <w:rPr>
          <w:sz w:val="20"/>
          <w:szCs w:val="20"/>
          <w:color w:val="auto"/>
        </w:rPr>
      </w:pPr>
    </w:p>
    <w:p>
      <w:pPr>
        <w:jc w:val="both"/>
        <w:ind w:left="6" w:firstLine="360"/>
        <w:spacing w:after="0" w:line="325" w:lineRule="auto"/>
        <w:rPr>
          <w:sz w:val="20"/>
          <w:szCs w:val="20"/>
          <w:color w:val="auto"/>
        </w:rPr>
      </w:pPr>
      <w:r>
        <w:rPr>
          <w:rFonts w:ascii="Times New Roman" w:cs="Times New Roman" w:eastAsia="Times New Roman" w:hAnsi="Times New Roman"/>
          <w:sz w:val="20"/>
          <w:szCs w:val="20"/>
          <w:color w:val="auto"/>
        </w:rPr>
        <w:t>A summary of the capital employed in Ashland’s current operations, which is calculated by adding equity to capital investment, as of September 30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24765</wp:posOffset>
            </wp:positionV>
            <wp:extent cx="6504940" cy="476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83">
                      <a:extLst>
                        <a:ext uri="{28A0092B-C50C-407E-A947-70E740481C1C}"/>
                      </a:extLst>
                    </a:blip>
                    <a:srcRect/>
                    <a:stretch>
                      <a:fillRect/>
                    </a:stretch>
                  </pic:blipFill>
                  <pic:spPr bwMode="auto">
                    <a:xfrm>
                      <a:off x="0" y="0"/>
                      <a:ext cx="6504940" cy="47625"/>
                    </a:xfrm>
                    <a:prstGeom prst="rect">
                      <a:avLst/>
                    </a:prstGeom>
                    <a:noFill/>
                  </pic:spPr>
                </pic:pic>
              </a:graphicData>
            </a:graphic>
          </wp:anchor>
        </w:drawing>
      </w:r>
    </w:p>
    <w:p>
      <w:pPr>
        <w:spacing w:after="0" w:line="49" w:lineRule="exact"/>
        <w:rPr>
          <w:sz w:val="20"/>
          <w:szCs w:val="20"/>
          <w:color w:val="auto"/>
        </w:rPr>
      </w:pPr>
    </w:p>
    <w:tbl>
      <w:tblPr>
        <w:tblLayout w:type="fixed"/>
        <w:tblInd w:w="6" w:type="dxa"/>
        <w:tblCellMar>
          <w:top w:w="0" w:type="dxa"/>
          <w:left w:w="0" w:type="dxa"/>
          <w:bottom w:w="0" w:type="dxa"/>
          <w:right w:w="0" w:type="dxa"/>
        </w:tblCellMar>
      </w:tblPr>
      <w:tr>
        <w:trPr>
          <w:trHeight w:val="265"/>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highlight w:val="white"/>
                <w:w w:val="97"/>
              </w:rPr>
              <w:t>(In millions)</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94"/>
              </w:rPr>
              <w:t>2025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94"/>
              </w:rPr>
              <w:t>2024</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25"/>
        </w:trPr>
        <w:tc>
          <w:tcPr>
            <w:tcW w:w="1660" w:type="dxa"/>
            <w:vAlign w:val="bottom"/>
            <w:gridSpan w:val="5"/>
            <w:shd w:val="clear" w:color="auto" w:fill="D6EFF3"/>
          </w:tcPr>
          <w:p>
            <w:pPr>
              <w:spacing w:after="0" w:line="224" w:lineRule="exact"/>
              <w:rPr>
                <w:sz w:val="20"/>
                <w:szCs w:val="20"/>
                <w:color w:val="auto"/>
              </w:rPr>
            </w:pPr>
            <w:r>
              <w:rPr>
                <w:rFonts w:ascii="Times New Roman" w:cs="Times New Roman" w:eastAsia="Times New Roman" w:hAnsi="Times New Roman"/>
                <w:sz w:val="20"/>
                <w:szCs w:val="20"/>
                <w:b w:val="1"/>
                <w:bCs w:val="1"/>
                <w:color w:val="auto"/>
                <w:w w:val="96"/>
                <w:shd w:val="clear" w:color="auto" w:fill="D6EFF3"/>
              </w:rPr>
              <w:t>Capital employed</w:t>
            </w:r>
            <w:r>
              <w:rPr>
                <w:rFonts w:ascii="Times New Roman" w:cs="Times New Roman" w:eastAsia="Times New Roman" w:hAnsi="Times New Roman"/>
                <w:sz w:val="25"/>
                <w:szCs w:val="25"/>
                <w:b w:val="1"/>
                <w:bCs w:val="1"/>
                <w:color w:val="auto"/>
                <w:w w:val="96"/>
                <w:vertAlign w:val="superscript"/>
                <w:shd w:val="clear" w:color="auto" w:fill="D6EFF3"/>
              </w:rPr>
              <w:t>(a)</w:t>
            </w:r>
          </w:p>
        </w:tc>
        <w:tc>
          <w:tcPr>
            <w:tcW w:w="2740" w:type="dxa"/>
            <w:vAlign w:val="bottom"/>
            <w:shd w:val="clear" w:color="auto" w:fill="D5EFF4"/>
          </w:tcPr>
          <w:p>
            <w:pPr>
              <w:spacing w:after="0"/>
              <w:rPr>
                <w:sz w:val="19"/>
                <w:szCs w:val="19"/>
                <w:color w:val="auto"/>
              </w:rPr>
            </w:pPr>
          </w:p>
        </w:tc>
        <w:tc>
          <w:tcPr>
            <w:tcW w:w="3140" w:type="dxa"/>
            <w:vAlign w:val="bottom"/>
            <w:shd w:val="clear" w:color="auto" w:fill="D5EFF4"/>
          </w:tcPr>
          <w:p>
            <w:pPr>
              <w:spacing w:after="0"/>
              <w:rPr>
                <w:sz w:val="19"/>
                <w:szCs w:val="19"/>
                <w:color w:val="auto"/>
              </w:rPr>
            </w:pPr>
          </w:p>
        </w:tc>
        <w:tc>
          <w:tcPr>
            <w:tcW w:w="400" w:type="dxa"/>
            <w:vAlign w:val="bottom"/>
            <w:shd w:val="clear" w:color="auto" w:fill="D5EFF4"/>
          </w:tcPr>
          <w:p>
            <w:pPr>
              <w:spacing w:after="0"/>
              <w:rPr>
                <w:sz w:val="19"/>
                <w:szCs w:val="19"/>
                <w:color w:val="auto"/>
              </w:rPr>
            </w:pPr>
          </w:p>
        </w:tc>
        <w:tc>
          <w:tcPr>
            <w:tcW w:w="240" w:type="dxa"/>
            <w:vAlign w:val="bottom"/>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200" w:type="dxa"/>
            <w:vAlign w:val="bottom"/>
            <w:shd w:val="clear" w:color="auto" w:fill="D5EFF4"/>
          </w:tcPr>
          <w:p>
            <w:pPr>
              <w:spacing w:after="0"/>
              <w:rPr>
                <w:sz w:val="19"/>
                <w:szCs w:val="19"/>
                <w:color w:val="auto"/>
              </w:rPr>
            </w:pPr>
          </w:p>
        </w:tc>
        <w:tc>
          <w:tcPr>
            <w:tcW w:w="780" w:type="dxa"/>
            <w:vAlign w:val="bottom"/>
            <w:shd w:val="clear" w:color="auto" w:fill="D5EFF4"/>
          </w:tcPr>
          <w:p>
            <w:pPr>
              <w:spacing w:after="0"/>
              <w:rPr>
                <w:sz w:val="19"/>
                <w:szCs w:val="19"/>
                <w:color w:val="auto"/>
              </w:rPr>
            </w:pPr>
          </w:p>
        </w:tc>
        <w:tc>
          <w:tcPr>
            <w:tcW w:w="400" w:type="dxa"/>
            <w:vAlign w:val="bottom"/>
            <w:shd w:val="clear" w:color="auto" w:fill="D5EFF4"/>
          </w:tcPr>
          <w:p>
            <w:pPr>
              <w:spacing w:after="0"/>
              <w:rPr>
                <w:sz w:val="19"/>
                <w:szCs w:val="19"/>
                <w:color w:val="auto"/>
              </w:rPr>
            </w:pPr>
          </w:p>
        </w:tc>
        <w:tc>
          <w:tcPr>
            <w:tcW w:w="220" w:type="dxa"/>
            <w:vAlign w:val="bottom"/>
            <w:shd w:val="clear" w:color="auto" w:fill="D5EFF4"/>
          </w:tcPr>
          <w:p>
            <w:pPr>
              <w:spacing w:after="0"/>
              <w:rPr>
                <w:sz w:val="19"/>
                <w:szCs w:val="19"/>
                <w:color w:val="auto"/>
              </w:rPr>
            </w:pPr>
          </w:p>
        </w:tc>
        <w:tc>
          <w:tcPr>
            <w:tcW w:w="360" w:type="dxa"/>
            <w:vAlign w:val="bottom"/>
            <w:tcBorders>
              <w:right w:val="single" w:sz="8" w:color="D5EFF4"/>
            </w:tcBorders>
            <w:shd w:val="clear" w:color="auto" w:fill="D5EFF4"/>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Life Sciences</w:t>
            </w:r>
          </w:p>
        </w:tc>
        <w:tc>
          <w:tcPr>
            <w:tcW w:w="314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1,377</w:t>
            </w:r>
          </w:p>
        </w:tc>
        <w:tc>
          <w:tcPr>
            <w:tcW w:w="7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1,696</w:t>
            </w:r>
          </w:p>
        </w:tc>
      </w:tr>
      <w:tr>
        <w:trPr>
          <w:trHeight w:val="230"/>
        </w:trPr>
        <w:tc>
          <w:tcPr>
            <w:tcW w:w="200" w:type="dxa"/>
            <w:vAlign w:val="bottom"/>
            <w:shd w:val="clear" w:color="auto" w:fill="D5EFF4"/>
          </w:tcPr>
          <w:p>
            <w:pPr>
              <w:spacing w:after="0"/>
              <w:rPr>
                <w:sz w:val="20"/>
                <w:szCs w:val="20"/>
                <w:color w:val="auto"/>
              </w:rPr>
            </w:pPr>
          </w:p>
        </w:tc>
        <w:tc>
          <w:tcPr>
            <w:tcW w:w="1100" w:type="dxa"/>
            <w:vAlign w:val="bottom"/>
            <w:gridSpan w:val="3"/>
            <w:shd w:val="clear" w:color="auto" w:fill="D6EFF3"/>
          </w:tcPr>
          <w:p>
            <w:pPr>
              <w:spacing w:after="0"/>
              <w:rPr>
                <w:sz w:val="20"/>
                <w:szCs w:val="20"/>
                <w:color w:val="auto"/>
              </w:rPr>
            </w:pPr>
            <w:r>
              <w:rPr>
                <w:rFonts w:ascii="Times New Roman" w:cs="Times New Roman" w:eastAsia="Times New Roman" w:hAnsi="Times New Roman"/>
                <w:sz w:val="20"/>
                <w:szCs w:val="20"/>
                <w:color w:val="auto"/>
                <w:w w:val="96"/>
                <w:shd w:val="clear" w:color="auto" w:fill="D6EFF3"/>
              </w:rPr>
              <w:t>Personal Care</w:t>
            </w:r>
          </w:p>
        </w:tc>
        <w:tc>
          <w:tcPr>
            <w:tcW w:w="3100" w:type="dxa"/>
            <w:vAlign w:val="bottom"/>
            <w:gridSpan w:val="2"/>
            <w:shd w:val="clear" w:color="auto" w:fill="D5EFF4"/>
          </w:tcPr>
          <w:p>
            <w:pPr>
              <w:spacing w:after="0"/>
              <w:rPr>
                <w:sz w:val="20"/>
                <w:szCs w:val="20"/>
                <w:color w:val="auto"/>
              </w:rPr>
            </w:pPr>
          </w:p>
        </w:tc>
        <w:tc>
          <w:tcPr>
            <w:tcW w:w="3140" w:type="dxa"/>
            <w:vAlign w:val="bottom"/>
            <w:shd w:val="clear" w:color="auto" w:fill="D5EFF4"/>
          </w:tcPr>
          <w:p>
            <w:pPr>
              <w:spacing w:after="0"/>
              <w:rPr>
                <w:sz w:val="20"/>
                <w:szCs w:val="20"/>
                <w:color w:val="auto"/>
              </w:rPr>
            </w:pPr>
          </w:p>
        </w:tc>
        <w:tc>
          <w:tcPr>
            <w:tcW w:w="640" w:type="dxa"/>
            <w:vAlign w:val="bottom"/>
            <w:gridSpan w:val="2"/>
            <w:shd w:val="clear" w:color="auto" w:fill="D5EFF4"/>
          </w:tcPr>
          <w:p>
            <w:pPr>
              <w:spacing w:after="0"/>
              <w:rPr>
                <w:sz w:val="20"/>
                <w:szCs w:val="20"/>
                <w:color w:val="auto"/>
              </w:rPr>
            </w:pPr>
          </w:p>
        </w:tc>
        <w:tc>
          <w:tcPr>
            <w:tcW w:w="300" w:type="dxa"/>
            <w:vAlign w:val="bottom"/>
            <w:gridSpan w:val="2"/>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6EFF3"/>
              </w:rPr>
              <w:t>703</w:t>
            </w:r>
          </w:p>
        </w:tc>
        <w:tc>
          <w:tcPr>
            <w:tcW w:w="780" w:type="dxa"/>
            <w:vAlign w:val="bottom"/>
            <w:shd w:val="clear" w:color="auto" w:fill="D5EFF4"/>
          </w:tcPr>
          <w:p>
            <w:pPr>
              <w:spacing w:after="0"/>
              <w:rPr>
                <w:sz w:val="20"/>
                <w:szCs w:val="20"/>
                <w:color w:val="auto"/>
              </w:rPr>
            </w:pPr>
          </w:p>
        </w:tc>
        <w:tc>
          <w:tcPr>
            <w:tcW w:w="620" w:type="dxa"/>
            <w:vAlign w:val="bottom"/>
            <w:gridSpan w:val="2"/>
            <w:shd w:val="clear" w:color="auto" w:fill="D5EFF4"/>
          </w:tcPr>
          <w:p>
            <w:pPr>
              <w:spacing w:after="0"/>
              <w:rPr>
                <w:sz w:val="20"/>
                <w:szCs w:val="20"/>
                <w:color w:val="auto"/>
              </w:rPr>
            </w:pPr>
          </w:p>
        </w:tc>
        <w:tc>
          <w:tcPr>
            <w:tcW w:w="360" w:type="dxa"/>
            <w:vAlign w:val="bottom"/>
            <w:tcBorders>
              <w:right w:val="single" w:sz="8" w:color="D5EFF4"/>
            </w:tcBorders>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6EFF3"/>
              </w:rPr>
              <w:t>882</w:t>
            </w:r>
          </w:p>
        </w:tc>
      </w:tr>
      <w:tr>
        <w:trPr>
          <w:trHeight w:val="230"/>
        </w:trPr>
        <w:tc>
          <w:tcPr>
            <w:tcW w:w="200" w:type="dxa"/>
            <w:vAlign w:val="bottom"/>
          </w:tcPr>
          <w:p>
            <w:pPr>
              <w:spacing w:after="0"/>
              <w:rPr>
                <w:sz w:val="20"/>
                <w:szCs w:val="20"/>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Specialty Additives</w:t>
            </w:r>
          </w:p>
        </w:tc>
        <w:tc>
          <w:tcPr>
            <w:tcW w:w="314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904</w:t>
            </w:r>
          </w:p>
        </w:tc>
        <w:tc>
          <w:tcPr>
            <w:tcW w:w="7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1,351</w:t>
            </w:r>
          </w:p>
        </w:tc>
      </w:tr>
      <w:tr>
        <w:trPr>
          <w:trHeight w:val="230"/>
        </w:trPr>
        <w:tc>
          <w:tcPr>
            <w:tcW w:w="200" w:type="dxa"/>
            <w:vAlign w:val="bottom"/>
            <w:shd w:val="clear" w:color="auto" w:fill="D5EFF4"/>
          </w:tcPr>
          <w:p>
            <w:pPr>
              <w:spacing w:after="0"/>
              <w:rPr>
                <w:sz w:val="20"/>
                <w:szCs w:val="20"/>
                <w:color w:val="auto"/>
              </w:rPr>
            </w:pPr>
          </w:p>
        </w:tc>
        <w:tc>
          <w:tcPr>
            <w:tcW w:w="1080" w:type="dxa"/>
            <w:vAlign w:val="bottom"/>
            <w:gridSpan w:val="2"/>
            <w:shd w:val="clear" w:color="auto" w:fill="D6EFF3"/>
          </w:tcPr>
          <w:p>
            <w:pPr>
              <w:spacing w:after="0"/>
              <w:rPr>
                <w:sz w:val="20"/>
                <w:szCs w:val="20"/>
                <w:color w:val="auto"/>
              </w:rPr>
            </w:pPr>
            <w:r>
              <w:rPr>
                <w:rFonts w:ascii="Times New Roman" w:cs="Times New Roman" w:eastAsia="Times New Roman" w:hAnsi="Times New Roman"/>
                <w:sz w:val="20"/>
                <w:szCs w:val="20"/>
                <w:color w:val="auto"/>
                <w:w w:val="97"/>
                <w:shd w:val="clear" w:color="auto" w:fill="D6EFF3"/>
              </w:rPr>
              <w:t>Intermediates</w:t>
            </w:r>
          </w:p>
        </w:tc>
        <w:tc>
          <w:tcPr>
            <w:tcW w:w="3120" w:type="dxa"/>
            <w:vAlign w:val="bottom"/>
            <w:gridSpan w:val="3"/>
            <w:shd w:val="clear" w:color="auto" w:fill="D5EFF4"/>
          </w:tcPr>
          <w:p>
            <w:pPr>
              <w:spacing w:after="0"/>
              <w:rPr>
                <w:sz w:val="20"/>
                <w:szCs w:val="20"/>
                <w:color w:val="auto"/>
              </w:rPr>
            </w:pPr>
          </w:p>
        </w:tc>
        <w:tc>
          <w:tcPr>
            <w:tcW w:w="3140" w:type="dxa"/>
            <w:vAlign w:val="bottom"/>
            <w:shd w:val="clear" w:color="auto" w:fill="D5EFF4"/>
          </w:tcPr>
          <w:p>
            <w:pPr>
              <w:spacing w:after="0"/>
              <w:rPr>
                <w:sz w:val="20"/>
                <w:szCs w:val="20"/>
                <w:color w:val="auto"/>
              </w:rPr>
            </w:pPr>
          </w:p>
        </w:tc>
        <w:tc>
          <w:tcPr>
            <w:tcW w:w="740" w:type="dxa"/>
            <w:vAlign w:val="bottom"/>
            <w:gridSpan w:val="3"/>
            <w:shd w:val="clear" w:color="auto" w:fill="D5EFF4"/>
          </w:tcPr>
          <w:p>
            <w:pPr>
              <w:spacing w:after="0"/>
              <w:rPr>
                <w:sz w:val="20"/>
                <w:szCs w:val="20"/>
                <w:color w:val="auto"/>
              </w:rPr>
            </w:pPr>
          </w:p>
        </w:tc>
        <w:tc>
          <w:tcPr>
            <w:tcW w:w="200" w:type="dxa"/>
            <w:vAlign w:val="bottom"/>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6EFF3"/>
              </w:rPr>
              <w:t>97</w:t>
            </w:r>
          </w:p>
        </w:tc>
        <w:tc>
          <w:tcPr>
            <w:tcW w:w="780" w:type="dxa"/>
            <w:vAlign w:val="bottom"/>
            <w:shd w:val="clear" w:color="auto" w:fill="D5EFF4"/>
          </w:tcPr>
          <w:p>
            <w:pPr>
              <w:spacing w:after="0"/>
              <w:rPr>
                <w:sz w:val="20"/>
                <w:szCs w:val="20"/>
                <w:color w:val="auto"/>
              </w:rPr>
            </w:pPr>
          </w:p>
        </w:tc>
        <w:tc>
          <w:tcPr>
            <w:tcW w:w="620" w:type="dxa"/>
            <w:vAlign w:val="bottom"/>
            <w:gridSpan w:val="2"/>
            <w:shd w:val="clear" w:color="auto" w:fill="D5EFF4"/>
          </w:tcPr>
          <w:p>
            <w:pPr>
              <w:spacing w:after="0"/>
              <w:rPr>
                <w:sz w:val="20"/>
                <w:szCs w:val="20"/>
                <w:color w:val="auto"/>
              </w:rPr>
            </w:pPr>
          </w:p>
        </w:tc>
        <w:tc>
          <w:tcPr>
            <w:tcW w:w="360" w:type="dxa"/>
            <w:vAlign w:val="bottom"/>
            <w:tcBorders>
              <w:right w:val="single" w:sz="8" w:color="D5EFF4"/>
            </w:tcBorders>
            <w:shd w:val="clear" w:color="auto" w:fill="D6EFF3"/>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6EFF3"/>
              </w:rPr>
              <w:t>101</w:t>
            </w:r>
          </w:p>
        </w:tc>
      </w:tr>
      <w:tr>
        <w:trPr>
          <w:trHeight w:val="89"/>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-811530</wp:posOffset>
            </wp:positionV>
            <wp:extent cx="6504940" cy="476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84">
                      <a:extLst>
                        <a:ext uri="{28A0092B-C50C-407E-A947-70E740481C1C}"/>
                      </a:extLst>
                    </a:blip>
                    <a:srcRect/>
                    <a:stretch>
                      <a:fillRect/>
                    </a:stretch>
                  </pic:blipFill>
                  <pic:spPr bwMode="auto">
                    <a:xfrm>
                      <a:off x="0" y="0"/>
                      <a:ext cx="6504940" cy="476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-52705</wp:posOffset>
            </wp:positionV>
            <wp:extent cx="6529705" cy="679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85">
                      <a:extLst>
                        <a:ext uri="{28A0092B-C50C-407E-A947-70E740481C1C}"/>
                      </a:extLst>
                    </a:blip>
                    <a:srcRect/>
                    <a:stretch>
                      <a:fillRect/>
                    </a:stretch>
                  </pic:blipFill>
                  <pic:spPr bwMode="auto">
                    <a:xfrm>
                      <a:off x="0" y="0"/>
                      <a:ext cx="6529705" cy="67945"/>
                    </a:xfrm>
                    <a:prstGeom prst="rect">
                      <a:avLst/>
                    </a:prstGeom>
                    <a:noFill/>
                  </pic:spPr>
                </pic:pic>
              </a:graphicData>
            </a:graphic>
          </wp:anchor>
        </w:drawing>
      </w:r>
    </w:p>
    <w:p>
      <w:pPr>
        <w:spacing w:after="0" w:line="5" w:lineRule="exact"/>
        <w:rPr>
          <w:sz w:val="20"/>
          <w:szCs w:val="20"/>
          <w:color w:val="auto"/>
        </w:rPr>
      </w:pPr>
    </w:p>
    <w:p>
      <w:pPr>
        <w:ind w:left="566" w:hanging="566"/>
        <w:spacing w:after="0" w:line="325" w:lineRule="auto"/>
        <w:tabs>
          <w:tab w:leader="none" w:pos="56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assets and liabilities classified within unallocated and other which primarily includes debt and other long-term liabilities such as asbestos and pension. The net liability in unallocated and other was $1,175 million and $1,162 million as of September 30, 2025 and 2024, respectively.</w:t>
      </w:r>
    </w:p>
    <w:p>
      <w:pPr>
        <w:sectPr>
          <w:pgSz w:w="12240" w:h="15840" w:orient="portrait"/>
          <w:cols w:equalWidth="0" w:num="1">
            <w:col w:w="10246"/>
          </w:cols>
          <w:pgMar w:left="994" w:top="934"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M-36</w:t>
      </w:r>
    </w:p>
    <w:p>
      <w:pPr>
        <w:sectPr>
          <w:pgSz w:w="12240" w:h="15840" w:orient="portrait"/>
          <w:cols w:equalWidth="0" w:num="1">
            <w:col w:w="10246"/>
          </w:cols>
          <w:pgMar w:left="994" w:top="934" w:right="1000" w:bottom="186"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7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 part of its normal course of business, Ashland is a party to various financial guarantees and other commitments. These arrangements involve elements of performance and credit risk that are not included in the Consolidated Balance Sheets. The possibility that Ashland would have to make actual cash expenditures in connection with these obligations is largely dependent on the performance of the guaranteed party, or the occurrence of future events that Ashland is unable to predict. The fair value of these guarantees is not significant.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17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For a discussion and analysis of recently issued accounting pronouncements and its impact on Ashland, see Note A of the Notes to Consolidated Financial Statements.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70"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The preparation of Ashland’s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the accounting for goodwill and other indefinite-lived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remediation</w:t>
      </w:r>
    </w:p>
    <w:p>
      <w:pPr>
        <w:spacing w:after="0" w:line="17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is subject to various federal, state and local environmental laws and regulations that require environmental assessment or remediation efforts (collectively environmental remediation) at multiple locations. At September 30, 2025, such locations included 53 sites where Ashland has been identified as a potentially responsible party under Superfund or similar state laws, 107 current and former operating facilities and about 1,225 service station properties, of which 14 are being actively remediated.</w:t>
      </w:r>
    </w:p>
    <w:p>
      <w:pPr>
        <w:spacing w:after="0" w:line="77"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Ashland’s reserves for environmental remediation and related environmental litigation amounted to $226 million at September 30, 2025 compared to $221 million at September 30, 2024, of which $179 million at September 30, 2025 and $164 million at September 30, 2024, were classified in other noncurrent liabilities on the Consolidated Balance Sheets. The remaining reserves were classified in accrued expenses and other liabilities on the Consolidated Balance Sheets.</w:t>
      </w:r>
    </w:p>
    <w:p>
      <w:pPr>
        <w:spacing w:after="0" w:line="74"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regularly adjusts its reserves as environmental remediation continues. Ashland has estimated the value of its probable insurance recoveries associated with its environmental remediation reserves based on management’s interpretations and estimates surrounding the available or applicable insurance coverage. At September 30, 2025 and 2024, Ashland’s recorded receivable for these probable insurance recoveries was $14 million and $13 million, respectively, of which $12 million and $11 million was classified in other noncurrent assets on the Consolidated Balance Sheets.</w:t>
      </w:r>
    </w:p>
    <w:p>
      <w:pPr>
        <w:spacing w:after="0" w:line="86"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During 2025, 2024 and 2023, Ashland recognized $50 million, $54 million and $56 million of expense, respectively, for certain environmental liabilities related to normal ongoing remediation cost estimate updates for sites, which is consistent with Ashland’s historical environmental accounting policy. See Note M of the Notes to Consolidated Financial Statements for additional information.</w:t>
      </w:r>
    </w:p>
    <w:p>
      <w:pPr>
        <w:sectPr>
          <w:pgSz w:w="12240" w:h="15840" w:orient="portrait"/>
          <w:cols w:equalWidth="0" w:num="1">
            <w:col w:w="10240"/>
          </w:cols>
          <w:pgMar w:left="1000" w:top="984"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M-37</w:t>
      </w:r>
    </w:p>
    <w:p>
      <w:pPr>
        <w:sectPr>
          <w:pgSz w:w="12240" w:h="15840" w:orient="portrait"/>
          <w:cols w:equalWidth="0" w:num="1">
            <w:col w:w="10240"/>
          </w:cols>
          <w:pgMar w:left="1000" w:top="984" w:right="1000" w:bottom="186" w:gutter="0" w:footer="0" w:header="0"/>
          <w:type w:val="continuous"/>
        </w:sectPr>
      </w:pPr>
    </w:p>
    <w:bookmarkStart w:id="95" w:name="page96"/>
    <w:bookmarkEnd w:id="95"/>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$495 million. The largest reserve for any site is 21% of the total environmental remediation reserves as of September 30,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Asbestos litigation</w:t>
      </w:r>
    </w:p>
    <w:p>
      <w:pPr>
        <w:spacing w:after="0" w:line="170"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Ashland and Hercules have liabilities from claims alleging personal injury caused by exposure to asbestos. To assist in developing and annually updating independent reserve estimates for future asbestos claims and related costs, Ashland has retained third party actuarial experts Gnarus Advisors, LLC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 litigation reserves liabilities and receivables are recorded on an after-tax basis within the discontinued operations caption in the Statements of Consolidated Comprehensive Income (Loss). See Note M of the Notes to Consolidated Financial Statements for additional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litigation</w:t>
      </w:r>
    </w:p>
    <w:p>
      <w:pPr>
        <w:spacing w:after="0" w:line="164"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liability</w:t>
      </w:r>
    </w:p>
    <w:p>
      <w:pPr>
        <w:spacing w:after="0" w:line="164"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68"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During the most recent update completed during 2025, it was determined that the liability for Ashland asbestos-related claims should be increased by $16 million. Total reserves for asbestos claims were $258 million at September 30, 2025 compared to $274 million at September 30,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receivables</w:t>
      </w:r>
    </w:p>
    <w:p>
      <w:pPr>
        <w:spacing w:after="0" w:line="164"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68"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For the Ashland asbestos-related obligations,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4"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At September 30, 2025, Ashland’s receivable for recoveries of litigation defense and claim settlement costs from insurers amounted to $95 million (excluding the Hercules receivable for asbestos claims). Receivables from insurers amounted to $97 million at September 30, 2024. During 2025, the annual update of the model used for purposes of valuing the asbestos litigation reserves and its impact on valuation of future recoveries from insurers, was completed. This model update resulted in a $5 million increase in the receivable for probable insurance recoveries.</w:t>
      </w:r>
    </w:p>
    <w:p>
      <w:pPr>
        <w:sectPr>
          <w:pgSz w:w="12240" w:h="15840" w:orient="portrait"/>
          <w:cols w:equalWidth="0" w:num="1">
            <w:col w:w="10240"/>
          </w:cols>
          <w:pgMar w:left="1000" w:top="988"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M-38</w:t>
      </w:r>
    </w:p>
    <w:p>
      <w:pPr>
        <w:sectPr>
          <w:pgSz w:w="12240" w:h="15840" w:orient="portrait"/>
          <w:cols w:equalWidth="0" w:num="1">
            <w:col w:w="10240"/>
          </w:cols>
          <w:pgMar w:left="1000" w:top="988" w:right="1000" w:bottom="186"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i w:val="1"/>
          <w:iCs w:val="1"/>
          <w:color w:val="auto"/>
        </w:rPr>
        <w:t>Hercules asbestos-related litigation</w:t>
      </w:r>
    </w:p>
    <w:p>
      <w:pPr>
        <w:spacing w:after="0" w:line="164"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liability</w:t>
      </w:r>
    </w:p>
    <w:p>
      <w:pPr>
        <w:spacing w:after="0" w:line="164"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As a result of the most recent annual update of this estimate completed during 2025, it was determined that the liability for Hercules asbestos-related claims should be increased by $10 million. Total reserves for asbestos claims were $177 million at September 30, 2025 compared to $185 million at September 30,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receivables</w:t>
      </w:r>
    </w:p>
    <w:p>
      <w:pPr>
        <w:spacing w:after="0" w:line="164"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For the Hercules asbestos-related obligations, certain reimbursement obligations pursuant to coverage-in-place agreements with insurance carriers exist. As a result, any increases in the asbestos litigation reserves have been partially offset by probable insurance recoveries.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8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 of September 30, 2025 and 2024, the receivables from insurers amounted to $48 million and $50 million, respectively. During 2025, the annual update of the model used for purposes of valuing the asbestos litigation reserves and its impact on valuation of future recoveries from insurers was completed. This model update resulted in a $4 million increase in the receivable for probable insurance recoveries.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Asbestos litigation cost projection</w:t>
      </w:r>
    </w:p>
    <w:p>
      <w:pPr>
        <w:spacing w:after="0" w:line="164"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20"/>
          <w:szCs w:val="20"/>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litigation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$382 million for the Ashland asbestos-related litigation (current reserve of $258 million) and approximately $262 million for the Hercules asbestos-related litigation (current reserve of $177 million), depending on the combination of assumptions selected in the various models. While the timeframe used in Ashland's models for projecting asbestos liabilities generally decreases over time based on the expected lifetime of the liabilities, these models have been consistently applied within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ectPr>
          <w:pgSz w:w="12240" w:h="15840" w:orient="portrait"/>
          <w:cols w:equalWidth="0" w:num="1">
            <w:col w:w="10240"/>
          </w:cols>
          <w:pgMar w:left="1000" w:top="990"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M-39</w:t>
      </w:r>
    </w:p>
    <w:p>
      <w:pPr>
        <w:sectPr>
          <w:pgSz w:w="12240" w:h="15840" w:orient="portrait"/>
          <w:cols w:equalWidth="0" w:num="1">
            <w:col w:w="10240"/>
          </w:cols>
          <w:pgMar w:left="1000" w:top="990" w:right="1000" w:bottom="186"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Accounting for goodwill and other indefinite-lived intangible assets</w:t>
      </w:r>
    </w:p>
    <w:p>
      <w:pPr>
        <w:spacing w:after="0" w:line="170"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Ashland accounts for goodwill and other indefinite-lived intangible assets acquired in a business combination in conformity with current accounting guidance which does not allow for goodwill and indefinite-lived intangible assets to be amortized.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164"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Ashland reviews goodwill for impairment annually as of July 1 or when events and circumstances indicate an impairment may have occurred. Ashland tests goodwill for impairment by comparing the estimated fair value of its reporting units to the related carrying value. If the fair value of the reporting unit is lower than its carrying amount, goodwill is written down for the amount by which the carrying amount exceeds fair value. However, the loss recognized cannot exceed the carrying amount of goodwill. Reporting units are defined as either operating segments or one level below the operating segments for which discrete financial information is available and reviewed by management. Ashland determined that its reporting units are Life Sciences, Personal Care, Specialty Additives and Intermediates, which is consistent with prior years.</w:t>
      </w:r>
    </w:p>
    <w:p>
      <w:pPr>
        <w:spacing w:after="0" w:line="80" w:lineRule="exact"/>
        <w:rPr>
          <w:sz w:val="20"/>
          <w:szCs w:val="20"/>
          <w:color w:val="auto"/>
        </w:rPr>
      </w:pPr>
    </w:p>
    <w:p>
      <w:pPr>
        <w:jc w:val="both"/>
        <w:ind w:right="20" w:firstLine="360"/>
        <w:spacing w:after="0" w:line="293" w:lineRule="auto"/>
        <w:rPr>
          <w:sz w:val="20"/>
          <w:szCs w:val="20"/>
          <w:color w:val="auto"/>
        </w:rPr>
      </w:pPr>
      <w:r>
        <w:rPr>
          <w:rFonts w:ascii="Times New Roman" w:cs="Times New Roman" w:eastAsia="Times New Roman" w:hAnsi="Times New Roman"/>
          <w:sz w:val="20"/>
          <w:szCs w:val="20"/>
          <w:color w:val="auto"/>
        </w:rPr>
        <w:t>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Discounted cash flow models are reliant on various assumptions, including projected business results, long-term growth factors and weighted-average cost of capital. Management judgment is involved in estimating these variables, and they include uncertainties since they are forecasting future events. Ashland performs sensitivity analyses by using a range of inputs to confirm the reasonableness of the long-term growth rate and weighted average cost of capital estimates. Additionally, Ashland compares the indicated equity value to Ashland’s market capitalization and evaluates the resulting implied control premium/discount to determine if the estimated enterprise value is reasonable.</w:t>
      </w:r>
    </w:p>
    <w:p>
      <w:pPr>
        <w:spacing w:after="0" w:line="82" w:lineRule="exact"/>
        <w:rPr>
          <w:sz w:val="20"/>
          <w:szCs w:val="20"/>
          <w:color w:val="auto"/>
        </w:rPr>
      </w:pPr>
    </w:p>
    <w:p>
      <w:pPr>
        <w:jc w:val="both"/>
        <w:ind w:right="20" w:firstLine="360"/>
        <w:spacing w:after="0" w:line="297" w:lineRule="auto"/>
        <w:rPr>
          <w:sz w:val="20"/>
          <w:szCs w:val="20"/>
          <w:color w:val="auto"/>
        </w:rPr>
      </w:pPr>
      <w:r>
        <w:rPr>
          <w:rFonts w:ascii="Times New Roman" w:cs="Times New Roman" w:eastAsia="Times New Roman" w:hAnsi="Times New Roman"/>
          <w:sz w:val="20"/>
          <w:szCs w:val="20"/>
          <w:color w:val="auto"/>
        </w:rPr>
        <w:t>During the third quarter of fiscal 2025, Ashland experienced a continued decline in the market price of its common stock. Ashland also experienced slowing growth due to weakening macroeconomic environment that is dampening consumer sentiment and demand globally which resulted in lower growth and lower margins for the Life Sciences and Specialty Additives reporting units than what was previously forecasted. These factors led Ashland to determine that triggering events occurred, and a quantitative goodwill impairment assessment was performed during the third quarter of fiscal 2025.</w:t>
      </w:r>
    </w:p>
    <w:p>
      <w:pPr>
        <w:spacing w:after="0" w:line="77" w:lineRule="exact"/>
        <w:rPr>
          <w:sz w:val="20"/>
          <w:szCs w:val="20"/>
          <w:color w:val="auto"/>
        </w:rPr>
      </w:pPr>
    </w:p>
    <w:p>
      <w:pPr>
        <w:jc w:val="both"/>
        <w:ind w:right="20" w:firstLine="360"/>
        <w:spacing w:after="0" w:line="295" w:lineRule="auto"/>
        <w:rPr>
          <w:sz w:val="20"/>
          <w:szCs w:val="20"/>
          <w:color w:val="auto"/>
        </w:rPr>
      </w:pPr>
      <w:r>
        <w:rPr>
          <w:rFonts w:ascii="Times New Roman" w:cs="Times New Roman" w:eastAsia="Times New Roman" w:hAnsi="Times New Roman"/>
          <w:sz w:val="20"/>
          <w:szCs w:val="20"/>
          <w:color w:val="auto"/>
        </w:rPr>
        <w:t>Following the completion of this quantitative analysis, Ashland concluded that the fair value of Personal Care reporting unit exceeded its carrying value by more than 100%. The Intermediates reporting unit has no associated goodwill. The carrying value of the Life Sciences and the Specialty Additives reporting units exceeded their fair value, resulting in non-cash goodwill impairment charges of $375 million and $331 million, respectively, for a total goodwill impairment charge of $706 million, which was recorded within the goodwill impairment caption of the Statement of Consolidated Comprehensive Income (Loss) for the year ended September 30, 2025.</w:t>
      </w:r>
    </w:p>
    <w:p>
      <w:pPr>
        <w:spacing w:after="0" w:line="80"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On July 1, 2025, the date of our annual goodwill impairment assessment, Ashland evaluated each reporting unit using a qualitative approach focusing on any additional changes in market conditions, performances versus forecast and strategic initiatives. Particular attention was given to forward looking macroeconomic trends and forecasts, recent financial results, earnings multiples for guideline public companies in each reporting unit's industry peer group and sensitivity analysis for each reporting units discounted cash flow model. There was no additional impairment identified as part of the July 1, 2025 annual goodwill impairment assessment. No subsequent indicators of impairment had been identified during the fourth quarter of fiscal 2025. For further information, see Note G of the Notes to Consolidated Financial Statements.</w:t>
      </w:r>
    </w:p>
    <w:p>
      <w:pPr>
        <w:spacing w:after="0" w:line="80" w:lineRule="exact"/>
        <w:rPr>
          <w:sz w:val="20"/>
          <w:szCs w:val="20"/>
          <w:color w:val="auto"/>
        </w:rPr>
      </w:pPr>
    </w:p>
    <w:p>
      <w:pPr>
        <w:jc w:val="both"/>
        <w:ind w:right="20" w:firstLine="360"/>
        <w:spacing w:after="0" w:line="295" w:lineRule="auto"/>
        <w:rPr>
          <w:sz w:val="20"/>
          <w:szCs w:val="20"/>
          <w:color w:val="auto"/>
        </w:rPr>
      </w:pPr>
      <w:r>
        <w:rPr>
          <w:rFonts w:ascii="Times New Roman" w:cs="Times New Roman" w:eastAsia="Times New Roman" w:hAnsi="Times New Roman"/>
          <w:sz w:val="20"/>
          <w:szCs w:val="20"/>
          <w:color w:val="auto"/>
        </w:rPr>
        <w:t>The below table provides a sensitivity analysis for Life Sciences and Specialty Additives reporting units remaining goodwill, utilizing reasonably possible changes in the assumptions for the shorter term and residual growth rates and the discount rate, to demonstrate the potential impacts to the estimated fair values. The below table provides, in isolation, the estimated fair value impacts related to a 25-basis point increase to discount rate or a 25-basis point decrease to residual growth rates, both of which would result in incremental impairment charges to the Life Sciences and Specialty Additives reporting units.</w:t>
      </w:r>
    </w:p>
    <w:p>
      <w:pPr>
        <w:sectPr>
          <w:pgSz w:w="12240" w:h="15840" w:orient="portrait"/>
          <w:cols w:equalWidth="0" w:num="1">
            <w:col w:w="10260"/>
          </w:cols>
          <w:pgMar w:left="1000" w:top="1150" w:right="980" w:bottom="186"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M-40</w:t>
      </w:r>
    </w:p>
    <w:p>
      <w:pPr>
        <w:sectPr>
          <w:pgSz w:w="12240" w:h="15840" w:orient="portrait"/>
          <w:cols w:equalWidth="0" w:num="1">
            <w:col w:w="10260"/>
          </w:cols>
          <w:pgMar w:left="1000" w:top="1150" w:right="980" w:bottom="186" w:gutter="0" w:footer="0" w:header="0"/>
          <w:type w:val="continuous"/>
        </w:sectPr>
      </w:pPr>
    </w:p>
    <w:bookmarkStart w:id="98" w:name="page99"/>
    <w:bookmarkEnd w:id="98"/>
    <w:p>
      <w:pPr>
        <w:ind w:left="5800"/>
        <w:spacing w:after="0"/>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630555</wp:posOffset>
                </wp:positionH>
                <wp:positionV relativeFrom="page">
                  <wp:posOffset>644525</wp:posOffset>
                </wp:positionV>
                <wp:extent cx="6510655"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5pt,50.75pt" to="562.3pt,50.75pt" o:allowincell="f" strokecolor="#000000" strokeweight="0.75pt">
                <w10:wrap anchorx="page" anchory="page"/>
              </v:line>
            </w:pict>
          </mc:Fallback>
        </mc:AlternateContent>
        <w:t>Approximate Percent Change in Estimated Fair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651002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512.3pt,1.35pt" o:allowincell="f" strokecolor="#000000" strokeweight="0.75pt"/>
            </w:pict>
          </mc:Fallback>
        </mc:AlternateConten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tcPr>
          <w:p>
            <w:pPr>
              <w:spacing w:after="0"/>
              <w:rPr>
                <w:sz w:val="20"/>
                <w:szCs w:val="20"/>
                <w:color w:val="auto"/>
              </w:rPr>
            </w:pPr>
          </w:p>
        </w:tc>
        <w:tc>
          <w:tcPr>
            <w:tcW w:w="402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9"/>
              </w:rPr>
              <w:t>+25 bps</w:t>
            </w:r>
          </w:p>
        </w:tc>
        <w:tc>
          <w:tcPr>
            <w:tcW w:w="244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-25 bps</w:t>
            </w:r>
          </w:p>
        </w:tc>
      </w:tr>
      <w:tr>
        <w:trPr>
          <w:trHeight w:val="249"/>
        </w:trPr>
        <w:tc>
          <w:tcPr>
            <w:tcW w:w="37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jc w:val="center"/>
              <w:ind w:left="1460"/>
              <w:spacing w:after="0"/>
              <w:rPr>
                <w:sz w:val="20"/>
                <w:szCs w:val="20"/>
                <w:color w:val="auto"/>
              </w:rPr>
            </w:pPr>
            <w:r>
              <w:rPr>
                <w:rFonts w:ascii="Times New Roman" w:cs="Times New Roman" w:eastAsia="Times New Roman" w:hAnsi="Times New Roman"/>
                <w:sz w:val="20"/>
                <w:szCs w:val="20"/>
                <w:color w:val="auto"/>
              </w:rPr>
              <w:t>Discount Rate</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Growth Rate</w:t>
            </w:r>
          </w:p>
        </w:tc>
      </w:tr>
      <w:tr>
        <w:trPr>
          <w:trHeight w:val="239"/>
        </w:trPr>
        <w:tc>
          <w:tcPr>
            <w:tcW w:w="37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Life Sciences</w:t>
            </w:r>
          </w:p>
        </w:tc>
        <w:tc>
          <w:tcPr>
            <w:tcW w:w="4020" w:type="dxa"/>
            <w:vAlign w:val="bottom"/>
            <w:shd w:val="clear" w:color="auto" w:fill="D5EFF4"/>
          </w:tcPr>
          <w:p>
            <w:pPr>
              <w:jc w:val="center"/>
              <w:ind w:left="1480"/>
              <w:spacing w:after="0"/>
              <w:rPr>
                <w:sz w:val="20"/>
                <w:szCs w:val="20"/>
                <w:color w:val="auto"/>
              </w:rPr>
            </w:pPr>
            <w:r>
              <w:rPr>
                <w:rFonts w:ascii="Times New Roman" w:cs="Times New Roman" w:eastAsia="Times New Roman" w:hAnsi="Times New Roman"/>
                <w:sz w:val="20"/>
                <w:szCs w:val="20"/>
                <w:color w:val="auto"/>
                <w:w w:val="99"/>
              </w:rPr>
              <w:t>-2.5%</w:t>
            </w:r>
          </w:p>
        </w:tc>
        <w:tc>
          <w:tcPr>
            <w:tcW w:w="2440" w:type="dxa"/>
            <w:vAlign w:val="bottom"/>
            <w:shd w:val="clear" w:color="auto" w:fill="D5EFF4"/>
          </w:tcPr>
          <w:p>
            <w:pPr>
              <w:jc w:val="center"/>
              <w:ind w:right="20"/>
              <w:spacing w:after="0"/>
              <w:rPr>
                <w:sz w:val="20"/>
                <w:szCs w:val="20"/>
                <w:color w:val="auto"/>
              </w:rPr>
            </w:pPr>
            <w:r>
              <w:rPr>
                <w:rFonts w:ascii="Times New Roman" w:cs="Times New Roman" w:eastAsia="Times New Roman" w:hAnsi="Times New Roman"/>
                <w:sz w:val="20"/>
                <w:szCs w:val="20"/>
                <w:color w:val="auto"/>
                <w:w w:val="99"/>
              </w:rPr>
              <w:t>-1.3%</w:t>
            </w:r>
          </w:p>
        </w:tc>
      </w:tr>
      <w:tr>
        <w:trPr>
          <w:trHeight w:val="266"/>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Specialty Additives</w:t>
            </w:r>
          </w:p>
        </w:tc>
        <w:tc>
          <w:tcPr>
            <w:tcW w:w="402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9"/>
              </w:rPr>
              <w:t>-2.6%</w:t>
            </w:r>
          </w:p>
        </w:tc>
        <w:tc>
          <w:tcPr>
            <w:tcW w:w="244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-1.5%</w:t>
            </w:r>
          </w:p>
        </w:tc>
      </w:tr>
      <w:tr>
        <w:trPr>
          <w:trHeight w:val="61"/>
        </w:trPr>
        <w:tc>
          <w:tcPr>
            <w:tcW w:w="378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r>
    </w:tbl>
    <w:p>
      <w:pPr>
        <w:spacing w:after="0" w:line="101" w:lineRule="exact"/>
        <w:rPr>
          <w:sz w:val="20"/>
          <w:szCs w:val="20"/>
          <w:color w:val="auto"/>
        </w:rPr>
      </w:pPr>
    </w:p>
    <w:p>
      <w:pPr>
        <w:jc w:val="both"/>
        <w:ind w:right="20" w:firstLine="360"/>
        <w:spacing w:after="0" w:line="297" w:lineRule="auto"/>
        <w:rPr>
          <w:sz w:val="20"/>
          <w:szCs w:val="20"/>
          <w:color w:val="auto"/>
        </w:rPr>
      </w:pPr>
      <w:r>
        <w:rPr>
          <w:rFonts w:ascii="Times New Roman" w:cs="Times New Roman" w:eastAsia="Times New Roman" w:hAnsi="Times New Roman"/>
          <w:sz w:val="20"/>
          <w:szCs w:val="20"/>
          <w:color w:val="auto"/>
        </w:rPr>
        <w:t>Assumptions inherent in the valuation methodologies include estimates of future projected business results (principally sales and EBITDA), long-term growth rates, and the weighted-average cost of capital. Significant assumptions utilized in the impairment analysis included the weighted-average cost of capital, ranging between 12.50% and 13.75%, and terminal growth rates, ranging between 2.0% and 4.0% depending on the reporting unit. For further information, see Note G of the Notes to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indefinite-lived intangible assets</w:t>
      </w:r>
    </w:p>
    <w:p>
      <w:pPr>
        <w:spacing w:after="0" w:line="164" w:lineRule="exact"/>
        <w:rPr>
          <w:sz w:val="20"/>
          <w:szCs w:val="20"/>
          <w:color w:val="auto"/>
        </w:rPr>
      </w:pPr>
    </w:p>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Other indefinite-lived intangible assets include certain trademarks and trade names. Ashland reviews these intangible assets for possible impairment annually as of July 1 or whenever events or changes in circumstances indicate that carrying amounts may not be recoverable. If the carrying value of an individual indefinite-lived intangible asset exceeds its fair value, the asset is written down to its fair value and the amount of the write down is the impairment charge.</w:t>
      </w:r>
    </w:p>
    <w:p>
      <w:pPr>
        <w:spacing w:after="0" w:line="74"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Ashland tests these assets using a “relief-from-royalty” valuation method to determine the fair value. Assumptions inherent in the valuation methodologies include, but are not limited to, future projected business results, growth rates, the weighted-average cost of capital for a market participant, and royalty rates. In conjunction with the triggering events described above for goodwill, Ashland tested its indefinite-lived intangible assets for impairment during the third quarter of fiscal 2025. Ashland’s quantitative approach models did not indicate any impairment, as each indefinite-lived intangible asset’s fair value exceeded its carrying values. Ashland has two indefinite-lived intangible assets related to trademarks and trade names. Significant assumptions utilized in the impairment analysis included the weight-average cost of capital, ranging between 13.5% and 14.0%, royalty rates of 2.0%, and terminal growth rates, ranging between 3.2% and 3.3%. One of the two indefinite-lived intangible assets fair value exceeded its carrying value by more than 75%, while the second had a fair value slightly above the carrying value. A 25-basis point increase to the discount rate or a 25-basis point decrease to the residual growth rate would have resulted in an impairment for the second indefinite-lived intangible asset.</w:t>
      </w:r>
    </w:p>
    <w:p>
      <w:pPr>
        <w:spacing w:after="0" w:line="89" w:lineRule="exact"/>
        <w:rPr>
          <w:sz w:val="20"/>
          <w:szCs w:val="20"/>
          <w:color w:val="auto"/>
        </w:rPr>
      </w:pPr>
    </w:p>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On July 1, 2025, the date of our annual impairment assessment, Ashland evaluated its indefinite-lived intangible assets for impairment using a qualitative approach focusing on the key assumptions used as part of the third quarter quantitative approach. There was no impairment identified as part of the July 1, 2025 annual other indefinite-lived intangible asset impairment assessment. No subsequent indicators of impairment had been identified during the fourth quarter of fiscal 2025.</w:t>
      </w:r>
    </w:p>
    <w:p>
      <w:pPr>
        <w:spacing w:after="0" w:line="74" w:lineRule="exact"/>
        <w:rPr>
          <w:sz w:val="20"/>
          <w:szCs w:val="20"/>
          <w:color w:val="auto"/>
        </w:rPr>
      </w:pPr>
    </w:p>
    <w:p>
      <w:pPr>
        <w:jc w:val="both"/>
        <w:ind w:right="20" w:firstLine="360"/>
        <w:spacing w:after="0" w:line="297" w:lineRule="auto"/>
        <w:rPr>
          <w:sz w:val="20"/>
          <w:szCs w:val="20"/>
          <w:color w:val="auto"/>
        </w:rPr>
      </w:pPr>
      <w:r>
        <w:rPr>
          <w:rFonts w:ascii="Times New Roman" w:cs="Times New Roman" w:eastAsia="Times New Roman" w:hAnsi="Times New Roman"/>
          <w:sz w:val="20"/>
          <w:szCs w:val="20"/>
          <w:color w:val="auto"/>
        </w:rPr>
        <w:t>Ashland’s assessment of an impairment on any of these assets classified currently as having indefinite lives, including goodwill, could change in future periods if significant events happen and/or circumstances change that affect the previously mentioned assumptions. Assumptions inherent in the valuation methodologies include, but are not limited to, such estimates as future projected business results, growth rates, the weighted average cost of capital for a market participant, and royalty rates. For further information, see Note G of the Notes to Consolidated Financial Statements.</w:t>
      </w:r>
    </w:p>
    <w:p>
      <w:pPr>
        <w:sectPr>
          <w:pgSz w:w="12240" w:h="15840" w:orient="portrait"/>
          <w:cols w:equalWidth="0" w:num="1">
            <w:col w:w="10260"/>
          </w:cols>
          <w:pgMar w:left="1000" w:top="1017" w:right="9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M-41</w:t>
      </w:r>
    </w:p>
    <w:p>
      <w:pPr>
        <w:sectPr>
          <w:pgSz w:w="12240" w:h="15840" w:orient="portrait"/>
          <w:cols w:equalWidth="0" w:num="1">
            <w:col w:w="10260"/>
          </w:cols>
          <w:pgMar w:left="1000" w:top="1017" w:right="980" w:bottom="186"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70"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20"/>
          <w:szCs w:val="20"/>
          <w:color w:val="auto"/>
        </w:rPr>
        <w:t>Ashland is subject to income taxes in the United States and numerous foreign jurisdictions.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Under U.S. GAAP,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Valuation allowances are established when necessary on a jurisdictional basis to reduce deferred tax assets to the amounts expected to be realized. Deferred taxes are not provided on the unremitted earnings of subsidiaries outside of the United States when it is expected that these earnings are indefinitely reinvested.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Statements of Consolidated Comprehensive Income (Loss) and Consolidated Balance Sheets.</w:t>
      </w:r>
    </w:p>
    <w:p>
      <w:pPr>
        <w:spacing w:after="0" w:line="94"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The recoverability of deferred tax assets and the recognition and measurement of uncertain tax positions are subject to various assumptions and judgment by Ashland. If actual results differ from the estimates made by Ashland in establishing or maintaining valuation allowances against deferred tax assets, the resulting change in the valuation allowance would generally impact earnings or other comprehensive income depending on the nature of the respective deferred tax asset. Additionally, the positions taken with regard to tax contingencies may be subject to audit and review by tax authorities, which may result in future taxes, interest and penalties. Positive and negative evidence is considered in determining the need for a valuation allowance against deferred tax assets, which includes such evidence as historical earnings, projected future earnings, tax planning strategies and expected timing of reversal of existing temporary differences.</w:t>
      </w:r>
    </w:p>
    <w:p>
      <w:pPr>
        <w:spacing w:after="0" w:line="82"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In determining the recoverability of deferred tax assets, Ashland gives consideration to all available positive and negative evidence including reversals of deferred tax liabilities (other than those with an indefinite reversal period), projected future taxable income, tax planning strategies and recent financial operations. Ashland attaches the most weight to historical earnings due to their verifiable nature. In evaluating the objective evidence that historical results provide, Ashland considers three years of cumulative income or loss. In addition, Ashland has reflected increases and decreases in our valuation allowance based on the overall weight of positive versus negative evidence on a jurisdiction by jurisdiction basis.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INFLATION AND CHANGING PRICES</w:t>
      </w:r>
    </w:p>
    <w:p>
      <w:pPr>
        <w:spacing w:after="0" w:line="170"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Ashland’s consolidated financial statements are prepared on the historical cost method of accounting in accordance with U.S. GAAP and, as a result, do not reflect changes in the purchasing power of the U.S. dollar. Monetary assets (such as cash, cash equivalents and accounts receivable) lose purchasing power as a result of inflation, while monetary liabilities (such as accounts payable and indebtedness) result in a gain, because they can be settled with dollars of diminished purchasing power. As of September 30, 2025, Ashland’s monetary assets exceed its monetary liabilities, leaving it currently more exposed to the effects of future inflation. While inflation rose significantly during 2022, it has to gradually decreased from fiscal 2023 to fiscal 2025. See Item 1A - Risk Factors for additional information.</w:t>
      </w:r>
    </w:p>
    <w:p>
      <w:pPr>
        <w:spacing w:after="0" w:line="8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Certain of the industries in which Ashland operates are capital-intensive, and replacement costs for its plant and equipment generally would substantially exceed their historical costs. Accordingly, depreciation and amortization expense would be greater if it were based on current replacement costs. However, because replacement facilities would reflect technological improvements and changes in business strategies, such facilities would be expected to be more productive than existing facilities, mitigating at least part of the increased expense.</w:t>
      </w:r>
    </w:p>
    <w:p>
      <w:pPr>
        <w:sectPr>
          <w:pgSz w:w="12240" w:h="15840" w:orient="portrait"/>
          <w:cols w:equalWidth="0" w:num="1">
            <w:col w:w="10240"/>
          </w:cols>
          <w:pgMar w:left="1000" w:top="984"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M-42</w:t>
      </w:r>
    </w:p>
    <w:p>
      <w:pPr>
        <w:sectPr>
          <w:pgSz w:w="12240" w:h="15840" w:orient="portrait"/>
          <w:cols w:equalWidth="0" w:num="1">
            <w:col w:w="10240"/>
          </w:cols>
          <w:pgMar w:left="1000" w:top="984" w:right="1000" w:bottom="186"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170" w:lineRule="exact"/>
        <w:rPr>
          <w:sz w:val="20"/>
          <w:szCs w:val="20"/>
          <w:color w:val="auto"/>
        </w:rPr>
      </w:pPr>
    </w:p>
    <w:p>
      <w:pPr>
        <w:ind w:firstLine="360"/>
        <w:spacing w:after="0" w:line="325" w:lineRule="auto"/>
        <w:rPr>
          <w:sz w:val="20"/>
          <w:szCs w:val="20"/>
          <w:color w:val="auto"/>
        </w:rPr>
      </w:pPr>
      <w:r>
        <w:rPr>
          <w:rFonts w:ascii="Times New Roman" w:cs="Times New Roman" w:eastAsia="Times New Roman" w:hAnsi="Times New Roman"/>
          <w:sz w:val="20"/>
          <w:szCs w:val="20"/>
          <w:color w:val="auto"/>
        </w:rPr>
        <w:t>Ashland is issuing the following guidance for fiscal 2026, Ashland intends to deliver against these commitments with a focus on execution, consistency, and credibility.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Full-year fiscal 2026 guidance</w:t>
      </w:r>
    </w:p>
    <w:p>
      <w:pPr>
        <w:spacing w:after="0" w:line="164" w:lineRule="exact"/>
        <w:rPr>
          <w:sz w:val="20"/>
          <w:szCs w:val="20"/>
          <w:color w:val="auto"/>
        </w:rPr>
      </w:pPr>
    </w:p>
    <w:p>
      <w:pPr>
        <w:ind w:left="720" w:hanging="366"/>
        <w:spacing w:after="0" w:line="325"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ales: $1,835 million to $1,905 million, reflecting organic growth of approximately one to five percent over the prior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year.</w:t>
      </w:r>
    </w:p>
    <w:p>
      <w:pPr>
        <w:spacing w:after="0" w:line="49"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$400 million to $430 million.</w:t>
      </w:r>
    </w:p>
    <w:p>
      <w:pPr>
        <w:spacing w:after="0" w:line="166"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Diluted Earnings Per Share Excluding Intangibles Amortization Expense growth: double-digit-plus; reflecting operating improvement and Portfolio Optimization.</w:t>
      </w:r>
    </w:p>
    <w:p>
      <w:pPr>
        <w:spacing w:after="0" w:line="49"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Ongoing Free Cash Flow Conversion: approximately 50 percent of Adjusted EBITDA; capital expenditures of approximately $100 million.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0"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w:t>
      </w:r>
    </w:p>
    <w:p>
      <w:pPr>
        <w:spacing w:after="0" w:line="82" w:lineRule="exact"/>
        <w:rPr>
          <w:sz w:val="20"/>
          <w:szCs w:val="20"/>
          <w:color w:val="auto"/>
        </w:rPr>
      </w:pPr>
    </w:p>
    <w:p>
      <w:pPr>
        <w:jc w:val="both"/>
        <w:ind w:firstLine="360"/>
        <w:spacing w:after="0" w:line="289" w:lineRule="auto"/>
        <w:rPr>
          <w:sz w:val="20"/>
          <w:szCs w:val="20"/>
          <w:color w:val="auto"/>
        </w:rPr>
      </w:pPr>
      <w:r>
        <w:rPr>
          <w:rFonts w:ascii="Times New Roman" w:cs="Times New Roman" w:eastAsia="Times New Roman" w:hAnsi="Times New Roman"/>
          <w:sz w:val="20"/>
          <w:szCs w:val="20"/>
          <w:color w:val="auto"/>
        </w:rPr>
        <w:t>The risks and uncertainties we face which may cause our actual results to differ materially from the results expressed, projected, or implied in these forward-looking statements include, but are not limited to: Ashland’s aggressive growth goals and the extent to which such goals may be impacted by a failure to optimize our tangible and intangible assets, a failure to identify and integrate acquisition targets, any unexpected costs and liabilities associated with such acquisitions, and goodwill impairment; business disruptions stemming from natural, operational, and other catastrophic events, including disruptions to supply and logistics functions, manufacturing delays, and information technology system and network failures; climate change and related resource impacts; changes in consumer preferences and a reduction in demand for Ashland’s products; risks inherent in operating a global business, including tariffs and other trade policies, geopolitical instability and armed conflict, and challenges associated with hiring and managing a diverse workforce across countries with differing laws, regulations, and cultural practices; economic downturns and disruptions in the financial markets; Ashland’s substantial indebtedness, including the possibility that such indebtedness and related restrictive covenants may adversely affect our future cash flows, limit our ability to repay debt and obtain future financing, place Ashland at a competitive disadvantage, and make us more vulnerable to interest rate increases; our ability to develop and market new products and remain competitive in the markets in which we operate; our ability to pass increases in the costs of energy and raw materials to customers and to fulfill our contractual requirements with customers and vendors; downward pressures on prices and margins; the ability to attract and retain key employees and to provide for effective succession planning; cybersecurity risks, including disruptions to or failures in Ashland’s information technology systems and networks, malicious cyberattacks, and the inadvertent or accidental disclosure or loss of proprietary or sensitive information; Ashland’s ability to effectively protect and enforce its intellectual property rights; exposure to products liability claims; risks related to compliance with environmental, health, and safety regulations, including the potential for costly litigation, remediation, and settlement actions; exposure to pending and threatened asbestos-related litigation; changes in the legal and regulatory landscapes in which we operate; and changes in taxation or adverse tax rulings. These risks and uncertainties also include, but are not limited to, the risk factors set forth in Item 1A. “Risk Factors” to this Annual Report on Form 10-K, elsewhere in this Annual Report on Form 10-K, and in our other periodic reports filed with</w:t>
      </w:r>
    </w:p>
    <w:p>
      <w:pPr>
        <w:sectPr>
          <w:pgSz w:w="12240" w:h="15840" w:orient="portrait"/>
          <w:cols w:equalWidth="0" w:num="1">
            <w:col w:w="10240"/>
          </w:cols>
          <w:pgMar w:left="1000" w:top="984" w:right="1000" w:bottom="186"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M-43</w:t>
      </w:r>
    </w:p>
    <w:p>
      <w:pPr>
        <w:sectPr>
          <w:pgSz w:w="12240" w:h="15840" w:orient="portrait"/>
          <w:cols w:equalWidth="0" w:num="1">
            <w:col w:w="10240"/>
          </w:cols>
          <w:pgMar w:left="1000" w:top="984" w:right="1000" w:bottom="186" w:gutter="0" w:footer="0" w:header="0"/>
          <w:type w:val="continuous"/>
        </w:sectPr>
      </w:pPr>
    </w:p>
    <w:bookmarkStart w:id="101" w:name="page102"/>
    <w:bookmarkEnd w:id="101"/>
    <w:p>
      <w:pPr>
        <w:jc w:val="both"/>
        <w:spacing w:after="0" w:line="300" w:lineRule="auto"/>
        <w:rPr>
          <w:sz w:val="20"/>
          <w:szCs w:val="20"/>
          <w:color w:val="auto"/>
        </w:rPr>
      </w:pPr>
      <w:r>
        <w:rPr>
          <w:rFonts w:ascii="Times New Roman" w:cs="Times New Roman" w:eastAsia="Times New Roman" w:hAnsi="Times New Roman"/>
          <w:sz w:val="20"/>
          <w:szCs w:val="20"/>
          <w:color w:val="auto"/>
        </w:rPr>
        <w:t>the SEC. Ashland believes its expectations and assumptions are reasonable, but there can be no assurance that the expectations reflected herein will be achieved. Unless legally required, Ashland undertakes no obligation to update publicly any forward-looking statements made in this Annual Report on Form 10-K whether as a result of new information, future events or otherwise. Information on Ashland’s website is not incorporated into or a part of this Annual Report on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70"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82"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 of September 30, 2025 and 2024, Ashland had not identified any significant credit risk on open derivative contracts. The potential loss from a hypothetical 10% adverse change in foreign currency rates on Ashland’s open foreign currency derivative instruments would be largely offset by gains resulting from the impact of changes in exchange rates on transactions denominated in non-functional currencies. Ashland did not have any significant open hedging contracts with respect to commodities or any related raw material requirements as of and for the year ended September 30, 2025.</w:t>
      </w:r>
    </w:p>
    <w:p>
      <w:pPr>
        <w:sectPr>
          <w:pgSz w:w="12240" w:h="15840" w:orient="portrait"/>
          <w:cols w:equalWidth="0" w:num="1">
            <w:col w:w="10240"/>
          </w:cols>
          <w:pgMar w:left="1000" w:top="988"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M-44</w:t>
      </w:r>
    </w:p>
    <w:p>
      <w:pPr>
        <w:sectPr>
          <w:pgSz w:w="12240" w:h="15840" w:orient="portrait"/>
          <w:cols w:equalWidth="0" w:num="1">
            <w:col w:w="10240"/>
          </w:cols>
          <w:pgMar w:left="1000" w:top="988" w:right="1000" w:bottom="186"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280" w:type="dxa"/>
            <w:vAlign w:val="bottom"/>
          </w:tcPr>
          <w:p>
            <w:pPr>
              <w:spacing w:after="0"/>
              <w:rPr>
                <w:sz w:val="21"/>
                <w:szCs w:val="21"/>
                <w:color w:val="auto"/>
              </w:rPr>
            </w:pPr>
          </w:p>
        </w:tc>
        <w:tc>
          <w:tcPr>
            <w:tcW w:w="9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Page</w:t>
            </w:r>
          </w:p>
        </w:tc>
      </w:tr>
      <w:tr>
        <w:trPr>
          <w:trHeight w:val="309"/>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Management's report on internal control over financial reporting</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F-2</w:t>
            </w:r>
          </w:p>
        </w:tc>
      </w:tr>
      <w:tr>
        <w:trPr>
          <w:trHeight w:val="302"/>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 (Ernst &amp; Young LLP; PCAOB ID: 42)</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F-3</w:t>
            </w:r>
          </w:p>
        </w:tc>
      </w:tr>
      <w:tr>
        <w:trPr>
          <w:trHeight w:val="60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Financial Statements:</w:t>
            </w:r>
          </w:p>
        </w:tc>
        <w:tc>
          <w:tcPr>
            <w:tcW w:w="960" w:type="dxa"/>
            <w:vAlign w:val="bottom"/>
          </w:tcPr>
          <w:p>
            <w:pPr>
              <w:spacing w:after="0"/>
              <w:rPr>
                <w:sz w:val="24"/>
                <w:szCs w:val="24"/>
                <w:color w:val="auto"/>
              </w:rPr>
            </w:pPr>
          </w:p>
        </w:tc>
      </w:tr>
      <w:tr>
        <w:trPr>
          <w:trHeight w:val="302"/>
        </w:trPr>
        <w:tc>
          <w:tcPr>
            <w:tcW w:w="928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Statements of Consolidated Comprehensive Income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F-8</w:t>
            </w:r>
          </w:p>
        </w:tc>
      </w:tr>
      <w:tr>
        <w:trPr>
          <w:trHeight w:val="302"/>
        </w:trPr>
        <w:tc>
          <w:tcPr>
            <w:tcW w:w="928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F-9</w:t>
            </w:r>
          </w:p>
        </w:tc>
      </w:tr>
      <w:tr>
        <w:trPr>
          <w:trHeight w:val="302"/>
        </w:trPr>
        <w:tc>
          <w:tcPr>
            <w:tcW w:w="928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Statements of Consolidated Equity</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F-10</w:t>
            </w:r>
          </w:p>
        </w:tc>
      </w:tr>
      <w:tr>
        <w:trPr>
          <w:trHeight w:val="302"/>
        </w:trPr>
        <w:tc>
          <w:tcPr>
            <w:tcW w:w="928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Statements of Consolidated Cash Flows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F-11</w:t>
            </w:r>
          </w:p>
        </w:tc>
      </w:tr>
      <w:tr>
        <w:trPr>
          <w:trHeight w:val="302"/>
        </w:trPr>
        <w:tc>
          <w:tcPr>
            <w:tcW w:w="928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F-12</w:t>
            </w:r>
          </w:p>
        </w:tc>
      </w:tr>
    </w:tbl>
    <w:p>
      <w:pPr>
        <w:spacing w:after="0" w:line="200" w:lineRule="exact"/>
        <w:rPr>
          <w:sz w:val="20"/>
          <w:szCs w:val="20"/>
          <w:color w:val="auto"/>
        </w:rPr>
      </w:pPr>
    </w:p>
    <w:p>
      <w:pPr>
        <w:sectPr>
          <w:pgSz w:w="12240" w:h="15840" w:orient="portrait"/>
          <w:cols w:equalWidth="0" w:num="1">
            <w:col w:w="10240"/>
          </w:cols>
          <w:pgMar w:left="1000" w:top="97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240"/>
          </w:cols>
          <w:pgMar w:left="1000" w:top="970" w:right="1000" w:bottom="175"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166" w:lineRule="exact"/>
        <w:rPr>
          <w:sz w:val="20"/>
          <w:szCs w:val="20"/>
          <w:color w:val="auto"/>
        </w:rPr>
      </w:pPr>
    </w:p>
    <w:p>
      <w:pPr>
        <w:jc w:val="both"/>
        <w:ind w:firstLine="360"/>
        <w:spacing w:after="0" w:line="298" w:lineRule="auto"/>
        <w:rPr>
          <w:sz w:val="20"/>
          <w:szCs w:val="20"/>
          <w:color w:val="auto"/>
        </w:rPr>
      </w:pPr>
      <w:r>
        <w:rPr>
          <w:rFonts w:ascii="Times New Roman" w:cs="Times New Roman" w:eastAsia="Times New Roman" w:hAnsi="Times New Roman"/>
          <w:sz w:val="19"/>
          <w:szCs w:val="19"/>
          <w:color w:val="auto"/>
        </w:rPr>
        <w:t>Management is responsible for the preparation and integrity of the Consolidated Financial Statements and other financial information included in this Annual Report on Form 10-K. Such financial statements are prepared in accordance with accounting principles generally accepted in the United States. Accounting principles are selected, and information is reported which, using management’s best judgment and estimates, present fairly Ashland’s consolidated financial position, results of operations and cash flows. The other financial information in this Annual Report on Form 10-K is consistent with the Consolidated Financial Statements.</w:t>
      </w:r>
    </w:p>
    <w:p>
      <w:pPr>
        <w:spacing w:after="0" w:line="75"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19"/>
          <w:szCs w:val="19"/>
          <w:color w:val="auto"/>
        </w:rPr>
        <w:t>Ashland’s management is responsible for establishing and maintaining adequate internal control over financial reporting, as such term is defined in Exchange Act Rules 13a-15(f) and 15d-15(f). Ashland’s internal control over financial reporting is designed to provide reasonable assurance regarding the reliability of financial reporting and the preparation of Ashland’s Consolidated Financial Statements. Ashland’s internal control over financial reporting is supported by a code of business conduct which summarizes our guiding values such as obeying the law, adhering to high ethical standards and acting as responsible members of the communities where we operate. Compliance with that Code forms the foundation of our internal control systems, which are designed to provide reasonable assurance that Ashland’s assets are safeguarded, and its records reflect, in all material respects, transactions in accordance with management’s authorization. The concept of reasonable assurance is based on the recognition that the cost of a system of internal control should not exceed the related benefits. Management believes that adequate internal controls are maintained by the selection and training of qualified personnel, by an appropriate division of responsibility in all organizational arrangements, by the establishment and communication of accounting and business policies, and by internal audits.</w:t>
      </w:r>
    </w:p>
    <w:p>
      <w:pPr>
        <w:spacing w:after="0" w:line="80" w:lineRule="exact"/>
        <w:rPr>
          <w:sz w:val="20"/>
          <w:szCs w:val="20"/>
          <w:color w:val="auto"/>
        </w:rPr>
      </w:pPr>
    </w:p>
    <w:p>
      <w:pPr>
        <w:jc w:val="both"/>
        <w:ind w:firstLine="360"/>
        <w:spacing w:after="0" w:line="301"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19"/>
          <w:szCs w:val="19"/>
          <w:color w:val="auto"/>
        </w:rPr>
        <w:t>The Board, subject to stockholder ratification, selects and engages the independent auditors based on the recommendation of the Audit Committee. The Audit Committee, composed of directors who are not members of management, reviews the adequacy of Ashland’s policies, procedures, controls and risk management strategies, the scope of auditing and other services performed by the independent auditors, and the scope of the internal audit function. The Audit Committee holds meetings with Ashland’s internal auditor and independent auditors, with and without management present, to discuss the findings of their audits, the overall quality of Ashland’s financial reporting and their evaluation of Ashland’s internal controls. The report of Ashland’s Audit Committee can be found in Ashland’s Proxy for its 2026 Annual Meeting.</w:t>
      </w:r>
    </w:p>
    <w:p>
      <w:pPr>
        <w:spacing w:after="0" w:line="82" w:lineRule="exact"/>
        <w:rPr>
          <w:sz w:val="20"/>
          <w:szCs w:val="20"/>
          <w:color w:val="auto"/>
        </w:rPr>
      </w:pPr>
    </w:p>
    <w:p>
      <w:pPr>
        <w:jc w:val="both"/>
        <w:ind w:firstLine="360"/>
        <w:spacing w:after="0" w:line="301" w:lineRule="auto"/>
        <w:rPr>
          <w:sz w:val="20"/>
          <w:szCs w:val="20"/>
          <w:color w:val="auto"/>
        </w:rPr>
      </w:pPr>
      <w:r>
        <w:rPr>
          <w:rFonts w:ascii="Times New Roman" w:cs="Times New Roman" w:eastAsia="Times New Roman" w:hAnsi="Times New Roman"/>
          <w:sz w:val="19"/>
          <w:szCs w:val="19"/>
          <w:color w:val="auto"/>
        </w:rPr>
        <w:t xml:space="preserve">Management assessed the effectiveness of Ashland’s internal control over financial reporting as of September 30, 2025. Management conducted its assessment utilizing the framework described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issued by the Committee of Sponsoring Organizations of the Treadway Commission (2013 framework). Based on this assessment, management believes that Ashland maintained effective internal control over financial reporting as of September 30, 2025.</w:t>
      </w:r>
    </w:p>
    <w:p>
      <w:pPr>
        <w:spacing w:after="0" w:line="73" w:lineRule="exact"/>
        <w:rPr>
          <w:sz w:val="20"/>
          <w:szCs w:val="20"/>
          <w:color w:val="auto"/>
        </w:rPr>
      </w:pPr>
    </w:p>
    <w:p>
      <w:pPr>
        <w:jc w:val="both"/>
        <w:ind w:firstLine="360"/>
        <w:spacing w:after="0" w:line="301" w:lineRule="auto"/>
        <w:rPr>
          <w:sz w:val="20"/>
          <w:szCs w:val="20"/>
          <w:color w:val="auto"/>
        </w:rPr>
      </w:pPr>
      <w:r>
        <w:rPr>
          <w:rFonts w:ascii="Times New Roman" w:cs="Times New Roman" w:eastAsia="Times New Roman" w:hAnsi="Times New Roman"/>
          <w:sz w:val="19"/>
          <w:szCs w:val="19"/>
          <w:color w:val="auto"/>
        </w:rPr>
        <w:t>Ernst &amp; Young LLP, an independent registered public accounting firm, has audited and reported on the Consolidated Financial Statements of Ashland Inc. and Consolidated Subsidiaries as of and for the year ended September 30, 2025, and the effectiveness of Ashland’s internal control over financial reporting as of September 30, 2025. The reports of the independent registered public accounting firm are contained in this Annual Report on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Guillermo Novo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Guillermo Novo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Chair of the Board and Chief Executive Officer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William C. Whitaker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William C. Whitaker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Vice President and Chief Financial Officer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20, 2025</w:t>
      </w:r>
    </w:p>
    <w:p>
      <w:pPr>
        <w:sectPr>
          <w:pgSz w:w="12240" w:h="15840" w:orient="portrait"/>
          <w:cols w:equalWidth="0" w:num="1">
            <w:col w:w="10240"/>
          </w:cols>
          <w:pgMar w:left="1000" w:top="1048"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240"/>
          </w:cols>
          <w:pgMar w:left="1000" w:top="1048" w:right="1000" w:bottom="175" w:gutter="0" w:footer="0" w:header="0"/>
          <w:type w:val="continuous"/>
        </w:sectPr>
      </w:pPr>
    </w:p>
    <w:bookmarkStart w:id="104" w:name="page105"/>
    <w:bookmarkEnd w:id="104"/>
    <w:p>
      <w:pPr>
        <w:ind w:left="17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Ashland Inc.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2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We have audited Ashland Inc. and Consolidated Subsidiaries’ internal control over financial reporting as of September 30, 2025, based on criteria established in Internal Control—Integrated Framework issued by the Committee of Sponsoring Organizations of the Treadway Commission (2013 framework) (the COSO criteria). In our opinion, Ashland Inc. and Consolidated Subsidiaries (the Company) maintained, in all material respects, effective internal control over financial reporting as of September 30, 2025, based on the COSO criteria.</w:t>
      </w:r>
    </w:p>
    <w:p>
      <w:pPr>
        <w:spacing w:after="0" w:line="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September 30, 2025 and 2024, the related statements of consolidated comprehensive income (loss), consolidated equity and consolidated cash flows for each of the three years in the period ended September 30, 2025, and the related notes and our report dated November 20, 2025, expressed an unqualified opinion thereon.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Grandview Heights, Ohio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20, 2025</w: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240"/>
          </w:cols>
          <w:pgMar w:left="1000" w:top="926" w:right="1000" w:bottom="175" w:gutter="0" w:footer="0" w:header="0"/>
          <w:type w:val="continuous"/>
        </w:sectPr>
      </w:pPr>
    </w:p>
    <w:bookmarkStart w:id="105" w:name="page106"/>
    <w:bookmarkEnd w:id="105"/>
    <w:p>
      <w:pPr>
        <w:ind w:right="1980" w:firstLine="1440"/>
        <w:spacing w:after="0" w:line="366"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Ashland Inc.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Ashland Inc. and Consolidated Subsidiaries (the Company) as of September 30, 2025 and 2024, the related statements of consolidated comprehensive income (loss), consolidated equity and consolidated cash flows, for each of the three years in the period ended September 30, 2025, and the related notes (collectively referred to as the "consolidated financial statements"). In our opinion, the consolidated financial statements present fairly, in all material respects, the financial position of the Company at September 30, 2025 and 2024, and the results of its operations and its cash flows for each of the three years in the period ended September 30, 2025, in conformity with U.S. generally accepted accounting principles.</w:t>
      </w:r>
    </w:p>
    <w:p>
      <w:pPr>
        <w:spacing w:after="0" w:line="80"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September 30, 2025, based on criteria established in Internal Control-Integrated Framework issued by the Committee of Sponsoring Organizations of the Treadway Commission (2013 framework), and our report dated November 20, 2025, expressed an unqualified opinion thereon.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Company's Disclosure of an Additional Measure of Segment Profit or Loss</w:t>
      </w:r>
    </w:p>
    <w:p>
      <w:pPr>
        <w:spacing w:after="0" w:line="12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Note Q to the consolidated financial statements, the Company has elected to disclose earnings before income taxes, depreciation and amortization (EBITDA) as an additional segment profit or loss measure as permitted pursuant to ASC 280, Segment Reporting, and that the U.S. Securities and Exchange Commission (SEC) defines as a non-GAAP measure. Accordingly, we express no opinion on whether the additional segment profit or loss measure complies with SEC Regulation S-K, Item 10(e) and Regulation G, Item 101.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2240" w:h="15840" w:orient="portrait"/>
          <w:cols w:equalWidth="0" w:num="1">
            <w:col w:w="10260"/>
          </w:cols>
          <w:pgMar w:left="1000" w:top="926"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260"/>
          </w:cols>
          <w:pgMar w:left="1000" w:top="926" w:right="980" w:bottom="175" w:gutter="0" w:footer="0" w:header="0"/>
          <w:type w:val="continuous"/>
        </w:sectPr>
      </w:pPr>
    </w:p>
    <w:bookmarkStart w:id="106" w:name="page107"/>
    <w:bookmarkEnd w:id="106"/>
    <w:p>
      <w:pPr>
        <w:spacing w:after="0" w:line="35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Environmental Remediation Reserves</w:t>
      </w:r>
    </w:p>
    <w:p>
      <w:pPr>
        <w:spacing w:after="0" w:line="120" w:lineRule="exact"/>
        <w:rPr>
          <w:sz w:val="20"/>
          <w:szCs w:val="20"/>
          <w:color w:val="auto"/>
        </w:rPr>
      </w:pPr>
    </w:p>
    <w:p>
      <w:pPr>
        <w:jc w:val="both"/>
        <w:ind w:left="40" w:right="480"/>
        <w:spacing w:after="0" w:line="293" w:lineRule="auto"/>
        <w:rPr>
          <w:sz w:val="20"/>
          <w:szCs w:val="20"/>
          <w:color w:val="auto"/>
        </w:rPr>
      </w:pPr>
      <w:r>
        <w:rPr>
          <w:rFonts w:ascii="Times New Roman" w:cs="Times New Roman" w:eastAsia="Times New Roman" w:hAnsi="Times New Roman"/>
          <w:sz w:val="20"/>
          <w:szCs w:val="20"/>
          <w:color w:val="auto"/>
        </w:rPr>
        <w:t>At September 30, 2025, the environmental remediation reserves amounted to $226 million. As discussed within Note M of the consolidated financial statements, the environmental remediation reserves reflect the Company’s estimates of the most likely costs that will be incurred over an extended period to remediate identified conditions for which the costs are reasonably estimable and probable of being incurred, without regard to any third-party recoveries. The Company uses engineering studies, historical experience and other factors to identify and evaluate remediation alternatives and their related costs in determining the estimated reserves for environmental remediation. The Company regularly adjusts its reserves as environmental remediation continues.</w:t>
      </w:r>
    </w:p>
    <w:p>
      <w:pPr>
        <w:spacing w:after="0" w:line="82" w:lineRule="exact"/>
        <w:rPr>
          <w:sz w:val="20"/>
          <w:szCs w:val="20"/>
          <w:color w:val="auto"/>
        </w:rPr>
      </w:pPr>
    </w:p>
    <w:p>
      <w:pPr>
        <w:jc w:val="both"/>
        <w:ind w:left="40" w:right="480"/>
        <w:spacing w:after="0" w:line="306" w:lineRule="auto"/>
        <w:rPr>
          <w:sz w:val="20"/>
          <w:szCs w:val="20"/>
          <w:color w:val="auto"/>
        </w:rPr>
      </w:pPr>
      <w:r>
        <w:rPr>
          <w:rFonts w:ascii="Times New Roman" w:cs="Times New Roman" w:eastAsia="Times New Roman" w:hAnsi="Times New Roman"/>
          <w:sz w:val="20"/>
          <w:szCs w:val="20"/>
          <w:color w:val="auto"/>
        </w:rPr>
        <w:t>Auditing the environmental remediation reserves was complex due to inherent uncertainties that affect the Company’s ability to estimate probable costs. Such uncertainties include the nature and extent of contamination at each site, and the nature and extent of required cleanup efforts.</w:t>
      </w:r>
    </w:p>
    <w:p>
      <w:pPr>
        <w:spacing w:after="0" w:line="68" w:lineRule="exact"/>
        <w:rPr>
          <w:sz w:val="20"/>
          <w:szCs w:val="20"/>
          <w:color w:val="auto"/>
        </w:rPr>
      </w:pPr>
    </w:p>
    <w:p>
      <w:pPr>
        <w:jc w:val="both"/>
        <w:ind w:left="40" w:right="480"/>
        <w:spacing w:after="0" w:line="294"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relevant internal controls over the Company’s environmental remediation reserves process. For example, we tested internal controls over the Company’s annual reserve setting training process, management’s monitoring of sites, and management’s development of the environmental remediation reserves estimates. We also tested management’s internal controls over the completeness and accuracy of the underlying data used in the environmental remediation reserves estimates.</w:t>
      </w:r>
    </w:p>
    <w:p>
      <w:pPr>
        <w:spacing w:after="0" w:line="80" w:lineRule="exact"/>
        <w:rPr>
          <w:sz w:val="20"/>
          <w:szCs w:val="20"/>
          <w:color w:val="auto"/>
        </w:rPr>
      </w:pPr>
    </w:p>
    <w:p>
      <w:pPr>
        <w:jc w:val="both"/>
        <w:ind w:left="40" w:right="480"/>
        <w:spacing w:after="0" w:line="291" w:lineRule="auto"/>
        <w:rPr>
          <w:sz w:val="20"/>
          <w:szCs w:val="20"/>
          <w:color w:val="auto"/>
        </w:rPr>
      </w:pPr>
      <w:r>
        <w:rPr>
          <w:rFonts w:ascii="Times New Roman" w:cs="Times New Roman" w:eastAsia="Times New Roman" w:hAnsi="Times New Roman"/>
          <w:sz w:val="20"/>
          <w:szCs w:val="20"/>
          <w:color w:val="auto"/>
        </w:rPr>
        <w:t>To test the environmental remediation reserves, we performed audit procedures that included, among others: assessing the appropriateness of the Company’s policies and procedures and testing management’s development of the environmental remediation reserves estimates. We obtained an understanding of the nature and extent of contamination at each site, the nature and extent of required cleanup efforts, and the corresponding environmental remediation reserves through discussions with the Company’s remediation project managers. We also involved our environmental remediation subject matter specialists to evaluate the reasonableness of management’s estimates, including consideration of information available on regulatory databases in the public domain that was assessed for possible contrary evidence. With the support of our environmental remediation subject matter specialists, we evaluated whether the environmental remediation reserves estimates were appropriate based on engineering studies and historical experience.</w:t>
      </w:r>
    </w:p>
    <w:p>
      <w:pPr>
        <w:spacing w:after="0" w:line="200" w:lineRule="exact"/>
        <w:rPr>
          <w:sz w:val="20"/>
          <w:szCs w:val="20"/>
          <w:color w:val="auto"/>
        </w:rPr>
      </w:pPr>
    </w:p>
    <w:p>
      <w:pPr>
        <w:sectPr>
          <w:pgSz w:w="12240" w:h="15840" w:orient="portrait"/>
          <w:cols w:equalWidth="0" w:num="2">
            <w:col w:w="1160" w:space="180"/>
            <w:col w:w="8360"/>
          </w:cols>
          <w:pgMar w:left="1100" w:top="93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700"/>
          </w:cols>
          <w:pgMar w:left="1100" w:top="930" w:right="1440" w:bottom="175" w:gutter="0" w:footer="0" w:header="0"/>
          <w:type w:val="continuous"/>
        </w:sectPr>
      </w:pPr>
    </w:p>
    <w:bookmarkStart w:id="107" w:name="page108"/>
    <w:bookmarkEnd w:id="107"/>
    <w:p>
      <w:pPr>
        <w:spacing w:after="0" w:line="39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Asbestos Litigation Reserves</w:t>
      </w:r>
    </w:p>
    <w:p>
      <w:pPr>
        <w:spacing w:after="0" w:line="166" w:lineRule="exact"/>
        <w:rPr>
          <w:sz w:val="20"/>
          <w:szCs w:val="20"/>
          <w:color w:val="auto"/>
        </w:rPr>
      </w:pPr>
    </w:p>
    <w:p>
      <w:pPr>
        <w:jc w:val="both"/>
        <w:ind w:left="40" w:right="480"/>
        <w:spacing w:after="0" w:line="290" w:lineRule="auto"/>
        <w:rPr>
          <w:sz w:val="20"/>
          <w:szCs w:val="20"/>
          <w:color w:val="auto"/>
        </w:rPr>
      </w:pPr>
      <w:r>
        <w:rPr>
          <w:rFonts w:ascii="Times New Roman" w:cs="Times New Roman" w:eastAsia="Times New Roman" w:hAnsi="Times New Roman"/>
          <w:sz w:val="20"/>
          <w:szCs w:val="20"/>
          <w:color w:val="auto"/>
        </w:rPr>
        <w:t>At September 30, 2025, the asbestos litigation reserves amounted to $435 million. As discussed within Note M of the consolidated financial statements, the Company has liabilities from claims alleging personal injury caused by exposure to asbestos. The Company retained third-party actuarial experts to assist in developing and annually updating independent reserve estimates for future asbestos claims and related costs given various assumptions. The methodology used by the actuarial experts to project future asbestos costs is based largely on recent experience, including claim-filing and settlement rates, disease mix, open claims and litigation defense costs. Further, the claim experience identified is compared to the results of previously conducted third-party epidemiological studies estimating the number of people likely to develop asbestos-related diseases. Using that information, the Company estimates a range of the number of future claims that may be filed, as well as the related costs that may be incurred in resolving those claims. Ashland records the amount it believes to be the best estimate of future payments for litigation defense and claim settlement costs using the results of a non-inflated, non-discounted approximate 40-year model developed with the assistance of the Company’s third-party actuarial experts.</w:t>
      </w:r>
    </w:p>
    <w:p>
      <w:pPr>
        <w:spacing w:after="0" w:line="92" w:lineRule="exact"/>
        <w:rPr>
          <w:sz w:val="20"/>
          <w:szCs w:val="20"/>
          <w:color w:val="auto"/>
        </w:rPr>
      </w:pPr>
    </w:p>
    <w:p>
      <w:pPr>
        <w:jc w:val="both"/>
        <w:ind w:left="40" w:right="480"/>
        <w:spacing w:after="0" w:line="295" w:lineRule="auto"/>
        <w:rPr>
          <w:sz w:val="20"/>
          <w:szCs w:val="20"/>
          <w:color w:val="auto"/>
        </w:rPr>
      </w:pPr>
      <w:r>
        <w:rPr>
          <w:rFonts w:ascii="Times New Roman" w:cs="Times New Roman" w:eastAsia="Times New Roman" w:hAnsi="Times New Roman"/>
          <w:sz w:val="20"/>
          <w:szCs w:val="20"/>
          <w:color w:val="auto"/>
        </w:rPr>
        <w:t>Auditing the Company’s asbestos litigation reserves was complex due to uncertainty associated with the estimate of projected future asbestos costs. The methodology employed by management to develop the estimate of projected future asbestos costs is subject to assumptions such as the number of claims that may be received in the future, the type and severity of disease alleged by claimant, the related costs incurred in resolving those claims, and the dismissal rates. These assumptions have a significant effect on the asbestos litigation reserves.</w:t>
      </w:r>
    </w:p>
    <w:p>
      <w:pPr>
        <w:spacing w:after="0" w:line="80" w:lineRule="exact"/>
        <w:rPr>
          <w:sz w:val="20"/>
          <w:szCs w:val="20"/>
          <w:color w:val="auto"/>
        </w:rPr>
      </w:pPr>
    </w:p>
    <w:p>
      <w:pPr>
        <w:jc w:val="both"/>
        <w:ind w:left="40" w:right="480"/>
        <w:spacing w:after="0" w:line="297"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internal controls over the asbestos litigation reserves process. These include internal controls over management's assessment of the assumptions utilized within the estimate, management’s oversight of asbestos trends including claims movement and costs incurred, and the completeness and accuracy of the underlying claims data utilized to project future costs.</w:t>
      </w:r>
    </w:p>
    <w:p>
      <w:pPr>
        <w:spacing w:after="0" w:line="77" w:lineRule="exact"/>
        <w:rPr>
          <w:sz w:val="20"/>
          <w:szCs w:val="20"/>
          <w:color w:val="auto"/>
        </w:rPr>
      </w:pPr>
    </w:p>
    <w:p>
      <w:pPr>
        <w:jc w:val="both"/>
        <w:ind w:left="40" w:right="480"/>
        <w:spacing w:after="0" w:line="292" w:lineRule="auto"/>
        <w:rPr>
          <w:sz w:val="20"/>
          <w:szCs w:val="20"/>
          <w:color w:val="auto"/>
        </w:rPr>
      </w:pPr>
      <w:r>
        <w:rPr>
          <w:rFonts w:ascii="Times New Roman" w:cs="Times New Roman" w:eastAsia="Times New Roman" w:hAnsi="Times New Roman"/>
          <w:sz w:val="20"/>
          <w:szCs w:val="20"/>
          <w:color w:val="auto"/>
        </w:rPr>
        <w:t>To evaluate the reasonableness of the asbestos litigation reserves, our audit procedures included testing the completeness and accuracy of the underlying claims data provided to management's actuarial experts utilized to project future costs. Additionally, we evaluated the claims and spend activity from legal letters obtained from internal and external legal counsel. Furthermore, we involved our actuarial subject matter specialists to assist in the evaluation of the methodologies and assumptions applied by management's actuarial experts as described above to determine the appropriateness of the asbestos litigation reserves, and to independently prepare an estimated range of the liability. We then assessed the reasonableness of the Company's recorded asbestos litigation reserves against our independently calculated range.</w:t>
      </w:r>
    </w:p>
    <w:p>
      <w:pPr>
        <w:spacing w:after="0" w:line="200" w:lineRule="exact"/>
        <w:rPr>
          <w:sz w:val="20"/>
          <w:szCs w:val="20"/>
          <w:color w:val="auto"/>
        </w:rPr>
      </w:pPr>
    </w:p>
    <w:p>
      <w:pPr>
        <w:sectPr>
          <w:pgSz w:w="12240" w:h="15840" w:orient="portrait"/>
          <w:cols w:equalWidth="0" w:num="2">
            <w:col w:w="1160" w:space="180"/>
            <w:col w:w="8360"/>
          </w:cols>
          <w:pgMar w:left="1100" w:top="93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700"/>
          </w:cols>
          <w:pgMar w:left="1100" w:top="930" w:right="1440" w:bottom="175" w:gutter="0" w:footer="0" w:header="0"/>
          <w:type w:val="continuous"/>
        </w:sectPr>
      </w:pPr>
    </w:p>
    <w:bookmarkStart w:id="108" w:name="page109"/>
    <w:bookmarkEnd w:id="108"/>
    <w:p>
      <w:pPr>
        <w:spacing w:after="0" w:line="398" w:lineRule="exact"/>
        <w:rPr>
          <w:sz w:val="20"/>
          <w:szCs w:val="20"/>
          <w:color w:val="auto"/>
        </w:rPr>
      </w:pPr>
    </w:p>
    <w:p>
      <w:pPr>
        <w:ind w:left="100"/>
        <w:spacing w:after="0" w:line="275"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0" w:right="40"/>
        <w:spacing w:after="0" w:line="251" w:lineRule="auto"/>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i w:val="1"/>
          <w:iCs w:val="1"/>
          <w:color w:val="auto"/>
        </w:rPr>
        <w:t>Evaluation of Goodwill Impairment for the Life Sciences and Specialty Additives Reporting Units</w:t>
      </w:r>
    </w:p>
    <w:p>
      <w:pPr>
        <w:spacing w:after="0" w:line="177" w:lineRule="exact"/>
        <w:rPr>
          <w:sz w:val="20"/>
          <w:szCs w:val="20"/>
          <w:color w:val="auto"/>
        </w:rPr>
      </w:pPr>
    </w:p>
    <w:p>
      <w:pPr>
        <w:jc w:val="both"/>
        <w:ind w:left="40" w:right="480"/>
        <w:spacing w:after="0" w:line="291" w:lineRule="auto"/>
        <w:rPr>
          <w:sz w:val="20"/>
          <w:szCs w:val="20"/>
          <w:color w:val="auto"/>
        </w:rPr>
      </w:pPr>
      <w:r>
        <w:rPr>
          <w:rFonts w:ascii="Times New Roman" w:cs="Times New Roman" w:eastAsia="Times New Roman" w:hAnsi="Times New Roman"/>
          <w:sz w:val="20"/>
          <w:szCs w:val="20"/>
          <w:color w:val="auto"/>
        </w:rPr>
        <w:t>At September 30, 2025, the Company’s goodwill was $705 million, of which $466 million relates to the Life Sciences reporting unit, and $112 million relates to the Specialty Additives reporting unit. As discussed in Note G to the consolidated financial statements, goodwill is tested for impairment annually on July 1st, or whenever events and circumstances indicate an impairment may have occurred. During the third quarter of fiscal 2025, Ashland determined that triggering events occurred, and a quantitative goodwill impairment assessment was performed during the three months ended June 30, 2025. As a result of the interim impairment assessment, the Company recorded a $375 million and $331 million goodwill impairment charge related to the Life Sciences reporting unit and Specialty Additives reporting unit, respectively. The Company’s annual impairment assessment in the fourth quarter of fiscal 2025 did not result in an impairment of goodwill for any of the Company’s reporting units. There were no impairment indicators identified in the fourth quarter of fiscal 2025 which had not been considered as part of the July 1, 2025 annual impairment assessment.</w:t>
      </w:r>
    </w:p>
    <w:p>
      <w:pPr>
        <w:spacing w:after="0" w:line="83" w:lineRule="exact"/>
        <w:rPr>
          <w:sz w:val="20"/>
          <w:szCs w:val="20"/>
          <w:color w:val="auto"/>
        </w:rPr>
      </w:pPr>
    </w:p>
    <w:p>
      <w:pPr>
        <w:jc w:val="both"/>
        <w:ind w:left="40" w:right="480"/>
        <w:spacing w:after="0" w:line="292" w:lineRule="auto"/>
        <w:rPr>
          <w:sz w:val="20"/>
          <w:szCs w:val="20"/>
          <w:color w:val="auto"/>
        </w:rPr>
      </w:pPr>
      <w:r>
        <w:rPr>
          <w:rFonts w:ascii="Times New Roman" w:cs="Times New Roman" w:eastAsia="Times New Roman" w:hAnsi="Times New Roman"/>
          <w:sz w:val="20"/>
          <w:szCs w:val="20"/>
          <w:color w:val="auto"/>
        </w:rPr>
        <w:t>Auditing management’s interim goodwill impairment test in the third quarter of fiscal 2025 related to the Life Sciences and Specialty Additives reporting units was challenging due to the complexity of forecasting the long-term cash flows of these reporting units and the significant estimation uncertainty of certain assumptions included within such forecasts. The significant estimation uncertainty was primarily due to the sensitivity of the reporting units’ fair value to changes in the significant assumptions used in the income approach, including forecasted sales, EBITDA margins, and discount rates. These significant assumptions require a high degree of estimation and judgment based on an evaluation of historical performance, current and forecasted industry trends, and macroeconomic conditions.</w:t>
      </w:r>
    </w:p>
    <w:p>
      <w:pPr>
        <w:spacing w:after="0" w:line="86" w:lineRule="exact"/>
        <w:rPr>
          <w:sz w:val="20"/>
          <w:szCs w:val="20"/>
          <w:color w:val="auto"/>
        </w:rPr>
      </w:pPr>
    </w:p>
    <w:p>
      <w:pPr>
        <w:jc w:val="both"/>
        <w:ind w:left="40" w:right="480"/>
        <w:spacing w:after="0" w:line="297"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internal controls over the Company’s goodwill impairment process, including internal controls over management’s review of the significant assumptions described above as well as internal controls over management’s review of its financial forecasts and carrying values of its reporting units.</w:t>
      </w:r>
    </w:p>
    <w:p>
      <w:pPr>
        <w:spacing w:after="0" w:line="77" w:lineRule="exact"/>
        <w:rPr>
          <w:sz w:val="20"/>
          <w:szCs w:val="20"/>
          <w:color w:val="auto"/>
        </w:rPr>
      </w:pPr>
    </w:p>
    <w:p>
      <w:pPr>
        <w:jc w:val="both"/>
        <w:ind w:left="40" w:right="480"/>
        <w:spacing w:after="0" w:line="291" w:lineRule="auto"/>
        <w:rPr>
          <w:sz w:val="20"/>
          <w:szCs w:val="20"/>
          <w:color w:val="auto"/>
        </w:rPr>
      </w:pPr>
      <w:r>
        <w:rPr>
          <w:rFonts w:ascii="Times New Roman" w:cs="Times New Roman" w:eastAsia="Times New Roman" w:hAnsi="Times New Roman"/>
          <w:sz w:val="20"/>
          <w:szCs w:val="20"/>
          <w:color w:val="auto"/>
        </w:rPr>
        <w:t>To test the estimated fair value of the Life Sciences and Specialty Additives reporting units, we performed audit procedures that included, among others, using an internal valuation specialist to assist in our evaluation of the methodologies and certain significant assumptions used by the Company, specifically the discount rates. We assessed the reasonableness of the Company’s assumptions around forecasted sales, EBITDA margins, and discount rates by comparing those assumptions to recent historical performance, financial forecasts, and current and forecasted economic and industry trends. We also assessed the reasonableness of estimates included in the Company’s financial forecasts by evaluating such assumptions compared to economic, industry, and peer expectations. We evaluated management’s historical accuracy of forecasting sales and EBITDA margins by comparing past financial forecasts to subsequent actual activity. We performed various sensitivity analyses around these significant assumptions to understand the impact on the reporting units’ fair value calculations.</w:t>
      </w:r>
    </w:p>
    <w:p>
      <w:pPr>
        <w:spacing w:after="0" w:line="200" w:lineRule="exact"/>
        <w:rPr>
          <w:sz w:val="20"/>
          <w:szCs w:val="20"/>
          <w:color w:val="auto"/>
        </w:rPr>
      </w:pPr>
    </w:p>
    <w:p>
      <w:pPr>
        <w:sectPr>
          <w:pgSz w:w="12240" w:h="15840" w:orient="portrait"/>
          <w:cols w:equalWidth="0" w:num="2">
            <w:col w:w="1260" w:space="180"/>
            <w:col w:w="8360"/>
          </w:cols>
          <w:pgMar w:left="1000" w:top="930" w:right="1440" w:bottom="175" w:gutter="0" w:footer="0" w:header="0"/>
        </w:sectPr>
      </w:pPr>
    </w:p>
    <w:p>
      <w:pPr>
        <w:spacing w:after="0" w:line="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Grandview Heights, Ohio</w:t>
      </w:r>
    </w:p>
    <w:p>
      <w:pPr>
        <w:spacing w:after="0"/>
        <w:rPr>
          <w:sz w:val="20"/>
          <w:szCs w:val="20"/>
          <w:color w:val="auto"/>
        </w:rPr>
      </w:pPr>
      <w:r>
        <w:rPr>
          <w:rFonts w:ascii="Times New Roman" w:cs="Times New Roman" w:eastAsia="Times New Roman" w:hAnsi="Times New Roman"/>
          <w:sz w:val="20"/>
          <w:szCs w:val="20"/>
          <w:color w:val="auto"/>
        </w:rPr>
        <w:t>November 20, 2025</w:t>
      </w:r>
    </w:p>
    <w:p>
      <w:pPr>
        <w:sectPr>
          <w:pgSz w:w="12240" w:h="15840" w:orient="portrait"/>
          <w:cols w:equalWidth="0" w:num="1">
            <w:col w:w="9800"/>
          </w:cols>
          <w:pgMar w:left="1000" w:top="930" w:right="144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800"/>
          </w:cols>
          <w:pgMar w:left="1000" w:top="930" w:right="1440" w:bottom="175"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color w:val="auto"/>
        </w:rPr>
        <w:t>Ashland Inc. and Consolidated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Statements of Consolidated Comprehensive Income (Loss)</w:t>
      </w:r>
    </w:p>
    <w:p>
      <w:pPr>
        <w:spacing w:after="0"/>
        <w:rPr>
          <w:sz w:val="20"/>
          <w:szCs w:val="20"/>
          <w:color w:val="auto"/>
        </w:rPr>
      </w:pPr>
      <w:r>
        <w:rPr>
          <w:rFonts w:ascii="Times New Roman" w:cs="Times New Roman" w:eastAsia="Times New Roman" w:hAnsi="Times New Roman"/>
          <w:sz w:val="20"/>
          <w:szCs w:val="20"/>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126365</wp:posOffset>
            </wp:positionV>
            <wp:extent cx="652970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86">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(In millions except per share data)</w:t>
            </w:r>
          </w:p>
        </w:tc>
        <w:tc>
          <w:tcPr>
            <w:tcW w:w="240" w:type="dxa"/>
            <w:vAlign w:val="bottom"/>
          </w:tcPr>
          <w:p>
            <w:pPr>
              <w:spacing w:after="0"/>
              <w:rPr>
                <w:sz w:val="21"/>
                <w:szCs w:val="21"/>
                <w:color w:val="auto"/>
              </w:rPr>
            </w:pPr>
          </w:p>
        </w:tc>
        <w:tc>
          <w:tcPr>
            <w:tcW w:w="102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1"/>
                <w:szCs w:val="21"/>
                <w:color w:val="auto"/>
              </w:rPr>
            </w:pPr>
          </w:p>
        </w:tc>
      </w:tr>
      <w:tr>
        <w:trPr>
          <w:trHeight w:val="239"/>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Sales - Note P</w:t>
            </w:r>
          </w:p>
        </w:tc>
        <w:tc>
          <w:tcPr>
            <w:tcW w:w="24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1,824</w:t>
            </w:r>
          </w:p>
        </w:tc>
        <w:tc>
          <w:tcPr>
            <w:tcW w:w="340" w:type="dxa"/>
            <w:vAlign w:val="bottom"/>
            <w:gridSpan w:val="2"/>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2,113</w:t>
            </w:r>
          </w:p>
        </w:tc>
        <w:tc>
          <w:tcPr>
            <w:tcW w:w="3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2,191</w:t>
            </w:r>
          </w:p>
        </w:tc>
        <w:tc>
          <w:tcPr>
            <w:tcW w:w="80" w:type="dxa"/>
            <w:vAlign w:val="bottom"/>
            <w:shd w:val="clear" w:color="auto" w:fill="D4EFF4"/>
          </w:tcPr>
          <w:p>
            <w:pPr>
              <w:spacing w:after="0"/>
              <w:rPr>
                <w:sz w:val="20"/>
                <w:szCs w:val="20"/>
                <w:color w:val="auto"/>
              </w:rPr>
            </w:pPr>
          </w:p>
        </w:tc>
      </w:tr>
      <w:tr>
        <w:trPr>
          <w:trHeight w:val="244"/>
        </w:trPr>
        <w:tc>
          <w:tcPr>
            <w:tcW w:w="63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Cost of sales - Note Q</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1,275</w:t>
            </w:r>
          </w:p>
        </w:tc>
        <w:tc>
          <w:tcPr>
            <w:tcW w:w="10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1,495</w:t>
            </w:r>
          </w:p>
        </w:tc>
        <w:tc>
          <w:tcPr>
            <w:tcW w:w="100" w:type="dxa"/>
            <w:vAlign w:val="bottom"/>
            <w:tcBorders>
              <w:bottom w:val="single" w:sz="8" w:color="D4EFF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1,523</w:t>
            </w:r>
          </w:p>
        </w:tc>
        <w:tc>
          <w:tcPr>
            <w:tcW w:w="80" w:type="dxa"/>
            <w:vAlign w:val="bottom"/>
            <w:tcBorders>
              <w:bottom w:val="single" w:sz="8" w:color="auto"/>
            </w:tcBorders>
          </w:tcPr>
          <w:p>
            <w:pPr>
              <w:spacing w:after="0"/>
              <w:rPr>
                <w:sz w:val="21"/>
                <w:szCs w:val="21"/>
                <w:color w:val="auto"/>
              </w:rPr>
            </w:pPr>
          </w:p>
        </w:tc>
      </w:tr>
      <w:tr>
        <w:trPr>
          <w:trHeight w:val="239"/>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549</w:t>
            </w:r>
          </w:p>
        </w:tc>
        <w:tc>
          <w:tcPr>
            <w:tcW w:w="100" w:type="dxa"/>
            <w:vAlign w:val="bottom"/>
            <w:shd w:val="clear" w:color="auto" w:fill="D4EFF4"/>
          </w:tcPr>
          <w:p>
            <w:pPr>
              <w:spacing w:after="0"/>
              <w:rPr>
                <w:sz w:val="20"/>
                <w:szCs w:val="20"/>
                <w:color w:val="auto"/>
              </w:rPr>
            </w:pP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618</w:t>
            </w:r>
          </w:p>
        </w:tc>
        <w:tc>
          <w:tcPr>
            <w:tcW w:w="100" w:type="dxa"/>
            <w:vAlign w:val="bottom"/>
            <w:shd w:val="clear" w:color="auto" w:fill="D4EFF4"/>
          </w:tcPr>
          <w:p>
            <w:pPr>
              <w:spacing w:after="0"/>
              <w:rPr>
                <w:sz w:val="20"/>
                <w:szCs w:val="20"/>
                <w:color w:val="auto"/>
              </w:rPr>
            </w:pPr>
          </w:p>
        </w:tc>
        <w:tc>
          <w:tcPr>
            <w:tcW w:w="220" w:type="dxa"/>
            <w:vAlign w:val="bottom"/>
            <w:shd w:val="clear" w:color="auto" w:fill="D4EFF4"/>
          </w:tcPr>
          <w:p>
            <w:pPr>
              <w:spacing w:after="0"/>
              <w:rPr>
                <w:sz w:val="20"/>
                <w:szCs w:val="20"/>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668</w:t>
            </w:r>
          </w:p>
        </w:tc>
        <w:tc>
          <w:tcPr>
            <w:tcW w:w="80" w:type="dxa"/>
            <w:vAlign w:val="bottom"/>
            <w:shd w:val="clear" w:color="auto" w:fill="D4EFF4"/>
          </w:tcPr>
          <w:p>
            <w:pPr>
              <w:spacing w:after="0"/>
              <w:rPr>
                <w:sz w:val="20"/>
                <w:szCs w:val="20"/>
                <w:color w:val="auto"/>
              </w:rPr>
            </w:pPr>
          </w:p>
        </w:tc>
      </w:tr>
      <w:tr>
        <w:trPr>
          <w:trHeight w:val="244"/>
        </w:trPr>
        <w:tc>
          <w:tcPr>
            <w:tcW w:w="6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 - Note Q</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344</w:t>
            </w:r>
          </w:p>
        </w:tc>
        <w:tc>
          <w:tcPr>
            <w:tcW w:w="10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404</w:t>
            </w:r>
          </w:p>
        </w:tc>
        <w:tc>
          <w:tcPr>
            <w:tcW w:w="10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80" w:type="dxa"/>
            <w:vAlign w:val="bottom"/>
            <w:shd w:val="clear" w:color="auto" w:fill="D4EFF4"/>
          </w:tcPr>
          <w:p>
            <w:pPr>
              <w:spacing w:after="0"/>
              <w:rPr>
                <w:sz w:val="21"/>
                <w:szCs w:val="2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0" w:type="dxa"/>
            <w:vAlign w:val="bottom"/>
          </w:tcPr>
          <w:p>
            <w:pPr>
              <w:spacing w:after="0"/>
              <w:rPr>
                <w:sz w:val="21"/>
                <w:szCs w:val="21"/>
                <w:color w:val="auto"/>
              </w:rPr>
            </w:pPr>
          </w:p>
        </w:tc>
      </w:tr>
      <w:tr>
        <w:trPr>
          <w:trHeight w:val="244"/>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Intangibles amortization expense - Note G</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63</w:t>
            </w:r>
          </w:p>
        </w:tc>
        <w:tc>
          <w:tcPr>
            <w:tcW w:w="10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80" w:type="dxa"/>
            <w:vAlign w:val="bottom"/>
            <w:shd w:val="clear" w:color="auto" w:fill="D4EFF4"/>
          </w:tcPr>
          <w:p>
            <w:pPr>
              <w:spacing w:after="0"/>
              <w:rPr>
                <w:sz w:val="21"/>
                <w:szCs w:val="2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Equity and other income</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1"/>
                <w:szCs w:val="21"/>
                <w:color w:val="auto"/>
              </w:rPr>
            </w:pPr>
          </w:p>
        </w:tc>
      </w:tr>
      <w:tr>
        <w:trPr>
          <w:trHeight w:val="244"/>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Goodwill impairment - Note G</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706</w:t>
            </w:r>
          </w:p>
        </w:tc>
        <w:tc>
          <w:tcPr>
            <w:tcW w:w="10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1000" w:type="dxa"/>
            <w:vAlign w:val="bottom"/>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3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Income (loss) on acquisitions and divestitures, net - Note B</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10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tcBorders>
              <w:bottom w:val="single" w:sz="8" w:color="D4EFF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bottom w:val="single" w:sz="8" w:color="auto"/>
            </w:tcBorders>
          </w:tcPr>
          <w:p>
            <w:pPr>
              <w:spacing w:after="0"/>
              <w:rPr>
                <w:sz w:val="21"/>
                <w:szCs w:val="21"/>
                <w:color w:val="auto"/>
              </w:rPr>
            </w:pPr>
          </w:p>
        </w:tc>
      </w:tr>
      <w:tr>
        <w:trPr>
          <w:trHeight w:val="239"/>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Operating income (loss)</w:t>
            </w: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(775)</w:t>
            </w:r>
          </w:p>
        </w:tc>
        <w:tc>
          <w:tcPr>
            <w:tcW w:w="100" w:type="dxa"/>
            <w:vAlign w:val="bottom"/>
            <w:shd w:val="clear" w:color="auto" w:fill="D4EFF4"/>
          </w:tcPr>
          <w:p>
            <w:pPr>
              <w:spacing w:after="0"/>
              <w:rPr>
                <w:sz w:val="20"/>
                <w:szCs w:val="20"/>
                <w:color w:val="auto"/>
              </w:rPr>
            </w:pP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shd w:val="clear" w:color="auto" w:fill="D4EFF4"/>
          </w:tcPr>
          <w:p>
            <w:pPr>
              <w:spacing w:after="0"/>
              <w:rPr>
                <w:sz w:val="20"/>
                <w:szCs w:val="20"/>
                <w:color w:val="auto"/>
              </w:rPr>
            </w:pPr>
          </w:p>
        </w:tc>
        <w:tc>
          <w:tcPr>
            <w:tcW w:w="220" w:type="dxa"/>
            <w:vAlign w:val="bottom"/>
            <w:shd w:val="clear" w:color="auto" w:fill="D4EFF4"/>
          </w:tcPr>
          <w:p>
            <w:pPr>
              <w:spacing w:after="0"/>
              <w:rPr>
                <w:sz w:val="20"/>
                <w:szCs w:val="20"/>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80" w:type="dxa"/>
            <w:vAlign w:val="bottom"/>
            <w:shd w:val="clear" w:color="auto" w:fill="D4EFF4"/>
          </w:tcPr>
          <w:p>
            <w:pPr>
              <w:spacing w:after="0"/>
              <w:rPr>
                <w:sz w:val="20"/>
                <w:szCs w:val="20"/>
                <w:color w:val="auto"/>
              </w:rPr>
            </w:pPr>
          </w:p>
        </w:tc>
      </w:tr>
      <w:tr>
        <w:trPr>
          <w:trHeight w:val="244"/>
        </w:trPr>
        <w:tc>
          <w:tcPr>
            <w:tcW w:w="6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interest and other expense (income) - Note H</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0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shd w:val="clear" w:color="auto" w:fill="D4EFF4"/>
          </w:tcPr>
          <w:p>
            <w:pPr>
              <w:spacing w:after="0"/>
              <w:rPr>
                <w:sz w:val="21"/>
                <w:szCs w:val="21"/>
                <w:color w:val="auto"/>
              </w:rPr>
            </w:pPr>
          </w:p>
        </w:tc>
      </w:tr>
      <w:tr>
        <w:trPr>
          <w:trHeight w:val="244"/>
        </w:trPr>
        <w:tc>
          <w:tcPr>
            <w:tcW w:w="63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Other net periodic benefit loss - Note L</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c>
          <w:tcPr>
            <w:tcW w:w="100" w:type="dxa"/>
            <w:vAlign w:val="bottom"/>
            <w:tcBorders>
              <w:bottom w:val="single" w:sz="8" w:color="D4EFF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bottom w:val="single" w:sz="8" w:color="auto"/>
            </w:tcBorders>
          </w:tcPr>
          <w:p>
            <w:pPr>
              <w:spacing w:after="0"/>
              <w:rPr>
                <w:sz w:val="21"/>
                <w:szCs w:val="21"/>
                <w:color w:val="auto"/>
              </w:rPr>
            </w:pPr>
          </w:p>
        </w:tc>
      </w:tr>
      <w:tr>
        <w:trPr>
          <w:trHeight w:val="239"/>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(loss) from continuing operations before income taxes</w:t>
            </w: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100" w:type="dxa"/>
            <w:vAlign w:val="bottom"/>
            <w:shd w:val="clear" w:color="auto" w:fill="D4EFF4"/>
          </w:tcPr>
          <w:p>
            <w:pPr>
              <w:spacing w:after="0"/>
              <w:rPr>
                <w:sz w:val="20"/>
                <w:szCs w:val="20"/>
                <w:color w:val="auto"/>
              </w:rPr>
            </w:pP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00" w:type="dxa"/>
            <w:vAlign w:val="bottom"/>
            <w:shd w:val="clear" w:color="auto" w:fill="D4EFF4"/>
          </w:tcPr>
          <w:p>
            <w:pPr>
              <w:spacing w:after="0"/>
              <w:rPr>
                <w:sz w:val="20"/>
                <w:szCs w:val="20"/>
                <w:color w:val="auto"/>
              </w:rPr>
            </w:pPr>
          </w:p>
        </w:tc>
        <w:tc>
          <w:tcPr>
            <w:tcW w:w="220" w:type="dxa"/>
            <w:vAlign w:val="bottom"/>
            <w:shd w:val="clear" w:color="auto" w:fill="D4EFF4"/>
          </w:tcPr>
          <w:p>
            <w:pPr>
              <w:spacing w:after="0"/>
              <w:rPr>
                <w:sz w:val="20"/>
                <w:szCs w:val="20"/>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80" w:type="dxa"/>
            <w:vAlign w:val="bottom"/>
            <w:shd w:val="clear" w:color="auto" w:fill="D4EFF4"/>
          </w:tcPr>
          <w:p>
            <w:pPr>
              <w:spacing w:after="0"/>
              <w:rPr>
                <w:sz w:val="20"/>
                <w:szCs w:val="20"/>
                <w:color w:val="auto"/>
              </w:rPr>
            </w:pPr>
          </w:p>
        </w:tc>
      </w:tr>
      <w:tr>
        <w:trPr>
          <w:trHeight w:val="244"/>
        </w:trPr>
        <w:tc>
          <w:tcPr>
            <w:tcW w:w="63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Income tax expense (benefit) - Note K</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100" w:type="dxa"/>
            <w:vAlign w:val="bottom"/>
            <w:tcBorders>
              <w:bottom w:val="single" w:sz="8" w:color="D4EFF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r>
      <w:tr>
        <w:trPr>
          <w:trHeight w:val="239"/>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(822)</w:t>
            </w:r>
          </w:p>
        </w:tc>
        <w:tc>
          <w:tcPr>
            <w:tcW w:w="100" w:type="dxa"/>
            <w:vAlign w:val="bottom"/>
            <w:shd w:val="clear" w:color="auto" w:fill="D4EFF4"/>
          </w:tcPr>
          <w:p>
            <w:pPr>
              <w:spacing w:after="0"/>
              <w:rPr>
                <w:sz w:val="20"/>
                <w:szCs w:val="20"/>
                <w:color w:val="auto"/>
              </w:rPr>
            </w:pP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199</w:t>
            </w:r>
          </w:p>
        </w:tc>
        <w:tc>
          <w:tcPr>
            <w:tcW w:w="100" w:type="dxa"/>
            <w:vAlign w:val="bottom"/>
            <w:shd w:val="clear" w:color="auto" w:fill="D4EFF4"/>
          </w:tcPr>
          <w:p>
            <w:pPr>
              <w:spacing w:after="0"/>
              <w:rPr>
                <w:sz w:val="20"/>
                <w:szCs w:val="20"/>
                <w:color w:val="auto"/>
              </w:rPr>
            </w:pPr>
          </w:p>
        </w:tc>
        <w:tc>
          <w:tcPr>
            <w:tcW w:w="220" w:type="dxa"/>
            <w:vAlign w:val="bottom"/>
            <w:shd w:val="clear" w:color="auto" w:fill="D4EFF4"/>
          </w:tcPr>
          <w:p>
            <w:pPr>
              <w:spacing w:after="0"/>
              <w:rPr>
                <w:sz w:val="20"/>
                <w:szCs w:val="20"/>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80" w:type="dxa"/>
            <w:vAlign w:val="bottom"/>
            <w:shd w:val="clear" w:color="auto" w:fill="D4EFF4"/>
          </w:tcPr>
          <w:p>
            <w:pPr>
              <w:spacing w:after="0"/>
              <w:rPr>
                <w:sz w:val="20"/>
                <w:szCs w:val="20"/>
                <w:color w:val="auto"/>
              </w:rPr>
            </w:pPr>
          </w:p>
        </w:tc>
      </w:tr>
      <w:tr>
        <w:trPr>
          <w:trHeight w:val="244"/>
        </w:trPr>
        <w:tc>
          <w:tcPr>
            <w:tcW w:w="63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Income (loss) from discontinued operations, net of income taxes - Note C</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Borders>
              <w:bottom w:val="single" w:sz="8" w:color="D4EFF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auto"/>
            </w:tcBorders>
          </w:tcPr>
          <w:p>
            <w:pPr>
              <w:spacing w:after="0"/>
              <w:rPr>
                <w:sz w:val="21"/>
                <w:szCs w:val="21"/>
                <w:color w:val="auto"/>
              </w:rPr>
            </w:pPr>
          </w:p>
        </w:tc>
      </w:tr>
      <w:tr>
        <w:trPr>
          <w:trHeight w:val="259"/>
        </w:trPr>
        <w:tc>
          <w:tcPr>
            <w:tcW w:w="630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24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10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169</w:t>
            </w:r>
          </w:p>
        </w:tc>
        <w:tc>
          <w:tcPr>
            <w:tcW w:w="10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 w:type="dxa"/>
            <w:vAlign w:val="bottom"/>
            <w:tcBorders>
              <w:bottom w:val="single" w:sz="8" w:color="auto"/>
            </w:tcBorders>
            <w:shd w:val="clear" w:color="auto" w:fill="D4EFF4"/>
          </w:tcPr>
          <w:p>
            <w:pPr>
              <w:spacing w:after="0"/>
              <w:rPr>
                <w:sz w:val="22"/>
                <w:szCs w:val="22"/>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9"/>
        </w:trPr>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PER SHARE DATA - NOTE A</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Basic earnings (loss) per share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24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(17.74)</w:t>
            </w:r>
          </w:p>
        </w:tc>
        <w:tc>
          <w:tcPr>
            <w:tcW w:w="340" w:type="dxa"/>
            <w:vAlign w:val="bottom"/>
            <w:gridSpan w:val="2"/>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3.99</w:t>
            </w:r>
          </w:p>
        </w:tc>
        <w:tc>
          <w:tcPr>
            <w:tcW w:w="3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80" w:type="dxa"/>
            <w:vAlign w:val="bottom"/>
            <w:shd w:val="clear" w:color="auto" w:fill="D4EFF4"/>
          </w:tcPr>
          <w:p>
            <w:pPr>
              <w:spacing w:after="0"/>
              <w:rPr>
                <w:sz w:val="21"/>
                <w:szCs w:val="21"/>
                <w:color w:val="auto"/>
              </w:rPr>
            </w:pPr>
          </w:p>
        </w:tc>
      </w:tr>
      <w:tr>
        <w:trPr>
          <w:trHeight w:val="244"/>
        </w:trPr>
        <w:tc>
          <w:tcPr>
            <w:tcW w:w="63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Income (loss) from discontinued operations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(0.49)</w:t>
            </w:r>
          </w:p>
        </w:tc>
        <w:tc>
          <w:tcPr>
            <w:tcW w:w="10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(0.59)</w:t>
            </w:r>
          </w:p>
        </w:tc>
        <w:tc>
          <w:tcPr>
            <w:tcW w:w="100" w:type="dxa"/>
            <w:vAlign w:val="bottom"/>
            <w:tcBorders>
              <w:bottom w:val="single" w:sz="8" w:color="D4EFF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80" w:type="dxa"/>
            <w:vAlign w:val="bottom"/>
            <w:tcBorders>
              <w:bottom w:val="single" w:sz="8" w:color="auto"/>
            </w:tcBorders>
          </w:tcPr>
          <w:p>
            <w:pPr>
              <w:spacing w:after="0"/>
              <w:rPr>
                <w:sz w:val="21"/>
                <w:szCs w:val="21"/>
                <w:color w:val="auto"/>
              </w:rPr>
            </w:pPr>
          </w:p>
        </w:tc>
      </w:tr>
      <w:tr>
        <w:trPr>
          <w:trHeight w:val="259"/>
        </w:trPr>
        <w:tc>
          <w:tcPr>
            <w:tcW w:w="6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Net income (loss)</w:t>
            </w:r>
          </w:p>
        </w:tc>
        <w:tc>
          <w:tcPr>
            <w:tcW w:w="24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(18.23)</w:t>
            </w:r>
          </w:p>
        </w:tc>
        <w:tc>
          <w:tcPr>
            <w:tcW w:w="10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3.40</w:t>
            </w:r>
          </w:p>
        </w:tc>
        <w:tc>
          <w:tcPr>
            <w:tcW w:w="10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80" w:type="dxa"/>
            <w:vAlign w:val="bottom"/>
            <w:tcBorders>
              <w:bottom w:val="single" w:sz="8" w:color="auto"/>
            </w:tcBorders>
            <w:shd w:val="clear" w:color="auto" w:fill="D4EFF4"/>
          </w:tcPr>
          <w:p>
            <w:pPr>
              <w:spacing w:after="0"/>
              <w:rPr>
                <w:sz w:val="22"/>
                <w:szCs w:val="22"/>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9"/>
        </w:trPr>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Diluted earnings (loss) per share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6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3.95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80" w:type="dxa"/>
            <w:vAlign w:val="bottom"/>
          </w:tcPr>
          <w:p>
            <w:pPr>
              <w:spacing w:after="0"/>
              <w:rPr>
                <w:sz w:val="21"/>
                <w:szCs w:val="21"/>
                <w:color w:val="auto"/>
              </w:rPr>
            </w:pPr>
          </w:p>
        </w:tc>
      </w:tr>
      <w:tr>
        <w:trPr>
          <w:trHeight w:val="264"/>
        </w:trPr>
        <w:tc>
          <w:tcPr>
            <w:tcW w:w="6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Income (loss) from discontinued operations</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(0.49)</w:t>
            </w:r>
          </w:p>
        </w:tc>
        <w:tc>
          <w:tcPr>
            <w:tcW w:w="10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(0.59)</w:t>
            </w:r>
          </w:p>
        </w:tc>
        <w:tc>
          <w:tcPr>
            <w:tcW w:w="10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80" w:type="dxa"/>
            <w:vAlign w:val="bottom"/>
            <w:tcBorders>
              <w:bottom w:val="single" w:sz="8" w:color="auto"/>
            </w:tcBorders>
            <w:shd w:val="clear" w:color="auto" w:fill="D4EFF4"/>
          </w:tcPr>
          <w:p>
            <w:pPr>
              <w:spacing w:after="0"/>
              <w:rPr>
                <w:sz w:val="22"/>
                <w:szCs w:val="22"/>
                <w:color w:val="auto"/>
              </w:rPr>
            </w:pPr>
          </w:p>
        </w:tc>
      </w:tr>
      <w:tr>
        <w:trPr>
          <w:trHeight w:val="259"/>
        </w:trPr>
        <w:tc>
          <w:tcPr>
            <w:tcW w:w="6300" w:type="dxa"/>
            <w:vAlign w:val="bottom"/>
            <w:tcBorders>
              <w:bottom w:val="single" w:sz="8" w:color="D4EFF4"/>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Net income (loss)</w:t>
            </w: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(18.23)</w:t>
            </w:r>
          </w:p>
        </w:tc>
        <w:tc>
          <w:tcPr>
            <w:tcW w:w="100" w:type="dxa"/>
            <w:vAlign w:val="bottom"/>
            <w:tcBorders>
              <w:bottom w:val="single" w:sz="8" w:color="D4EFF4"/>
            </w:tcBorders>
          </w:tcPr>
          <w:p>
            <w:pPr>
              <w:spacing w:after="0"/>
              <w:rPr>
                <w:sz w:val="22"/>
                <w:szCs w:val="22"/>
                <w:color w:val="auto"/>
              </w:rPr>
            </w:pP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3.36</w:t>
            </w:r>
          </w:p>
        </w:tc>
        <w:tc>
          <w:tcPr>
            <w:tcW w:w="100" w:type="dxa"/>
            <w:vAlign w:val="bottom"/>
            <w:tcBorders>
              <w:bottom w:val="single" w:sz="8" w:color="D4EFF4"/>
            </w:tcBorders>
          </w:tcPr>
          <w:p>
            <w:pPr>
              <w:spacing w:after="0"/>
              <w:rPr>
                <w:sz w:val="22"/>
                <w:szCs w:val="22"/>
                <w:color w:val="auto"/>
              </w:rPr>
            </w:pPr>
          </w:p>
        </w:tc>
        <w:tc>
          <w:tcPr>
            <w:tcW w:w="2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3.31</w:t>
            </w:r>
          </w:p>
        </w:tc>
        <w:tc>
          <w:tcPr>
            <w:tcW w:w="80" w:type="dxa"/>
            <w:vAlign w:val="bottom"/>
            <w:tcBorders>
              <w:bottom w:val="single" w:sz="8" w:color="auto"/>
            </w:tcBorders>
          </w:tcPr>
          <w:p>
            <w:pPr>
              <w:spacing w:after="0"/>
              <w:rPr>
                <w:sz w:val="22"/>
                <w:szCs w:val="22"/>
                <w:color w:val="auto"/>
              </w:rPr>
            </w:pPr>
          </w:p>
        </w:tc>
      </w:tr>
      <w:tr>
        <w:trPr>
          <w:trHeight w:val="229"/>
        </w:trPr>
        <w:tc>
          <w:tcPr>
            <w:tcW w:w="630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20" w:type="dxa"/>
            <w:vAlign w:val="bottom"/>
            <w:shd w:val="clear" w:color="auto" w:fill="D4EFF4"/>
          </w:tcPr>
          <w:p>
            <w:pPr>
              <w:spacing w:after="0"/>
              <w:rPr>
                <w:sz w:val="19"/>
                <w:szCs w:val="19"/>
                <w:color w:val="auto"/>
              </w:rPr>
            </w:pPr>
          </w:p>
        </w:tc>
        <w:tc>
          <w:tcPr>
            <w:tcW w:w="9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COMPREHENSIVE INCOME (LOSS)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24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340" w:type="dxa"/>
            <w:vAlign w:val="bottom"/>
            <w:gridSpan w:val="2"/>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169</w:t>
            </w:r>
          </w:p>
        </w:tc>
        <w:tc>
          <w:tcPr>
            <w:tcW w:w="3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 w:type="dxa"/>
            <w:vAlign w:val="bottom"/>
            <w:shd w:val="clear" w:color="auto" w:fill="D4EFF4"/>
          </w:tcPr>
          <w:p>
            <w:pPr>
              <w:spacing w:after="0"/>
              <w:rPr>
                <w:sz w:val="21"/>
                <w:szCs w:val="2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Unrealized translation gain</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45</w:t>
            </w:r>
          </w:p>
        </w:tc>
        <w:tc>
          <w:tcPr>
            <w:tcW w:w="10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54</w:t>
            </w:r>
          </w:p>
        </w:tc>
        <w:tc>
          <w:tcPr>
            <w:tcW w:w="10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shd w:val="clear" w:color="auto" w:fill="D4EFF4"/>
          </w:tcPr>
          <w:p>
            <w:pPr>
              <w:spacing w:after="0"/>
              <w:rPr>
                <w:sz w:val="21"/>
                <w:szCs w:val="21"/>
                <w:color w:val="auto"/>
              </w:rPr>
            </w:pPr>
          </w:p>
        </w:tc>
      </w:tr>
      <w:tr>
        <w:trPr>
          <w:trHeight w:val="244"/>
        </w:trPr>
        <w:tc>
          <w:tcPr>
            <w:tcW w:w="63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Unrealized gain (loss) on commodity hedges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D4EFF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r>
      <w:tr>
        <w:trPr>
          <w:trHeight w:val="259"/>
        </w:trPr>
        <w:tc>
          <w:tcPr>
            <w:tcW w:w="6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47</w:t>
            </w:r>
          </w:p>
        </w:tc>
        <w:tc>
          <w:tcPr>
            <w:tcW w:w="10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55</w:t>
            </w:r>
          </w:p>
        </w:tc>
        <w:tc>
          <w:tcPr>
            <w:tcW w:w="10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80" w:type="dxa"/>
            <w:vAlign w:val="bottom"/>
            <w:tcBorders>
              <w:bottom w:val="single" w:sz="8" w:color="auto"/>
            </w:tcBorders>
            <w:shd w:val="clear" w:color="auto" w:fill="D4EFF4"/>
          </w:tcPr>
          <w:p>
            <w:pPr>
              <w:spacing w:after="0"/>
              <w:rPr>
                <w:sz w:val="22"/>
                <w:szCs w:val="22"/>
                <w:color w:val="auto"/>
              </w:rPr>
            </w:pPr>
          </w:p>
        </w:tc>
      </w:tr>
      <w:tr>
        <w:trPr>
          <w:trHeight w:val="219"/>
        </w:trPr>
        <w:tc>
          <w:tcPr>
            <w:tcW w:w="63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Comprehensive income (loss)</w:t>
            </w: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244</w:t>
            </w:r>
          </w:p>
        </w:tc>
        <w:tc>
          <w:tcPr>
            <w:tcW w:w="80" w:type="dxa"/>
            <w:vAlign w:val="bottom"/>
            <w:tcBorders>
              <w:bottom w:val="single" w:sz="8" w:color="auto"/>
            </w:tcBorders>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6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-6172835</wp:posOffset>
            </wp:positionV>
            <wp:extent cx="649414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87">
                      <a:extLst>
                        <a:ext uri="{28A0092B-C50C-407E-A947-70E740481C1C}"/>
                      </a:extLst>
                    </a:blip>
                    <a:srcRect/>
                    <a:stretch>
                      <a:fillRect/>
                    </a:stretch>
                  </pic:blipFill>
                  <pic:spPr bwMode="auto">
                    <a:xfrm>
                      <a:off x="0" y="0"/>
                      <a:ext cx="6494145"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wp:posOffset>
            </wp:positionV>
            <wp:extent cx="649414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288">
                      <a:extLst>
                        <a:ext uri="{28A0092B-C50C-407E-A947-70E740481C1C}"/>
                      </a:extLst>
                    </a:blip>
                    <a:srcRect/>
                    <a:stretch>
                      <a:fillRect/>
                    </a:stretch>
                  </pic:blipFill>
                  <pic:spPr bwMode="auto">
                    <a:xfrm>
                      <a:off x="0" y="0"/>
                      <a:ext cx="6494145" cy="3810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240"/>
          </w:cols>
          <w:pgMar w:left="1000" w:top="930" w:right="1000" w:bottom="175" w:gutter="0" w:footer="0" w:header="0"/>
          <w:type w:val="continuous"/>
        </w:sectPr>
      </w:pPr>
    </w:p>
    <w:bookmarkStart w:id="110" w:name="page111"/>
    <w:bookmarkEnd w:id="110"/>
    <w:p>
      <w:pPr>
        <w:ind w:left="6"/>
        <w:spacing w:after="0"/>
        <w:rPr>
          <w:sz w:val="20"/>
          <w:szCs w:val="20"/>
          <w:color w:val="auto"/>
        </w:rPr>
      </w:pPr>
      <w:r>
        <w:rPr>
          <w:rFonts w:ascii="Times New Roman" w:cs="Times New Roman" w:eastAsia="Times New Roman" w:hAnsi="Times New Roman"/>
          <w:sz w:val="20"/>
          <w:szCs w:val="20"/>
          <w:color w:val="auto"/>
        </w:rPr>
        <w:t>Ashland Inc. and Consolidated Subsidiaries</w:t>
      </w:r>
    </w:p>
    <w:p>
      <w:pPr>
        <w:spacing w:after="0" w:line="2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ind w:left="6"/>
        <w:spacing w:after="0"/>
        <w:rPr>
          <w:sz w:val="20"/>
          <w:szCs w:val="20"/>
          <w:color w:val="auto"/>
        </w:rPr>
      </w:pPr>
      <w:r>
        <w:rPr>
          <w:rFonts w:ascii="Times New Roman" w:cs="Times New Roman" w:eastAsia="Times New Roman" w:hAnsi="Times New Roman"/>
          <w:sz w:val="20"/>
          <w:szCs w:val="20"/>
          <w:color w:val="auto"/>
        </w:rPr>
        <w:t>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126365</wp:posOffset>
            </wp:positionV>
            <wp:extent cx="652970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89">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211" w:lineRule="exact"/>
        <w:rPr>
          <w:sz w:val="20"/>
          <w:szCs w:val="20"/>
          <w:color w:val="auto"/>
        </w:rPr>
      </w:pPr>
    </w:p>
    <w:tbl>
      <w:tblPr>
        <w:tblLayout w:type="fixed"/>
        <w:tblInd w:w="6" w:type="dxa"/>
        <w:tblCellMar>
          <w:top w:w="0" w:type="dxa"/>
          <w:left w:w="0" w:type="dxa"/>
          <w:bottom w:w="0" w:type="dxa"/>
          <w:right w:w="0" w:type="dxa"/>
        </w:tblCellMar>
      </w:tblPr>
      <w:tr>
        <w:trPr>
          <w:trHeight w:val="238"/>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(In millions)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65"/>
              <w:spacing w:after="0"/>
              <w:rPr>
                <w:sz w:val="20"/>
                <w:szCs w:val="20"/>
                <w:color w:val="auto"/>
              </w:rPr>
            </w:pPr>
            <w:r>
              <w:rPr>
                <w:rFonts w:ascii="Times New Roman" w:cs="Times New Roman" w:eastAsia="Times New Roman" w:hAnsi="Times New Roman"/>
                <w:sz w:val="19"/>
                <w:szCs w:val="19"/>
                <w:color w:val="auto"/>
              </w:rPr>
              <w:t>2025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45"/>
              <w:spacing w:after="0"/>
              <w:rPr>
                <w:sz w:val="20"/>
                <w:szCs w:val="20"/>
                <w:color w:val="auto"/>
              </w:rPr>
            </w:pPr>
            <w:r>
              <w:rPr>
                <w:rFonts w:ascii="Times New Roman" w:cs="Times New Roman" w:eastAsia="Times New Roman" w:hAnsi="Times New Roman"/>
                <w:sz w:val="19"/>
                <w:szCs w:val="19"/>
                <w:color w:val="auto"/>
              </w:rPr>
              <w:t>2024</w:t>
            </w:r>
          </w:p>
        </w:tc>
        <w:tc>
          <w:tcPr>
            <w:tcW w:w="80" w:type="dxa"/>
            <w:vAlign w:val="bottom"/>
            <w:tcBorders>
              <w:bottom w:val="single" w:sz="8" w:color="auto"/>
            </w:tcBorders>
          </w:tcPr>
          <w:p>
            <w:pPr>
              <w:spacing w:after="0"/>
              <w:rPr>
                <w:sz w:val="20"/>
                <w:szCs w:val="20"/>
                <w:color w:val="auto"/>
              </w:rPr>
            </w:pPr>
          </w:p>
        </w:tc>
      </w:tr>
      <w:tr>
        <w:trPr>
          <w:trHeight w:val="236"/>
        </w:trPr>
        <w:tc>
          <w:tcPr>
            <w:tcW w:w="6200" w:type="dxa"/>
            <w:vAlign w:val="bottom"/>
            <w:gridSpan w:val="3"/>
            <w:shd w:val="clear" w:color="auto" w:fill="D5EFF4"/>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ASSETS</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04"/>
        </w:trPr>
        <w:tc>
          <w:tcPr>
            <w:tcW w:w="700" w:type="dxa"/>
            <w:vAlign w:val="bottom"/>
            <w:tcBorders>
              <w:top w:val="single" w:sz="8" w:color="auto"/>
            </w:tcBorders>
          </w:tcPr>
          <w:p>
            <w:pPr>
              <w:spacing w:after="0" w:line="204" w:lineRule="exact"/>
              <w:rPr>
                <w:sz w:val="20"/>
                <w:szCs w:val="20"/>
                <w:color w:val="auto"/>
              </w:rPr>
            </w:pPr>
            <w:r>
              <w:rPr>
                <w:rFonts w:ascii="Times New Roman" w:cs="Times New Roman" w:eastAsia="Times New Roman" w:hAnsi="Times New Roman"/>
                <w:sz w:val="19"/>
                <w:szCs w:val="19"/>
                <w:b w:val="1"/>
                <w:bCs w:val="1"/>
                <w:color w:val="auto"/>
              </w:rPr>
              <w:t>Current</w:t>
            </w:r>
          </w:p>
        </w:tc>
        <w:tc>
          <w:tcPr>
            <w:tcW w:w="5500" w:type="dxa"/>
            <w:vAlign w:val="bottom"/>
            <w:tcBorders>
              <w:top w:val="single" w:sz="8" w:color="D5EFF4"/>
            </w:tcBorders>
            <w:gridSpan w:val="2"/>
          </w:tcPr>
          <w:p>
            <w:pPr>
              <w:spacing w:after="0" w:line="204" w:lineRule="exact"/>
              <w:rPr>
                <w:sz w:val="20"/>
                <w:szCs w:val="20"/>
                <w:color w:val="auto"/>
              </w:rPr>
            </w:pPr>
            <w:r>
              <w:rPr>
                <w:rFonts w:ascii="Times New Roman" w:cs="Times New Roman" w:eastAsia="Times New Roman" w:hAnsi="Times New Roman"/>
                <w:sz w:val="19"/>
                <w:szCs w:val="19"/>
                <w:b w:val="1"/>
                <w:bCs w:val="1"/>
                <w:color w:val="auto"/>
              </w:rPr>
              <w:t>assets</w:t>
            </w:r>
          </w:p>
        </w:tc>
        <w:tc>
          <w:tcPr>
            <w:tcW w:w="780" w:type="dxa"/>
            <w:vAlign w:val="bottom"/>
            <w:tcBorders>
              <w:top w:val="single" w:sz="8" w:color="D5EFF4"/>
            </w:tcBorders>
          </w:tcPr>
          <w:p>
            <w:pPr>
              <w:spacing w:after="0"/>
              <w:rPr>
                <w:sz w:val="17"/>
                <w:szCs w:val="17"/>
                <w:color w:val="auto"/>
              </w:rPr>
            </w:pPr>
          </w:p>
        </w:tc>
        <w:tc>
          <w:tcPr>
            <w:tcW w:w="320" w:type="dxa"/>
            <w:vAlign w:val="bottom"/>
            <w:tcBorders>
              <w:top w:val="single" w:sz="8" w:color="D5EFF4"/>
            </w:tcBorders>
          </w:tcPr>
          <w:p>
            <w:pPr>
              <w:spacing w:after="0"/>
              <w:rPr>
                <w:sz w:val="17"/>
                <w:szCs w:val="17"/>
                <w:color w:val="auto"/>
              </w:rPr>
            </w:pPr>
          </w:p>
        </w:tc>
        <w:tc>
          <w:tcPr>
            <w:tcW w:w="1260" w:type="dxa"/>
            <w:vAlign w:val="bottom"/>
            <w:tcBorders>
              <w:top w:val="single" w:sz="8" w:color="D5EFF4"/>
            </w:tcBorders>
          </w:tcPr>
          <w:p>
            <w:pPr>
              <w:spacing w:after="0"/>
              <w:rPr>
                <w:sz w:val="17"/>
                <w:szCs w:val="17"/>
                <w:color w:val="auto"/>
              </w:rPr>
            </w:pPr>
          </w:p>
        </w:tc>
        <w:tc>
          <w:tcPr>
            <w:tcW w:w="140" w:type="dxa"/>
            <w:vAlign w:val="bottom"/>
            <w:tcBorders>
              <w:top w:val="single" w:sz="8" w:color="D5EFF4"/>
            </w:tcBorders>
          </w:tcPr>
          <w:p>
            <w:pPr>
              <w:spacing w:after="0"/>
              <w:rPr>
                <w:sz w:val="17"/>
                <w:szCs w:val="17"/>
                <w:color w:val="auto"/>
              </w:rPr>
            </w:pPr>
          </w:p>
        </w:tc>
        <w:tc>
          <w:tcPr>
            <w:tcW w:w="320" w:type="dxa"/>
            <w:vAlign w:val="bottom"/>
            <w:tcBorders>
              <w:top w:val="single" w:sz="8" w:color="D5EFF4"/>
            </w:tcBorders>
          </w:tcPr>
          <w:p>
            <w:pPr>
              <w:spacing w:after="0"/>
              <w:rPr>
                <w:sz w:val="17"/>
                <w:szCs w:val="17"/>
                <w:color w:val="auto"/>
              </w:rPr>
            </w:pPr>
          </w:p>
        </w:tc>
        <w:tc>
          <w:tcPr>
            <w:tcW w:w="1140" w:type="dxa"/>
            <w:vAlign w:val="bottom"/>
            <w:tcBorders>
              <w:top w:val="single" w:sz="8" w:color="D5EFF4"/>
            </w:tcBorders>
          </w:tcPr>
          <w:p>
            <w:pPr>
              <w:spacing w:after="0"/>
              <w:rPr>
                <w:sz w:val="17"/>
                <w:szCs w:val="17"/>
                <w:color w:val="auto"/>
              </w:rPr>
            </w:pPr>
          </w:p>
        </w:tc>
        <w:tc>
          <w:tcPr>
            <w:tcW w:w="80" w:type="dxa"/>
            <w:vAlign w:val="bottom"/>
            <w:tcBorders>
              <w:top w:val="single" w:sz="8" w:color="D5EFF4"/>
            </w:tcBorders>
          </w:tcPr>
          <w:p>
            <w:pPr>
              <w:spacing w:after="0"/>
              <w:rPr>
                <w:sz w:val="17"/>
                <w:szCs w:val="17"/>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100" w:type="dxa"/>
            <w:vAlign w:val="bottom"/>
            <w:gridSpan w:val="2"/>
            <w:shd w:val="clear" w:color="auto" w:fill="D5EFF4"/>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215</w:t>
            </w:r>
          </w:p>
        </w:tc>
        <w:tc>
          <w:tcPr>
            <w:tcW w:w="460" w:type="dxa"/>
            <w:vAlign w:val="bottom"/>
            <w:gridSpan w:val="2"/>
            <w:shd w:val="clear" w:color="auto" w:fill="D5EFF4"/>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300</w:t>
            </w: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spacing w:after="0" w:line="233" w:lineRule="exact"/>
              <w:rPr>
                <w:sz w:val="20"/>
                <w:szCs w:val="20"/>
                <w:color w:val="auto"/>
              </w:rPr>
            </w:pPr>
            <w:r>
              <w:rPr>
                <w:rFonts w:ascii="Times New Roman" w:cs="Times New Roman" w:eastAsia="Times New Roman" w:hAnsi="Times New Roman"/>
                <w:sz w:val="19"/>
                <w:szCs w:val="19"/>
                <w:color w:val="auto"/>
              </w:rPr>
              <w:t>Accounts receivable, net</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9"/>
                <w:szCs w:val="19"/>
                <w:color w:val="auto"/>
              </w:rPr>
              <w:t xml:space="preserve"> - Notes A and H</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242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w:t>
            </w:r>
          </w:p>
        </w:tc>
        <w:tc>
          <w:tcPr>
            <w:tcW w:w="80" w:type="dxa"/>
            <w:vAlign w:val="bottom"/>
          </w:tcPr>
          <w:p>
            <w:pPr>
              <w:spacing w:after="0"/>
              <w:rPr>
                <w:sz w:val="20"/>
                <w:szCs w:val="20"/>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Inventories - Note A</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568</w:t>
            </w: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545</w:t>
            </w:r>
          </w:p>
        </w:tc>
        <w:tc>
          <w:tcPr>
            <w:tcW w:w="80" w:type="dxa"/>
            <w:vAlign w:val="bottom"/>
            <w:shd w:val="clear" w:color="auto" w:fill="D5EFF4"/>
          </w:tcPr>
          <w:p>
            <w:pPr>
              <w:spacing w:after="0"/>
              <w:rPr>
                <w:sz w:val="20"/>
                <w:szCs w:val="20"/>
                <w:color w:val="auto"/>
              </w:rPr>
            </w:pPr>
          </w:p>
        </w:tc>
      </w:tr>
      <w:tr>
        <w:trPr>
          <w:trHeight w:val="232"/>
        </w:trPr>
        <w:tc>
          <w:tcPr>
            <w:tcW w:w="6200" w:type="dxa"/>
            <w:vAlign w:val="bottom"/>
            <w:tcBorders>
              <w:bottom w:val="single" w:sz="8" w:color="D5EFF4"/>
            </w:tcBorders>
            <w:gridSpan w:val="3"/>
          </w:tcPr>
          <w:p>
            <w:pPr>
              <w:spacing w:after="0"/>
              <w:rPr>
                <w:sz w:val="20"/>
                <w:szCs w:val="20"/>
                <w:color w:val="auto"/>
              </w:rPr>
            </w:pPr>
            <w:r>
              <w:rPr>
                <w:rFonts w:ascii="Times New Roman" w:cs="Times New Roman" w:eastAsia="Times New Roman" w:hAnsi="Times New Roman"/>
                <w:sz w:val="19"/>
                <w:szCs w:val="19"/>
                <w:color w:val="auto"/>
              </w:rPr>
              <w:t>Other assets</w:t>
            </w:r>
          </w:p>
        </w:tc>
        <w:tc>
          <w:tcPr>
            <w:tcW w:w="780" w:type="dxa"/>
            <w:vAlign w:val="bottom"/>
            <w:tcBorders>
              <w:bottom w:val="single" w:sz="8" w:color="D5EFF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180</w:t>
            </w:r>
          </w:p>
        </w:tc>
        <w:tc>
          <w:tcPr>
            <w:tcW w:w="140" w:type="dxa"/>
            <w:vAlign w:val="bottom"/>
            <w:tcBorders>
              <w:bottom w:val="single" w:sz="8" w:color="D5EFF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80" w:type="dxa"/>
            <w:vAlign w:val="bottom"/>
            <w:tcBorders>
              <w:bottom w:val="single" w:sz="8" w:color="auto"/>
            </w:tcBorders>
          </w:tcPr>
          <w:p>
            <w:pPr>
              <w:spacing w:after="0"/>
              <w:rPr>
                <w:sz w:val="20"/>
                <w:szCs w:val="20"/>
                <w:color w:val="auto"/>
              </w:rPr>
            </w:pPr>
          </w:p>
        </w:tc>
      </w:tr>
      <w:tr>
        <w:trPr>
          <w:trHeight w:val="228"/>
        </w:trPr>
        <w:tc>
          <w:tcPr>
            <w:tcW w:w="6200" w:type="dxa"/>
            <w:vAlign w:val="bottom"/>
            <w:gridSpan w:val="3"/>
            <w:shd w:val="clear" w:color="auto" w:fill="D5EFF4"/>
          </w:tcPr>
          <w:p>
            <w:pPr>
              <w:ind w:left="200"/>
              <w:spacing w:after="0"/>
              <w:rPr>
                <w:sz w:val="20"/>
                <w:szCs w:val="20"/>
                <w:color w:val="auto"/>
              </w:rPr>
            </w:pPr>
            <w:r>
              <w:rPr>
                <w:rFonts w:ascii="Times New Roman" w:cs="Times New Roman" w:eastAsia="Times New Roman" w:hAnsi="Times New Roman"/>
                <w:sz w:val="19"/>
                <w:szCs w:val="19"/>
                <w:color w:val="auto"/>
              </w:rPr>
              <w:t>Total current assets</w:t>
            </w:r>
          </w:p>
        </w:tc>
        <w:tc>
          <w:tcPr>
            <w:tcW w:w="780" w:type="dxa"/>
            <w:vAlign w:val="bottom"/>
            <w:shd w:val="clear" w:color="auto" w:fill="D5EFF4"/>
          </w:tcPr>
          <w:p>
            <w:pPr>
              <w:spacing w:after="0"/>
              <w:rPr>
                <w:sz w:val="19"/>
                <w:szCs w:val="19"/>
                <w:color w:val="auto"/>
              </w:rPr>
            </w:pPr>
          </w:p>
        </w:tc>
        <w:tc>
          <w:tcPr>
            <w:tcW w:w="320" w:type="dxa"/>
            <w:vAlign w:val="bottom"/>
            <w:shd w:val="clear" w:color="auto" w:fill="D5EFF4"/>
          </w:tcPr>
          <w:p>
            <w:pPr>
              <w:spacing w:after="0"/>
              <w:rPr>
                <w:sz w:val="19"/>
                <w:szCs w:val="19"/>
                <w:color w:val="auto"/>
              </w:rPr>
            </w:pP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1,205</w:t>
            </w:r>
          </w:p>
        </w:tc>
        <w:tc>
          <w:tcPr>
            <w:tcW w:w="140" w:type="dxa"/>
            <w:vAlign w:val="bottom"/>
            <w:shd w:val="clear" w:color="auto" w:fill="D5EFF4"/>
          </w:tcPr>
          <w:p>
            <w:pPr>
              <w:spacing w:after="0"/>
              <w:rPr>
                <w:sz w:val="19"/>
                <w:szCs w:val="19"/>
                <w:color w:val="auto"/>
              </w:rPr>
            </w:pPr>
          </w:p>
        </w:tc>
        <w:tc>
          <w:tcPr>
            <w:tcW w:w="320" w:type="dxa"/>
            <w:vAlign w:val="bottom"/>
            <w:shd w:val="clear" w:color="auto" w:fill="D5EFF4"/>
          </w:tcPr>
          <w:p>
            <w:pPr>
              <w:spacing w:after="0"/>
              <w:rPr>
                <w:sz w:val="19"/>
                <w:szCs w:val="19"/>
                <w:color w:val="auto"/>
              </w:rPr>
            </w:pPr>
          </w:p>
        </w:tc>
        <w:tc>
          <w:tcPr>
            <w:tcW w:w="1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1,195</w:t>
            </w:r>
          </w:p>
        </w:tc>
        <w:tc>
          <w:tcPr>
            <w:tcW w:w="80" w:type="dxa"/>
            <w:vAlign w:val="bottom"/>
            <w:shd w:val="clear" w:color="auto" w:fill="D5EFF4"/>
          </w:tcPr>
          <w:p>
            <w:pPr>
              <w:spacing w:after="0"/>
              <w:rPr>
                <w:sz w:val="19"/>
                <w:szCs w:val="19"/>
                <w:color w:val="auto"/>
              </w:rPr>
            </w:pP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Noncurrent assets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Property, plant and equipment - Note F</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Cost</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3,355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3,316</w:t>
            </w:r>
          </w:p>
        </w:tc>
        <w:tc>
          <w:tcPr>
            <w:tcW w:w="80" w:type="dxa"/>
            <w:vAlign w:val="bottom"/>
          </w:tcPr>
          <w:p>
            <w:pPr>
              <w:spacing w:after="0"/>
              <w:rPr>
                <w:sz w:val="20"/>
                <w:szCs w:val="20"/>
                <w:color w:val="auto"/>
              </w:rPr>
            </w:pPr>
          </w:p>
        </w:tc>
      </w:tr>
      <w:tr>
        <w:trPr>
          <w:trHeight w:val="252"/>
        </w:trPr>
        <w:tc>
          <w:tcPr>
            <w:tcW w:w="6200" w:type="dxa"/>
            <w:vAlign w:val="bottom"/>
            <w:tcBorders>
              <w:bottom w:val="single" w:sz="8" w:color="D5EFF4"/>
            </w:tcBorders>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Accumulated depreciation</w:t>
            </w:r>
          </w:p>
        </w:tc>
        <w:tc>
          <w:tcPr>
            <w:tcW w:w="78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D5EFF4"/>
            </w:tcBorders>
            <w:shd w:val="clear" w:color="auto" w:fill="D5EFF4"/>
          </w:tcPr>
          <w:p>
            <w:pPr>
              <w:spacing w:after="0"/>
              <w:rPr>
                <w:sz w:val="21"/>
                <w:szCs w:val="21"/>
                <w:color w:val="auto"/>
              </w:rPr>
            </w:pPr>
          </w:p>
        </w:tc>
        <w:tc>
          <w:tcPr>
            <w:tcW w:w="1260" w:type="dxa"/>
            <w:vAlign w:val="bottom"/>
            <w:tcBorders>
              <w:bottom w:val="single" w:sz="8" w:color="D5EFF4"/>
            </w:tcBorders>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2,154</w:t>
            </w:r>
          </w:p>
        </w:tc>
        <w:tc>
          <w:tcPr>
            <w:tcW w:w="14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spacing w:after="0"/>
              <w:rPr>
                <w:sz w:val="21"/>
                <w:szCs w:val="21"/>
                <w:color w:val="auto"/>
              </w:rPr>
            </w:pPr>
          </w:p>
        </w:tc>
        <w:tc>
          <w:tcPr>
            <w:tcW w:w="1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2,013</w:t>
            </w:r>
          </w:p>
        </w:tc>
        <w:tc>
          <w:tcPr>
            <w:tcW w:w="80" w:type="dxa"/>
            <w:vAlign w:val="bottom"/>
            <w:tcBorders>
              <w:bottom w:val="single" w:sz="8" w:color="auto"/>
            </w:tcBorders>
            <w:shd w:val="clear" w:color="auto" w:fill="D5EFF4"/>
          </w:tcPr>
          <w:p>
            <w:pPr>
              <w:spacing w:after="0"/>
              <w:rPr>
                <w:sz w:val="21"/>
                <w:szCs w:val="21"/>
                <w:color w:val="auto"/>
              </w:rPr>
            </w:pPr>
          </w:p>
        </w:tc>
      </w:tr>
      <w:tr>
        <w:trPr>
          <w:trHeight w:val="208"/>
        </w:trPr>
        <w:tc>
          <w:tcPr>
            <w:tcW w:w="62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9"/>
                <w:szCs w:val="19"/>
                <w:color w:val="auto"/>
              </w:rPr>
              <w:t>Net property, plant and equipment</w:t>
            </w:r>
          </w:p>
        </w:tc>
        <w:tc>
          <w:tcPr>
            <w:tcW w:w="7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5"/>
              <w:spacing w:after="0" w:line="207" w:lineRule="exact"/>
              <w:rPr>
                <w:sz w:val="20"/>
                <w:szCs w:val="20"/>
                <w:color w:val="auto"/>
              </w:rPr>
            </w:pPr>
            <w:r>
              <w:rPr>
                <w:rFonts w:ascii="Times New Roman" w:cs="Times New Roman" w:eastAsia="Times New Roman" w:hAnsi="Times New Roman"/>
                <w:sz w:val="19"/>
                <w:szCs w:val="19"/>
                <w:color w:val="auto"/>
              </w:rPr>
              <w:t>1,201</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1,303</w:t>
            </w:r>
          </w:p>
        </w:tc>
        <w:tc>
          <w:tcPr>
            <w:tcW w:w="80" w:type="dxa"/>
            <w:vAlign w:val="bottom"/>
            <w:tcBorders>
              <w:top w:val="single" w:sz="8" w:color="auto"/>
            </w:tcBorders>
          </w:tcPr>
          <w:p>
            <w:pPr>
              <w:spacing w:after="0"/>
              <w:rPr>
                <w:sz w:val="18"/>
                <w:szCs w:val="18"/>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Goodwill - Note G</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705</w:t>
            </w: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1,381</w:t>
            </w: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Intangibles - Note G</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563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751</w:t>
            </w:r>
          </w:p>
        </w:tc>
        <w:tc>
          <w:tcPr>
            <w:tcW w:w="80" w:type="dxa"/>
            <w:vAlign w:val="bottom"/>
          </w:tcPr>
          <w:p>
            <w:pPr>
              <w:spacing w:after="0"/>
              <w:rPr>
                <w:sz w:val="20"/>
                <w:szCs w:val="20"/>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Operating lease assets, net - Note J</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103</w:t>
            </w: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114</w:t>
            </w: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Restricted investments - Note E</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297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295</w:t>
            </w:r>
          </w:p>
        </w:tc>
        <w:tc>
          <w:tcPr>
            <w:tcW w:w="80" w:type="dxa"/>
            <w:vAlign w:val="bottom"/>
          </w:tcPr>
          <w:p>
            <w:pPr>
              <w:spacing w:after="0"/>
              <w:rPr>
                <w:sz w:val="20"/>
                <w:szCs w:val="20"/>
                <w:color w:val="auto"/>
              </w:rPr>
            </w:pPr>
          </w:p>
        </w:tc>
      </w:tr>
      <w:tr>
        <w:trPr>
          <w:trHeight w:val="233"/>
        </w:trPr>
        <w:tc>
          <w:tcPr>
            <w:tcW w:w="6200" w:type="dxa"/>
            <w:vAlign w:val="bottom"/>
            <w:gridSpan w:val="3"/>
            <w:shd w:val="clear" w:color="auto" w:fill="D5EFF4"/>
          </w:tcPr>
          <w:p>
            <w:pPr>
              <w:spacing w:after="0" w:line="233" w:lineRule="exact"/>
              <w:rPr>
                <w:sz w:val="20"/>
                <w:szCs w:val="20"/>
                <w:color w:val="auto"/>
              </w:rPr>
            </w:pPr>
            <w:r>
              <w:rPr>
                <w:rFonts w:ascii="Times New Roman" w:cs="Times New Roman" w:eastAsia="Times New Roman" w:hAnsi="Times New Roman"/>
                <w:sz w:val="19"/>
                <w:szCs w:val="19"/>
                <w:color w:val="auto"/>
              </w:rPr>
              <w:t>Asbestos insurance receivable, net</w:t>
            </w:r>
            <w:r>
              <w:rPr>
                <w:rFonts w:ascii="Times New Roman" w:cs="Times New Roman" w:eastAsia="Times New Roman" w:hAnsi="Times New Roman"/>
                <w:sz w:val="24"/>
                <w:szCs w:val="24"/>
                <w:color w:val="auto"/>
                <w:vertAlign w:val="superscript"/>
              </w:rPr>
              <w:t>(b)</w:t>
            </w:r>
            <w:r>
              <w:rPr>
                <w:rFonts w:ascii="Times New Roman" w:cs="Times New Roman" w:eastAsia="Times New Roman" w:hAnsi="Times New Roman"/>
                <w:sz w:val="19"/>
                <w:szCs w:val="19"/>
                <w:color w:val="auto"/>
              </w:rPr>
              <w:t xml:space="preserve"> - Notes A and M</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127</w:t>
            </w: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132</w:t>
            </w: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Deferred income taxes - Note K</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157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80" w:type="dxa"/>
            <w:vAlign w:val="bottom"/>
          </w:tcPr>
          <w:p>
            <w:pPr>
              <w:spacing w:after="0"/>
              <w:rPr>
                <w:sz w:val="20"/>
                <w:szCs w:val="20"/>
                <w:color w:val="auto"/>
              </w:rPr>
            </w:pPr>
          </w:p>
        </w:tc>
      </w:tr>
      <w:tr>
        <w:trPr>
          <w:trHeight w:val="252"/>
        </w:trPr>
        <w:tc>
          <w:tcPr>
            <w:tcW w:w="6200" w:type="dxa"/>
            <w:vAlign w:val="bottom"/>
            <w:tcBorders>
              <w:bottom w:val="single" w:sz="8" w:color="D5EFF4"/>
            </w:tcBorders>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Other assets - Note I</w:t>
            </w:r>
          </w:p>
        </w:tc>
        <w:tc>
          <w:tcPr>
            <w:tcW w:w="78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spacing w:after="0"/>
              <w:rPr>
                <w:sz w:val="21"/>
                <w:szCs w:val="21"/>
                <w:color w:val="auto"/>
              </w:rPr>
            </w:pPr>
          </w:p>
        </w:tc>
        <w:tc>
          <w:tcPr>
            <w:tcW w:w="1260" w:type="dxa"/>
            <w:vAlign w:val="bottom"/>
            <w:tcBorders>
              <w:bottom w:val="single" w:sz="8" w:color="auto"/>
            </w:tcBorders>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253</w:t>
            </w:r>
          </w:p>
        </w:tc>
        <w:tc>
          <w:tcPr>
            <w:tcW w:w="14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spacing w:after="0"/>
              <w:rPr>
                <w:sz w:val="21"/>
                <w:szCs w:val="21"/>
                <w:color w:val="auto"/>
              </w:rPr>
            </w:pPr>
          </w:p>
        </w:tc>
        <w:tc>
          <w:tcPr>
            <w:tcW w:w="1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264</w:t>
            </w:r>
          </w:p>
        </w:tc>
        <w:tc>
          <w:tcPr>
            <w:tcW w:w="80" w:type="dxa"/>
            <w:vAlign w:val="bottom"/>
            <w:tcBorders>
              <w:bottom w:val="single" w:sz="8" w:color="auto"/>
            </w:tcBorders>
            <w:shd w:val="clear" w:color="auto" w:fill="D5EFF4"/>
          </w:tcPr>
          <w:p>
            <w:pPr>
              <w:spacing w:after="0"/>
              <w:rPr>
                <w:sz w:val="21"/>
                <w:szCs w:val="21"/>
                <w:color w:val="auto"/>
              </w:rPr>
            </w:pPr>
          </w:p>
        </w:tc>
      </w:tr>
      <w:tr>
        <w:trPr>
          <w:trHeight w:val="208"/>
        </w:trPr>
        <w:tc>
          <w:tcPr>
            <w:tcW w:w="6200" w:type="dxa"/>
            <w:vAlign w:val="bottom"/>
            <w:tcBorders>
              <w:bottom w:val="single" w:sz="8" w:color="D5EFF4"/>
            </w:tcBorders>
            <w:gridSpan w:val="3"/>
          </w:tcPr>
          <w:p>
            <w:pPr>
              <w:ind w:left="200"/>
              <w:spacing w:after="0" w:line="207" w:lineRule="exact"/>
              <w:rPr>
                <w:sz w:val="20"/>
                <w:szCs w:val="20"/>
                <w:color w:val="auto"/>
              </w:rPr>
            </w:pPr>
            <w:r>
              <w:rPr>
                <w:rFonts w:ascii="Times New Roman" w:cs="Times New Roman" w:eastAsia="Times New Roman" w:hAnsi="Times New Roman"/>
                <w:sz w:val="19"/>
                <w:szCs w:val="19"/>
                <w:color w:val="auto"/>
              </w:rPr>
              <w:t>Total noncurrent assets</w:t>
            </w:r>
          </w:p>
        </w:tc>
        <w:tc>
          <w:tcPr>
            <w:tcW w:w="780" w:type="dxa"/>
            <w:vAlign w:val="bottom"/>
            <w:tcBorders>
              <w:bottom w:val="single" w:sz="8" w:color="D5EFF4"/>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
              <w:spacing w:after="0" w:line="207" w:lineRule="exact"/>
              <w:rPr>
                <w:sz w:val="20"/>
                <w:szCs w:val="20"/>
                <w:color w:val="auto"/>
              </w:rPr>
            </w:pPr>
            <w:r>
              <w:rPr>
                <w:rFonts w:ascii="Times New Roman" w:cs="Times New Roman" w:eastAsia="Times New Roman" w:hAnsi="Times New Roman"/>
                <w:sz w:val="19"/>
                <w:szCs w:val="19"/>
                <w:color w:val="auto"/>
              </w:rPr>
              <w:t>3,406</w:t>
            </w:r>
          </w:p>
        </w:tc>
        <w:tc>
          <w:tcPr>
            <w:tcW w:w="140" w:type="dxa"/>
            <w:vAlign w:val="bottom"/>
            <w:tcBorders>
              <w:bottom w:val="single" w:sz="8" w:color="D5EFF4"/>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4,450</w:t>
            </w:r>
          </w:p>
        </w:tc>
        <w:tc>
          <w:tcPr>
            <w:tcW w:w="80" w:type="dxa"/>
            <w:vAlign w:val="bottom"/>
            <w:tcBorders>
              <w:bottom w:val="single" w:sz="8" w:color="auto"/>
            </w:tcBorders>
          </w:tcPr>
          <w:p>
            <w:pPr>
              <w:spacing w:after="0"/>
              <w:rPr>
                <w:sz w:val="18"/>
                <w:szCs w:val="18"/>
                <w:color w:val="auto"/>
              </w:rPr>
            </w:pPr>
          </w:p>
        </w:tc>
      </w:tr>
      <w:tr>
        <w:trPr>
          <w:trHeight w:val="247"/>
        </w:trPr>
        <w:tc>
          <w:tcPr>
            <w:tcW w:w="6200" w:type="dxa"/>
            <w:vAlign w:val="bottom"/>
            <w:tcBorders>
              <w:bottom w:val="single" w:sz="8" w:color="D5EFF4"/>
            </w:tcBorders>
            <w:gridSpan w:val="3"/>
            <w:shd w:val="clear" w:color="auto" w:fill="D5EFF4"/>
          </w:tcPr>
          <w:p>
            <w:pPr>
              <w:spacing w:after="0"/>
              <w:rPr>
                <w:sz w:val="20"/>
                <w:szCs w:val="20"/>
                <w:color w:val="auto"/>
              </w:rPr>
            </w:pPr>
            <w:r>
              <w:rPr>
                <w:rFonts w:ascii="Times New Roman" w:cs="Times New Roman" w:eastAsia="Times New Roman" w:hAnsi="Times New Roman"/>
                <w:sz w:val="19"/>
                <w:szCs w:val="19"/>
                <w:b w:val="1"/>
                <w:bCs w:val="1"/>
                <w:color w:val="auto"/>
              </w:rPr>
              <w:t>Total assets</w:t>
            </w:r>
          </w:p>
        </w:tc>
        <w:tc>
          <w:tcPr>
            <w:tcW w:w="78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jc w:val="right"/>
              <w:ind w:right="125"/>
              <w:spacing w:after="0"/>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tcBorders>
              <w:bottom w:val="single" w:sz="8" w:color="auto"/>
            </w:tcBorders>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4,611</w:t>
            </w:r>
          </w:p>
        </w:tc>
        <w:tc>
          <w:tcPr>
            <w:tcW w:w="14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jc w:val="right"/>
              <w:ind w:right="125"/>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5,645</w:t>
            </w:r>
          </w:p>
        </w:tc>
        <w:tc>
          <w:tcPr>
            <w:tcW w:w="80" w:type="dxa"/>
            <w:vAlign w:val="bottom"/>
            <w:tcBorders>
              <w:bottom w:val="single" w:sz="8" w:color="auto"/>
            </w:tcBorders>
            <w:shd w:val="clear" w:color="auto" w:fill="D5EFF4"/>
          </w:tcPr>
          <w:p>
            <w:pPr>
              <w:spacing w:after="0"/>
              <w:rPr>
                <w:sz w:val="21"/>
                <w:szCs w:val="21"/>
                <w:color w:val="auto"/>
              </w:rPr>
            </w:pPr>
          </w:p>
        </w:tc>
      </w:tr>
      <w:tr>
        <w:trPr>
          <w:trHeight w:val="20"/>
        </w:trPr>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8"/>
        </w:trPr>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b w:val="1"/>
                <w:bCs w:val="1"/>
                <w:color w:val="auto"/>
              </w:rPr>
              <w:t>LIABILITIES AND EQUITY</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04"/>
        </w:trPr>
        <w:tc>
          <w:tcPr>
            <w:tcW w:w="2420" w:type="dxa"/>
            <w:vAlign w:val="bottom"/>
            <w:tcBorders>
              <w:top w:val="single" w:sz="8" w:color="auto"/>
            </w:tcBorders>
            <w:gridSpan w:val="2"/>
          </w:tcPr>
          <w:p>
            <w:pPr>
              <w:spacing w:after="0" w:line="204" w:lineRule="exact"/>
              <w:rPr>
                <w:sz w:val="20"/>
                <w:szCs w:val="20"/>
                <w:color w:val="auto"/>
              </w:rPr>
            </w:pPr>
            <w:r>
              <w:rPr>
                <w:rFonts w:ascii="Times New Roman" w:cs="Times New Roman" w:eastAsia="Times New Roman" w:hAnsi="Times New Roman"/>
                <w:sz w:val="19"/>
                <w:szCs w:val="19"/>
                <w:b w:val="1"/>
                <w:bCs w:val="1"/>
                <w:color w:val="auto"/>
              </w:rPr>
              <w:t>Current liabilities</w:t>
            </w:r>
          </w:p>
        </w:tc>
        <w:tc>
          <w:tcPr>
            <w:tcW w:w="3780" w:type="dxa"/>
            <w:vAlign w:val="bottom"/>
            <w:tcBorders>
              <w:top w:val="single" w:sz="8" w:color="D5EFF4"/>
            </w:tcBorders>
          </w:tcPr>
          <w:p>
            <w:pPr>
              <w:spacing w:after="0"/>
              <w:rPr>
                <w:sz w:val="17"/>
                <w:szCs w:val="17"/>
                <w:color w:val="auto"/>
              </w:rPr>
            </w:pPr>
          </w:p>
        </w:tc>
        <w:tc>
          <w:tcPr>
            <w:tcW w:w="780" w:type="dxa"/>
            <w:vAlign w:val="bottom"/>
            <w:tcBorders>
              <w:top w:val="single" w:sz="8" w:color="D5EFF4"/>
            </w:tcBorders>
          </w:tcPr>
          <w:p>
            <w:pPr>
              <w:spacing w:after="0"/>
              <w:rPr>
                <w:sz w:val="17"/>
                <w:szCs w:val="17"/>
                <w:color w:val="auto"/>
              </w:rPr>
            </w:pPr>
          </w:p>
        </w:tc>
        <w:tc>
          <w:tcPr>
            <w:tcW w:w="320" w:type="dxa"/>
            <w:vAlign w:val="bottom"/>
            <w:tcBorders>
              <w:top w:val="single" w:sz="8" w:color="D5EFF4"/>
            </w:tcBorders>
          </w:tcPr>
          <w:p>
            <w:pPr>
              <w:spacing w:after="0"/>
              <w:rPr>
                <w:sz w:val="17"/>
                <w:szCs w:val="17"/>
                <w:color w:val="auto"/>
              </w:rPr>
            </w:pPr>
          </w:p>
        </w:tc>
        <w:tc>
          <w:tcPr>
            <w:tcW w:w="1260" w:type="dxa"/>
            <w:vAlign w:val="bottom"/>
            <w:tcBorders>
              <w:top w:val="single" w:sz="8" w:color="D5EFF4"/>
            </w:tcBorders>
          </w:tcPr>
          <w:p>
            <w:pPr>
              <w:spacing w:after="0"/>
              <w:rPr>
                <w:sz w:val="17"/>
                <w:szCs w:val="17"/>
                <w:color w:val="auto"/>
              </w:rPr>
            </w:pPr>
          </w:p>
        </w:tc>
        <w:tc>
          <w:tcPr>
            <w:tcW w:w="140" w:type="dxa"/>
            <w:vAlign w:val="bottom"/>
            <w:tcBorders>
              <w:top w:val="single" w:sz="8" w:color="D5EFF4"/>
            </w:tcBorders>
          </w:tcPr>
          <w:p>
            <w:pPr>
              <w:spacing w:after="0"/>
              <w:rPr>
                <w:sz w:val="17"/>
                <w:szCs w:val="17"/>
                <w:color w:val="auto"/>
              </w:rPr>
            </w:pPr>
          </w:p>
        </w:tc>
        <w:tc>
          <w:tcPr>
            <w:tcW w:w="320" w:type="dxa"/>
            <w:vAlign w:val="bottom"/>
            <w:tcBorders>
              <w:top w:val="single" w:sz="8" w:color="D5EFF4"/>
            </w:tcBorders>
          </w:tcPr>
          <w:p>
            <w:pPr>
              <w:spacing w:after="0"/>
              <w:rPr>
                <w:sz w:val="17"/>
                <w:szCs w:val="17"/>
                <w:color w:val="auto"/>
              </w:rPr>
            </w:pPr>
          </w:p>
        </w:tc>
        <w:tc>
          <w:tcPr>
            <w:tcW w:w="1140" w:type="dxa"/>
            <w:vAlign w:val="bottom"/>
            <w:tcBorders>
              <w:top w:val="single" w:sz="8" w:color="D5EFF4"/>
            </w:tcBorders>
          </w:tcPr>
          <w:p>
            <w:pPr>
              <w:spacing w:after="0"/>
              <w:rPr>
                <w:sz w:val="17"/>
                <w:szCs w:val="17"/>
                <w:color w:val="auto"/>
              </w:rPr>
            </w:pPr>
          </w:p>
        </w:tc>
        <w:tc>
          <w:tcPr>
            <w:tcW w:w="80" w:type="dxa"/>
            <w:vAlign w:val="bottom"/>
            <w:tcBorders>
              <w:top w:val="single" w:sz="8" w:color="D5EFF4"/>
            </w:tcBorders>
          </w:tcPr>
          <w:p>
            <w:pPr>
              <w:spacing w:after="0"/>
              <w:rPr>
                <w:sz w:val="17"/>
                <w:szCs w:val="17"/>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Trade and other payables</w:t>
            </w:r>
          </w:p>
        </w:tc>
        <w:tc>
          <w:tcPr>
            <w:tcW w:w="1100" w:type="dxa"/>
            <w:vAlign w:val="bottom"/>
            <w:gridSpan w:val="2"/>
            <w:shd w:val="clear" w:color="auto" w:fill="D5EFF4"/>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189</w:t>
            </w:r>
          </w:p>
        </w:tc>
        <w:tc>
          <w:tcPr>
            <w:tcW w:w="460" w:type="dxa"/>
            <w:vAlign w:val="bottom"/>
            <w:gridSpan w:val="2"/>
            <w:shd w:val="clear" w:color="auto" w:fill="D5EFF4"/>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214</w:t>
            </w: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Accrued expenses and other liabilities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213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w:t>
            </w:r>
          </w:p>
        </w:tc>
        <w:tc>
          <w:tcPr>
            <w:tcW w:w="80" w:type="dxa"/>
            <w:vAlign w:val="bottom"/>
          </w:tcPr>
          <w:p>
            <w:pPr>
              <w:spacing w:after="0"/>
              <w:rPr>
                <w:sz w:val="20"/>
                <w:szCs w:val="20"/>
                <w:color w:val="auto"/>
              </w:rPr>
            </w:pPr>
          </w:p>
        </w:tc>
      </w:tr>
      <w:tr>
        <w:trPr>
          <w:trHeight w:val="252"/>
        </w:trPr>
        <w:tc>
          <w:tcPr>
            <w:tcW w:w="6200" w:type="dxa"/>
            <w:vAlign w:val="bottom"/>
            <w:tcBorders>
              <w:bottom w:val="single" w:sz="8" w:color="D5EFF4"/>
            </w:tcBorders>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Current operating lease obligations - Note J</w:t>
            </w:r>
          </w:p>
        </w:tc>
        <w:tc>
          <w:tcPr>
            <w:tcW w:w="78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spacing w:after="0"/>
              <w:rPr>
                <w:sz w:val="21"/>
                <w:szCs w:val="21"/>
                <w:color w:val="auto"/>
              </w:rPr>
            </w:pPr>
          </w:p>
        </w:tc>
        <w:tc>
          <w:tcPr>
            <w:tcW w:w="1260" w:type="dxa"/>
            <w:vAlign w:val="bottom"/>
            <w:tcBorders>
              <w:bottom w:val="single" w:sz="8" w:color="auto"/>
            </w:tcBorders>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21</w:t>
            </w:r>
          </w:p>
        </w:tc>
        <w:tc>
          <w:tcPr>
            <w:tcW w:w="14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spacing w:after="0"/>
              <w:rPr>
                <w:sz w:val="21"/>
                <w:szCs w:val="21"/>
                <w:color w:val="auto"/>
              </w:rPr>
            </w:pPr>
          </w:p>
        </w:tc>
        <w:tc>
          <w:tcPr>
            <w:tcW w:w="1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80" w:type="dxa"/>
            <w:vAlign w:val="bottom"/>
            <w:tcBorders>
              <w:bottom w:val="single" w:sz="8" w:color="auto"/>
            </w:tcBorders>
            <w:shd w:val="clear" w:color="auto" w:fill="D5EFF4"/>
          </w:tcPr>
          <w:p>
            <w:pPr>
              <w:spacing w:after="0"/>
              <w:rPr>
                <w:sz w:val="21"/>
                <w:szCs w:val="21"/>
                <w:color w:val="auto"/>
              </w:rPr>
            </w:pPr>
          </w:p>
        </w:tc>
      </w:tr>
      <w:tr>
        <w:trPr>
          <w:trHeight w:val="208"/>
        </w:trPr>
        <w:tc>
          <w:tcPr>
            <w:tcW w:w="62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9"/>
                <w:szCs w:val="19"/>
                <w:color w:val="auto"/>
              </w:rPr>
              <w:t>Total current liabilities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25"/>
              <w:spacing w:after="0" w:line="207" w:lineRule="exact"/>
              <w:rPr>
                <w:sz w:val="20"/>
                <w:szCs w:val="20"/>
                <w:color w:val="auto"/>
              </w:rPr>
            </w:pPr>
            <w:r>
              <w:rPr>
                <w:rFonts w:ascii="Times New Roman" w:cs="Times New Roman" w:eastAsia="Times New Roman" w:hAnsi="Times New Roman"/>
                <w:sz w:val="19"/>
                <w:szCs w:val="19"/>
                <w:color w:val="auto"/>
              </w:rPr>
              <w:t>423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490</w:t>
            </w:r>
          </w:p>
        </w:tc>
        <w:tc>
          <w:tcPr>
            <w:tcW w:w="80" w:type="dxa"/>
            <w:vAlign w:val="bottom"/>
          </w:tcPr>
          <w:p>
            <w:pPr>
              <w:spacing w:after="0"/>
              <w:rPr>
                <w:sz w:val="18"/>
                <w:szCs w:val="18"/>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b w:val="1"/>
                <w:bCs w:val="1"/>
                <w:color w:val="auto"/>
              </w:rPr>
              <w:t>Noncurrent liabilities</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Long-term debt - Note H</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1,384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1,349</w:t>
            </w:r>
          </w:p>
        </w:tc>
        <w:tc>
          <w:tcPr>
            <w:tcW w:w="80" w:type="dxa"/>
            <w:vAlign w:val="bottom"/>
          </w:tcPr>
          <w:p>
            <w:pPr>
              <w:spacing w:after="0"/>
              <w:rPr>
                <w:sz w:val="20"/>
                <w:szCs w:val="20"/>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Asbestos litigation reserves - Note M</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389</w:t>
            </w: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414</w:t>
            </w: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Deferred income taxes - Note K</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31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c>
          <w:tcPr>
            <w:tcW w:w="80" w:type="dxa"/>
            <w:vAlign w:val="bottom"/>
          </w:tcPr>
          <w:p>
            <w:pPr>
              <w:spacing w:after="0"/>
              <w:rPr>
                <w:sz w:val="20"/>
                <w:szCs w:val="20"/>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Employee benefit obligations - Note L</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96</w:t>
            </w: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110</w:t>
            </w: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Operating lease obligations - Note J</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85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c>
          <w:tcPr>
            <w:tcW w:w="80" w:type="dxa"/>
            <w:vAlign w:val="bottom"/>
          </w:tcPr>
          <w:p>
            <w:pPr>
              <w:spacing w:after="0"/>
              <w:rPr>
                <w:sz w:val="20"/>
                <w:szCs w:val="20"/>
                <w:color w:val="auto"/>
              </w:rPr>
            </w:pPr>
          </w:p>
        </w:tc>
      </w:tr>
      <w:tr>
        <w:trPr>
          <w:trHeight w:val="252"/>
        </w:trPr>
        <w:tc>
          <w:tcPr>
            <w:tcW w:w="6200" w:type="dxa"/>
            <w:vAlign w:val="bottom"/>
            <w:tcBorders>
              <w:bottom w:val="single" w:sz="8" w:color="D5EFF4"/>
            </w:tcBorders>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Other liabilities - Note I</w:t>
            </w:r>
          </w:p>
        </w:tc>
        <w:tc>
          <w:tcPr>
            <w:tcW w:w="78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spacing w:after="0"/>
              <w:rPr>
                <w:sz w:val="21"/>
                <w:szCs w:val="21"/>
                <w:color w:val="auto"/>
              </w:rPr>
            </w:pPr>
          </w:p>
        </w:tc>
        <w:tc>
          <w:tcPr>
            <w:tcW w:w="1260" w:type="dxa"/>
            <w:vAlign w:val="bottom"/>
            <w:tcBorders>
              <w:bottom w:val="single" w:sz="8" w:color="auto"/>
            </w:tcBorders>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299</w:t>
            </w:r>
          </w:p>
        </w:tc>
        <w:tc>
          <w:tcPr>
            <w:tcW w:w="14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spacing w:after="0"/>
              <w:rPr>
                <w:sz w:val="21"/>
                <w:szCs w:val="21"/>
                <w:color w:val="auto"/>
              </w:rPr>
            </w:pPr>
          </w:p>
        </w:tc>
        <w:tc>
          <w:tcPr>
            <w:tcW w:w="1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286</w:t>
            </w:r>
          </w:p>
        </w:tc>
        <w:tc>
          <w:tcPr>
            <w:tcW w:w="80" w:type="dxa"/>
            <w:vAlign w:val="bottom"/>
            <w:tcBorders>
              <w:bottom w:val="single" w:sz="8" w:color="auto"/>
            </w:tcBorders>
            <w:shd w:val="clear" w:color="auto" w:fill="D5EFF4"/>
          </w:tcPr>
          <w:p>
            <w:pPr>
              <w:spacing w:after="0"/>
              <w:rPr>
                <w:sz w:val="21"/>
                <w:szCs w:val="21"/>
                <w:color w:val="auto"/>
              </w:rPr>
            </w:pPr>
          </w:p>
        </w:tc>
      </w:tr>
      <w:tr>
        <w:trPr>
          <w:trHeight w:val="208"/>
        </w:trPr>
        <w:tc>
          <w:tcPr>
            <w:tcW w:w="62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9"/>
                <w:szCs w:val="19"/>
                <w:color w:val="auto"/>
              </w:rPr>
              <w:t>Total noncurrent liabilities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25"/>
              <w:spacing w:after="0" w:line="207" w:lineRule="exact"/>
              <w:rPr>
                <w:sz w:val="20"/>
                <w:szCs w:val="20"/>
                <w:color w:val="auto"/>
              </w:rPr>
            </w:pPr>
            <w:r>
              <w:rPr>
                <w:rFonts w:ascii="Times New Roman" w:cs="Times New Roman" w:eastAsia="Times New Roman" w:hAnsi="Times New Roman"/>
                <w:sz w:val="19"/>
                <w:szCs w:val="19"/>
                <w:color w:val="auto"/>
              </w:rPr>
              <w:t>2,284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2,287</w:t>
            </w:r>
          </w:p>
        </w:tc>
        <w:tc>
          <w:tcPr>
            <w:tcW w:w="80" w:type="dxa"/>
            <w:vAlign w:val="bottom"/>
          </w:tcPr>
          <w:p>
            <w:pPr>
              <w:spacing w:after="0"/>
              <w:rPr>
                <w:sz w:val="18"/>
                <w:szCs w:val="18"/>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Commitments and contingencies - Notes J and M</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Equity </w:t>
            </w:r>
            <w:r>
              <w:rPr>
                <w:rFonts w:ascii="Times New Roman" w:cs="Times New Roman" w:eastAsia="Times New Roman" w:hAnsi="Times New Roman"/>
                <w:sz w:val="19"/>
                <w:szCs w:val="19"/>
                <w:color w:val="auto"/>
              </w:rPr>
              <w:t>- Notes N and O</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Common stock, par value $.01 per share, 200 million shares authorized</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1</w:t>
            </w: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1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80" w:type="dxa"/>
            <w:vAlign w:val="bottom"/>
            <w:shd w:val="clear" w:color="auto" w:fill="D5EFF4"/>
          </w:tcPr>
          <w:p>
            <w:pPr>
              <w:spacing w:after="0"/>
              <w:rPr>
                <w:sz w:val="20"/>
                <w:szCs w:val="20"/>
                <w:color w:val="auto"/>
              </w:rPr>
            </w:pPr>
          </w:p>
        </w:tc>
      </w:tr>
      <w:tr>
        <w:trPr>
          <w:trHeight w:val="233"/>
        </w:trPr>
        <w:tc>
          <w:tcPr>
            <w:tcW w:w="620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Issued 46 million and 47 million shares in 2025 and 2024</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3"/>
        </w:trPr>
        <w:tc>
          <w:tcPr>
            <w:tcW w:w="620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Paid-in capital</w:t>
            </w:r>
          </w:p>
        </w:tc>
        <w:tc>
          <w:tcPr>
            <w:tcW w:w="78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60" w:type="dxa"/>
            <w:vAlign w:val="bottom"/>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6</w:t>
            </w:r>
          </w:p>
        </w:tc>
        <w:tc>
          <w:tcPr>
            <w:tcW w:w="140" w:type="dxa"/>
            <w:vAlign w:val="bottom"/>
            <w:shd w:val="clear" w:color="auto" w:fill="D5EFF4"/>
          </w:tcPr>
          <w:p>
            <w:pPr>
              <w:spacing w:after="0"/>
              <w:rPr>
                <w:sz w:val="20"/>
                <w:szCs w:val="20"/>
                <w:color w:val="auto"/>
              </w:rPr>
            </w:pPr>
          </w:p>
        </w:tc>
        <w:tc>
          <w:tcPr>
            <w:tcW w:w="320" w:type="dxa"/>
            <w:vAlign w:val="bottom"/>
            <w:shd w:val="clear" w:color="auto" w:fill="D5EFF4"/>
          </w:tcPr>
          <w:p>
            <w:pPr>
              <w:spacing w:after="0"/>
              <w:rPr>
                <w:sz w:val="20"/>
                <w:szCs w:val="20"/>
                <w:color w:val="auto"/>
              </w:rPr>
            </w:pPr>
          </w:p>
        </w:tc>
        <w:tc>
          <w:tcPr>
            <w:tcW w:w="1220" w:type="dxa"/>
            <w:vAlign w:val="bottom"/>
            <w:gridSpan w:val="2"/>
            <w:shd w:val="clear" w:color="auto" w:fill="D5EFF4"/>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33"/>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Retained earnings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2,298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3,315</w:t>
            </w:r>
          </w:p>
        </w:tc>
        <w:tc>
          <w:tcPr>
            <w:tcW w:w="80" w:type="dxa"/>
            <w:vAlign w:val="bottom"/>
          </w:tcPr>
          <w:p>
            <w:pPr>
              <w:spacing w:after="0"/>
              <w:rPr>
                <w:sz w:val="20"/>
                <w:szCs w:val="20"/>
                <w:color w:val="auto"/>
              </w:rPr>
            </w:pPr>
          </w:p>
        </w:tc>
      </w:tr>
      <w:tr>
        <w:trPr>
          <w:trHeight w:val="252"/>
        </w:trPr>
        <w:tc>
          <w:tcPr>
            <w:tcW w:w="6200" w:type="dxa"/>
            <w:vAlign w:val="bottom"/>
            <w:tcBorders>
              <w:bottom w:val="single" w:sz="8" w:color="D5EFF4"/>
            </w:tcBorders>
            <w:gridSpan w:val="3"/>
            <w:shd w:val="clear" w:color="auto" w:fill="D5EFF4"/>
          </w:tcPr>
          <w:p>
            <w:pPr>
              <w:spacing w:after="0"/>
              <w:rPr>
                <w:sz w:val="20"/>
                <w:szCs w:val="20"/>
                <w:color w:val="auto"/>
              </w:rPr>
            </w:pPr>
            <w:r>
              <w:rPr>
                <w:rFonts w:ascii="Times New Roman" w:cs="Times New Roman" w:eastAsia="Times New Roman" w:hAnsi="Times New Roman"/>
                <w:sz w:val="19"/>
                <w:szCs w:val="19"/>
                <w:color w:val="auto"/>
              </w:rPr>
              <w:t>Accumulated other comprehensive loss</w:t>
            </w:r>
          </w:p>
        </w:tc>
        <w:tc>
          <w:tcPr>
            <w:tcW w:w="78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spacing w:after="0"/>
              <w:rPr>
                <w:sz w:val="21"/>
                <w:szCs w:val="21"/>
                <w:color w:val="auto"/>
              </w:rPr>
            </w:pPr>
          </w:p>
        </w:tc>
        <w:tc>
          <w:tcPr>
            <w:tcW w:w="12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(401)</w:t>
            </w:r>
          </w:p>
        </w:tc>
        <w:tc>
          <w:tcPr>
            <w:tcW w:w="14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spacing w:after="0"/>
              <w:rPr>
                <w:sz w:val="21"/>
                <w:szCs w:val="21"/>
                <w:color w:val="auto"/>
              </w:rPr>
            </w:pPr>
          </w:p>
        </w:tc>
        <w:tc>
          <w:tcPr>
            <w:tcW w:w="122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19"/>
                <w:szCs w:val="19"/>
                <w:color w:val="auto"/>
              </w:rPr>
              <w:t>(448)</w:t>
            </w:r>
          </w:p>
        </w:tc>
      </w:tr>
      <w:tr>
        <w:trPr>
          <w:trHeight w:val="208"/>
        </w:trPr>
        <w:tc>
          <w:tcPr>
            <w:tcW w:w="6200" w:type="dxa"/>
            <w:vAlign w:val="bottom"/>
            <w:tcBorders>
              <w:bottom w:val="single" w:sz="8" w:color="D5EFF4"/>
            </w:tcBorders>
            <w:gridSpan w:val="3"/>
          </w:tcPr>
          <w:p>
            <w:pPr>
              <w:ind w:left="200"/>
              <w:spacing w:after="0" w:line="207" w:lineRule="exact"/>
              <w:rPr>
                <w:sz w:val="20"/>
                <w:szCs w:val="20"/>
                <w:color w:val="auto"/>
              </w:rPr>
            </w:pPr>
            <w:r>
              <w:rPr>
                <w:rFonts w:ascii="Times New Roman" w:cs="Times New Roman" w:eastAsia="Times New Roman" w:hAnsi="Times New Roman"/>
                <w:sz w:val="19"/>
                <w:szCs w:val="19"/>
                <w:color w:val="auto"/>
              </w:rPr>
              <w:t>Total equity</w:t>
            </w:r>
          </w:p>
        </w:tc>
        <w:tc>
          <w:tcPr>
            <w:tcW w:w="780" w:type="dxa"/>
            <w:vAlign w:val="bottom"/>
            <w:tcBorders>
              <w:bottom w:val="single" w:sz="8" w:color="D5EFF4"/>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
              <w:spacing w:after="0" w:line="207" w:lineRule="exact"/>
              <w:rPr>
                <w:sz w:val="20"/>
                <w:szCs w:val="20"/>
                <w:color w:val="auto"/>
              </w:rPr>
            </w:pPr>
            <w:r>
              <w:rPr>
                <w:rFonts w:ascii="Times New Roman" w:cs="Times New Roman" w:eastAsia="Times New Roman" w:hAnsi="Times New Roman"/>
                <w:sz w:val="19"/>
                <w:szCs w:val="19"/>
                <w:color w:val="auto"/>
              </w:rPr>
              <w:t>1,904</w:t>
            </w:r>
          </w:p>
        </w:tc>
        <w:tc>
          <w:tcPr>
            <w:tcW w:w="140" w:type="dxa"/>
            <w:vAlign w:val="bottom"/>
            <w:tcBorders>
              <w:bottom w:val="single" w:sz="8" w:color="D5EFF4"/>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2,868</w:t>
            </w:r>
          </w:p>
        </w:tc>
        <w:tc>
          <w:tcPr>
            <w:tcW w:w="80" w:type="dxa"/>
            <w:vAlign w:val="bottom"/>
            <w:tcBorders>
              <w:bottom w:val="single" w:sz="8" w:color="auto"/>
            </w:tcBorders>
          </w:tcPr>
          <w:p>
            <w:pPr>
              <w:spacing w:after="0"/>
              <w:rPr>
                <w:sz w:val="18"/>
                <w:szCs w:val="18"/>
                <w:color w:val="auto"/>
              </w:rPr>
            </w:pPr>
          </w:p>
        </w:tc>
      </w:tr>
      <w:tr>
        <w:trPr>
          <w:trHeight w:val="248"/>
        </w:trPr>
        <w:tc>
          <w:tcPr>
            <w:tcW w:w="6200" w:type="dxa"/>
            <w:vAlign w:val="bottom"/>
            <w:tcBorders>
              <w:bottom w:val="single" w:sz="8" w:color="D5EFF4"/>
            </w:tcBorders>
            <w:gridSpan w:val="3"/>
            <w:shd w:val="clear" w:color="auto" w:fill="D5EFF4"/>
          </w:tcPr>
          <w:p>
            <w:pPr>
              <w:spacing w:after="0"/>
              <w:rPr>
                <w:sz w:val="20"/>
                <w:szCs w:val="20"/>
                <w:color w:val="auto"/>
              </w:rPr>
            </w:pPr>
            <w:r>
              <w:rPr>
                <w:rFonts w:ascii="Times New Roman" w:cs="Times New Roman" w:eastAsia="Times New Roman" w:hAnsi="Times New Roman"/>
                <w:sz w:val="19"/>
                <w:szCs w:val="19"/>
                <w:b w:val="1"/>
                <w:bCs w:val="1"/>
                <w:color w:val="auto"/>
              </w:rPr>
              <w:t>Total liabilities and equity</w:t>
            </w:r>
          </w:p>
        </w:tc>
        <w:tc>
          <w:tcPr>
            <w:tcW w:w="78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jc w:val="right"/>
              <w:ind w:right="125"/>
              <w:spacing w:after="0"/>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tcBorders>
              <w:bottom w:val="single" w:sz="8" w:color="auto"/>
            </w:tcBorders>
            <w:shd w:val="clear" w:color="auto" w:fill="D5EFF4"/>
          </w:tcPr>
          <w:p>
            <w:pPr>
              <w:jc w:val="right"/>
              <w:ind w:right="25"/>
              <w:spacing w:after="0"/>
              <w:rPr>
                <w:sz w:val="20"/>
                <w:szCs w:val="20"/>
                <w:color w:val="auto"/>
              </w:rPr>
            </w:pPr>
            <w:r>
              <w:rPr>
                <w:rFonts w:ascii="Times New Roman" w:cs="Times New Roman" w:eastAsia="Times New Roman" w:hAnsi="Times New Roman"/>
                <w:sz w:val="19"/>
                <w:szCs w:val="19"/>
                <w:color w:val="auto"/>
              </w:rPr>
              <w:t>4,611</w:t>
            </w:r>
          </w:p>
        </w:tc>
        <w:tc>
          <w:tcPr>
            <w:tcW w:w="140" w:type="dxa"/>
            <w:vAlign w:val="bottom"/>
            <w:tcBorders>
              <w:bottom w:val="single" w:sz="8" w:color="D5EFF4"/>
            </w:tcBorders>
            <w:shd w:val="clear" w:color="auto" w:fill="D5EFF4"/>
          </w:tcPr>
          <w:p>
            <w:pPr>
              <w:spacing w:after="0"/>
              <w:rPr>
                <w:sz w:val="21"/>
                <w:szCs w:val="21"/>
                <w:color w:val="auto"/>
              </w:rPr>
            </w:pPr>
          </w:p>
        </w:tc>
        <w:tc>
          <w:tcPr>
            <w:tcW w:w="320" w:type="dxa"/>
            <w:vAlign w:val="bottom"/>
            <w:tcBorders>
              <w:bottom w:val="single" w:sz="8" w:color="auto"/>
            </w:tcBorders>
            <w:shd w:val="clear" w:color="auto" w:fill="D5EFF4"/>
          </w:tcPr>
          <w:p>
            <w:pPr>
              <w:jc w:val="right"/>
              <w:ind w:right="125"/>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9"/>
                <w:szCs w:val="19"/>
                <w:color w:val="auto"/>
              </w:rPr>
              <w:t>5,645</w:t>
            </w:r>
          </w:p>
        </w:tc>
        <w:tc>
          <w:tcPr>
            <w:tcW w:w="80" w:type="dxa"/>
            <w:vAlign w:val="bottom"/>
            <w:tcBorders>
              <w:bottom w:val="single" w:sz="8" w:color="auto"/>
            </w:tcBorders>
            <w:shd w:val="clear" w:color="auto" w:fill="D5EFF4"/>
          </w:tcPr>
          <w:p>
            <w:pPr>
              <w:spacing w:after="0"/>
              <w:rPr>
                <w:sz w:val="21"/>
                <w:szCs w:val="21"/>
                <w:color w:val="auto"/>
              </w:rPr>
            </w:pPr>
          </w:p>
        </w:tc>
      </w:tr>
      <w:tr>
        <w:trPr>
          <w:trHeight w:val="20"/>
        </w:trPr>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8"/>
        </w:trPr>
        <w:tc>
          <w:tcPr>
            <w:tcW w:w="7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-6862445</wp:posOffset>
            </wp:positionV>
            <wp:extent cx="6497320"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90">
                      <a:extLst>
                        <a:ext uri="{28A0092B-C50C-407E-A947-70E740481C1C}"/>
                      </a:extLst>
                    </a:blip>
                    <a:srcRect/>
                    <a:stretch>
                      <a:fillRect/>
                    </a:stretch>
                  </pic:blipFill>
                  <pic:spPr bwMode="auto">
                    <a:xfrm>
                      <a:off x="0" y="0"/>
                      <a:ext cx="649732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6497320"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91">
                      <a:extLst>
                        <a:ext uri="{28A0092B-C50C-407E-A947-70E740481C1C}"/>
                      </a:extLst>
                    </a:blip>
                    <a:srcRect/>
                    <a:stretch>
                      <a:fillRect/>
                    </a:stretch>
                  </pic:blipFill>
                  <pic:spPr bwMode="auto">
                    <a:xfrm>
                      <a:off x="0" y="0"/>
                      <a:ext cx="6497320" cy="38100"/>
                    </a:xfrm>
                    <a:prstGeom prst="rect">
                      <a:avLst/>
                    </a:prstGeom>
                    <a:noFill/>
                  </pic:spPr>
                </pic:pic>
              </a:graphicData>
            </a:graphic>
          </wp:anchor>
        </w:drawing>
      </w:r>
    </w:p>
    <w:p>
      <w:pPr>
        <w:spacing w:after="0" w:line="5" w:lineRule="exact"/>
        <w:rPr>
          <w:sz w:val="20"/>
          <w:szCs w:val="20"/>
          <w:color w:val="auto"/>
        </w:rPr>
      </w:pPr>
    </w:p>
    <w:p>
      <w:pPr>
        <w:ind w:left="566" w:hanging="566"/>
        <w:spacing w:after="0"/>
        <w:tabs>
          <w:tab w:leader="none" w:pos="56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receivable, net includes an allowance for credit losses of $2 million at both September 30, 2025 and 2024.</w:t>
      </w:r>
    </w:p>
    <w:p>
      <w:pPr>
        <w:spacing w:after="0" w:line="4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Asbestos insurance receivable, net includes an allowance for credit losses of $2 million at both September 30, 2025 and 2024.</w:t>
      </w:r>
    </w:p>
    <w:p>
      <w:pPr>
        <w:spacing w:after="0" w:line="1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246"/>
          </w:cols>
          <w:pgMar w:left="994"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246"/>
          </w:cols>
          <w:pgMar w:left="994" w:top="930" w:right="1000" w:bottom="175" w:gutter="0" w:footer="0" w:header="0"/>
          <w:type w:val="continuous"/>
        </w:sectPr>
      </w:pPr>
    </w:p>
    <w:bookmarkStart w:id="111" w:name="page112"/>
    <w:bookmarkEnd w:id="111"/>
    <w:p>
      <w:pPr>
        <w:ind w:left="6"/>
        <w:spacing w:after="0"/>
        <w:rPr>
          <w:sz w:val="20"/>
          <w:szCs w:val="20"/>
          <w:color w:val="auto"/>
        </w:rPr>
      </w:pPr>
      <w:r>
        <w:rPr>
          <w:rFonts w:ascii="Times New Roman" w:cs="Times New Roman" w:eastAsia="Times New Roman" w:hAnsi="Times New Roman"/>
          <w:sz w:val="20"/>
          <w:szCs w:val="20"/>
          <w:color w:val="auto"/>
        </w:rPr>
        <w:t>Ashland Inc. and Consolidated Subsidiaries</w:t>
      </w:r>
    </w:p>
    <w:p>
      <w:pPr>
        <w:spacing w:after="0" w:line="3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Statements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83185</wp:posOffset>
            </wp:positionV>
            <wp:extent cx="881570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92">
                      <a:extLst>
                        <a:ext uri="{28A0092B-C50C-407E-A947-70E740481C1C}"/>
                      </a:extLst>
                    </a:blip>
                    <a:srcRect/>
                    <a:stretch>
                      <a:fillRect/>
                    </a:stretch>
                  </pic:blipFill>
                  <pic:spPr bwMode="auto">
                    <a:xfrm>
                      <a:off x="0" y="0"/>
                      <a:ext cx="8815705" cy="38100"/>
                    </a:xfrm>
                    <a:prstGeom prst="rect">
                      <a:avLst/>
                    </a:prstGeom>
                    <a:noFill/>
                  </pic:spPr>
                </pic:pic>
              </a:graphicData>
            </a:graphic>
          </wp:anchor>
        </w:drawing>
      </w:r>
    </w:p>
    <w:p>
      <w:pPr>
        <w:spacing w:after="0" w:line="116" w:lineRule="exact"/>
        <w:rPr>
          <w:sz w:val="20"/>
          <w:szCs w:val="20"/>
          <w:color w:val="auto"/>
        </w:rPr>
      </w:pPr>
    </w:p>
    <w:tbl>
      <w:tblPr>
        <w:tblLayout w:type="fixed"/>
        <w:tblInd w:w="6" w:type="dxa"/>
        <w:tblCellMar>
          <w:top w:w="0" w:type="dxa"/>
          <w:left w:w="0" w:type="dxa"/>
          <w:bottom w:w="0" w:type="dxa"/>
          <w:right w:w="0" w:type="dxa"/>
        </w:tblCellMar>
      </w:tblPr>
      <w:tr>
        <w:trPr>
          <w:trHeight w:val="221"/>
        </w:trPr>
        <w:tc>
          <w:tcPr>
            <w:tcW w:w="6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9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Common</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Retained</w:t>
            </w:r>
          </w:p>
        </w:tc>
        <w:tc>
          <w:tcPr>
            <w:tcW w:w="140" w:type="dxa"/>
            <w:vAlign w:val="bottom"/>
          </w:tcPr>
          <w:p>
            <w:pPr>
              <w:spacing w:after="0"/>
              <w:rPr>
                <w:sz w:val="19"/>
                <w:szCs w:val="19"/>
                <w:color w:val="auto"/>
              </w:rPr>
            </w:pPr>
          </w:p>
        </w:tc>
        <w:tc>
          <w:tcPr>
            <w:tcW w:w="14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comprehensive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capital</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center"/>
              <w:ind w:right="190"/>
              <w:spacing w:after="0" w:line="253" w:lineRule="exact"/>
              <w:rPr>
                <w:sz w:val="20"/>
                <w:szCs w:val="20"/>
                <w:color w:val="auto"/>
              </w:rPr>
            </w:pPr>
            <w:r>
              <w:rPr>
                <w:rFonts w:ascii="Times New Roman" w:cs="Times New Roman" w:eastAsia="Times New Roman" w:hAnsi="Times New Roman"/>
                <w:sz w:val="18"/>
                <w:szCs w:val="18"/>
                <w:color w:val="auto"/>
                <w:w w:val="88"/>
              </w:rPr>
              <w:t>loss</w:t>
            </w:r>
            <w:r>
              <w:rPr>
                <w:rFonts w:ascii="Times New Roman" w:cs="Times New Roman" w:eastAsia="Times New Roman" w:hAnsi="Times New Roman"/>
                <w:sz w:val="23"/>
                <w:szCs w:val="23"/>
                <w:color w:val="auto"/>
                <w:w w:val="88"/>
                <w:vertAlign w:val="superscript"/>
              </w:rPr>
              <w:t>(a)</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840" w:type="dxa"/>
            <w:vAlign w:val="bottom"/>
            <w:shd w:val="clear" w:color="auto" w:fill="D4EFF4"/>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4EFF4"/>
          </w:tcPr>
          <w:p>
            <w:pPr>
              <w:jc w:val="right"/>
              <w:ind w:right="90"/>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4EFF4"/>
          </w:tcPr>
          <w:p>
            <w:pPr>
              <w:jc w:val="right"/>
              <w:ind w:right="90"/>
              <w:spacing w:after="0"/>
              <w:rPr>
                <w:sz w:val="20"/>
                <w:szCs w:val="20"/>
                <w:color w:val="auto"/>
              </w:rPr>
            </w:pPr>
            <w:r>
              <w:rPr>
                <w:rFonts w:ascii="Times New Roman" w:cs="Times New Roman" w:eastAsia="Times New Roman" w:hAnsi="Times New Roman"/>
                <w:sz w:val="18"/>
                <w:szCs w:val="18"/>
                <w:color w:val="auto"/>
              </w:rPr>
              <w:t>3,653</w:t>
            </w:r>
          </w:p>
        </w:tc>
        <w:tc>
          <w:tcPr>
            <w:tcW w:w="26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80" w:type="dxa"/>
            <w:vAlign w:val="bottom"/>
            <w:gridSpan w:val="2"/>
            <w:shd w:val="clear" w:color="auto" w:fill="D4EFF4"/>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80" w:type="dxa"/>
            <w:vAlign w:val="bottom"/>
            <w:tcBorders>
              <w:top w:val="single" w:sz="8" w:color="auto"/>
            </w:tcBorders>
            <w:shd w:val="clear" w:color="auto" w:fill="D4EFF4"/>
          </w:tcPr>
          <w:p>
            <w:pPr>
              <w:spacing w:after="0"/>
              <w:rPr>
                <w:sz w:val="18"/>
                <w:szCs w:val="18"/>
                <w:color w:val="auto"/>
              </w:rPr>
            </w:pPr>
          </w:p>
        </w:tc>
      </w:tr>
      <w:tr>
        <w:trPr>
          <w:trHeight w:val="22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900" w:type="dxa"/>
            <w:vAlign w:val="bottom"/>
            <w:shd w:val="clear" w:color="auto" w:fill="D1EDF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D1EDF2"/>
          </w:tcPr>
          <w:p>
            <w:pPr>
              <w:spacing w:after="0"/>
              <w:rPr>
                <w:sz w:val="19"/>
                <w:szCs w:val="19"/>
                <w:color w:val="auto"/>
              </w:rPr>
            </w:pPr>
          </w:p>
        </w:tc>
        <w:tc>
          <w:tcPr>
            <w:tcW w:w="260" w:type="dxa"/>
            <w:vAlign w:val="bottom"/>
            <w:shd w:val="clear" w:color="auto" w:fill="D1EDF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1EDF2"/>
          </w:tcPr>
          <w:p>
            <w:pPr>
              <w:spacing w:after="0"/>
              <w:rPr>
                <w:sz w:val="19"/>
                <w:szCs w:val="19"/>
                <w:color w:val="auto"/>
              </w:rPr>
            </w:pPr>
          </w:p>
        </w:tc>
        <w:tc>
          <w:tcPr>
            <w:tcW w:w="180" w:type="dxa"/>
            <w:vAlign w:val="bottom"/>
            <w:shd w:val="clear" w:color="auto" w:fill="D1EDF2"/>
          </w:tcPr>
          <w:p>
            <w:pPr>
              <w:spacing w:after="0"/>
              <w:rPr>
                <w:sz w:val="19"/>
                <w:szCs w:val="19"/>
                <w:color w:val="auto"/>
              </w:rPr>
            </w:pPr>
          </w:p>
        </w:tc>
        <w:tc>
          <w:tcPr>
            <w:tcW w:w="1100" w:type="dxa"/>
            <w:vAlign w:val="bottom"/>
            <w:shd w:val="clear" w:color="auto" w:fill="D1EDF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1EDF2"/>
          </w:tcPr>
          <w:p>
            <w:pPr>
              <w:spacing w:after="0"/>
              <w:rPr>
                <w:sz w:val="19"/>
                <w:szCs w:val="19"/>
                <w:color w:val="auto"/>
              </w:rPr>
            </w:pPr>
          </w:p>
        </w:tc>
        <w:tc>
          <w:tcPr>
            <w:tcW w:w="160" w:type="dxa"/>
            <w:vAlign w:val="bottom"/>
            <w:shd w:val="clear" w:color="auto" w:fill="D1EDF2"/>
          </w:tcPr>
          <w:p>
            <w:pPr>
              <w:spacing w:after="0"/>
              <w:rPr>
                <w:sz w:val="19"/>
                <w:szCs w:val="19"/>
                <w:color w:val="auto"/>
              </w:rPr>
            </w:pPr>
          </w:p>
        </w:tc>
        <w:tc>
          <w:tcPr>
            <w:tcW w:w="1120" w:type="dxa"/>
            <w:vAlign w:val="bottom"/>
            <w:shd w:val="clear" w:color="auto" w:fill="D1EDF2"/>
          </w:tcPr>
          <w:p>
            <w:pPr>
              <w:jc w:val="right"/>
              <w:ind w:right="9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D1EDF2"/>
          </w:tcPr>
          <w:p>
            <w:pPr>
              <w:spacing w:after="0"/>
              <w:rPr>
                <w:sz w:val="19"/>
                <w:szCs w:val="19"/>
                <w:color w:val="auto"/>
              </w:rPr>
            </w:pPr>
          </w:p>
        </w:tc>
        <w:tc>
          <w:tcPr>
            <w:tcW w:w="120" w:type="dxa"/>
            <w:vAlign w:val="bottom"/>
            <w:shd w:val="clear" w:color="auto" w:fill="D1EDF2"/>
          </w:tcPr>
          <w:p>
            <w:pPr>
              <w:spacing w:after="0"/>
              <w:rPr>
                <w:sz w:val="19"/>
                <w:szCs w:val="19"/>
                <w:color w:val="auto"/>
              </w:rPr>
            </w:pPr>
          </w:p>
        </w:tc>
        <w:tc>
          <w:tcPr>
            <w:tcW w:w="1280" w:type="dxa"/>
            <w:vAlign w:val="bottom"/>
            <w:shd w:val="clear" w:color="auto" w:fill="D1EDF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2"/>
          </w:tcPr>
          <w:p>
            <w:pPr>
              <w:spacing w:after="0"/>
              <w:rPr>
                <w:sz w:val="19"/>
                <w:szCs w:val="19"/>
                <w:color w:val="auto"/>
              </w:rPr>
            </w:pPr>
          </w:p>
        </w:tc>
        <w:tc>
          <w:tcPr>
            <w:tcW w:w="240" w:type="dxa"/>
            <w:vAlign w:val="bottom"/>
            <w:shd w:val="clear" w:color="auto" w:fill="D1EDF2"/>
          </w:tcPr>
          <w:p>
            <w:pPr>
              <w:spacing w:after="0"/>
              <w:rPr>
                <w:sz w:val="19"/>
                <w:szCs w:val="19"/>
                <w:color w:val="auto"/>
              </w:rPr>
            </w:pPr>
          </w:p>
        </w:tc>
        <w:tc>
          <w:tcPr>
            <w:tcW w:w="960" w:type="dxa"/>
            <w:vAlign w:val="bottom"/>
            <w:shd w:val="clear" w:color="auto" w:fill="D1EDF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D1EDF2"/>
          </w:tcPr>
          <w:p>
            <w:pPr>
              <w:spacing w:after="0"/>
              <w:rPr>
                <w:sz w:val="19"/>
                <w:szCs w:val="19"/>
                <w:color w:val="auto"/>
              </w:rPr>
            </w:pPr>
          </w:p>
        </w:tc>
      </w:tr>
      <w:tr>
        <w:trPr>
          <w:trHeight w:val="221"/>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r>
      <w:tr>
        <w:trPr>
          <w:trHeight w:val="221"/>
        </w:trPr>
        <w:tc>
          <w:tcPr>
            <w:tcW w:w="6900" w:type="dxa"/>
            <w:vAlign w:val="bottom"/>
            <w:shd w:val="clear" w:color="auto" w:fill="D1EDF2"/>
          </w:tcPr>
          <w:p>
            <w:pPr>
              <w:spacing w:after="0"/>
              <w:rPr>
                <w:sz w:val="20"/>
                <w:szCs w:val="20"/>
                <w:color w:val="auto"/>
              </w:rPr>
            </w:pPr>
            <w:r>
              <w:rPr>
                <w:rFonts w:ascii="Times New Roman" w:cs="Times New Roman" w:eastAsia="Times New Roman" w:hAnsi="Times New Roman"/>
                <w:sz w:val="18"/>
                <w:szCs w:val="18"/>
                <w:color w:val="auto"/>
              </w:rPr>
              <w:t>Dividends, $1.44 per common share</w:t>
            </w:r>
          </w:p>
        </w:tc>
        <w:tc>
          <w:tcPr>
            <w:tcW w:w="840" w:type="dxa"/>
            <w:vAlign w:val="bottom"/>
            <w:shd w:val="clear" w:color="auto" w:fill="D1EDF2"/>
          </w:tcPr>
          <w:p>
            <w:pPr>
              <w:spacing w:after="0"/>
              <w:rPr>
                <w:sz w:val="19"/>
                <w:szCs w:val="19"/>
                <w:color w:val="auto"/>
              </w:rPr>
            </w:pPr>
          </w:p>
        </w:tc>
        <w:tc>
          <w:tcPr>
            <w:tcW w:w="260" w:type="dxa"/>
            <w:vAlign w:val="bottom"/>
            <w:shd w:val="clear" w:color="auto" w:fill="D1EDF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1EDF2"/>
          </w:tcPr>
          <w:p>
            <w:pPr>
              <w:spacing w:after="0"/>
              <w:rPr>
                <w:sz w:val="19"/>
                <w:szCs w:val="19"/>
                <w:color w:val="auto"/>
              </w:rPr>
            </w:pPr>
          </w:p>
        </w:tc>
        <w:tc>
          <w:tcPr>
            <w:tcW w:w="180" w:type="dxa"/>
            <w:vAlign w:val="bottom"/>
            <w:shd w:val="clear" w:color="auto" w:fill="D1EDF2"/>
          </w:tcPr>
          <w:p>
            <w:pPr>
              <w:spacing w:after="0"/>
              <w:rPr>
                <w:sz w:val="19"/>
                <w:szCs w:val="19"/>
                <w:color w:val="auto"/>
              </w:rPr>
            </w:pPr>
          </w:p>
        </w:tc>
        <w:tc>
          <w:tcPr>
            <w:tcW w:w="1100" w:type="dxa"/>
            <w:vAlign w:val="bottom"/>
            <w:shd w:val="clear" w:color="auto" w:fill="D1EDF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1EDF2"/>
          </w:tcPr>
          <w:p>
            <w:pPr>
              <w:spacing w:after="0"/>
              <w:rPr>
                <w:sz w:val="19"/>
                <w:szCs w:val="19"/>
                <w:color w:val="auto"/>
              </w:rPr>
            </w:pPr>
          </w:p>
        </w:tc>
        <w:tc>
          <w:tcPr>
            <w:tcW w:w="160" w:type="dxa"/>
            <w:vAlign w:val="bottom"/>
            <w:shd w:val="clear" w:color="auto" w:fill="D1EDF2"/>
          </w:tcPr>
          <w:p>
            <w:pPr>
              <w:spacing w:after="0"/>
              <w:rPr>
                <w:sz w:val="19"/>
                <w:szCs w:val="19"/>
                <w:color w:val="auto"/>
              </w:rPr>
            </w:pPr>
          </w:p>
        </w:tc>
        <w:tc>
          <w:tcPr>
            <w:tcW w:w="1120" w:type="dxa"/>
            <w:vAlign w:val="bottom"/>
            <w:shd w:val="clear" w:color="auto" w:fill="D1EDF2"/>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D1EDF2"/>
          </w:tcPr>
          <w:p>
            <w:pPr>
              <w:spacing w:after="0"/>
              <w:rPr>
                <w:sz w:val="19"/>
                <w:szCs w:val="19"/>
                <w:color w:val="auto"/>
              </w:rPr>
            </w:pPr>
          </w:p>
        </w:tc>
        <w:tc>
          <w:tcPr>
            <w:tcW w:w="120" w:type="dxa"/>
            <w:vAlign w:val="bottom"/>
            <w:shd w:val="clear" w:color="auto" w:fill="D1EDF2"/>
          </w:tcPr>
          <w:p>
            <w:pPr>
              <w:spacing w:after="0"/>
              <w:rPr>
                <w:sz w:val="19"/>
                <w:szCs w:val="19"/>
                <w:color w:val="auto"/>
              </w:rPr>
            </w:pPr>
          </w:p>
        </w:tc>
        <w:tc>
          <w:tcPr>
            <w:tcW w:w="1280" w:type="dxa"/>
            <w:vAlign w:val="bottom"/>
            <w:shd w:val="clear" w:color="auto" w:fill="D1EDF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2"/>
          </w:tcPr>
          <w:p>
            <w:pPr>
              <w:spacing w:after="0"/>
              <w:rPr>
                <w:sz w:val="19"/>
                <w:szCs w:val="19"/>
                <w:color w:val="auto"/>
              </w:rPr>
            </w:pPr>
          </w:p>
        </w:tc>
        <w:tc>
          <w:tcPr>
            <w:tcW w:w="240" w:type="dxa"/>
            <w:vAlign w:val="bottom"/>
            <w:shd w:val="clear" w:color="auto" w:fill="D1EDF2"/>
          </w:tcPr>
          <w:p>
            <w:pPr>
              <w:spacing w:after="0"/>
              <w:rPr>
                <w:sz w:val="19"/>
                <w:szCs w:val="19"/>
                <w:color w:val="auto"/>
              </w:rPr>
            </w:pPr>
          </w:p>
        </w:tc>
        <w:tc>
          <w:tcPr>
            <w:tcW w:w="1040" w:type="dxa"/>
            <w:vAlign w:val="bottom"/>
            <w:gridSpan w:val="2"/>
            <w:shd w:val="clear" w:color="auto" w:fill="D1EDF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Compensation expense and common shares issued under stock incentive and other plans</w:t>
            </w:r>
            <w:r>
              <w:rPr>
                <w:rFonts w:ascii="Times New Roman" w:cs="Times New Roman" w:eastAsia="Times New Roman" w:hAnsi="Times New Roman"/>
                <w:sz w:val="23"/>
                <w:szCs w:val="23"/>
                <w:color w:val="auto"/>
                <w:vertAlign w:val="superscript"/>
              </w:rPr>
              <w:t>(b)(c)</w:t>
            </w: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r>
      <w:tr>
        <w:trPr>
          <w:trHeight w:val="221"/>
        </w:trPr>
        <w:tc>
          <w:tcPr>
            <w:tcW w:w="6900" w:type="dxa"/>
            <w:vAlign w:val="bottom"/>
            <w:shd w:val="clear" w:color="auto" w:fill="D4EFF4"/>
          </w:tcPr>
          <w:p>
            <w:pPr>
              <w:spacing w:after="0" w:line="221" w:lineRule="exact"/>
              <w:rPr>
                <w:sz w:val="20"/>
                <w:szCs w:val="20"/>
                <w:color w:val="auto"/>
              </w:rPr>
            </w:pPr>
            <w:r>
              <w:rPr>
                <w:rFonts w:ascii="Times New Roman" w:cs="Times New Roman" w:eastAsia="Times New Roman" w:hAnsi="Times New Roman"/>
                <w:sz w:val="18"/>
                <w:szCs w:val="18"/>
                <w:color w:val="auto"/>
              </w:rPr>
              <w:t>Repurchase of common stock</w:t>
            </w:r>
            <w:r>
              <w:rPr>
                <w:rFonts w:ascii="Times New Roman" w:cs="Times New Roman" w:eastAsia="Times New Roman" w:hAnsi="Times New Roman"/>
                <w:sz w:val="23"/>
                <w:szCs w:val="23"/>
                <w:color w:val="auto"/>
                <w:vertAlign w:val="superscript"/>
              </w:rPr>
              <w:t>(d)(e)</w:t>
            </w:r>
          </w:p>
        </w:tc>
        <w:tc>
          <w:tcPr>
            <w:tcW w:w="840" w:type="dxa"/>
            <w:vAlign w:val="bottom"/>
            <w:tcBorders>
              <w:bottom w:val="single" w:sz="8" w:color="auto"/>
            </w:tcBorders>
            <w:shd w:val="clear" w:color="auto" w:fill="D4EFF4"/>
          </w:tcPr>
          <w:p>
            <w:pPr>
              <w:spacing w:after="0"/>
              <w:rPr>
                <w:sz w:val="19"/>
                <w:szCs w:val="19"/>
                <w:color w:val="auto"/>
              </w:rPr>
            </w:pPr>
          </w:p>
        </w:tc>
        <w:tc>
          <w:tcPr>
            <w:tcW w:w="2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4EFF4"/>
          </w:tcPr>
          <w:p>
            <w:pPr>
              <w:spacing w:after="0"/>
              <w:rPr>
                <w:sz w:val="19"/>
                <w:szCs w:val="19"/>
                <w:color w:val="auto"/>
              </w:rPr>
            </w:pPr>
          </w:p>
        </w:tc>
        <w:tc>
          <w:tcPr>
            <w:tcW w:w="180" w:type="dxa"/>
            <w:vAlign w:val="bottom"/>
            <w:tcBorders>
              <w:bottom w:val="single" w:sz="8" w:color="auto"/>
            </w:tcBorders>
            <w:shd w:val="clear" w:color="auto" w:fill="D4EFF4"/>
          </w:tcPr>
          <w:p>
            <w:pPr>
              <w:spacing w:after="0"/>
              <w:rPr>
                <w:sz w:val="19"/>
                <w:szCs w:val="19"/>
                <w:color w:val="auto"/>
              </w:rPr>
            </w:pPr>
          </w:p>
        </w:tc>
        <w:tc>
          <w:tcPr>
            <w:tcW w:w="1100" w:type="dxa"/>
            <w:vAlign w:val="bottom"/>
            <w:tcBorders>
              <w:bottom w:val="single" w:sz="8" w:color="auto"/>
            </w:tcBorders>
            <w:shd w:val="clear" w:color="auto" w:fill="D4EFF4"/>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D4EFF4"/>
          </w:tcPr>
          <w:p>
            <w:pPr>
              <w:spacing w:after="0"/>
              <w:rPr>
                <w:sz w:val="19"/>
                <w:szCs w:val="19"/>
                <w:color w:val="auto"/>
              </w:rPr>
            </w:pPr>
          </w:p>
        </w:tc>
        <w:tc>
          <w:tcPr>
            <w:tcW w:w="160" w:type="dxa"/>
            <w:vAlign w:val="bottom"/>
            <w:tcBorders>
              <w:bottom w:val="single" w:sz="8" w:color="auto"/>
            </w:tcBorders>
            <w:shd w:val="clear" w:color="auto" w:fill="D4EFF4"/>
          </w:tcPr>
          <w:p>
            <w:pPr>
              <w:spacing w:after="0"/>
              <w:rPr>
                <w:sz w:val="19"/>
                <w:szCs w:val="19"/>
                <w:color w:val="auto"/>
              </w:rPr>
            </w:pPr>
          </w:p>
        </w:tc>
        <w:tc>
          <w:tcPr>
            <w:tcW w:w="1120" w:type="dxa"/>
            <w:vAlign w:val="bottom"/>
            <w:tcBorders>
              <w:bottom w:val="single" w:sz="8" w:color="auto"/>
            </w:tcBorders>
            <w:shd w:val="clear" w:color="auto" w:fill="D4EFF4"/>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1280" w:type="dxa"/>
            <w:vAlign w:val="bottom"/>
            <w:tcBorders>
              <w:bottom w:val="single" w:sz="8" w:color="auto"/>
            </w:tcBorders>
            <w:shd w:val="clear" w:color="auto" w:fill="D4EFF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4EFF4"/>
          </w:tcPr>
          <w:p>
            <w:pPr>
              <w:spacing w:after="0"/>
              <w:rPr>
                <w:sz w:val="19"/>
                <w:szCs w:val="19"/>
                <w:color w:val="auto"/>
              </w:rPr>
            </w:pPr>
          </w:p>
        </w:tc>
        <w:tc>
          <w:tcPr>
            <w:tcW w:w="240" w:type="dxa"/>
            <w:vAlign w:val="bottom"/>
            <w:tcBorders>
              <w:bottom w:val="single" w:sz="8" w:color="auto"/>
            </w:tcBorders>
            <w:shd w:val="clear" w:color="auto" w:fill="D4EFF4"/>
          </w:tcPr>
          <w:p>
            <w:pPr>
              <w:spacing w:after="0"/>
              <w:rPr>
                <w:sz w:val="19"/>
                <w:szCs w:val="19"/>
                <w:color w:val="auto"/>
              </w:rPr>
            </w:pPr>
          </w:p>
        </w:tc>
        <w:tc>
          <w:tcPr>
            <w:tcW w:w="104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80" w:type="dxa"/>
            <w:vAlign w:val="bottom"/>
          </w:tcPr>
          <w:p>
            <w:pPr>
              <w:spacing w:after="0"/>
              <w:rPr>
                <w:sz w:val="18"/>
                <w:szCs w:val="18"/>
                <w:color w:val="auto"/>
              </w:rPr>
            </w:pPr>
          </w:p>
        </w:tc>
      </w:tr>
      <w:tr>
        <w:trPr>
          <w:trHeight w:val="221"/>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40" w:type="dxa"/>
            <w:vAlign w:val="bottom"/>
            <w:shd w:val="clear" w:color="auto" w:fill="D4EFF4"/>
          </w:tcPr>
          <w:p>
            <w:pPr>
              <w:spacing w:after="0"/>
              <w:rPr>
                <w:sz w:val="19"/>
                <w:szCs w:val="19"/>
                <w:color w:val="auto"/>
              </w:rPr>
            </w:pPr>
          </w:p>
        </w:tc>
        <w:tc>
          <w:tcPr>
            <w:tcW w:w="26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1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1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8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96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r>
      <w:tr>
        <w:trPr>
          <w:trHeight w:val="221"/>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r>
      <w:tr>
        <w:trPr>
          <w:trHeight w:val="221"/>
        </w:trPr>
        <w:tc>
          <w:tcPr>
            <w:tcW w:w="69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shd w:val="clear" w:color="auto" w:fill="D4EFF4"/>
          </w:tcPr>
          <w:p>
            <w:pPr>
              <w:spacing w:after="0"/>
              <w:rPr>
                <w:sz w:val="19"/>
                <w:szCs w:val="19"/>
                <w:color w:val="auto"/>
              </w:rPr>
            </w:pPr>
          </w:p>
        </w:tc>
        <w:tc>
          <w:tcPr>
            <w:tcW w:w="2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100" w:type="dxa"/>
            <w:vAlign w:val="bottom"/>
            <w:shd w:val="clear" w:color="auto" w:fill="D4EFF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120" w:type="dxa"/>
            <w:vAlign w:val="bottom"/>
            <w:shd w:val="clear" w:color="auto" w:fill="D4EFF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80" w:type="dxa"/>
            <w:vAlign w:val="bottom"/>
            <w:shd w:val="clear" w:color="auto" w:fill="D4EFF4"/>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D4EFF4"/>
          </w:tcPr>
          <w:p>
            <w:pPr>
              <w:spacing w:after="0"/>
              <w:rPr>
                <w:sz w:val="19"/>
                <w:szCs w:val="19"/>
                <w:color w:val="auto"/>
              </w:rPr>
            </w:pPr>
          </w:p>
        </w:tc>
      </w:tr>
      <w:tr>
        <w:trPr>
          <w:trHeight w:val="22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Dividends, $1.58 per common share</w:t>
            </w: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21"/>
        </w:trPr>
        <w:tc>
          <w:tcPr>
            <w:tcW w:w="6900" w:type="dxa"/>
            <w:vAlign w:val="bottom"/>
            <w:shd w:val="clear" w:color="auto" w:fill="D4EFF4"/>
          </w:tcPr>
          <w:p>
            <w:pPr>
              <w:spacing w:after="0" w:line="221" w:lineRule="exact"/>
              <w:rPr>
                <w:sz w:val="20"/>
                <w:szCs w:val="20"/>
                <w:color w:val="auto"/>
              </w:rPr>
            </w:pPr>
            <w:r>
              <w:rPr>
                <w:rFonts w:ascii="Times New Roman" w:cs="Times New Roman" w:eastAsia="Times New Roman" w:hAnsi="Times New Roman"/>
                <w:sz w:val="18"/>
                <w:szCs w:val="18"/>
                <w:color w:val="auto"/>
              </w:rPr>
              <w:t>Compensation expense and common shares issued under stock incentive and other plans</w:t>
            </w:r>
            <w:r>
              <w:rPr>
                <w:rFonts w:ascii="Times New Roman" w:cs="Times New Roman" w:eastAsia="Times New Roman" w:hAnsi="Times New Roman"/>
                <w:sz w:val="23"/>
                <w:szCs w:val="23"/>
                <w:color w:val="auto"/>
                <w:vertAlign w:val="superscript"/>
              </w:rPr>
              <w:t>(b)(c)</w:t>
            </w:r>
          </w:p>
        </w:tc>
        <w:tc>
          <w:tcPr>
            <w:tcW w:w="840" w:type="dxa"/>
            <w:vAlign w:val="bottom"/>
            <w:shd w:val="clear" w:color="auto" w:fill="D4EFF4"/>
          </w:tcPr>
          <w:p>
            <w:pPr>
              <w:spacing w:after="0"/>
              <w:rPr>
                <w:sz w:val="19"/>
                <w:szCs w:val="19"/>
                <w:color w:val="auto"/>
              </w:rPr>
            </w:pPr>
          </w:p>
        </w:tc>
        <w:tc>
          <w:tcPr>
            <w:tcW w:w="2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100" w:type="dxa"/>
            <w:vAlign w:val="bottom"/>
            <w:shd w:val="clear" w:color="auto" w:fill="D4EFF4"/>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120" w:type="dxa"/>
            <w:vAlign w:val="bottom"/>
            <w:shd w:val="clear" w:color="auto" w:fill="D4EFF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80" w:type="dxa"/>
            <w:vAlign w:val="bottom"/>
            <w:shd w:val="clear" w:color="auto" w:fill="D4EFF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D4EFF4"/>
          </w:tcPr>
          <w:p>
            <w:pPr>
              <w:spacing w:after="0"/>
              <w:rPr>
                <w:sz w:val="19"/>
                <w:szCs w:val="19"/>
                <w:color w:val="auto"/>
              </w:rPr>
            </w:pPr>
          </w:p>
        </w:tc>
      </w:tr>
      <w:tr>
        <w:trPr>
          <w:trHeight w:val="221"/>
        </w:trPr>
        <w:tc>
          <w:tcPr>
            <w:tcW w:w="6900" w:type="dxa"/>
            <w:vAlign w:val="bottom"/>
            <w:tcBorders>
              <w:bottom w:val="single" w:sz="8" w:color="D4EFF4"/>
            </w:tcBorders>
          </w:tcPr>
          <w:p>
            <w:pPr>
              <w:spacing w:after="0" w:line="221" w:lineRule="exact"/>
              <w:rPr>
                <w:sz w:val="20"/>
                <w:szCs w:val="20"/>
                <w:color w:val="auto"/>
              </w:rPr>
            </w:pPr>
            <w:r>
              <w:rPr>
                <w:rFonts w:ascii="Times New Roman" w:cs="Times New Roman" w:eastAsia="Times New Roman" w:hAnsi="Times New Roman"/>
                <w:sz w:val="18"/>
                <w:szCs w:val="18"/>
                <w:color w:val="auto"/>
              </w:rPr>
              <w:t>Repurchase of common stock</w:t>
            </w:r>
            <w:r>
              <w:rPr>
                <w:rFonts w:ascii="Times New Roman" w:cs="Times New Roman" w:eastAsia="Times New Roman" w:hAnsi="Times New Roman"/>
                <w:sz w:val="23"/>
                <w:szCs w:val="23"/>
                <w:color w:val="auto"/>
                <w:vertAlign w:val="superscript"/>
              </w:rPr>
              <w:t>(d)(e)</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D4EF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D4EFF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Borders>
              <w:bottom w:val="single" w:sz="8" w:color="D4EF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4EFF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840" w:type="dxa"/>
            <w:vAlign w:val="bottom"/>
            <w:shd w:val="clear" w:color="auto" w:fill="D4EFF4"/>
          </w:tcPr>
          <w:p>
            <w:pPr>
              <w:spacing w:after="0"/>
              <w:rPr>
                <w:sz w:val="18"/>
                <w:szCs w:val="18"/>
                <w:color w:val="auto"/>
              </w:rPr>
            </w:pPr>
          </w:p>
        </w:tc>
        <w:tc>
          <w:tcPr>
            <w:tcW w:w="2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D4EFF4"/>
          </w:tcPr>
          <w:p>
            <w:pPr>
              <w:spacing w:after="0"/>
              <w:rPr>
                <w:sz w:val="18"/>
                <w:szCs w:val="18"/>
                <w:color w:val="auto"/>
              </w:rPr>
            </w:pPr>
          </w:p>
        </w:tc>
        <w:tc>
          <w:tcPr>
            <w:tcW w:w="180" w:type="dxa"/>
            <w:vAlign w:val="bottom"/>
            <w:shd w:val="clear" w:color="auto" w:fill="D4EFF4"/>
          </w:tcPr>
          <w:p>
            <w:pPr>
              <w:spacing w:after="0"/>
              <w:rPr>
                <w:sz w:val="18"/>
                <w:szCs w:val="18"/>
                <w:color w:val="auto"/>
              </w:rPr>
            </w:pPr>
          </w:p>
        </w:tc>
        <w:tc>
          <w:tcPr>
            <w:tcW w:w="1100" w:type="dxa"/>
            <w:vAlign w:val="bottom"/>
            <w:shd w:val="clear" w:color="auto" w:fill="D4EFF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4EFF4"/>
          </w:tcPr>
          <w:p>
            <w:pPr>
              <w:spacing w:after="0"/>
              <w:rPr>
                <w:sz w:val="18"/>
                <w:szCs w:val="18"/>
                <w:color w:val="auto"/>
              </w:rPr>
            </w:pPr>
          </w:p>
        </w:tc>
        <w:tc>
          <w:tcPr>
            <w:tcW w:w="160" w:type="dxa"/>
            <w:vAlign w:val="bottom"/>
            <w:shd w:val="clear" w:color="auto" w:fill="D4EFF4"/>
          </w:tcPr>
          <w:p>
            <w:pPr>
              <w:spacing w:after="0"/>
              <w:rPr>
                <w:sz w:val="18"/>
                <w:szCs w:val="18"/>
                <w:color w:val="auto"/>
              </w:rPr>
            </w:pPr>
          </w:p>
        </w:tc>
        <w:tc>
          <w:tcPr>
            <w:tcW w:w="1120" w:type="dxa"/>
            <w:vAlign w:val="bottom"/>
            <w:shd w:val="clear" w:color="auto" w:fill="D4EFF4"/>
          </w:tcPr>
          <w:p>
            <w:pPr>
              <w:jc w:val="right"/>
              <w:ind w:right="90"/>
              <w:spacing w:after="0"/>
              <w:rPr>
                <w:sz w:val="20"/>
                <w:szCs w:val="20"/>
                <w:color w:val="auto"/>
              </w:rPr>
            </w:pPr>
            <w:r>
              <w:rPr>
                <w:rFonts w:ascii="Times New Roman" w:cs="Times New Roman" w:eastAsia="Times New Roman" w:hAnsi="Times New Roman"/>
                <w:sz w:val="18"/>
                <w:szCs w:val="18"/>
                <w:color w:val="auto"/>
              </w:rPr>
              <w:t>3,315</w:t>
            </w:r>
          </w:p>
        </w:tc>
        <w:tc>
          <w:tcPr>
            <w:tcW w:w="140" w:type="dxa"/>
            <w:vAlign w:val="bottom"/>
            <w:shd w:val="clear" w:color="auto" w:fill="D4EFF4"/>
          </w:tcPr>
          <w:p>
            <w:pPr>
              <w:spacing w:after="0"/>
              <w:rPr>
                <w:sz w:val="18"/>
                <w:szCs w:val="18"/>
                <w:color w:val="auto"/>
              </w:rPr>
            </w:pPr>
          </w:p>
        </w:tc>
        <w:tc>
          <w:tcPr>
            <w:tcW w:w="120" w:type="dxa"/>
            <w:vAlign w:val="bottom"/>
            <w:shd w:val="clear" w:color="auto" w:fill="D4EFF4"/>
          </w:tcPr>
          <w:p>
            <w:pPr>
              <w:spacing w:after="0"/>
              <w:rPr>
                <w:sz w:val="18"/>
                <w:szCs w:val="18"/>
                <w:color w:val="auto"/>
              </w:rPr>
            </w:pPr>
          </w:p>
        </w:tc>
        <w:tc>
          <w:tcPr>
            <w:tcW w:w="12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D4EFF4"/>
          </w:tcPr>
          <w:p>
            <w:pPr>
              <w:spacing w:after="0"/>
              <w:rPr>
                <w:sz w:val="18"/>
                <w:szCs w:val="18"/>
                <w:color w:val="auto"/>
              </w:rPr>
            </w:pPr>
          </w:p>
        </w:tc>
        <w:tc>
          <w:tcPr>
            <w:tcW w:w="24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shd w:val="clear" w:color="auto" w:fill="D4EFF4"/>
          </w:tcPr>
          <w:p>
            <w:pPr>
              <w:spacing w:after="0"/>
              <w:rPr>
                <w:sz w:val="18"/>
                <w:szCs w:val="18"/>
                <w:color w:val="auto"/>
              </w:rPr>
            </w:pPr>
          </w:p>
        </w:tc>
      </w:tr>
      <w:tr>
        <w:trPr>
          <w:trHeight w:val="22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9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D4EFF4"/>
          </w:tcPr>
          <w:p>
            <w:pPr>
              <w:spacing w:after="0"/>
              <w:rPr>
                <w:sz w:val="19"/>
                <w:szCs w:val="19"/>
                <w:color w:val="auto"/>
              </w:rPr>
            </w:pPr>
          </w:p>
        </w:tc>
        <w:tc>
          <w:tcPr>
            <w:tcW w:w="2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100" w:type="dxa"/>
            <w:vAlign w:val="bottom"/>
            <w:shd w:val="clear" w:color="auto" w:fill="D4EFF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120" w:type="dxa"/>
            <w:vAlign w:val="bottom"/>
            <w:shd w:val="clear" w:color="auto" w:fill="D4EFF4"/>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80" w:type="dxa"/>
            <w:vAlign w:val="bottom"/>
            <w:shd w:val="clear" w:color="auto" w:fill="D4EFF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104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r>
      <w:tr>
        <w:trPr>
          <w:trHeight w:val="221"/>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r>
      <w:tr>
        <w:trPr>
          <w:trHeight w:val="221"/>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18"/>
                <w:szCs w:val="18"/>
                <w:color w:val="auto"/>
              </w:rPr>
              <w:t>Dividends, $1.64 per common share</w:t>
            </w:r>
          </w:p>
        </w:tc>
        <w:tc>
          <w:tcPr>
            <w:tcW w:w="840" w:type="dxa"/>
            <w:vAlign w:val="bottom"/>
            <w:shd w:val="clear" w:color="auto" w:fill="D4EFF4"/>
          </w:tcPr>
          <w:p>
            <w:pPr>
              <w:spacing w:after="0"/>
              <w:rPr>
                <w:sz w:val="19"/>
                <w:szCs w:val="19"/>
                <w:color w:val="auto"/>
              </w:rPr>
            </w:pPr>
          </w:p>
        </w:tc>
        <w:tc>
          <w:tcPr>
            <w:tcW w:w="2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100" w:type="dxa"/>
            <w:vAlign w:val="bottom"/>
            <w:shd w:val="clear" w:color="auto" w:fill="D4EFF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120" w:type="dxa"/>
            <w:vAlign w:val="bottom"/>
            <w:shd w:val="clear" w:color="auto" w:fill="D4EFF4"/>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80" w:type="dxa"/>
            <w:vAlign w:val="bottom"/>
            <w:shd w:val="clear" w:color="auto" w:fill="D4EFF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104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Compensation expense and common shares issued under stock incentive and other plans</w:t>
            </w:r>
            <w:r>
              <w:rPr>
                <w:rFonts w:ascii="Times New Roman" w:cs="Times New Roman" w:eastAsia="Times New Roman" w:hAnsi="Times New Roman"/>
                <w:sz w:val="23"/>
                <w:szCs w:val="23"/>
                <w:color w:val="auto"/>
                <w:vertAlign w:val="superscript"/>
              </w:rPr>
              <w:t>(b)(c)</w:t>
            </w: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r>
      <w:tr>
        <w:trPr>
          <w:trHeight w:val="221"/>
        </w:trPr>
        <w:tc>
          <w:tcPr>
            <w:tcW w:w="6900" w:type="dxa"/>
            <w:vAlign w:val="bottom"/>
            <w:shd w:val="clear" w:color="auto" w:fill="D4EFF4"/>
          </w:tcPr>
          <w:p>
            <w:pPr>
              <w:spacing w:after="0" w:line="221" w:lineRule="exact"/>
              <w:rPr>
                <w:sz w:val="20"/>
                <w:szCs w:val="20"/>
                <w:color w:val="auto"/>
              </w:rPr>
            </w:pPr>
            <w:r>
              <w:rPr>
                <w:rFonts w:ascii="Times New Roman" w:cs="Times New Roman" w:eastAsia="Times New Roman" w:hAnsi="Times New Roman"/>
                <w:sz w:val="18"/>
                <w:szCs w:val="18"/>
                <w:color w:val="auto"/>
              </w:rPr>
              <w:t>Repurchase of common stock</w:t>
            </w:r>
            <w:r>
              <w:rPr>
                <w:rFonts w:ascii="Times New Roman" w:cs="Times New Roman" w:eastAsia="Times New Roman" w:hAnsi="Times New Roman"/>
                <w:sz w:val="23"/>
                <w:szCs w:val="23"/>
                <w:color w:val="auto"/>
                <w:vertAlign w:val="superscript"/>
              </w:rPr>
              <w:t>(d)(e)</w:t>
            </w:r>
          </w:p>
        </w:tc>
        <w:tc>
          <w:tcPr>
            <w:tcW w:w="840" w:type="dxa"/>
            <w:vAlign w:val="bottom"/>
            <w:tcBorders>
              <w:bottom w:val="single" w:sz="8" w:color="auto"/>
            </w:tcBorders>
            <w:shd w:val="clear" w:color="auto" w:fill="D4EFF4"/>
          </w:tcPr>
          <w:p>
            <w:pPr>
              <w:spacing w:after="0"/>
              <w:rPr>
                <w:sz w:val="19"/>
                <w:szCs w:val="19"/>
                <w:color w:val="auto"/>
              </w:rPr>
            </w:pPr>
          </w:p>
        </w:tc>
        <w:tc>
          <w:tcPr>
            <w:tcW w:w="2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4EFF4"/>
          </w:tcPr>
          <w:p>
            <w:pPr>
              <w:spacing w:after="0"/>
              <w:rPr>
                <w:sz w:val="19"/>
                <w:szCs w:val="19"/>
                <w:color w:val="auto"/>
              </w:rPr>
            </w:pPr>
          </w:p>
        </w:tc>
        <w:tc>
          <w:tcPr>
            <w:tcW w:w="180" w:type="dxa"/>
            <w:vAlign w:val="bottom"/>
            <w:tcBorders>
              <w:bottom w:val="single" w:sz="8" w:color="auto"/>
            </w:tcBorders>
            <w:shd w:val="clear" w:color="auto" w:fill="D4EFF4"/>
          </w:tcPr>
          <w:p>
            <w:pPr>
              <w:spacing w:after="0"/>
              <w:rPr>
                <w:sz w:val="19"/>
                <w:szCs w:val="19"/>
                <w:color w:val="auto"/>
              </w:rPr>
            </w:pPr>
          </w:p>
        </w:tc>
        <w:tc>
          <w:tcPr>
            <w:tcW w:w="1100" w:type="dxa"/>
            <w:vAlign w:val="bottom"/>
            <w:tcBorders>
              <w:bottom w:val="single" w:sz="8" w:color="auto"/>
            </w:tcBorders>
            <w:shd w:val="clear" w:color="auto" w:fill="D4EFF4"/>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D4EFF4"/>
          </w:tcPr>
          <w:p>
            <w:pPr>
              <w:spacing w:after="0"/>
              <w:rPr>
                <w:sz w:val="19"/>
                <w:szCs w:val="19"/>
                <w:color w:val="auto"/>
              </w:rPr>
            </w:pPr>
          </w:p>
        </w:tc>
        <w:tc>
          <w:tcPr>
            <w:tcW w:w="160" w:type="dxa"/>
            <w:vAlign w:val="bottom"/>
            <w:tcBorders>
              <w:bottom w:val="single" w:sz="8" w:color="auto"/>
            </w:tcBorders>
            <w:shd w:val="clear" w:color="auto" w:fill="D4EFF4"/>
          </w:tcPr>
          <w:p>
            <w:pPr>
              <w:spacing w:after="0"/>
              <w:rPr>
                <w:sz w:val="19"/>
                <w:szCs w:val="19"/>
                <w:color w:val="auto"/>
              </w:rPr>
            </w:pPr>
          </w:p>
        </w:tc>
        <w:tc>
          <w:tcPr>
            <w:tcW w:w="1120" w:type="dxa"/>
            <w:vAlign w:val="bottom"/>
            <w:tcBorders>
              <w:bottom w:val="single" w:sz="8" w:color="auto"/>
            </w:tcBorders>
            <w:shd w:val="clear" w:color="auto" w:fill="D4EFF4"/>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1280" w:type="dxa"/>
            <w:vAlign w:val="bottom"/>
            <w:tcBorders>
              <w:bottom w:val="single" w:sz="8" w:color="auto"/>
            </w:tcBorders>
            <w:shd w:val="clear" w:color="auto" w:fill="D4EFF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4EFF4"/>
          </w:tcPr>
          <w:p>
            <w:pPr>
              <w:spacing w:after="0"/>
              <w:rPr>
                <w:sz w:val="19"/>
                <w:szCs w:val="19"/>
                <w:color w:val="auto"/>
              </w:rPr>
            </w:pPr>
          </w:p>
        </w:tc>
        <w:tc>
          <w:tcPr>
            <w:tcW w:w="240" w:type="dxa"/>
            <w:vAlign w:val="bottom"/>
            <w:tcBorders>
              <w:bottom w:val="single" w:sz="8" w:color="auto"/>
            </w:tcBorders>
            <w:shd w:val="clear" w:color="auto" w:fill="D4EFF4"/>
          </w:tcPr>
          <w:p>
            <w:pPr>
              <w:spacing w:after="0"/>
              <w:rPr>
                <w:sz w:val="19"/>
                <w:szCs w:val="19"/>
                <w:color w:val="auto"/>
              </w:rPr>
            </w:pPr>
          </w:p>
        </w:tc>
        <w:tc>
          <w:tcPr>
            <w:tcW w:w="104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8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2,298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80" w:type="dxa"/>
            <w:vAlign w:val="bottom"/>
            <w:tcBorders>
              <w:bottom w:val="single" w:sz="8" w:color="auto"/>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6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-3228340</wp:posOffset>
            </wp:positionV>
            <wp:extent cx="8779510"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93">
                      <a:extLst>
                        <a:ext uri="{28A0092B-C50C-407E-A947-70E740481C1C}"/>
                      </a:extLst>
                    </a:blip>
                    <a:srcRect/>
                    <a:stretch>
                      <a:fillRect/>
                    </a:stretch>
                  </pic:blipFill>
                  <pic:spPr bwMode="auto">
                    <a:xfrm>
                      <a:off x="0" y="0"/>
                      <a:ext cx="877951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8779510"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294">
                      <a:extLst>
                        <a:ext uri="{28A0092B-C50C-407E-A947-70E740481C1C}"/>
                      </a:extLst>
                    </a:blip>
                    <a:srcRect/>
                    <a:stretch>
                      <a:fillRect/>
                    </a:stretch>
                  </pic:blipFill>
                  <pic:spPr bwMode="auto">
                    <a:xfrm>
                      <a:off x="0" y="0"/>
                      <a:ext cx="8779510" cy="38100"/>
                    </a:xfrm>
                    <a:prstGeom prst="rect">
                      <a:avLst/>
                    </a:prstGeom>
                    <a:noFill/>
                  </pic:spPr>
                </pic:pic>
              </a:graphicData>
            </a:graphic>
          </wp:anchor>
        </w:drawing>
      </w:r>
    </w:p>
    <w:p>
      <w:pPr>
        <w:spacing w:after="0" w:line="77" w:lineRule="exact"/>
        <w:rPr>
          <w:sz w:val="20"/>
          <w:szCs w:val="20"/>
          <w:color w:val="auto"/>
        </w:rPr>
      </w:pPr>
    </w:p>
    <w:p>
      <w:pPr>
        <w:jc w:val="both"/>
        <w:ind w:left="566" w:hanging="566"/>
        <w:spacing w:after="0" w:line="257" w:lineRule="auto"/>
        <w:tabs>
          <w:tab w:leader="none" w:pos="56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2025 and 2024, the net of tax accumulated other comprehensive loss of $401 million and $448 million, respectively, was comprised of net unrealized translation losses of $400 million and $445 million, respectively, unrecognized prior service costs as a result of certain employee benefit plan amendments of $1 million and $1 million, respectively, and net unrealized losses on commodity hedges of zero and $2 million, respectively.</w:t>
      </w:r>
    </w:p>
    <w:p>
      <w:pPr>
        <w:ind w:left="566" w:hanging="566"/>
        <w:spacing w:after="0"/>
        <w:tabs>
          <w:tab w:leader="none" w:pos="56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benefit of $3 million, $5 million and $11 million for stock based compensation employee withholding taxes paid in cash for 2025, 2024 and 2023, respectively,</w:t>
      </w:r>
    </w:p>
    <w:p>
      <w:pPr>
        <w:spacing w:after="0" w:line="4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shares issued were 143,631, 137,799 and 193,767 for 2025, 2024 and 2023, respectively.</w:t>
      </w:r>
    </w:p>
    <w:p>
      <w:pPr>
        <w:spacing w:after="0" w:line="4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shares repurchased were 1,541,320, 4,285,194 and 3,082,928 for 2025, 2024 and 2023, respectively.</w:t>
      </w:r>
    </w:p>
    <w:p>
      <w:pPr>
        <w:spacing w:after="0" w:line="4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 million, $3 million and $3 million of accrued excise taxes on stock repurchases for 2025, 2024 and 2023, respectively.</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5840" w:h="12240" w:orient="landscape"/>
          <w:cols w:equalWidth="0" w:num="1">
            <w:col w:w="13846"/>
          </w:cols>
          <w:pgMar w:left="994" w:top="942" w:right="1000" w:bottom="2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F-10</w:t>
      </w:r>
    </w:p>
    <w:p>
      <w:pPr>
        <w:sectPr>
          <w:pgSz w:w="15840" w:h="12240" w:orient="landscape"/>
          <w:cols w:equalWidth="0" w:num="1">
            <w:col w:w="13846"/>
          </w:cols>
          <w:pgMar w:left="994" w:top="942" w:right="1000" w:bottom="219"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color w:val="auto"/>
        </w:rPr>
        <w:t>Ashland Inc. and Consolidated Subsidiaries</w:t>
      </w:r>
    </w:p>
    <w:p>
      <w:pPr>
        <w:spacing w:after="0" w:line="198" w:lineRule="auto"/>
        <w:rPr>
          <w:sz w:val="20"/>
          <w:szCs w:val="20"/>
          <w:color w:val="auto"/>
        </w:rPr>
      </w:pPr>
      <w:r>
        <w:rPr>
          <w:rFonts w:ascii="Times New Roman" w:cs="Times New Roman" w:eastAsia="Times New Roman" w:hAnsi="Times New Roman"/>
          <w:sz w:val="20"/>
          <w:szCs w:val="20"/>
          <w:b w:val="1"/>
          <w:bCs w:val="1"/>
          <w:color w:val="auto"/>
        </w:rPr>
        <w:t>Statements of Consolidated Cash Flows</w:t>
      </w:r>
    </w:p>
    <w:p>
      <w:pPr>
        <w:spacing w:after="0"/>
        <w:rPr>
          <w:sz w:val="20"/>
          <w:szCs w:val="20"/>
          <w:color w:val="auto"/>
        </w:rPr>
      </w:pPr>
      <w:r>
        <w:rPr>
          <w:rFonts w:ascii="Times New Roman" w:cs="Times New Roman" w:eastAsia="Times New Roman" w:hAnsi="Times New Roman"/>
          <w:sz w:val="20"/>
          <w:szCs w:val="20"/>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97790</wp:posOffset>
            </wp:positionV>
            <wp:extent cx="652970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95">
                      <a:extLst>
                        <a:ext uri="{28A0092B-C50C-407E-A947-70E740481C1C}"/>
                      </a:extLst>
                    </a:blip>
                    <a:srcRect/>
                    <a:stretch>
                      <a:fillRect/>
                    </a:stretch>
                  </pic:blipFill>
                  <pic:spPr bwMode="auto">
                    <a:xfrm>
                      <a:off x="0" y="0"/>
                      <a:ext cx="6529705" cy="3810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(In millions)</w:t>
            </w:r>
          </w:p>
        </w:tc>
        <w:tc>
          <w:tcPr>
            <w:tcW w:w="160" w:type="dxa"/>
            <w:vAlign w:val="bottom"/>
          </w:tcPr>
          <w:p>
            <w:pPr>
              <w:spacing w:after="0"/>
              <w:rPr>
                <w:sz w:val="16"/>
                <w:szCs w:val="16"/>
                <w:color w:val="auto"/>
              </w:rPr>
            </w:pPr>
          </w:p>
        </w:tc>
        <w:tc>
          <w:tcPr>
            <w:tcW w:w="740" w:type="dxa"/>
            <w:vAlign w:val="bottom"/>
          </w:tcPr>
          <w:p>
            <w:pPr>
              <w:jc w:val="right"/>
              <w:ind w:right="285"/>
              <w:spacing w:after="0"/>
              <w:rPr>
                <w:sz w:val="20"/>
                <w:szCs w:val="20"/>
                <w:color w:val="auto"/>
              </w:rPr>
            </w:pPr>
            <w:r>
              <w:rPr>
                <w:rFonts w:ascii="Times New Roman" w:cs="Times New Roman" w:eastAsia="Times New Roman" w:hAnsi="Times New Roman"/>
                <w:sz w:val="15"/>
                <w:szCs w:val="15"/>
                <w:color w:val="auto"/>
              </w:rPr>
              <w:t>2025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5"/>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rPr>
              <w:t>2023</w:t>
            </w:r>
          </w:p>
        </w:tc>
        <w:tc>
          <w:tcPr>
            <w:tcW w:w="60" w:type="dxa"/>
            <w:vAlign w:val="bottom"/>
            <w:tcBorders>
              <w:bottom w:val="single" w:sz="8" w:color="auto"/>
            </w:tcBorders>
          </w:tcPr>
          <w:p>
            <w:pPr>
              <w:spacing w:after="0"/>
              <w:rPr>
                <w:sz w:val="16"/>
                <w:szCs w:val="16"/>
                <w:color w:val="auto"/>
              </w:rPr>
            </w:pPr>
          </w:p>
        </w:tc>
      </w:tr>
      <w:tr>
        <w:trPr>
          <w:trHeight w:val="181"/>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b w:val="1"/>
                <w:bCs w:val="1"/>
                <w:color w:val="auto"/>
              </w:rPr>
              <w:t>CASH FLOWS PROVIDED (USED) BY OPERATING ACTIVITIES FROM CONTINUING OPERATIONS</w:t>
            </w:r>
          </w:p>
        </w:tc>
        <w:tc>
          <w:tcPr>
            <w:tcW w:w="160" w:type="dxa"/>
            <w:vAlign w:val="bottom"/>
            <w:shd w:val="clear" w:color="auto" w:fill="D4EFF4"/>
          </w:tcPr>
          <w:p>
            <w:pPr>
              <w:spacing w:after="0"/>
              <w:rPr>
                <w:sz w:val="15"/>
                <w:szCs w:val="15"/>
                <w:color w:val="auto"/>
              </w:rPr>
            </w:pPr>
          </w:p>
        </w:tc>
        <w:tc>
          <w:tcPr>
            <w:tcW w:w="740" w:type="dxa"/>
            <w:vAlign w:val="bottom"/>
            <w:shd w:val="clear" w:color="auto" w:fill="D4EFF4"/>
          </w:tcPr>
          <w:p>
            <w:pPr>
              <w:spacing w:after="0"/>
              <w:rPr>
                <w:sz w:val="15"/>
                <w:szCs w:val="15"/>
                <w:color w:val="auto"/>
              </w:rPr>
            </w:pPr>
          </w:p>
        </w:tc>
        <w:tc>
          <w:tcPr>
            <w:tcW w:w="140" w:type="dxa"/>
            <w:vAlign w:val="bottom"/>
            <w:shd w:val="clear" w:color="auto" w:fill="D4EFF4"/>
          </w:tcPr>
          <w:p>
            <w:pPr>
              <w:spacing w:after="0"/>
              <w:rPr>
                <w:sz w:val="15"/>
                <w:szCs w:val="15"/>
                <w:color w:val="auto"/>
              </w:rPr>
            </w:pPr>
          </w:p>
        </w:tc>
        <w:tc>
          <w:tcPr>
            <w:tcW w:w="160" w:type="dxa"/>
            <w:vAlign w:val="bottom"/>
            <w:shd w:val="clear" w:color="auto" w:fill="D4EFF4"/>
          </w:tcPr>
          <w:p>
            <w:pPr>
              <w:spacing w:after="0"/>
              <w:rPr>
                <w:sz w:val="15"/>
                <w:szCs w:val="15"/>
                <w:color w:val="auto"/>
              </w:rPr>
            </w:pPr>
          </w:p>
        </w:tc>
        <w:tc>
          <w:tcPr>
            <w:tcW w:w="740" w:type="dxa"/>
            <w:vAlign w:val="bottom"/>
            <w:shd w:val="clear" w:color="auto" w:fill="D4EFF4"/>
          </w:tcPr>
          <w:p>
            <w:pPr>
              <w:spacing w:after="0"/>
              <w:rPr>
                <w:sz w:val="15"/>
                <w:szCs w:val="15"/>
                <w:color w:val="auto"/>
              </w:rPr>
            </w:pPr>
          </w:p>
        </w:tc>
        <w:tc>
          <w:tcPr>
            <w:tcW w:w="160" w:type="dxa"/>
            <w:vAlign w:val="bottom"/>
            <w:shd w:val="clear" w:color="auto" w:fill="D4EFF4"/>
          </w:tcPr>
          <w:p>
            <w:pPr>
              <w:spacing w:after="0"/>
              <w:rPr>
                <w:sz w:val="15"/>
                <w:szCs w:val="15"/>
                <w:color w:val="auto"/>
              </w:rPr>
            </w:pPr>
          </w:p>
        </w:tc>
        <w:tc>
          <w:tcPr>
            <w:tcW w:w="140" w:type="dxa"/>
            <w:vAlign w:val="bottom"/>
            <w:shd w:val="clear" w:color="auto" w:fill="D4EFF4"/>
          </w:tcPr>
          <w:p>
            <w:pPr>
              <w:spacing w:after="0"/>
              <w:rPr>
                <w:sz w:val="15"/>
                <w:szCs w:val="15"/>
                <w:color w:val="auto"/>
              </w:rPr>
            </w:pPr>
          </w:p>
        </w:tc>
        <w:tc>
          <w:tcPr>
            <w:tcW w:w="640" w:type="dxa"/>
            <w:vAlign w:val="bottom"/>
            <w:shd w:val="clear" w:color="auto" w:fill="D4EFF4"/>
          </w:tcPr>
          <w:p>
            <w:pPr>
              <w:spacing w:after="0"/>
              <w:rPr>
                <w:sz w:val="15"/>
                <w:szCs w:val="15"/>
                <w:color w:val="auto"/>
              </w:rPr>
            </w:pPr>
          </w:p>
        </w:tc>
        <w:tc>
          <w:tcPr>
            <w:tcW w:w="60" w:type="dxa"/>
            <w:vAlign w:val="bottom"/>
            <w:shd w:val="clear" w:color="auto" w:fill="D4EFF4"/>
          </w:tcPr>
          <w:p>
            <w:pPr>
              <w:spacing w:after="0"/>
              <w:rPr>
                <w:sz w:val="15"/>
                <w:szCs w:val="15"/>
                <w:color w:val="auto"/>
              </w:rPr>
            </w:pP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169</w:t>
            </w:r>
          </w:p>
        </w:tc>
        <w:tc>
          <w:tcPr>
            <w:tcW w:w="30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60" w:type="dxa"/>
            <w:vAlign w:val="bottom"/>
          </w:tcPr>
          <w:p>
            <w:pPr>
              <w:spacing w:after="0"/>
              <w:rPr>
                <w:sz w:val="16"/>
                <w:szCs w:val="16"/>
                <w:color w:val="auto"/>
              </w:rPr>
            </w:pPr>
          </w:p>
        </w:tc>
      </w:tr>
      <w:tr>
        <w:trPr>
          <w:trHeight w:val="186"/>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color w:val="auto"/>
              </w:rPr>
              <w:t>Loss (income) from discontinued operations, net of income taxes</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23</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30</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70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reconcile income (loss) from continuing operations to cash flows from operating activities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237</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274</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6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60" w:type="dxa"/>
            <w:vAlign w:val="bottom"/>
            <w:shd w:val="clear" w:color="auto" w:fill="D4EFF4"/>
          </w:tcPr>
          <w:p>
            <w:pPr>
              <w:spacing w:after="0"/>
              <w:rPr>
                <w:sz w:val="16"/>
                <w:szCs w:val="16"/>
                <w:color w:val="auto"/>
              </w:rPr>
            </w:pPr>
          </w:p>
        </w:tc>
      </w:tr>
      <w:tr>
        <w:trPr>
          <w:trHeight w:val="186"/>
        </w:trPr>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Original issue discount and debt issuance cost amortization</w:t>
            </w: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60" w:type="dxa"/>
            <w:vAlign w:val="bottom"/>
          </w:tcPr>
          <w:p>
            <w:pPr>
              <w:spacing w:after="0"/>
              <w:rPr>
                <w:sz w:val="16"/>
                <w:szCs w:val="16"/>
                <w:color w:val="auto"/>
              </w:rPr>
            </w:pPr>
          </w:p>
        </w:tc>
      </w:tr>
      <w:tr>
        <w:trPr>
          <w:trHeight w:val="186"/>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73</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(302)</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70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6"/>
        </w:trPr>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Gain from sales of property and equipment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6"/>
        </w:trPr>
        <w:tc>
          <w:tcPr>
            <w:tcW w:w="7300" w:type="dxa"/>
            <w:vAlign w:val="bottom"/>
            <w:shd w:val="clear" w:color="auto" w:fill="D1EDF2"/>
          </w:tcPr>
          <w:p>
            <w:pPr>
              <w:ind w:left="200"/>
              <w:spacing w:after="0"/>
              <w:rPr>
                <w:sz w:val="20"/>
                <w:szCs w:val="20"/>
                <w:color w:val="auto"/>
              </w:rPr>
            </w:pPr>
            <w:r>
              <w:rPr>
                <w:rFonts w:ascii="Times New Roman" w:cs="Times New Roman" w:eastAsia="Times New Roman" w:hAnsi="Times New Roman"/>
                <w:sz w:val="15"/>
                <w:szCs w:val="15"/>
                <w:color w:val="auto"/>
              </w:rPr>
              <w:t>Stock based compensation expense - Note O</w:t>
            </w:r>
          </w:p>
        </w:tc>
        <w:tc>
          <w:tcPr>
            <w:tcW w:w="160" w:type="dxa"/>
            <w:vAlign w:val="bottom"/>
            <w:shd w:val="clear" w:color="auto" w:fill="D1EDF2"/>
          </w:tcPr>
          <w:p>
            <w:pPr>
              <w:spacing w:after="0"/>
              <w:rPr>
                <w:sz w:val="16"/>
                <w:szCs w:val="16"/>
                <w:color w:val="auto"/>
              </w:rPr>
            </w:pPr>
          </w:p>
        </w:tc>
        <w:tc>
          <w:tcPr>
            <w:tcW w:w="740" w:type="dxa"/>
            <w:vAlign w:val="bottom"/>
            <w:shd w:val="clear" w:color="auto" w:fill="D1EDF2"/>
          </w:tcPr>
          <w:p>
            <w:pPr>
              <w:jc w:val="right"/>
              <w:ind w:right="45"/>
              <w:spacing w:after="0"/>
              <w:rPr>
                <w:sz w:val="20"/>
                <w:szCs w:val="20"/>
                <w:color w:val="auto"/>
              </w:rPr>
            </w:pPr>
            <w:r>
              <w:rPr>
                <w:rFonts w:ascii="Times New Roman" w:cs="Times New Roman" w:eastAsia="Times New Roman" w:hAnsi="Times New Roman"/>
                <w:sz w:val="15"/>
                <w:szCs w:val="15"/>
                <w:color w:val="auto"/>
              </w:rPr>
              <w:t>14</w:t>
            </w:r>
          </w:p>
        </w:tc>
        <w:tc>
          <w:tcPr>
            <w:tcW w:w="140" w:type="dxa"/>
            <w:vAlign w:val="bottom"/>
            <w:shd w:val="clear" w:color="auto" w:fill="D1EDF2"/>
          </w:tcPr>
          <w:p>
            <w:pPr>
              <w:spacing w:after="0"/>
              <w:rPr>
                <w:sz w:val="16"/>
                <w:szCs w:val="16"/>
                <w:color w:val="auto"/>
              </w:rPr>
            </w:pPr>
          </w:p>
        </w:tc>
        <w:tc>
          <w:tcPr>
            <w:tcW w:w="160" w:type="dxa"/>
            <w:vAlign w:val="bottom"/>
            <w:shd w:val="clear" w:color="auto" w:fill="D1EDF2"/>
          </w:tcPr>
          <w:p>
            <w:pPr>
              <w:spacing w:after="0"/>
              <w:rPr>
                <w:sz w:val="16"/>
                <w:szCs w:val="16"/>
                <w:color w:val="auto"/>
              </w:rPr>
            </w:pPr>
          </w:p>
        </w:tc>
        <w:tc>
          <w:tcPr>
            <w:tcW w:w="740" w:type="dxa"/>
            <w:vAlign w:val="bottom"/>
            <w:shd w:val="clear" w:color="auto" w:fill="D1EDF2"/>
          </w:tcPr>
          <w:p>
            <w:pPr>
              <w:jc w:val="right"/>
              <w:ind w:right="45"/>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shd w:val="clear" w:color="auto" w:fill="D1EDF2"/>
          </w:tcPr>
          <w:p>
            <w:pPr>
              <w:spacing w:after="0"/>
              <w:rPr>
                <w:sz w:val="16"/>
                <w:szCs w:val="16"/>
                <w:color w:val="auto"/>
              </w:rPr>
            </w:pPr>
          </w:p>
        </w:tc>
        <w:tc>
          <w:tcPr>
            <w:tcW w:w="140" w:type="dxa"/>
            <w:vAlign w:val="bottom"/>
            <w:shd w:val="clear" w:color="auto" w:fill="D1EDF2"/>
          </w:tcPr>
          <w:p>
            <w:pPr>
              <w:spacing w:after="0"/>
              <w:rPr>
                <w:sz w:val="16"/>
                <w:szCs w:val="16"/>
                <w:color w:val="auto"/>
              </w:rPr>
            </w:pPr>
          </w:p>
        </w:tc>
        <w:tc>
          <w:tcPr>
            <w:tcW w:w="640" w:type="dxa"/>
            <w:vAlign w:val="bottom"/>
            <w:shd w:val="clear" w:color="auto" w:fill="D1EDF2"/>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60" w:type="dxa"/>
            <w:vAlign w:val="bottom"/>
            <w:shd w:val="clear" w:color="auto" w:fill="D1EDF2"/>
          </w:tcPr>
          <w:p>
            <w:pPr>
              <w:spacing w:after="0"/>
              <w:rPr>
                <w:sz w:val="16"/>
                <w:szCs w:val="16"/>
                <w:color w:val="auto"/>
              </w:rPr>
            </w:pPr>
          </w:p>
        </w:tc>
      </w:tr>
      <w:tr>
        <w:trPr>
          <w:trHeight w:val="186"/>
        </w:trPr>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Benefit (loss) from excess tax deduction on stock based compensation</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tcPr>
          <w:p>
            <w:pPr>
              <w:spacing w:after="0"/>
              <w:rPr>
                <w:sz w:val="16"/>
                <w:szCs w:val="16"/>
                <w:color w:val="auto"/>
              </w:rPr>
            </w:pPr>
          </w:p>
        </w:tc>
      </w:tr>
      <w:tr>
        <w:trPr>
          <w:trHeight w:val="186"/>
        </w:trPr>
        <w:tc>
          <w:tcPr>
            <w:tcW w:w="7300" w:type="dxa"/>
            <w:vAlign w:val="bottom"/>
            <w:shd w:val="clear" w:color="auto" w:fill="D1EDF2"/>
          </w:tcPr>
          <w:p>
            <w:pPr>
              <w:ind w:left="200"/>
              <w:spacing w:after="0"/>
              <w:rPr>
                <w:sz w:val="20"/>
                <w:szCs w:val="20"/>
                <w:color w:val="auto"/>
              </w:rPr>
            </w:pPr>
            <w:r>
              <w:rPr>
                <w:rFonts w:ascii="Times New Roman" w:cs="Times New Roman" w:eastAsia="Times New Roman" w:hAnsi="Times New Roman"/>
                <w:sz w:val="15"/>
                <w:szCs w:val="15"/>
                <w:color w:val="auto"/>
              </w:rPr>
              <w:t>Income from restricted investments</w:t>
            </w:r>
          </w:p>
        </w:tc>
        <w:tc>
          <w:tcPr>
            <w:tcW w:w="160" w:type="dxa"/>
            <w:vAlign w:val="bottom"/>
            <w:shd w:val="clear" w:color="auto" w:fill="D1EDF2"/>
          </w:tcPr>
          <w:p>
            <w:pPr>
              <w:spacing w:after="0"/>
              <w:rPr>
                <w:sz w:val="16"/>
                <w:szCs w:val="16"/>
                <w:color w:val="auto"/>
              </w:rPr>
            </w:pPr>
          </w:p>
        </w:tc>
        <w:tc>
          <w:tcPr>
            <w:tcW w:w="740" w:type="dxa"/>
            <w:vAlign w:val="bottom"/>
            <w:shd w:val="clear" w:color="auto" w:fill="D1EDF2"/>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40" w:type="dxa"/>
            <w:vAlign w:val="bottom"/>
            <w:shd w:val="clear" w:color="auto" w:fill="D1EDF2"/>
          </w:tcPr>
          <w:p>
            <w:pPr>
              <w:spacing w:after="0"/>
              <w:rPr>
                <w:sz w:val="16"/>
                <w:szCs w:val="16"/>
                <w:color w:val="auto"/>
              </w:rPr>
            </w:pPr>
          </w:p>
        </w:tc>
        <w:tc>
          <w:tcPr>
            <w:tcW w:w="160" w:type="dxa"/>
            <w:vAlign w:val="bottom"/>
            <w:shd w:val="clear" w:color="auto" w:fill="D1EDF2"/>
          </w:tcPr>
          <w:p>
            <w:pPr>
              <w:spacing w:after="0"/>
              <w:rPr>
                <w:sz w:val="16"/>
                <w:szCs w:val="16"/>
                <w:color w:val="auto"/>
              </w:rPr>
            </w:pPr>
          </w:p>
        </w:tc>
        <w:tc>
          <w:tcPr>
            <w:tcW w:w="740" w:type="dxa"/>
            <w:vAlign w:val="bottom"/>
            <w:shd w:val="clear" w:color="auto" w:fill="D1EDF2"/>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60" w:type="dxa"/>
            <w:vAlign w:val="bottom"/>
            <w:shd w:val="clear" w:color="auto" w:fill="D1EDF2"/>
          </w:tcPr>
          <w:p>
            <w:pPr>
              <w:spacing w:after="0"/>
              <w:rPr>
                <w:sz w:val="16"/>
                <w:szCs w:val="16"/>
                <w:color w:val="auto"/>
              </w:rPr>
            </w:pPr>
          </w:p>
        </w:tc>
        <w:tc>
          <w:tcPr>
            <w:tcW w:w="140" w:type="dxa"/>
            <w:vAlign w:val="bottom"/>
            <w:shd w:val="clear" w:color="auto" w:fill="D1EDF2"/>
          </w:tcPr>
          <w:p>
            <w:pPr>
              <w:spacing w:after="0"/>
              <w:rPr>
                <w:sz w:val="16"/>
                <w:szCs w:val="16"/>
                <w:color w:val="auto"/>
              </w:rPr>
            </w:pPr>
          </w:p>
        </w:tc>
        <w:tc>
          <w:tcPr>
            <w:tcW w:w="700" w:type="dxa"/>
            <w:vAlign w:val="bottom"/>
            <w:gridSpan w:val="2"/>
            <w:shd w:val="clear" w:color="auto" w:fill="D1EDF2"/>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6"/>
        </w:trPr>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Loss (income) on acquisitions and divestitures, net - Notes B</w:t>
            </w: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177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107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6"/>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5"/>
                <w:szCs w:val="15"/>
                <w:color w:val="auto"/>
              </w:rPr>
              <w:t>Goodwill impairment</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706</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700" w:type="dxa"/>
            <w:vAlign w:val="bottom"/>
            <w:gridSpan w:val="2"/>
            <w:shd w:val="clear" w:color="auto" w:fill="D4EFF4"/>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Asset impairments</w:t>
            </w: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tcPr>
          <w:p>
            <w:pPr>
              <w:spacing w:after="0"/>
              <w:rPr>
                <w:sz w:val="16"/>
                <w:szCs w:val="16"/>
                <w:color w:val="auto"/>
              </w:rPr>
            </w:pPr>
          </w:p>
        </w:tc>
      </w:tr>
      <w:tr>
        <w:trPr>
          <w:trHeight w:val="186"/>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5"/>
                <w:szCs w:val="15"/>
                <w:color w:val="auto"/>
              </w:rPr>
              <w:t>Pension contributions</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70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6"/>
        </w:trPr>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Loss (gain) on pension and other postretirement plan remeasurements</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6"/>
        </w:trPr>
        <w:tc>
          <w:tcPr>
            <w:tcW w:w="7300" w:type="dxa"/>
            <w:vAlign w:val="bottom"/>
            <w:tcBorders>
              <w:bottom w:val="single" w:sz="8" w:color="D4EFF4"/>
            </w:tcBorders>
            <w:shd w:val="clear" w:color="auto" w:fill="D4EFF4"/>
          </w:tcPr>
          <w:p>
            <w:pPr>
              <w:ind w:left="200"/>
              <w:spacing w:after="0" w:line="186" w:lineRule="exact"/>
              <w:rPr>
                <w:sz w:val="20"/>
                <w:szCs w:val="20"/>
                <w:color w:val="auto"/>
              </w:rPr>
            </w:pPr>
            <w:r>
              <w:rPr>
                <w:rFonts w:ascii="Times New Roman" w:cs="Times New Roman" w:eastAsia="Times New Roman" w:hAnsi="Times New Roman"/>
                <w:sz w:val="15"/>
                <w:szCs w:val="15"/>
                <w:color w:val="auto"/>
              </w:rPr>
              <w:t>Change in operating assets and liabilities</w:t>
            </w:r>
            <w:r>
              <w:rPr>
                <w:rFonts w:ascii="Times New Roman" w:cs="Times New Roman" w:eastAsia="Times New Roman" w:hAnsi="Times New Roman"/>
                <w:sz w:val="19"/>
                <w:szCs w:val="19"/>
                <w:color w:val="auto"/>
                <w:vertAlign w:val="superscript"/>
              </w:rPr>
              <w:t>(a)</w:t>
            </w:r>
          </w:p>
        </w:tc>
        <w:tc>
          <w:tcPr>
            <w:tcW w:w="160" w:type="dxa"/>
            <w:vAlign w:val="bottom"/>
            <w:tcBorders>
              <w:bottom w:val="single" w:sz="8" w:color="D4EFF4"/>
            </w:tcBorders>
            <w:shd w:val="clear" w:color="auto" w:fill="D4EFF4"/>
          </w:tcPr>
          <w:p>
            <w:pPr>
              <w:spacing w:after="0"/>
              <w:rPr>
                <w:sz w:val="17"/>
                <w:szCs w:val="17"/>
                <w:color w:val="auto"/>
              </w:rPr>
            </w:pPr>
          </w:p>
        </w:tc>
        <w:tc>
          <w:tcPr>
            <w:tcW w:w="74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140" w:type="dxa"/>
            <w:vAlign w:val="bottom"/>
            <w:tcBorders>
              <w:bottom w:val="single" w:sz="8" w:color="D4EFF4"/>
            </w:tcBorders>
            <w:shd w:val="clear" w:color="auto" w:fill="D4EFF4"/>
          </w:tcPr>
          <w:p>
            <w:pPr>
              <w:spacing w:after="0"/>
              <w:rPr>
                <w:sz w:val="17"/>
                <w:szCs w:val="17"/>
                <w:color w:val="auto"/>
              </w:rPr>
            </w:pPr>
          </w:p>
        </w:tc>
        <w:tc>
          <w:tcPr>
            <w:tcW w:w="160" w:type="dxa"/>
            <w:vAlign w:val="bottom"/>
            <w:tcBorders>
              <w:bottom w:val="single" w:sz="8" w:color="D4EFF4"/>
            </w:tcBorders>
            <w:shd w:val="clear" w:color="auto" w:fill="D4EFF4"/>
          </w:tcPr>
          <w:p>
            <w:pPr>
              <w:spacing w:after="0"/>
              <w:rPr>
                <w:sz w:val="17"/>
                <w:szCs w:val="17"/>
                <w:color w:val="auto"/>
              </w:rPr>
            </w:pPr>
          </w:p>
        </w:tc>
        <w:tc>
          <w:tcPr>
            <w:tcW w:w="740" w:type="dxa"/>
            <w:vAlign w:val="bottom"/>
            <w:tcBorders>
              <w:bottom w:val="single" w:sz="8" w:color="D4EFF4"/>
            </w:tcBorders>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227</w:t>
            </w:r>
          </w:p>
        </w:tc>
        <w:tc>
          <w:tcPr>
            <w:tcW w:w="160" w:type="dxa"/>
            <w:vAlign w:val="bottom"/>
            <w:tcBorders>
              <w:bottom w:val="single" w:sz="8" w:color="D4EFF4"/>
            </w:tcBorders>
            <w:shd w:val="clear" w:color="auto" w:fill="D4EFF4"/>
          </w:tcPr>
          <w:p>
            <w:pPr>
              <w:spacing w:after="0"/>
              <w:rPr>
                <w:sz w:val="17"/>
                <w:szCs w:val="17"/>
                <w:color w:val="auto"/>
              </w:rPr>
            </w:pPr>
          </w:p>
        </w:tc>
        <w:tc>
          <w:tcPr>
            <w:tcW w:w="140" w:type="dxa"/>
            <w:vAlign w:val="bottom"/>
            <w:tcBorders>
              <w:bottom w:val="single" w:sz="8" w:color="auto"/>
            </w:tcBorders>
            <w:shd w:val="clear" w:color="auto" w:fill="D4EFF4"/>
          </w:tcPr>
          <w:p>
            <w:pPr>
              <w:spacing w:after="0"/>
              <w:rPr>
                <w:sz w:val="17"/>
                <w:szCs w:val="17"/>
                <w:color w:val="auto"/>
              </w:rPr>
            </w:pPr>
          </w:p>
        </w:tc>
        <w:tc>
          <w:tcPr>
            <w:tcW w:w="700" w:type="dxa"/>
            <w:vAlign w:val="bottom"/>
            <w:tcBorders>
              <w:bottom w:val="single" w:sz="8" w:color="auto"/>
            </w:tcBorders>
            <w:gridSpan w:val="2"/>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61"/>
        </w:trPr>
        <w:tc>
          <w:tcPr>
            <w:tcW w:w="73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Total cash flows provided by operating activities from continuing operations</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45"/>
              <w:spacing w:after="0" w:line="161" w:lineRule="exact"/>
              <w:rPr>
                <w:sz w:val="20"/>
                <w:szCs w:val="20"/>
                <w:color w:val="auto"/>
              </w:rPr>
            </w:pPr>
            <w:r>
              <w:rPr>
                <w:rFonts w:ascii="Times New Roman" w:cs="Times New Roman" w:eastAsia="Times New Roman" w:hAnsi="Times New Roman"/>
                <w:sz w:val="15"/>
                <w:szCs w:val="15"/>
                <w:color w:val="auto"/>
              </w:rPr>
              <w:t>134</w:t>
            </w: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45"/>
              <w:spacing w:after="0" w:line="161" w:lineRule="exact"/>
              <w:rPr>
                <w:sz w:val="20"/>
                <w:szCs w:val="20"/>
                <w:color w:val="auto"/>
              </w:rPr>
            </w:pPr>
            <w:r>
              <w:rPr>
                <w:rFonts w:ascii="Times New Roman" w:cs="Times New Roman" w:eastAsia="Times New Roman" w:hAnsi="Times New Roman"/>
                <w:sz w:val="15"/>
                <w:szCs w:val="15"/>
                <w:color w:val="auto"/>
              </w:rPr>
              <w:t>462</w:t>
            </w: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294</w:t>
            </w:r>
          </w:p>
        </w:tc>
        <w:tc>
          <w:tcPr>
            <w:tcW w:w="60" w:type="dxa"/>
            <w:vAlign w:val="bottom"/>
            <w:tcBorders>
              <w:top w:val="single" w:sz="8" w:color="auto"/>
            </w:tcBorders>
          </w:tcPr>
          <w:p>
            <w:pPr>
              <w:spacing w:after="0"/>
              <w:rPr>
                <w:sz w:val="14"/>
                <w:szCs w:val="14"/>
                <w:color w:val="auto"/>
              </w:rPr>
            </w:pPr>
          </w:p>
        </w:tc>
      </w:tr>
      <w:tr>
        <w:trPr>
          <w:trHeight w:val="186"/>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b w:val="1"/>
                <w:bCs w:val="1"/>
                <w:color w:val="auto"/>
              </w:rPr>
              <w:t>CASH FLOWS PROVIDED (USED) BY INVESTING ACTIVITIES FROM CONTINUING OPERATIONS</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640" w:type="dxa"/>
            <w:vAlign w:val="bottom"/>
            <w:shd w:val="clear" w:color="auto" w:fill="D4EFF4"/>
          </w:tcPr>
          <w:p>
            <w:pPr>
              <w:spacing w:after="0"/>
              <w:rPr>
                <w:sz w:val="16"/>
                <w:szCs w:val="16"/>
                <w:color w:val="auto"/>
              </w:rPr>
            </w:pPr>
          </w:p>
        </w:tc>
        <w:tc>
          <w:tcPr>
            <w:tcW w:w="60" w:type="dxa"/>
            <w:vAlign w:val="bottom"/>
            <w:shd w:val="clear" w:color="auto" w:fill="D4EFF4"/>
          </w:tcPr>
          <w:p>
            <w:pPr>
              <w:spacing w:after="0"/>
              <w:rPr>
                <w:sz w:val="16"/>
                <w:szCs w:val="16"/>
                <w:color w:val="auto"/>
              </w:rPr>
            </w:pP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(170)</w:t>
            </w:r>
          </w:p>
        </w:tc>
      </w:tr>
      <w:tr>
        <w:trPr>
          <w:trHeight w:val="186"/>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color w:val="auto"/>
              </w:rPr>
              <w:t>Proceeds from disposal of property, plant and equipment</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6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60" w:type="dxa"/>
            <w:vAlign w:val="bottom"/>
            <w:shd w:val="clear" w:color="auto" w:fill="D4EFF4"/>
          </w:tcPr>
          <w:p>
            <w:pPr>
              <w:spacing w:after="0"/>
              <w:rPr>
                <w:sz w:val="16"/>
                <w:szCs w:val="16"/>
                <w:color w:val="auto"/>
              </w:rPr>
            </w:pP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sale or restructuring of operations</w:t>
            </w: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color w:val="auto"/>
              </w:rPr>
              <w:t>Proceeds from settlement of company-owned life insurance contracts</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6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60" w:type="dxa"/>
            <w:vAlign w:val="bottom"/>
            <w:shd w:val="clear" w:color="auto" w:fill="D4EFF4"/>
          </w:tcPr>
          <w:p>
            <w:pPr>
              <w:spacing w:after="0"/>
              <w:rPr>
                <w:sz w:val="16"/>
                <w:szCs w:val="16"/>
                <w:color w:val="auto"/>
              </w:rPr>
            </w:pP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Company-owned life insurance payments</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6"/>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color w:val="auto"/>
              </w:rPr>
              <w:t>Funds restricted for specific transactions</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70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Reimbursement from restricted investments</w:t>
            </w: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60" w:type="dxa"/>
            <w:vAlign w:val="bottom"/>
          </w:tcPr>
          <w:p>
            <w:pPr>
              <w:spacing w:after="0"/>
              <w:rPr>
                <w:sz w:val="16"/>
                <w:szCs w:val="16"/>
                <w:color w:val="auto"/>
              </w:rPr>
            </w:pPr>
          </w:p>
        </w:tc>
      </w:tr>
      <w:tr>
        <w:trPr>
          <w:trHeight w:val="186"/>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color w:val="auto"/>
              </w:rPr>
              <w:t>Proceeds from sale of securities</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56</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6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60" w:type="dxa"/>
            <w:vAlign w:val="bottom"/>
            <w:shd w:val="clear" w:color="auto" w:fill="D4EFF4"/>
          </w:tcPr>
          <w:p>
            <w:pPr>
              <w:spacing w:after="0"/>
              <w:rPr>
                <w:sz w:val="16"/>
                <w:szCs w:val="16"/>
                <w:color w:val="auto"/>
              </w:rPr>
            </w:pP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Purchase of securities</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206"/>
        </w:trPr>
        <w:tc>
          <w:tcPr>
            <w:tcW w:w="730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15"/>
                <w:szCs w:val="15"/>
                <w:color w:val="auto"/>
              </w:rPr>
              <w:t>Other investing cash flows</w:t>
            </w: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D4EFF4"/>
            </w:tcBorders>
            <w:shd w:val="clear" w:color="auto" w:fill="D4EFF4"/>
          </w:tcPr>
          <w:p>
            <w:pPr>
              <w:spacing w:after="0"/>
              <w:rPr>
                <w:sz w:val="17"/>
                <w:szCs w:val="17"/>
                <w:color w:val="auto"/>
              </w:rPr>
            </w:pP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tcBorders>
              <w:bottom w:val="single" w:sz="8" w:color="D4EFF4"/>
            </w:tcBorders>
            <w:shd w:val="clear" w:color="auto" w:fill="D4EFF4"/>
          </w:tcPr>
          <w:p>
            <w:pPr>
              <w:spacing w:after="0"/>
              <w:rPr>
                <w:sz w:val="17"/>
                <w:szCs w:val="17"/>
                <w:color w:val="auto"/>
              </w:rPr>
            </w:pPr>
          </w:p>
        </w:tc>
        <w:tc>
          <w:tcPr>
            <w:tcW w:w="140" w:type="dxa"/>
            <w:vAlign w:val="bottom"/>
            <w:tcBorders>
              <w:bottom w:val="single" w:sz="8" w:color="auto"/>
            </w:tcBorders>
            <w:shd w:val="clear" w:color="auto" w:fill="D4EFF4"/>
          </w:tcPr>
          <w:p>
            <w:pPr>
              <w:spacing w:after="0"/>
              <w:rPr>
                <w:sz w:val="17"/>
                <w:szCs w:val="17"/>
                <w:color w:val="auto"/>
              </w:rPr>
            </w:pPr>
          </w:p>
        </w:tc>
        <w:tc>
          <w:tcPr>
            <w:tcW w:w="700" w:type="dxa"/>
            <w:vAlign w:val="bottom"/>
            <w:tcBorders>
              <w:bottom w:val="single" w:sz="8" w:color="auto"/>
            </w:tcBorders>
            <w:gridSpan w:val="2"/>
            <w:shd w:val="clear" w:color="auto" w:fill="D4EFF4"/>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61"/>
        </w:trPr>
        <w:tc>
          <w:tcPr>
            <w:tcW w:w="73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Total cash flows used by investing activities from continuing operations</w:t>
            </w:r>
          </w:p>
        </w:tc>
        <w:tc>
          <w:tcPr>
            <w:tcW w:w="160" w:type="dxa"/>
            <w:vAlign w:val="bottom"/>
          </w:tcPr>
          <w:p>
            <w:pPr>
              <w:spacing w:after="0"/>
              <w:rPr>
                <w:sz w:val="14"/>
                <w:szCs w:val="14"/>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(51)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(109)</w:t>
            </w:r>
          </w:p>
        </w:tc>
      </w:tr>
      <w:tr>
        <w:trPr>
          <w:trHeight w:val="186"/>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b w:val="1"/>
                <w:bCs w:val="1"/>
                <w:color w:val="auto"/>
              </w:rPr>
              <w:t>CASH FLOWS PROVIDED (USED) BY FINANCING ACTIVITIES FROM CONTINUING OPERATIONS</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640" w:type="dxa"/>
            <w:vAlign w:val="bottom"/>
            <w:shd w:val="clear" w:color="auto" w:fill="D4EFF4"/>
          </w:tcPr>
          <w:p>
            <w:pPr>
              <w:spacing w:after="0"/>
              <w:rPr>
                <w:sz w:val="16"/>
                <w:szCs w:val="16"/>
                <w:color w:val="auto"/>
              </w:rPr>
            </w:pPr>
          </w:p>
        </w:tc>
        <w:tc>
          <w:tcPr>
            <w:tcW w:w="60" w:type="dxa"/>
            <w:vAlign w:val="bottom"/>
            <w:shd w:val="clear" w:color="auto" w:fill="D4EFF4"/>
          </w:tcPr>
          <w:p>
            <w:pPr>
              <w:spacing w:after="0"/>
              <w:rPr>
                <w:sz w:val="16"/>
                <w:szCs w:val="16"/>
                <w:color w:val="auto"/>
              </w:rPr>
            </w:pP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(repayment of) short-term debt</w:t>
            </w: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60" w:type="dxa"/>
            <w:vAlign w:val="bottom"/>
          </w:tcPr>
          <w:p>
            <w:pPr>
              <w:spacing w:after="0"/>
              <w:rPr>
                <w:sz w:val="16"/>
                <w:szCs w:val="16"/>
                <w:color w:val="auto"/>
              </w:rPr>
            </w:pPr>
          </w:p>
        </w:tc>
      </w:tr>
      <w:tr>
        <w:trPr>
          <w:trHeight w:val="186"/>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70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(300)</w:t>
            </w: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Cash dividends paid</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206"/>
        </w:trPr>
        <w:tc>
          <w:tcPr>
            <w:tcW w:w="730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15"/>
                <w:szCs w:val="15"/>
                <w:color w:val="auto"/>
              </w:rPr>
              <w:t>Stock based compensation employee withholding taxes paid in cash</w:t>
            </w: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Borders>
              <w:bottom w:val="single" w:sz="8" w:color="D4EFF4"/>
            </w:tcBorders>
            <w:shd w:val="clear" w:color="auto" w:fill="D4EFF4"/>
          </w:tcPr>
          <w:p>
            <w:pPr>
              <w:spacing w:after="0"/>
              <w:rPr>
                <w:sz w:val="17"/>
                <w:szCs w:val="17"/>
                <w:color w:val="auto"/>
              </w:rPr>
            </w:pP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tcBorders>
              <w:bottom w:val="single" w:sz="8" w:color="D4EFF4"/>
            </w:tcBorders>
            <w:shd w:val="clear" w:color="auto" w:fill="D4EFF4"/>
          </w:tcPr>
          <w:p>
            <w:pPr>
              <w:spacing w:after="0"/>
              <w:rPr>
                <w:sz w:val="17"/>
                <w:szCs w:val="17"/>
                <w:color w:val="auto"/>
              </w:rPr>
            </w:pPr>
          </w:p>
        </w:tc>
        <w:tc>
          <w:tcPr>
            <w:tcW w:w="140" w:type="dxa"/>
            <w:vAlign w:val="bottom"/>
            <w:tcBorders>
              <w:bottom w:val="single" w:sz="8" w:color="auto"/>
            </w:tcBorders>
            <w:shd w:val="clear" w:color="auto" w:fill="D4EFF4"/>
          </w:tcPr>
          <w:p>
            <w:pPr>
              <w:spacing w:after="0"/>
              <w:rPr>
                <w:sz w:val="17"/>
                <w:szCs w:val="17"/>
                <w:color w:val="auto"/>
              </w:rPr>
            </w:pPr>
          </w:p>
        </w:tc>
        <w:tc>
          <w:tcPr>
            <w:tcW w:w="700" w:type="dxa"/>
            <w:vAlign w:val="bottom"/>
            <w:tcBorders>
              <w:bottom w:val="single" w:sz="8" w:color="auto"/>
            </w:tcBorders>
            <w:gridSpan w:val="2"/>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61"/>
        </w:trPr>
        <w:tc>
          <w:tcPr>
            <w:tcW w:w="7300" w:type="dxa"/>
            <w:vAlign w:val="bottom"/>
            <w:tcBorders>
              <w:bottom w:val="single" w:sz="8" w:color="D4EFF4"/>
            </w:tcBorders>
          </w:tcPr>
          <w:p>
            <w:pPr>
              <w:spacing w:after="0" w:line="161" w:lineRule="exact"/>
              <w:rPr>
                <w:sz w:val="20"/>
                <w:szCs w:val="20"/>
                <w:color w:val="auto"/>
              </w:rPr>
            </w:pPr>
            <w:r>
              <w:rPr>
                <w:rFonts w:ascii="Times New Roman" w:cs="Times New Roman" w:eastAsia="Times New Roman" w:hAnsi="Times New Roman"/>
                <w:sz w:val="15"/>
                <w:szCs w:val="15"/>
                <w:color w:val="auto"/>
              </w:rPr>
              <w:t>Total cash flows used by financing activities from continuing operations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(179)</w:t>
            </w:r>
          </w:p>
        </w:tc>
        <w:tc>
          <w:tcPr>
            <w:tcW w:w="140" w:type="dxa"/>
            <w:vAlign w:val="bottom"/>
            <w:tcBorders>
              <w:bottom w:val="single" w:sz="8" w:color="D4EFF4"/>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(479)</w:t>
            </w:r>
          </w:p>
        </w:tc>
        <w:tc>
          <w:tcPr>
            <w:tcW w:w="160" w:type="dxa"/>
            <w:vAlign w:val="bottom"/>
            <w:tcBorders>
              <w:bottom w:val="single" w:sz="8" w:color="D4EFF4"/>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(371)</w:t>
            </w:r>
          </w:p>
        </w:tc>
      </w:tr>
      <w:tr>
        <w:trPr>
          <w:trHeight w:val="181"/>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b w:val="1"/>
                <w:bCs w:val="1"/>
                <w:color w:val="auto"/>
              </w:rPr>
              <w:t>CASH USED BY CONTINUING OPERATIONS</w:t>
            </w:r>
          </w:p>
        </w:tc>
        <w:tc>
          <w:tcPr>
            <w:tcW w:w="160" w:type="dxa"/>
            <w:vAlign w:val="bottom"/>
            <w:shd w:val="clear" w:color="auto" w:fill="D4EFF4"/>
          </w:tcPr>
          <w:p>
            <w:pPr>
              <w:spacing w:after="0"/>
              <w:rPr>
                <w:sz w:val="15"/>
                <w:szCs w:val="15"/>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40" w:type="dxa"/>
            <w:vAlign w:val="bottom"/>
            <w:shd w:val="clear" w:color="auto" w:fill="D4EFF4"/>
          </w:tcPr>
          <w:p>
            <w:pPr>
              <w:spacing w:after="0"/>
              <w:rPr>
                <w:sz w:val="15"/>
                <w:szCs w:val="15"/>
                <w:color w:val="auto"/>
              </w:rPr>
            </w:pPr>
          </w:p>
        </w:tc>
        <w:tc>
          <w:tcPr>
            <w:tcW w:w="160" w:type="dxa"/>
            <w:vAlign w:val="bottom"/>
            <w:shd w:val="clear" w:color="auto" w:fill="D4EFF4"/>
          </w:tcPr>
          <w:p>
            <w:pPr>
              <w:spacing w:after="0"/>
              <w:rPr>
                <w:sz w:val="15"/>
                <w:szCs w:val="15"/>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60" w:type="dxa"/>
            <w:vAlign w:val="bottom"/>
            <w:shd w:val="clear" w:color="auto" w:fill="D4EFF4"/>
          </w:tcPr>
          <w:p>
            <w:pPr>
              <w:spacing w:after="0"/>
              <w:rPr>
                <w:sz w:val="15"/>
                <w:szCs w:val="15"/>
                <w:color w:val="auto"/>
              </w:rPr>
            </w:pPr>
          </w:p>
        </w:tc>
        <w:tc>
          <w:tcPr>
            <w:tcW w:w="140" w:type="dxa"/>
            <w:vAlign w:val="bottom"/>
            <w:shd w:val="clear" w:color="auto" w:fill="D4EFF4"/>
          </w:tcPr>
          <w:p>
            <w:pPr>
              <w:spacing w:after="0"/>
              <w:rPr>
                <w:sz w:val="15"/>
                <w:szCs w:val="15"/>
                <w:color w:val="auto"/>
              </w:rPr>
            </w:pPr>
          </w:p>
        </w:tc>
        <w:tc>
          <w:tcPr>
            <w:tcW w:w="70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(186)</w:t>
            </w: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Cash used by discontinued operations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15"/>
                <w:szCs w:val="15"/>
                <w:color w:val="auto"/>
              </w:rPr>
              <w:t>Operating cash flows</w:t>
            </w: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40" w:type="dxa"/>
            <w:vAlign w:val="bottom"/>
            <w:tcBorders>
              <w:bottom w:val="single" w:sz="8" w:color="D4EFF4"/>
            </w:tcBorders>
            <w:shd w:val="clear" w:color="auto" w:fill="D4EFF4"/>
          </w:tcPr>
          <w:p>
            <w:pPr>
              <w:spacing w:after="0"/>
              <w:rPr>
                <w:sz w:val="17"/>
                <w:szCs w:val="17"/>
                <w:color w:val="auto"/>
              </w:rPr>
            </w:pP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60" w:type="dxa"/>
            <w:vAlign w:val="bottom"/>
            <w:tcBorders>
              <w:bottom w:val="single" w:sz="8" w:color="D4EFF4"/>
            </w:tcBorders>
            <w:shd w:val="clear" w:color="auto" w:fill="D4EFF4"/>
          </w:tcPr>
          <w:p>
            <w:pPr>
              <w:spacing w:after="0"/>
              <w:rPr>
                <w:sz w:val="17"/>
                <w:szCs w:val="17"/>
                <w:color w:val="auto"/>
              </w:rPr>
            </w:pPr>
          </w:p>
        </w:tc>
        <w:tc>
          <w:tcPr>
            <w:tcW w:w="140" w:type="dxa"/>
            <w:vAlign w:val="bottom"/>
            <w:tcBorders>
              <w:bottom w:val="single" w:sz="8" w:color="auto"/>
            </w:tcBorders>
            <w:shd w:val="clear" w:color="auto" w:fill="D4EFF4"/>
          </w:tcPr>
          <w:p>
            <w:pPr>
              <w:spacing w:after="0"/>
              <w:rPr>
                <w:sz w:val="17"/>
                <w:szCs w:val="17"/>
                <w:color w:val="auto"/>
              </w:rPr>
            </w:pPr>
          </w:p>
        </w:tc>
        <w:tc>
          <w:tcPr>
            <w:tcW w:w="700" w:type="dxa"/>
            <w:vAlign w:val="bottom"/>
            <w:tcBorders>
              <w:bottom w:val="single" w:sz="8" w:color="auto"/>
            </w:tcBorders>
            <w:gridSpan w:val="2"/>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61"/>
        </w:trPr>
        <w:tc>
          <w:tcPr>
            <w:tcW w:w="73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Total cash used by discontinued operations</w:t>
            </w:r>
          </w:p>
        </w:tc>
        <w:tc>
          <w:tcPr>
            <w:tcW w:w="160" w:type="dxa"/>
            <w:vAlign w:val="bottom"/>
          </w:tcPr>
          <w:p>
            <w:pPr>
              <w:spacing w:after="0"/>
              <w:rPr>
                <w:sz w:val="14"/>
                <w:szCs w:val="14"/>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(40)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(51)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(51)</w:t>
            </w:r>
          </w:p>
        </w:tc>
      </w:tr>
      <w:tr>
        <w:trPr>
          <w:trHeight w:val="206"/>
        </w:trPr>
        <w:tc>
          <w:tcPr>
            <w:tcW w:w="730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15"/>
                <w:szCs w:val="15"/>
                <w:color w:val="auto"/>
              </w:rPr>
              <w:t>Effect of currency exchange rate changes on cash and cash equivalents</w:t>
            </w: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Borders>
              <w:bottom w:val="single" w:sz="8" w:color="D4EFF4"/>
            </w:tcBorders>
            <w:shd w:val="clear" w:color="auto" w:fill="D4EFF4"/>
          </w:tcPr>
          <w:p>
            <w:pPr>
              <w:spacing w:after="0"/>
              <w:rPr>
                <w:sz w:val="17"/>
                <w:szCs w:val="17"/>
                <w:color w:val="auto"/>
              </w:rPr>
            </w:pP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tcBorders>
              <w:bottom w:val="single" w:sz="8" w:color="D4EFF4"/>
            </w:tcBorders>
            <w:shd w:val="clear" w:color="auto" w:fill="D4EFF4"/>
          </w:tcPr>
          <w:p>
            <w:pPr>
              <w:spacing w:after="0"/>
              <w:rPr>
                <w:sz w:val="17"/>
                <w:szCs w:val="17"/>
                <w:color w:val="auto"/>
              </w:rPr>
            </w:pPr>
          </w:p>
        </w:tc>
        <w:tc>
          <w:tcPr>
            <w:tcW w:w="140" w:type="dxa"/>
            <w:vAlign w:val="bottom"/>
            <w:tcBorders>
              <w:bottom w:val="single" w:sz="8" w:color="auto"/>
            </w:tcBorders>
            <w:shd w:val="clear" w:color="auto" w:fill="D4EFF4"/>
          </w:tcPr>
          <w:p>
            <w:pPr>
              <w:spacing w:after="0"/>
              <w:rPr>
                <w:sz w:val="17"/>
                <w:szCs w:val="17"/>
                <w:color w:val="auto"/>
              </w:rPr>
            </w:pPr>
          </w:p>
        </w:tc>
        <w:tc>
          <w:tcPr>
            <w:tcW w:w="6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60" w:type="dxa"/>
            <w:vAlign w:val="bottom"/>
            <w:tcBorders>
              <w:bottom w:val="single" w:sz="8" w:color="auto"/>
            </w:tcBorders>
            <w:shd w:val="clear" w:color="auto" w:fill="D4EFF4"/>
          </w:tcPr>
          <w:p>
            <w:pPr>
              <w:spacing w:after="0"/>
              <w:rPr>
                <w:sz w:val="17"/>
                <w:szCs w:val="17"/>
                <w:color w:val="auto"/>
              </w:rPr>
            </w:pPr>
          </w:p>
        </w:tc>
      </w:tr>
      <w:tr>
        <w:trPr>
          <w:trHeight w:val="161"/>
        </w:trPr>
        <w:tc>
          <w:tcPr>
            <w:tcW w:w="7300" w:type="dxa"/>
            <w:vAlign w:val="bottom"/>
            <w:tcBorders>
              <w:bottom w:val="single" w:sz="8" w:color="D4EFF4"/>
            </w:tcBorders>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DECREASE IN CASH AND CASH EQUIVALENTS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(85)</w:t>
            </w:r>
          </w:p>
        </w:tc>
        <w:tc>
          <w:tcPr>
            <w:tcW w:w="140" w:type="dxa"/>
            <w:vAlign w:val="bottom"/>
            <w:tcBorders>
              <w:bottom w:val="single" w:sz="8" w:color="D4EFF4"/>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(117)</w:t>
            </w:r>
          </w:p>
        </w:tc>
        <w:tc>
          <w:tcPr>
            <w:tcW w:w="160" w:type="dxa"/>
            <w:vAlign w:val="bottom"/>
            <w:tcBorders>
              <w:bottom w:val="single" w:sz="8" w:color="D4EFF4"/>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(229)</w:t>
            </w:r>
          </w:p>
        </w:tc>
      </w:tr>
      <w:tr>
        <w:trPr>
          <w:trHeight w:val="201"/>
        </w:trPr>
        <w:tc>
          <w:tcPr>
            <w:tcW w:w="730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 BEGINNING OF YEAR</w:t>
            </w: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300</w:t>
            </w:r>
          </w:p>
        </w:tc>
        <w:tc>
          <w:tcPr>
            <w:tcW w:w="140" w:type="dxa"/>
            <w:vAlign w:val="bottom"/>
            <w:tcBorders>
              <w:bottom w:val="single" w:sz="8" w:color="D4EFF4"/>
            </w:tcBorders>
            <w:shd w:val="clear" w:color="auto" w:fill="D4EFF4"/>
          </w:tcPr>
          <w:p>
            <w:pPr>
              <w:spacing w:after="0"/>
              <w:rPr>
                <w:sz w:val="17"/>
                <w:szCs w:val="17"/>
                <w:color w:val="auto"/>
              </w:rPr>
            </w:pP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417</w:t>
            </w:r>
          </w:p>
        </w:tc>
        <w:tc>
          <w:tcPr>
            <w:tcW w:w="160" w:type="dxa"/>
            <w:vAlign w:val="bottom"/>
            <w:tcBorders>
              <w:bottom w:val="single" w:sz="8" w:color="D4EFF4"/>
            </w:tcBorders>
            <w:shd w:val="clear" w:color="auto" w:fill="D4EFF4"/>
          </w:tcPr>
          <w:p>
            <w:pPr>
              <w:spacing w:after="0"/>
              <w:rPr>
                <w:sz w:val="17"/>
                <w:szCs w:val="17"/>
                <w:color w:val="auto"/>
              </w:rPr>
            </w:pPr>
          </w:p>
        </w:tc>
        <w:tc>
          <w:tcPr>
            <w:tcW w:w="140" w:type="dxa"/>
            <w:vAlign w:val="bottom"/>
            <w:tcBorders>
              <w:bottom w:val="single" w:sz="8" w:color="auto"/>
            </w:tcBorders>
            <w:shd w:val="clear" w:color="auto" w:fill="D4EFF4"/>
          </w:tcPr>
          <w:p>
            <w:pPr>
              <w:spacing w:after="0"/>
              <w:rPr>
                <w:sz w:val="17"/>
                <w:szCs w:val="17"/>
                <w:color w:val="auto"/>
              </w:rPr>
            </w:pPr>
          </w:p>
        </w:tc>
        <w:tc>
          <w:tcPr>
            <w:tcW w:w="6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60" w:type="dxa"/>
            <w:vAlign w:val="bottom"/>
            <w:tcBorders>
              <w:bottom w:val="single" w:sz="8" w:color="auto"/>
            </w:tcBorders>
            <w:shd w:val="clear" w:color="auto" w:fill="D4EFF4"/>
          </w:tcPr>
          <w:p>
            <w:pPr>
              <w:spacing w:after="0"/>
              <w:rPr>
                <w:sz w:val="17"/>
                <w:szCs w:val="17"/>
                <w:color w:val="auto"/>
              </w:rPr>
            </w:pPr>
          </w:p>
        </w:tc>
      </w:tr>
      <w:tr>
        <w:trPr>
          <w:trHeight w:val="201"/>
        </w:trPr>
        <w:tc>
          <w:tcPr>
            <w:tcW w:w="7300" w:type="dxa"/>
            <w:vAlign w:val="bottom"/>
            <w:tcBorders>
              <w:bottom w:val="single" w:sz="8" w:color="D4EFF4"/>
            </w:tcBorders>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CASH AND CASH EQUIVALENTS - END OF YEAR</w:t>
            </w:r>
          </w:p>
        </w:tc>
        <w:tc>
          <w:tcPr>
            <w:tcW w:w="160" w:type="dxa"/>
            <w:vAlign w:val="bottom"/>
            <w:tcBorders>
              <w:bottom w:val="single" w:sz="8" w:color="auto"/>
            </w:tcBorders>
          </w:tcPr>
          <w:p>
            <w:pPr>
              <w:jc w:val="right"/>
              <w:ind w:right="5"/>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ind w:right="45"/>
              <w:spacing w:after="0" w:line="161" w:lineRule="exact"/>
              <w:rPr>
                <w:sz w:val="20"/>
                <w:szCs w:val="20"/>
                <w:color w:val="auto"/>
              </w:rPr>
            </w:pPr>
            <w:r>
              <w:rPr>
                <w:rFonts w:ascii="Times New Roman" w:cs="Times New Roman" w:eastAsia="Times New Roman" w:hAnsi="Times New Roman"/>
                <w:sz w:val="15"/>
                <w:szCs w:val="15"/>
                <w:color w:val="auto"/>
              </w:rPr>
              <w:t>215</w:t>
            </w:r>
          </w:p>
        </w:tc>
        <w:tc>
          <w:tcPr>
            <w:tcW w:w="140" w:type="dxa"/>
            <w:vAlign w:val="bottom"/>
            <w:tcBorders>
              <w:bottom w:val="single" w:sz="8" w:color="D4EFF4"/>
            </w:tcBorders>
          </w:tcPr>
          <w:p>
            <w:pPr>
              <w:spacing w:after="0"/>
              <w:rPr>
                <w:sz w:val="17"/>
                <w:szCs w:val="17"/>
                <w:color w:val="auto"/>
              </w:rPr>
            </w:pPr>
          </w:p>
        </w:tc>
        <w:tc>
          <w:tcPr>
            <w:tcW w:w="160" w:type="dxa"/>
            <w:vAlign w:val="bottom"/>
            <w:tcBorders>
              <w:bottom w:val="single" w:sz="8" w:color="auto"/>
            </w:tcBorders>
          </w:tcPr>
          <w:p>
            <w:pPr>
              <w:jc w:val="right"/>
              <w:ind w:right="5"/>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ind w:right="45"/>
              <w:spacing w:after="0" w:line="161" w:lineRule="exact"/>
              <w:rPr>
                <w:sz w:val="20"/>
                <w:szCs w:val="20"/>
                <w:color w:val="auto"/>
              </w:rPr>
            </w:pPr>
            <w:r>
              <w:rPr>
                <w:rFonts w:ascii="Times New Roman" w:cs="Times New Roman" w:eastAsia="Times New Roman" w:hAnsi="Times New Roman"/>
                <w:sz w:val="15"/>
                <w:szCs w:val="15"/>
                <w:color w:val="auto"/>
              </w:rPr>
              <w:t>300</w:t>
            </w:r>
          </w:p>
        </w:tc>
        <w:tc>
          <w:tcPr>
            <w:tcW w:w="160" w:type="dxa"/>
            <w:vAlign w:val="bottom"/>
            <w:tcBorders>
              <w:bottom w:val="single" w:sz="8" w:color="D4EFF4"/>
            </w:tcBorders>
          </w:tcPr>
          <w:p>
            <w:pPr>
              <w:spacing w:after="0"/>
              <w:rPr>
                <w:sz w:val="17"/>
                <w:szCs w:val="17"/>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417</w:t>
            </w:r>
          </w:p>
        </w:tc>
        <w:tc>
          <w:tcPr>
            <w:tcW w:w="60" w:type="dxa"/>
            <w:vAlign w:val="bottom"/>
            <w:tcBorders>
              <w:bottom w:val="single" w:sz="8" w:color="auto"/>
            </w:tcBorders>
          </w:tcPr>
          <w:p>
            <w:pPr>
              <w:spacing w:after="0"/>
              <w:rPr>
                <w:sz w:val="17"/>
                <w:szCs w:val="17"/>
                <w:color w:val="auto"/>
              </w:rPr>
            </w:pPr>
          </w:p>
        </w:tc>
      </w:tr>
      <w:tr>
        <w:trPr>
          <w:trHeight w:val="171"/>
        </w:trPr>
        <w:tc>
          <w:tcPr>
            <w:tcW w:w="7300" w:type="dxa"/>
            <w:vAlign w:val="bottom"/>
            <w:shd w:val="clear" w:color="auto" w:fill="D4EFF4"/>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CHANGES IN ASSETS AND LIABILITIES</w:t>
            </w:r>
            <w:r>
              <w:rPr>
                <w:rFonts w:ascii="Times New Roman" w:cs="Times New Roman" w:eastAsia="Times New Roman" w:hAnsi="Times New Roman"/>
                <w:sz w:val="19"/>
                <w:szCs w:val="19"/>
                <w:b w:val="1"/>
                <w:bCs w:val="1"/>
                <w:color w:val="auto"/>
                <w:vertAlign w:val="superscript"/>
              </w:rPr>
              <w:t>(a)</w:t>
            </w:r>
          </w:p>
        </w:tc>
        <w:tc>
          <w:tcPr>
            <w:tcW w:w="160" w:type="dxa"/>
            <w:vAlign w:val="bottom"/>
            <w:shd w:val="clear" w:color="auto" w:fill="D4EFF4"/>
          </w:tcPr>
          <w:p>
            <w:pPr>
              <w:spacing w:after="0"/>
              <w:rPr>
                <w:sz w:val="14"/>
                <w:szCs w:val="14"/>
                <w:color w:val="auto"/>
              </w:rPr>
            </w:pPr>
          </w:p>
        </w:tc>
        <w:tc>
          <w:tcPr>
            <w:tcW w:w="740" w:type="dxa"/>
            <w:vAlign w:val="bottom"/>
            <w:shd w:val="clear" w:color="auto" w:fill="D4EFF4"/>
          </w:tcPr>
          <w:p>
            <w:pPr>
              <w:spacing w:after="0"/>
              <w:rPr>
                <w:sz w:val="14"/>
                <w:szCs w:val="14"/>
                <w:color w:val="auto"/>
              </w:rPr>
            </w:pPr>
          </w:p>
        </w:tc>
        <w:tc>
          <w:tcPr>
            <w:tcW w:w="140" w:type="dxa"/>
            <w:vAlign w:val="bottom"/>
            <w:shd w:val="clear" w:color="auto" w:fill="D4EFF4"/>
          </w:tcPr>
          <w:p>
            <w:pPr>
              <w:spacing w:after="0"/>
              <w:rPr>
                <w:sz w:val="14"/>
                <w:szCs w:val="14"/>
                <w:color w:val="auto"/>
              </w:rPr>
            </w:pPr>
          </w:p>
        </w:tc>
        <w:tc>
          <w:tcPr>
            <w:tcW w:w="160" w:type="dxa"/>
            <w:vAlign w:val="bottom"/>
            <w:shd w:val="clear" w:color="auto" w:fill="D4EFF4"/>
          </w:tcPr>
          <w:p>
            <w:pPr>
              <w:spacing w:after="0"/>
              <w:rPr>
                <w:sz w:val="14"/>
                <w:szCs w:val="14"/>
                <w:color w:val="auto"/>
              </w:rPr>
            </w:pPr>
          </w:p>
        </w:tc>
        <w:tc>
          <w:tcPr>
            <w:tcW w:w="740" w:type="dxa"/>
            <w:vAlign w:val="bottom"/>
            <w:shd w:val="clear" w:color="auto" w:fill="D4EFF4"/>
          </w:tcPr>
          <w:p>
            <w:pPr>
              <w:spacing w:after="0"/>
              <w:rPr>
                <w:sz w:val="14"/>
                <w:szCs w:val="14"/>
                <w:color w:val="auto"/>
              </w:rPr>
            </w:pPr>
          </w:p>
        </w:tc>
        <w:tc>
          <w:tcPr>
            <w:tcW w:w="160" w:type="dxa"/>
            <w:vAlign w:val="bottom"/>
            <w:shd w:val="clear" w:color="auto" w:fill="D4EFF4"/>
          </w:tcPr>
          <w:p>
            <w:pPr>
              <w:spacing w:after="0"/>
              <w:rPr>
                <w:sz w:val="14"/>
                <w:szCs w:val="14"/>
                <w:color w:val="auto"/>
              </w:rPr>
            </w:pPr>
          </w:p>
        </w:tc>
        <w:tc>
          <w:tcPr>
            <w:tcW w:w="140" w:type="dxa"/>
            <w:vAlign w:val="bottom"/>
            <w:shd w:val="clear" w:color="auto" w:fill="D4EFF4"/>
          </w:tcPr>
          <w:p>
            <w:pPr>
              <w:spacing w:after="0"/>
              <w:rPr>
                <w:sz w:val="14"/>
                <w:szCs w:val="14"/>
                <w:color w:val="auto"/>
              </w:rPr>
            </w:pPr>
          </w:p>
        </w:tc>
        <w:tc>
          <w:tcPr>
            <w:tcW w:w="640" w:type="dxa"/>
            <w:vAlign w:val="bottom"/>
            <w:shd w:val="clear" w:color="auto" w:fill="D4EFF4"/>
          </w:tcPr>
          <w:p>
            <w:pPr>
              <w:spacing w:after="0"/>
              <w:rPr>
                <w:sz w:val="14"/>
                <w:szCs w:val="14"/>
                <w:color w:val="auto"/>
              </w:rPr>
            </w:pPr>
          </w:p>
        </w:tc>
        <w:tc>
          <w:tcPr>
            <w:tcW w:w="60" w:type="dxa"/>
            <w:vAlign w:val="bottom"/>
            <w:shd w:val="clear" w:color="auto" w:fill="D4EFF4"/>
          </w:tcPr>
          <w:p>
            <w:pPr>
              <w:spacing w:after="0"/>
              <w:rPr>
                <w:sz w:val="14"/>
                <w:szCs w:val="14"/>
                <w:color w:val="auto"/>
              </w:rPr>
            </w:pP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96</w:t>
            </w:r>
          </w:p>
        </w:tc>
        <w:tc>
          <w:tcPr>
            <w:tcW w:w="160" w:type="dxa"/>
            <w:vAlign w:val="bottom"/>
          </w:tcPr>
          <w:p>
            <w:pPr>
              <w:spacing w:after="0"/>
              <w:rPr>
                <w:sz w:val="16"/>
                <w:szCs w:val="16"/>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60" w:type="dxa"/>
            <w:vAlign w:val="bottom"/>
          </w:tcPr>
          <w:p>
            <w:pPr>
              <w:spacing w:after="0"/>
              <w:rPr>
                <w:sz w:val="16"/>
                <w:szCs w:val="16"/>
                <w:color w:val="auto"/>
              </w:rPr>
            </w:pPr>
          </w:p>
        </w:tc>
      </w:tr>
      <w:tr>
        <w:trPr>
          <w:trHeight w:val="186"/>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color w:val="auto"/>
              </w:rPr>
              <w:t>Inventories</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79</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70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Trade and other payables</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6"/>
        </w:trPr>
        <w:tc>
          <w:tcPr>
            <w:tcW w:w="730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15"/>
                <w:szCs w:val="15"/>
                <w:color w:val="auto"/>
              </w:rPr>
              <w:t>Other assets and liabilities</w:t>
            </w: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40" w:type="dxa"/>
            <w:vAlign w:val="bottom"/>
            <w:tcBorders>
              <w:bottom w:val="single" w:sz="8" w:color="D4EFF4"/>
            </w:tcBorders>
            <w:shd w:val="clear" w:color="auto" w:fill="D4EFF4"/>
          </w:tcPr>
          <w:p>
            <w:pPr>
              <w:spacing w:after="0"/>
              <w:rPr>
                <w:sz w:val="17"/>
                <w:szCs w:val="17"/>
                <w:color w:val="auto"/>
              </w:rPr>
            </w:pPr>
          </w:p>
        </w:tc>
        <w:tc>
          <w:tcPr>
            <w:tcW w:w="160" w:type="dxa"/>
            <w:vAlign w:val="bottom"/>
            <w:tcBorders>
              <w:bottom w:val="single" w:sz="8" w:color="auto"/>
            </w:tcBorders>
            <w:shd w:val="clear" w:color="auto" w:fill="D4EFF4"/>
          </w:tcPr>
          <w:p>
            <w:pPr>
              <w:spacing w:after="0"/>
              <w:rPr>
                <w:sz w:val="17"/>
                <w:szCs w:val="17"/>
                <w:color w:val="auto"/>
              </w:rPr>
            </w:pPr>
          </w:p>
        </w:tc>
        <w:tc>
          <w:tcPr>
            <w:tcW w:w="7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Borders>
              <w:bottom w:val="single" w:sz="8" w:color="D4EFF4"/>
            </w:tcBorders>
            <w:shd w:val="clear" w:color="auto" w:fill="D4EFF4"/>
          </w:tcPr>
          <w:p>
            <w:pPr>
              <w:spacing w:after="0"/>
              <w:rPr>
                <w:sz w:val="17"/>
                <w:szCs w:val="17"/>
                <w:color w:val="auto"/>
              </w:rPr>
            </w:pPr>
          </w:p>
        </w:tc>
        <w:tc>
          <w:tcPr>
            <w:tcW w:w="140" w:type="dxa"/>
            <w:vAlign w:val="bottom"/>
            <w:tcBorders>
              <w:bottom w:val="single" w:sz="8" w:color="auto"/>
            </w:tcBorders>
            <w:shd w:val="clear" w:color="auto" w:fill="D4EFF4"/>
          </w:tcPr>
          <w:p>
            <w:pPr>
              <w:spacing w:after="0"/>
              <w:rPr>
                <w:sz w:val="17"/>
                <w:szCs w:val="17"/>
                <w:color w:val="auto"/>
              </w:rPr>
            </w:pPr>
          </w:p>
        </w:tc>
        <w:tc>
          <w:tcPr>
            <w:tcW w:w="6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tcBorders>
              <w:bottom w:val="single" w:sz="8" w:color="auto"/>
            </w:tcBorders>
            <w:shd w:val="clear" w:color="auto" w:fill="D4EFF4"/>
          </w:tcPr>
          <w:p>
            <w:pPr>
              <w:spacing w:after="0"/>
              <w:rPr>
                <w:sz w:val="17"/>
                <w:szCs w:val="17"/>
                <w:color w:val="auto"/>
              </w:rPr>
            </w:pPr>
          </w:p>
        </w:tc>
      </w:tr>
      <w:tr>
        <w:trPr>
          <w:trHeight w:val="201"/>
        </w:trPr>
        <w:tc>
          <w:tcPr>
            <w:tcW w:w="7300" w:type="dxa"/>
            <w:vAlign w:val="bottom"/>
            <w:tcBorders>
              <w:bottom w:val="single" w:sz="8" w:color="D4EFF4"/>
            </w:tcBorders>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CHANGE IN OPERATING ASSETS AND LIABILITIES</w:t>
            </w:r>
          </w:p>
        </w:tc>
        <w:tc>
          <w:tcPr>
            <w:tcW w:w="160" w:type="dxa"/>
            <w:vAlign w:val="bottom"/>
            <w:tcBorders>
              <w:bottom w:val="single" w:sz="8" w:color="auto"/>
            </w:tcBorders>
          </w:tcPr>
          <w:p>
            <w:pPr>
              <w:jc w:val="right"/>
              <w:ind w:right="5"/>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(191)</w:t>
            </w:r>
          </w:p>
        </w:tc>
        <w:tc>
          <w:tcPr>
            <w:tcW w:w="140" w:type="dxa"/>
            <w:vAlign w:val="bottom"/>
            <w:tcBorders>
              <w:bottom w:val="single" w:sz="8" w:color="D4EFF4"/>
            </w:tcBorders>
          </w:tcPr>
          <w:p>
            <w:pPr>
              <w:spacing w:after="0"/>
              <w:rPr>
                <w:sz w:val="17"/>
                <w:szCs w:val="17"/>
                <w:color w:val="auto"/>
              </w:rPr>
            </w:pPr>
          </w:p>
        </w:tc>
        <w:tc>
          <w:tcPr>
            <w:tcW w:w="160" w:type="dxa"/>
            <w:vAlign w:val="bottom"/>
            <w:tcBorders>
              <w:bottom w:val="single" w:sz="8" w:color="auto"/>
            </w:tcBorders>
          </w:tcPr>
          <w:p>
            <w:pPr>
              <w:jc w:val="right"/>
              <w:ind w:right="5"/>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ind w:right="45"/>
              <w:spacing w:after="0" w:line="161" w:lineRule="exact"/>
              <w:rPr>
                <w:sz w:val="20"/>
                <w:szCs w:val="20"/>
                <w:color w:val="auto"/>
              </w:rPr>
            </w:pPr>
            <w:r>
              <w:rPr>
                <w:rFonts w:ascii="Times New Roman" w:cs="Times New Roman" w:eastAsia="Times New Roman" w:hAnsi="Times New Roman"/>
                <w:sz w:val="15"/>
                <w:szCs w:val="15"/>
                <w:color w:val="auto"/>
              </w:rPr>
              <w:t>227</w:t>
            </w:r>
          </w:p>
        </w:tc>
        <w:tc>
          <w:tcPr>
            <w:tcW w:w="160" w:type="dxa"/>
            <w:vAlign w:val="bottom"/>
            <w:tcBorders>
              <w:bottom w:val="single" w:sz="8" w:color="D4EFF4"/>
            </w:tcBorders>
          </w:tcPr>
          <w:p>
            <w:pPr>
              <w:spacing w:after="0"/>
              <w:rPr>
                <w:sz w:val="17"/>
                <w:szCs w:val="17"/>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(58)</w:t>
            </w:r>
          </w:p>
        </w:tc>
      </w:tr>
      <w:tr>
        <w:trPr>
          <w:trHeight w:val="171"/>
        </w:trPr>
        <w:tc>
          <w:tcPr>
            <w:tcW w:w="7300" w:type="dxa"/>
            <w:vAlign w:val="bottom"/>
            <w:shd w:val="clear" w:color="auto" w:fill="D4EFF4"/>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SUPPLEMENTAL DISCLOSURES</w:t>
            </w:r>
          </w:p>
        </w:tc>
        <w:tc>
          <w:tcPr>
            <w:tcW w:w="160" w:type="dxa"/>
            <w:vAlign w:val="bottom"/>
            <w:shd w:val="clear" w:color="auto" w:fill="D4EFF4"/>
          </w:tcPr>
          <w:p>
            <w:pPr>
              <w:spacing w:after="0"/>
              <w:rPr>
                <w:sz w:val="14"/>
                <w:szCs w:val="14"/>
                <w:color w:val="auto"/>
              </w:rPr>
            </w:pPr>
          </w:p>
        </w:tc>
        <w:tc>
          <w:tcPr>
            <w:tcW w:w="740" w:type="dxa"/>
            <w:vAlign w:val="bottom"/>
            <w:shd w:val="clear" w:color="auto" w:fill="D4EFF4"/>
          </w:tcPr>
          <w:p>
            <w:pPr>
              <w:spacing w:after="0"/>
              <w:rPr>
                <w:sz w:val="14"/>
                <w:szCs w:val="14"/>
                <w:color w:val="auto"/>
              </w:rPr>
            </w:pPr>
          </w:p>
        </w:tc>
        <w:tc>
          <w:tcPr>
            <w:tcW w:w="140" w:type="dxa"/>
            <w:vAlign w:val="bottom"/>
            <w:shd w:val="clear" w:color="auto" w:fill="D4EFF4"/>
          </w:tcPr>
          <w:p>
            <w:pPr>
              <w:spacing w:after="0"/>
              <w:rPr>
                <w:sz w:val="14"/>
                <w:szCs w:val="14"/>
                <w:color w:val="auto"/>
              </w:rPr>
            </w:pPr>
          </w:p>
        </w:tc>
        <w:tc>
          <w:tcPr>
            <w:tcW w:w="160" w:type="dxa"/>
            <w:vAlign w:val="bottom"/>
            <w:shd w:val="clear" w:color="auto" w:fill="D4EFF4"/>
          </w:tcPr>
          <w:p>
            <w:pPr>
              <w:spacing w:after="0"/>
              <w:rPr>
                <w:sz w:val="14"/>
                <w:szCs w:val="14"/>
                <w:color w:val="auto"/>
              </w:rPr>
            </w:pPr>
          </w:p>
        </w:tc>
        <w:tc>
          <w:tcPr>
            <w:tcW w:w="740" w:type="dxa"/>
            <w:vAlign w:val="bottom"/>
            <w:shd w:val="clear" w:color="auto" w:fill="D4EFF4"/>
          </w:tcPr>
          <w:p>
            <w:pPr>
              <w:spacing w:after="0"/>
              <w:rPr>
                <w:sz w:val="14"/>
                <w:szCs w:val="14"/>
                <w:color w:val="auto"/>
              </w:rPr>
            </w:pPr>
          </w:p>
        </w:tc>
        <w:tc>
          <w:tcPr>
            <w:tcW w:w="160" w:type="dxa"/>
            <w:vAlign w:val="bottom"/>
            <w:shd w:val="clear" w:color="auto" w:fill="D4EFF4"/>
          </w:tcPr>
          <w:p>
            <w:pPr>
              <w:spacing w:after="0"/>
              <w:rPr>
                <w:sz w:val="14"/>
                <w:szCs w:val="14"/>
                <w:color w:val="auto"/>
              </w:rPr>
            </w:pPr>
          </w:p>
        </w:tc>
        <w:tc>
          <w:tcPr>
            <w:tcW w:w="140" w:type="dxa"/>
            <w:vAlign w:val="bottom"/>
            <w:shd w:val="clear" w:color="auto" w:fill="D4EFF4"/>
          </w:tcPr>
          <w:p>
            <w:pPr>
              <w:spacing w:after="0"/>
              <w:rPr>
                <w:sz w:val="14"/>
                <w:szCs w:val="14"/>
                <w:color w:val="auto"/>
              </w:rPr>
            </w:pPr>
          </w:p>
        </w:tc>
        <w:tc>
          <w:tcPr>
            <w:tcW w:w="640" w:type="dxa"/>
            <w:vAlign w:val="bottom"/>
            <w:shd w:val="clear" w:color="auto" w:fill="D4EFF4"/>
          </w:tcPr>
          <w:p>
            <w:pPr>
              <w:spacing w:after="0"/>
              <w:rPr>
                <w:sz w:val="14"/>
                <w:szCs w:val="14"/>
                <w:color w:val="auto"/>
              </w:rPr>
            </w:pPr>
          </w:p>
        </w:tc>
        <w:tc>
          <w:tcPr>
            <w:tcW w:w="60" w:type="dxa"/>
            <w:vAlign w:val="bottom"/>
            <w:shd w:val="clear" w:color="auto" w:fill="D4EFF4"/>
          </w:tcPr>
          <w:p>
            <w:pPr>
              <w:spacing w:after="0"/>
              <w:rPr>
                <w:sz w:val="14"/>
                <w:szCs w:val="14"/>
                <w:color w:val="auto"/>
              </w:rPr>
            </w:pP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Interest paid</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54</w:t>
            </w:r>
          </w:p>
        </w:tc>
        <w:tc>
          <w:tcPr>
            <w:tcW w:w="14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52</w:t>
            </w:r>
          </w:p>
        </w:tc>
        <w:tc>
          <w:tcPr>
            <w:tcW w:w="160" w:type="dxa"/>
            <w:vAlign w:val="bottom"/>
          </w:tcPr>
          <w:p>
            <w:pPr>
              <w:spacing w:after="0"/>
              <w:rPr>
                <w:sz w:val="16"/>
                <w:szCs w:val="16"/>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60" w:type="dxa"/>
            <w:vAlign w:val="bottom"/>
          </w:tcPr>
          <w:p>
            <w:pPr>
              <w:spacing w:after="0"/>
              <w:rPr>
                <w:sz w:val="16"/>
                <w:szCs w:val="16"/>
                <w:color w:val="auto"/>
              </w:rPr>
            </w:pPr>
          </w:p>
        </w:tc>
      </w:tr>
      <w:tr>
        <w:trPr>
          <w:trHeight w:val="186"/>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15"/>
                <w:szCs w:val="15"/>
                <w:color w:val="auto"/>
              </w:rPr>
              <w:t>Income taxes paid (including discontinued operations)</w:t>
            </w: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33</w:t>
            </w:r>
          </w:p>
        </w:tc>
        <w:tc>
          <w:tcPr>
            <w:tcW w:w="14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740" w:type="dxa"/>
            <w:vAlign w:val="bottom"/>
            <w:shd w:val="clear" w:color="auto" w:fill="D4EFF4"/>
          </w:tcPr>
          <w:p>
            <w:pPr>
              <w:jc w:val="right"/>
              <w:ind w:right="45"/>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6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60" w:type="dxa"/>
            <w:vAlign w:val="bottom"/>
            <w:shd w:val="clear" w:color="auto" w:fill="D4EFF4"/>
          </w:tcPr>
          <w:p>
            <w:pPr>
              <w:spacing w:after="0"/>
              <w:rPr>
                <w:sz w:val="16"/>
                <w:szCs w:val="16"/>
                <w:color w:val="auto"/>
              </w:rPr>
            </w:pPr>
          </w:p>
        </w:tc>
      </w:tr>
      <w:tr>
        <w:trPr>
          <w:trHeight w:val="83"/>
        </w:trPr>
        <w:tc>
          <w:tcPr>
            <w:tcW w:w="7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-6501765</wp:posOffset>
            </wp:positionV>
            <wp:extent cx="650811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96">
                      <a:extLst>
                        <a:ext uri="{28A0092B-C50C-407E-A947-70E740481C1C}"/>
                      </a:extLst>
                    </a:blip>
                    <a:srcRect/>
                    <a:stretch>
                      <a:fillRect/>
                    </a:stretch>
                  </pic:blipFill>
                  <pic:spPr bwMode="auto">
                    <a:xfrm>
                      <a:off x="0" y="0"/>
                      <a:ext cx="6508115" cy="381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wp:posOffset>
            </wp:positionV>
            <wp:extent cx="650811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97">
                      <a:extLst>
                        <a:ext uri="{28A0092B-C50C-407E-A947-70E740481C1C}"/>
                      </a:extLst>
                    </a:blip>
                    <a:srcRect/>
                    <a:stretch>
                      <a:fillRect/>
                    </a:stretch>
                  </pic:blipFill>
                  <pic:spPr bwMode="auto">
                    <a:xfrm>
                      <a:off x="0" y="0"/>
                      <a:ext cx="6508115" cy="3810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Excludes changes resulting from operations sold.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240"/>
          </w:cols>
          <w:pgMar w:left="1000" w:top="927"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240"/>
          </w:cols>
          <w:pgMar w:left="1000" w:top="927" w:right="1000" w:bottom="186" w:gutter="0" w:footer="0" w:header="0"/>
          <w:type w:val="continuous"/>
        </w:sectPr>
      </w:pPr>
    </w:p>
    <w:bookmarkStart w:id="113" w:name="page114"/>
    <w:bookmarkEnd w:id="113"/>
    <w:p>
      <w:pPr>
        <w:ind w:left="8"/>
        <w:spacing w:after="0"/>
        <w:rPr>
          <w:sz w:val="20"/>
          <w:szCs w:val="20"/>
          <w:color w:val="auto"/>
        </w:rPr>
      </w:pPr>
      <w:r>
        <w:rPr>
          <w:rFonts w:ascii="Times New Roman" w:cs="Times New Roman" w:eastAsia="Times New Roman" w:hAnsi="Times New Roman"/>
          <w:sz w:val="20"/>
          <w:szCs w:val="20"/>
          <w:b w:val="1"/>
          <w:bCs w:val="1"/>
          <w:color w:val="auto"/>
        </w:rPr>
        <w:t>NOTE A – SIGNIFICANT ACCOUNTING POLICIES</w:t>
      </w:r>
    </w:p>
    <w:p>
      <w:pPr>
        <w:spacing w:after="0" w:line="1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Principles of consolidation and basis of presentation</w:t>
      </w:r>
    </w:p>
    <w:p>
      <w:pPr>
        <w:spacing w:after="0" w:line="170" w:lineRule="exact"/>
        <w:rPr>
          <w:sz w:val="20"/>
          <w:szCs w:val="20"/>
          <w:color w:val="auto"/>
        </w:rPr>
      </w:pPr>
    </w:p>
    <w:p>
      <w:pPr>
        <w:jc w:val="both"/>
        <w:ind w:left="8" w:firstLine="360"/>
        <w:spacing w:after="0" w:line="295"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accounting principles generally accepted in the United States of America ("U.S. GAAP") and U.S. Securities and Exchange Commission ("SEC") regulations. The Consolidated Financial Statements include the accounts of Ashland Inc. ("Ashland") and its majority owned subsidiaries and, when applicable, entities for which Ashland has a controlling financial interest or is the primary beneficiary. Investments in joint ventures and 20% to 50% owned affiliates where Ashland has the ability to exert significant influence are accounted for under the equity method. Ashland had no significant equity method investments for any of the periods presented. All intercompany transactions and balances have been eliminated.</w:t>
      </w:r>
    </w:p>
    <w:p>
      <w:pPr>
        <w:spacing w:after="0" w:line="80"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Ashland is comprised of the following reportable segments: Life Sciences, Personal Care, Specialty Additives and Intermediates.</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Unallocated and Other includes corporate governance activities and certain legacy matters. See Note Q for more information.</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Use of estimates, risks and uncertainties</w:t>
      </w:r>
    </w:p>
    <w:p>
      <w:pPr>
        <w:spacing w:after="0" w:line="170" w:lineRule="exact"/>
        <w:rPr>
          <w:sz w:val="20"/>
          <w:szCs w:val="20"/>
          <w:color w:val="auto"/>
        </w:rPr>
      </w:pPr>
    </w:p>
    <w:p>
      <w:pPr>
        <w:jc w:val="both"/>
        <w:ind w:left="8" w:firstLine="360"/>
        <w:spacing w:after="0" w:line="295" w:lineRule="auto"/>
        <w:rPr>
          <w:sz w:val="20"/>
          <w:szCs w:val="20"/>
          <w:color w:val="auto"/>
        </w:rPr>
      </w:pPr>
      <w:r>
        <w:rPr>
          <w:rFonts w:ascii="Times New Roman" w:cs="Times New Roman" w:eastAsia="Times New Roman" w:hAnsi="Times New Roman"/>
          <w:sz w:val="20"/>
          <w:szCs w:val="20"/>
          <w:color w:val="auto"/>
        </w:rPr>
        <w:t>The preparation of Ashland’s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the accounting for goodwill and other indefinite-lived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80" w:lineRule="exact"/>
        <w:rPr>
          <w:sz w:val="20"/>
          <w:szCs w:val="20"/>
          <w:color w:val="auto"/>
        </w:rPr>
      </w:pPr>
    </w:p>
    <w:p>
      <w:pPr>
        <w:jc w:val="both"/>
        <w:ind w:left="8" w:firstLine="360"/>
        <w:spacing w:after="0" w:line="297" w:lineRule="auto"/>
        <w:rPr>
          <w:sz w:val="20"/>
          <w:szCs w:val="20"/>
          <w:color w:val="auto"/>
        </w:rPr>
      </w:pPr>
      <w:r>
        <w:rPr>
          <w:rFonts w:ascii="Times New Roman" w:cs="Times New Roman" w:eastAsia="Times New Roman" w:hAnsi="Times New Roman"/>
          <w:sz w:val="20"/>
          <w:szCs w:val="20"/>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income taxes or other matters.</w:t>
      </w:r>
    </w:p>
    <w:p>
      <w:pPr>
        <w:spacing w:after="0" w:line="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70"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Cash and cash equivalents include cash on hand and highly liquid investments maturing within three months after purchase.</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Allowance for credit losses on accounts receivable</w:t>
      </w:r>
    </w:p>
    <w:p>
      <w:pPr>
        <w:spacing w:after="0" w:line="170" w:lineRule="exact"/>
        <w:rPr>
          <w:sz w:val="20"/>
          <w:szCs w:val="20"/>
          <w:color w:val="auto"/>
        </w:rPr>
      </w:pPr>
    </w:p>
    <w:p>
      <w:pPr>
        <w:jc w:val="both"/>
        <w:ind w:left="8" w:firstLine="360"/>
        <w:spacing w:after="0" w:line="297" w:lineRule="auto"/>
        <w:rPr>
          <w:sz w:val="20"/>
          <w:szCs w:val="20"/>
          <w:color w:val="auto"/>
        </w:rPr>
      </w:pPr>
      <w:r>
        <w:rPr>
          <w:rFonts w:ascii="Times New Roman" w:cs="Times New Roman" w:eastAsia="Times New Roman" w:hAnsi="Times New Roman"/>
          <w:sz w:val="20"/>
          <w:szCs w:val="20"/>
          <w:color w:val="auto"/>
        </w:rPr>
        <w:t>Ashland records an allowance for credit losses using the expected credit loss model. Ashland estimates expected credit losses based on relevant information about past events, including historical experience, current conditions, and reasonable and supportable forecasts that affect the collectability of the reported amount. When measuring expected credit losses, Ashland pools assets with similar country risk and credit risk characteristics. Each period, the allowance for credit losses is adjusted through earnings to reflect expected credit losses over the remaining lives of the assets. No significant credit losses were incurred in 2025, 2024 and 2023.</w:t>
      </w:r>
    </w:p>
    <w:p>
      <w:pPr>
        <w:spacing w:after="0" w:line="77"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A progression of activity in the allowance for credit losses is presented in the following table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07250"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98">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00" w:type="dxa"/>
            <w:vAlign w:val="bottom"/>
          </w:tcPr>
          <w:p>
            <w:pPr>
              <w:spacing w:after="0"/>
              <w:rPr>
                <w:sz w:val="21"/>
                <w:szCs w:val="21"/>
                <w:color w:val="auto"/>
              </w:rPr>
            </w:pPr>
          </w:p>
        </w:tc>
        <w:tc>
          <w:tcPr>
            <w:tcW w:w="116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678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Allowance for credit losses - beginning of year</w:t>
            </w:r>
          </w:p>
        </w:tc>
        <w:tc>
          <w:tcPr>
            <w:tcW w:w="300" w:type="dxa"/>
            <w:vAlign w:val="bottom"/>
            <w:shd w:val="clear" w:color="auto" w:fill="D4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w:t>
            </w:r>
          </w:p>
        </w:tc>
        <w:tc>
          <w:tcPr>
            <w:tcW w:w="420" w:type="dxa"/>
            <w:vAlign w:val="bottom"/>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w:t>
            </w:r>
          </w:p>
        </w:tc>
        <w:tc>
          <w:tcPr>
            <w:tcW w:w="420" w:type="dxa"/>
            <w:vAlign w:val="bottom"/>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4</w:t>
            </w:r>
          </w:p>
        </w:tc>
      </w:tr>
      <w:tr>
        <w:trPr>
          <w:trHeight w:val="230"/>
        </w:trPr>
        <w:tc>
          <w:tcPr>
            <w:tcW w:w="678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Adjustments to allowances for credit losses</w:t>
            </w:r>
            <w:r>
              <w:rPr>
                <w:rFonts w:ascii="Times New Roman" w:cs="Times New Roman" w:eastAsia="Times New Roman" w:hAnsi="Times New Roman"/>
                <w:sz w:val="25"/>
                <w:szCs w:val="25"/>
                <w:color w:val="auto"/>
                <w:vertAlign w:val="superscript"/>
              </w:rPr>
              <w:t>(a)</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67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Reserves utilized</w:t>
            </w:r>
          </w:p>
        </w:tc>
        <w:tc>
          <w:tcPr>
            <w:tcW w:w="300" w:type="dxa"/>
            <w:vAlign w:val="bottom"/>
            <w:tcBorders>
              <w:bottom w:val="single" w:sz="8" w:color="auto"/>
            </w:tcBorders>
            <w:shd w:val="clear" w:color="auto" w:fill="D4EFF4"/>
          </w:tcPr>
          <w:p>
            <w:pPr>
              <w:spacing w:after="0"/>
              <w:rPr>
                <w:sz w:val="20"/>
                <w:szCs w:val="20"/>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4EFF4"/>
          </w:tcPr>
          <w:p>
            <w:pPr>
              <w:spacing w:after="0"/>
              <w:rPr>
                <w:sz w:val="20"/>
                <w:szCs w:val="20"/>
                <w:color w:val="auto"/>
              </w:rPr>
            </w:pPr>
          </w:p>
        </w:tc>
        <w:tc>
          <w:tcPr>
            <w:tcW w:w="280" w:type="dxa"/>
            <w:vAlign w:val="bottom"/>
            <w:tcBorders>
              <w:bottom w:val="single" w:sz="8" w:color="auto"/>
            </w:tcBorders>
            <w:shd w:val="clear" w:color="auto" w:fill="D4EFF4"/>
          </w:tcPr>
          <w:p>
            <w:pPr>
              <w:spacing w:after="0"/>
              <w:rPr>
                <w:sz w:val="20"/>
                <w:szCs w:val="20"/>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4EFF4"/>
          </w:tcPr>
          <w:p>
            <w:pPr>
              <w:spacing w:after="0"/>
              <w:rPr>
                <w:sz w:val="20"/>
                <w:szCs w:val="20"/>
                <w:color w:val="auto"/>
              </w:rPr>
            </w:pPr>
          </w:p>
        </w:tc>
        <w:tc>
          <w:tcPr>
            <w:tcW w:w="280" w:type="dxa"/>
            <w:vAlign w:val="bottom"/>
            <w:tcBorders>
              <w:bottom w:val="single" w:sz="8" w:color="auto"/>
            </w:tcBorders>
            <w:shd w:val="clear" w:color="auto" w:fill="D4EFF4"/>
          </w:tcPr>
          <w:p>
            <w:pPr>
              <w:spacing w:after="0"/>
              <w:rPr>
                <w:sz w:val="20"/>
                <w:szCs w:val="20"/>
                <w:color w:val="auto"/>
              </w:rPr>
            </w:pPr>
          </w:p>
        </w:tc>
        <w:tc>
          <w:tcPr>
            <w:tcW w:w="112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r>
      <w:tr>
        <w:trPr>
          <w:trHeight w:val="225"/>
        </w:trPr>
        <w:tc>
          <w:tcPr>
            <w:tcW w:w="67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Allowance for credit losses - end of year</w:t>
            </w:r>
          </w:p>
        </w:tc>
        <w:tc>
          <w:tcPr>
            <w:tcW w:w="300" w:type="dxa"/>
            <w:vAlign w:val="bottom"/>
            <w:tcBorders>
              <w:bottom w:val="single" w:sz="8" w:color="auto"/>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3</w:t>
            </w: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6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-699135</wp:posOffset>
            </wp:positionV>
            <wp:extent cx="7207250"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99">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07250"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00">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allowances for credit loses were less than $1 million for fiscal 2024.</w:t>
      </w:r>
    </w:p>
    <w:p>
      <w:pPr>
        <w:sectPr>
          <w:pgSz w:w="12240" w:h="15840" w:orient="portrait"/>
          <w:cols w:equalWidth="0" w:num="1">
            <w:col w:w="11368"/>
          </w:cols>
          <w:pgMar w:left="432" w:top="1046"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1368"/>
          </w:cols>
          <w:pgMar w:left="432" w:top="1046" w:right="440" w:bottom="186"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Inventories are stated at cost using the weighted-average cost method.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method values inventories using average costs for raw materials and most recent production costs for labor and overhead.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The following summarizes Ashland’s inventories as of September 30:</w:t>
            </w: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7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40" w:type="dxa"/>
            <w:vAlign w:val="bottom"/>
          </w:tcPr>
          <w:p>
            <w:pPr>
              <w:spacing w:after="0"/>
              <w:rPr>
                <w:sz w:val="12"/>
                <w:szCs w:val="12"/>
                <w:color w:val="auto"/>
              </w:rPr>
            </w:pPr>
          </w:p>
        </w:tc>
        <w:tc>
          <w:tcPr>
            <w:tcW w:w="1340" w:type="dxa"/>
            <w:vAlign w:val="bottom"/>
            <w:vMerge w:val="restart"/>
          </w:tcPr>
          <w:p>
            <w:pPr>
              <w:jc w:val="right"/>
              <w:ind w:right="60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48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79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0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Finished products</w:t>
            </w:r>
          </w:p>
        </w:tc>
        <w:tc>
          <w:tcPr>
            <w:tcW w:w="340" w:type="dxa"/>
            <w:vAlign w:val="bottom"/>
            <w:shd w:val="clear" w:color="auto" w:fill="D4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421</w:t>
            </w:r>
          </w:p>
        </w:tc>
        <w:tc>
          <w:tcPr>
            <w:tcW w:w="500" w:type="dxa"/>
            <w:vAlign w:val="bottom"/>
            <w:gridSpan w:val="2"/>
            <w:shd w:val="clear" w:color="auto" w:fill="D4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372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Raw materials, supplies and work in process</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147</w:t>
            </w:r>
          </w:p>
        </w:tc>
        <w:tc>
          <w:tcPr>
            <w:tcW w:w="160" w:type="dxa"/>
            <w:vAlign w:val="bottom"/>
            <w:tcBorders>
              <w:bottom w:val="single" w:sz="8" w:color="D4EFF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173</w:t>
            </w:r>
          </w:p>
        </w:tc>
        <w:tc>
          <w:tcPr>
            <w:tcW w:w="0" w:type="dxa"/>
            <w:vAlign w:val="bottom"/>
          </w:tcPr>
          <w:p>
            <w:pPr>
              <w:spacing w:after="0"/>
              <w:rPr>
                <w:sz w:val="1"/>
                <w:szCs w:val="1"/>
                <w:color w:val="auto"/>
              </w:rPr>
            </w:pPr>
          </w:p>
        </w:tc>
      </w:tr>
      <w:tr>
        <w:trPr>
          <w:trHeight w:val="225"/>
        </w:trPr>
        <w:tc>
          <w:tcPr>
            <w:tcW w:w="7900" w:type="dxa"/>
            <w:vAlign w:val="bottom"/>
            <w:shd w:val="clear" w:color="auto" w:fill="D4EFF4"/>
          </w:tcPr>
          <w:p>
            <w:pPr>
              <w:spacing w:after="0"/>
              <w:rPr>
                <w:sz w:val="19"/>
                <w:szCs w:val="19"/>
                <w:color w:val="auto"/>
              </w:rPr>
            </w:pPr>
          </w:p>
        </w:tc>
        <w:tc>
          <w:tcPr>
            <w:tcW w:w="340" w:type="dxa"/>
            <w:vAlign w:val="bottom"/>
            <w:tcBorders>
              <w:bottom w:val="single" w:sz="8" w:color="auto"/>
            </w:tcBorders>
            <w:shd w:val="clear" w:color="auto" w:fill="D4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568</w:t>
            </w:r>
          </w:p>
        </w:tc>
        <w:tc>
          <w:tcPr>
            <w:tcW w:w="160" w:type="dxa"/>
            <w:vAlign w:val="bottom"/>
            <w:shd w:val="clear" w:color="auto" w:fill="D4EFF4"/>
          </w:tcPr>
          <w:p>
            <w:pPr>
              <w:spacing w:after="0"/>
              <w:rPr>
                <w:sz w:val="19"/>
                <w:szCs w:val="19"/>
                <w:color w:val="auto"/>
              </w:rPr>
            </w:pPr>
          </w:p>
        </w:tc>
        <w:tc>
          <w:tcPr>
            <w:tcW w:w="340" w:type="dxa"/>
            <w:vAlign w:val="bottom"/>
            <w:tcBorders>
              <w:bottom w:val="single" w:sz="8" w:color="auto"/>
            </w:tcBorders>
            <w:shd w:val="clear" w:color="auto" w:fill="D4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545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7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-708660</wp:posOffset>
            </wp:positionV>
            <wp:extent cx="722058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01">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-553085</wp:posOffset>
            </wp:positionV>
            <wp:extent cx="722058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02">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-23495</wp:posOffset>
            </wp:positionV>
            <wp:extent cx="722058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03">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 progression of activity in the inventory reserves for obsolete and slow moving inventories, which reduce the amounts of finished products and raw materials, supplies and work in process reported, is presented in the following table,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29210</wp:posOffset>
            </wp:positionV>
            <wp:extent cx="7207250"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04">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00" w:type="dxa"/>
            <w:vAlign w:val="bottom"/>
          </w:tcPr>
          <w:p>
            <w:pPr>
              <w:spacing w:after="0"/>
              <w:rPr>
                <w:sz w:val="21"/>
                <w:szCs w:val="21"/>
                <w:color w:val="auto"/>
              </w:rPr>
            </w:pPr>
          </w:p>
        </w:tc>
        <w:tc>
          <w:tcPr>
            <w:tcW w:w="116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678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Inventory reserves - beginning of year</w:t>
            </w:r>
          </w:p>
        </w:tc>
        <w:tc>
          <w:tcPr>
            <w:tcW w:w="300" w:type="dxa"/>
            <w:vAlign w:val="bottom"/>
            <w:shd w:val="clear" w:color="auto" w:fill="D4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18</w:t>
            </w:r>
          </w:p>
        </w:tc>
        <w:tc>
          <w:tcPr>
            <w:tcW w:w="420" w:type="dxa"/>
            <w:vAlign w:val="bottom"/>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21</w:t>
            </w:r>
          </w:p>
        </w:tc>
        <w:tc>
          <w:tcPr>
            <w:tcW w:w="420" w:type="dxa"/>
            <w:vAlign w:val="bottom"/>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13</w:t>
            </w: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inventory reserves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67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Reserves utilized</w:t>
            </w:r>
          </w:p>
        </w:tc>
        <w:tc>
          <w:tcPr>
            <w:tcW w:w="300" w:type="dxa"/>
            <w:vAlign w:val="bottom"/>
            <w:tcBorders>
              <w:bottom w:val="single" w:sz="8" w:color="auto"/>
            </w:tcBorders>
            <w:shd w:val="clear" w:color="auto" w:fill="D4EFF4"/>
          </w:tcPr>
          <w:p>
            <w:pPr>
              <w:spacing w:after="0"/>
              <w:rPr>
                <w:sz w:val="20"/>
                <w:szCs w:val="20"/>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shd w:val="clear" w:color="auto" w:fill="D4EFF4"/>
          </w:tcPr>
          <w:p>
            <w:pPr>
              <w:spacing w:after="0"/>
              <w:rPr>
                <w:sz w:val="20"/>
                <w:szCs w:val="20"/>
                <w:color w:val="auto"/>
              </w:rPr>
            </w:pPr>
          </w:p>
        </w:tc>
        <w:tc>
          <w:tcPr>
            <w:tcW w:w="280" w:type="dxa"/>
            <w:vAlign w:val="bottom"/>
            <w:tcBorders>
              <w:bottom w:val="single" w:sz="8" w:color="auto"/>
            </w:tcBorders>
            <w:shd w:val="clear" w:color="auto" w:fill="D4EFF4"/>
          </w:tcPr>
          <w:p>
            <w:pPr>
              <w:spacing w:after="0"/>
              <w:rPr>
                <w:sz w:val="20"/>
                <w:szCs w:val="20"/>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shd w:val="clear" w:color="auto" w:fill="D4EFF4"/>
          </w:tcPr>
          <w:p>
            <w:pPr>
              <w:spacing w:after="0"/>
              <w:rPr>
                <w:sz w:val="20"/>
                <w:szCs w:val="20"/>
                <w:color w:val="auto"/>
              </w:rPr>
            </w:pPr>
          </w:p>
        </w:tc>
        <w:tc>
          <w:tcPr>
            <w:tcW w:w="280" w:type="dxa"/>
            <w:vAlign w:val="bottom"/>
            <w:tcBorders>
              <w:bottom w:val="single" w:sz="8" w:color="auto"/>
            </w:tcBorders>
            <w:shd w:val="clear" w:color="auto" w:fill="D4EFF4"/>
          </w:tcPr>
          <w:p>
            <w:pPr>
              <w:spacing w:after="0"/>
              <w:rPr>
                <w:sz w:val="20"/>
                <w:szCs w:val="20"/>
                <w:color w:val="auto"/>
              </w:rPr>
            </w:pPr>
          </w:p>
        </w:tc>
        <w:tc>
          <w:tcPr>
            <w:tcW w:w="112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r>
      <w:tr>
        <w:trPr>
          <w:trHeight w:val="225"/>
        </w:trPr>
        <w:tc>
          <w:tcPr>
            <w:tcW w:w="67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Inventory reserves - end of year</w:t>
            </w:r>
          </w:p>
        </w:tc>
        <w:tc>
          <w:tcPr>
            <w:tcW w:w="300" w:type="dxa"/>
            <w:vAlign w:val="bottom"/>
            <w:tcBorders>
              <w:bottom w:val="single" w:sz="8" w:color="auto"/>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21</w:t>
            </w: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6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-699135</wp:posOffset>
            </wp:positionV>
            <wp:extent cx="7207250"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05">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-23495</wp:posOffset>
            </wp:positionV>
            <wp:extent cx="7207250"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06">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170"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The cost of property, plant and equipment is depreciated by the straight-line method over the estimated useful lives of the assets. Buildings are depreciated principally over 12 to 35 years and machinery and equipment principally over 2 to 25 years. Such costs are periodically reviewed for recoverability when impairment indicators are present. Such indicators include, among other factors, operating losses, unused capacity, market value declines and technological obsolescence. Recorded values of asset groups of property, plant and equipment that are not expected to be recovered through undiscounted future net cash flows are written down to current fair value, which generally is determined from estimated discounted future net cash flows (assets held for use) or net realizable value (assets held for sale). See Note F for additional information related to property, plant and equipment.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Leasing arrangements</w:t>
      </w:r>
    </w:p>
    <w:p>
      <w:pPr>
        <w:spacing w:after="0" w:line="17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 determines if an arrangement contains a lease at inception based on whether or not it has the right to control the asset during the contract period and other facts and circumstances.</w:t>
      </w:r>
    </w:p>
    <w:p>
      <w:pPr>
        <w:spacing w:after="0" w:line="49"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Operating lease right-of-use assets represent Ashland’s right to use an underlying asset for the lease term and lease liabilities represent Ashland’s obligation to make lease payments arising from the lease, both of which are recognized based on the present value of the future minimum lease payments over the lease term at the commencement date. Leases with a lease term of 12 months or less at inception are not recorded within the Consolidated Balance Sheets and are expensed on a straight-line basis over the lease term within the Statements of Consolidated Comprehensive Income (Loss). The lease term is determined by assuming the exercise of renewal options that are reasonably certain. As most leases do not provide an implicit interest rate, Ashland used its incremental borrowing rate based on the information available at commencement date in determining the present value of future lease payments. When contracts contain lease and non-lease components, Ashland generally accounts for both components as a single lease component. For additional information on leasing arrangements, see Note J.</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 and other indefinite-lived intangible assets</w:t>
      </w:r>
    </w:p>
    <w:p>
      <w:pPr>
        <w:spacing w:after="0" w:line="17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Ashland tests goodwill and other indefinite-lived intangible assets for impairment annually as of July 1 and when events and circumstances indicate an impairment may have occurred. Ashland reviews goodwill for impairment based on its identified reporting units. Ashland determined that its reporting units are Life Sciences, Personal Care, Specialty Additives and Intermediates. Ashland tests goodwill for impairment by comparing the carrying value to the estimated fair value of its reporting units. If the fair value of the reporting unit is lower than its carrying amount, goodwill is written down for the amount by which the carrying amount exceeds the fair value. However, the loss recognized cannot exceed the carrying amount of goodwill.</w:t>
      </w:r>
    </w:p>
    <w:p>
      <w:pPr>
        <w:spacing w:after="0" w:line="80" w:lineRule="exact"/>
        <w:rPr>
          <w:sz w:val="20"/>
          <w:szCs w:val="20"/>
          <w:color w:val="auto"/>
        </w:rPr>
      </w:pPr>
    </w:p>
    <w:p>
      <w:pPr>
        <w:jc w:val="both"/>
        <w:ind w:firstLine="360"/>
        <w:spacing w:after="0" w:line="355" w:lineRule="auto"/>
        <w:rPr>
          <w:sz w:val="20"/>
          <w:szCs w:val="20"/>
          <w:color w:val="auto"/>
        </w:rPr>
      </w:pPr>
      <w:r>
        <w:rPr>
          <w:rFonts w:ascii="Times New Roman" w:cs="Times New Roman" w:eastAsia="Times New Roman" w:hAnsi="Times New Roman"/>
          <w:sz w:val="19"/>
          <w:szCs w:val="19"/>
          <w:color w:val="auto"/>
        </w:rPr>
        <w:t>Using the quantitative approach, Ashland makes various estimates and assumptions in determining the estimated fair value of each reporting unit using a combination of discounted cash flow models and valuations based on earnings multiples for guideline public companies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2240" w:h="15840" w:orient="portrait"/>
          <w:cols w:equalWidth="0" w:num="1">
            <w:col w:w="11360"/>
          </w:cols>
          <w:pgMar w:left="440" w:top="926" w:right="440" w:bottom="175" w:gutter="0" w:footer="0" w:header="0"/>
        </w:sectPr>
      </w:pPr>
    </w:p>
    <w:bookmarkStart w:id="115" w:name="page116"/>
    <w:bookmarkEnd w:id="115"/>
    <w:p>
      <w:pPr>
        <w:jc w:val="both"/>
        <w:spacing w:after="0" w:line="295" w:lineRule="auto"/>
        <w:rPr>
          <w:sz w:val="20"/>
          <w:szCs w:val="20"/>
          <w:color w:val="auto"/>
        </w:rPr>
      </w:pPr>
      <w:r>
        <w:rPr>
          <w:rFonts w:ascii="Times New Roman" w:cs="Times New Roman" w:eastAsia="Times New Roman" w:hAnsi="Times New Roman"/>
          <w:sz w:val="20"/>
          <w:szCs w:val="20"/>
          <w:color w:val="auto"/>
        </w:rPr>
        <w:t>in each reporting unit’s industry peer group. Discounted cash flow models are reliant on various assumptions, including projected business results, long-term growth factors and weighted-average cost of capital. Management judgment is involved in estimating these variables, and they include uncertainties since they are forecasting future events. Ashland performs sensitivity analyses by using a range of inputs to confirm the reasonableness of the long-term growth rate and weighted average cost of capital. Additionally, Ashland compares the indicated equity value to Ashland’s market capitalization and evaluates the resulting implied control premium/discount to determine if the estimated enterprise value is reasonable.</w:t>
      </w:r>
    </w:p>
    <w:p>
      <w:pPr>
        <w:spacing w:after="0" w:line="80"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Ashland tests at least annually its indefinite-lived intangible assets, principally trademarks and trade names. If the carrying value of an individual indefinite-lived intangible asset exceeds its fair value, such individual indefinite-lived intangible asset is written down by an amount equal to such excess. Ashland performs a quantitative impairment test for the trademarks and trade names during which, trademarks and trade names are valued using a “relief-from-royalty” valuation method compared to the carrying value. Assumptions inherent in the valuation methodologies include, but are not limited to, such estimates as future projected business results, growth rates, the weighted-average cost of capital for a market participant, and royalty rates. For further information on goodwill and other indefinite-lived intangible assets, see Note 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Finite-lived intangible assets</w:t>
      </w:r>
    </w:p>
    <w:p>
      <w:pPr>
        <w:spacing w:after="0" w:line="170"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20"/>
          <w:szCs w:val="20"/>
          <w:color w:val="auto"/>
        </w:rPr>
        <w:t>Finite-lived intangible assets principally consist of certain trademarks and trade names, intellectual property, and customer lists. These intangible assets are amortized on a straight-line basis over their estimated useful lives. The cost of trademarks and trade names is amortized principally over 3 to 20 years, intellectual property over 3 to 20 years and customer and supplier relationships over 10 to 24 years. Ashland reviews finite-lived intangible assets for impairment whenever events or changes in circumstances indicate the carrying amount of an asset may not be recoverable. Ashland monitors these changes and events on at least a quarterly basis. The intangibles amortization expense caption within the Statements of Consolidated Comprehensive Income (Loss) includes amortization expense related to trademarks and trade names, intellectual property and customer and supplier relationships. Intangible assets classified as finite are amortized on a straight-line basis over their estimated useful lives. For further information on finite-lived intangible assets, see Note 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170"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Ashland regularly uses derivative instruments to manage its exposure to fluctuations in foreign currencies and certain commodities. All derivative instruments are recognized as either assets or liabilities on the Consolidated Balance Sheets and are measured at fair value. Changes in the fair value of all derivatives are recognized immediately in the Statements of Consolidated Comprehensive Income (Loss) unless the derivative qualifies as a hedge of future cash flows or a hedge of a net investment in a foreign operation. Gains and losses related to an instrument that qualifies for hedge accounting are either recognized in the Statements of Consolidated Comprehensive Income (Loss) immediately to offset the gain or loss on the hedged item, or deferred and recorded in the stockholders’ equity section of the Consolidated Balance Sheets as a component of accumulated other comprehensive loss and subsequently recognized in the Statements of Consolidated Comprehensive Income (Loss) when the hedged item affects net income (loss). For additional information on derivative instruments, see Note 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investments</w:t>
      </w:r>
    </w:p>
    <w:p>
      <w:pPr>
        <w:spacing w:after="0" w:line="170"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During 2015, Ashland placed $335 million of insurance proceeds into a renewable annual trust for asbestos (Asbestos trust) that Ashland determined is restricted for the purpose of paying ongoing and future litigation defense and claim settlement costs incurred in conjunction with asbestos claims. As of September 30, 2025 and 2024, the funds within the Asbestos trust had a balance of $231 million and $248 million, respectively, and were primarily invested in publicly traded mutual funds with diversified asset allocations with a portion maintained in demand deposits. These funds are presented primarily as noncurrent assets within the restricted investments caption of the Consolidated Balance Sheets, with $30 million and $36 million classified within other current assets in the Consolidated Balance Sheets as of September 30, 2025 and 2024, respectively.</w:t>
      </w:r>
    </w:p>
    <w:p>
      <w:pPr>
        <w:spacing w:after="0" w:line="8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During 2021, Ashland established a renewable annual trust for environmental remediation (Environmental trust) that Ashland determined is restricted for ongoing and future environmental remediation and related litigation costs. As of September 30, 2025 and 2024, the funds within the Environmental trust had a balance of $116 million and $120 million, respectively, and were primarily invested in publicly traded mutual funds with diversified asset allocations with a portion maintained in demand deposits. These funds are presented primarily as noncurrent assets within the restricted investments caption of the Consolidated Balance Sheets, with $20 million and $37 million classified within other current assets in the Consolidated Balance Sheets as of September 30, 2025 and 2024, respectively.</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F-14</w:t>
      </w:r>
    </w:p>
    <w:p>
      <w:pPr>
        <w:sectPr>
          <w:pgSz w:w="12240" w:h="15840" w:orient="portrait"/>
          <w:cols w:equalWidth="0" w:num="1">
            <w:col w:w="11360"/>
          </w:cols>
          <w:pgMar w:left="440" w:top="930" w:right="440" w:bottom="175" w:gutter="0" w:footer="0" w:header="0"/>
        </w:sectPr>
      </w:pPr>
    </w:p>
    <w:bookmarkStart w:id="116" w:name="page117"/>
    <w:bookmarkEnd w:id="116"/>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The funds within these trusts are classified as investment securities reported at fair value. Interest income and gains and losses (realized and unrealized) on the investment securities are reported in the net interest and other expense (income) caption in the Statements of Consolidated Comprehensive Income (Loss). See Note E for additional information regarding the fair value of these investments within the trusts.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7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Ashland’s sales are measured as the amount of consideration it expects to receive in exchange for transferring goods and are recognized when performance obligations are satisfied under the terms of contracts or purchase orders with customers. Ashland generally utilizes standardized language for the terms of contracts or purchase orders.</w:t>
      </w:r>
    </w:p>
    <w:p>
      <w:pPr>
        <w:spacing w:after="0" w:line="68"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 performance obligation is deemed to be satisfied by Ashland when control of the product or service is transferred to the customer. The transaction price of a contract or purchase order, or the amount Ashland expects to receive upon satisfaction of all performance obligations, is determined by reference to the applicable terms. Ashland generally collects the cash from its customers within 60 days of the product delivery date. Sales and other similar taxes collected from customers on behalf of third parties are excluded from the contract price.</w:t>
      </w:r>
    </w:p>
    <w:p>
      <w:pPr>
        <w:spacing w:after="0" w:line="74"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All of Ashland’s sales are derived from contracts or purchase orders with customers, and nearly all contracts or purchase orders with customers contain a single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77"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Costs incurred to obtain contracts with customers are not significant and are expensed immediately as the period of performance is generally one year or less. Ashland records credit losses in specific situations when it is determined that the customer is unable to meet its financial obligation.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Expense recognition</w:t>
      </w:r>
    </w:p>
    <w:p>
      <w:pPr>
        <w:spacing w:after="0" w:line="17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Cost of sales include material and production costs, as well as the costs of inbound freight, purchasing and receiving, inspection, warehousing, internal transfers and all other distribution network costs. Selling, general and administrative expense includes sales and marketing costs, advertising, customer support, environmental remediation, corporate and divisional administrative and other costs. Advertising costs ($1 million in 2025, $1 million in 2024 and $2 million in 2023) and research and development costs ($54 million in 2025, $55 million in 2024 and $51 million in 2023) are expensed as incurred.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70"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Ashland is subject to income taxes in the United States and numerous foreign jurisdictions. The provision for income taxes includes income taxes paid, currently payable or receivable, and deferred taxes. Ashland recognizes the income tax benefit from an uncertain tax position only if it is more likely than not that the tax position will be sustained on examination by taxing authorities, based on the technical merits of the position. Ashland evaluates and adjusts these accruals based on changing facts and circumstances.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Taxes due on Global Intangible Low-Taxed Income ("GILTI") inclusions in U.S. are recognized as a current period expense when incurred. Valuation allowances are established when necessary on a jurisdictional basis to reduce deferred tax assets to the amounts expected to be realized. In the event that the actual outcome of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Statements of Consolidated Comprehensive Income (Loss) and Consolidated Balance Sheets. For additional information on income taxes, see Note K.</w:t>
      </w:r>
    </w:p>
    <w:p>
      <w:pPr>
        <w:spacing w:after="0" w:line="83"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The Organization for Economic Co-operation and Development (“OECD”) introduced Global Anti-Base Erosion and Profit Shifting (“BEPS”) Pillar 2 rules under which multi-national entities would pay a minimum level of tax on the income arising in each of the jurisdictions in which they operate. Numerous countries, including EU member states, have enacted or are expected to enact legislation to effectuate the new rules. In addition, several non-EU countries have proposed and/or adopted legislation consistent with the global minimum tax framework. Important details of these minimum tax developments are still to be determined and, in some cases, enactment and timing</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11360"/>
          </w:cols>
          <w:pgMar w:left="440" w:top="930" w:right="440" w:bottom="175" w:gutter="0" w:footer="0" w:header="0"/>
        </w:sectPr>
      </w:pPr>
    </w:p>
    <w:bookmarkStart w:id="117" w:name="page118"/>
    <w:bookmarkEnd w:id="117"/>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remain uncertain. Based on current legislation and available guidance, Ashland implemented these rules during the year ended September 30, 2025. Ashland treated the Pillar Two global minimum tax as a period cost. These Pillar Two minimum tax rules did not have a material impact on Ashland’s financial condition, results of operations, or cash flows during the fiscal year ended September 30, 2025.</w:t>
      </w:r>
    </w:p>
    <w:p>
      <w:pPr>
        <w:spacing w:after="0" w:line="68"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On July 4, 2025, “An Act to provide for reconciliation pursuant to title II of H. Con. Res. 14” – commonly referred to as the One Big Beautiful Bill Act ("OBBBA") – was signed into law. OBBBA includes several changes to the U.S. federal income tax system, including modifications to the deduction for domestic research and development costs, expensing of certain business property, and changes to the limitation on business interest. Ashland recorded the impact of the applicable provisions of OBBBA, which were not material to the Consolidated Financial Statements, during the year ended September 30, 2025.</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progression of activity in the tax valuation allowances is presented in the following table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74295</wp:posOffset>
            </wp:positionV>
            <wp:extent cx="7207250"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07">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00" w:type="dxa"/>
            <w:vAlign w:val="bottom"/>
          </w:tcPr>
          <w:p>
            <w:pPr>
              <w:spacing w:after="0"/>
              <w:rPr>
                <w:sz w:val="21"/>
                <w:szCs w:val="21"/>
                <w:color w:val="auto"/>
              </w:rPr>
            </w:pPr>
          </w:p>
        </w:tc>
        <w:tc>
          <w:tcPr>
            <w:tcW w:w="116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2024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678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Tax valuation allowances - beginning of year</w:t>
            </w:r>
          </w:p>
        </w:tc>
        <w:tc>
          <w:tcPr>
            <w:tcW w:w="300" w:type="dxa"/>
            <w:vAlign w:val="bottom"/>
            <w:shd w:val="clear" w:color="auto" w:fill="D4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64</w:t>
            </w:r>
          </w:p>
        </w:tc>
        <w:tc>
          <w:tcPr>
            <w:tcW w:w="420" w:type="dxa"/>
            <w:vAlign w:val="bottom"/>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56</w:t>
            </w:r>
          </w:p>
        </w:tc>
        <w:tc>
          <w:tcPr>
            <w:tcW w:w="420" w:type="dxa"/>
            <w:vAlign w:val="bottom"/>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56</w:t>
            </w:r>
          </w:p>
        </w:tc>
        <w:tc>
          <w:tcPr>
            <w:tcW w:w="80" w:type="dxa"/>
            <w:vAlign w:val="bottom"/>
            <w:shd w:val="clear" w:color="auto" w:fill="D4EFF4"/>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valuation allowances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67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Reserves utilized</w:t>
            </w:r>
          </w:p>
        </w:tc>
        <w:tc>
          <w:tcPr>
            <w:tcW w:w="300" w:type="dxa"/>
            <w:vAlign w:val="bottom"/>
            <w:tcBorders>
              <w:bottom w:val="single" w:sz="8" w:color="auto"/>
            </w:tcBorders>
            <w:shd w:val="clear" w:color="auto" w:fill="D4EFF4"/>
          </w:tcPr>
          <w:p>
            <w:pPr>
              <w:spacing w:after="0"/>
              <w:rPr>
                <w:sz w:val="20"/>
                <w:szCs w:val="20"/>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FF4"/>
          </w:tcPr>
          <w:p>
            <w:pPr>
              <w:spacing w:after="0"/>
              <w:rPr>
                <w:sz w:val="20"/>
                <w:szCs w:val="20"/>
                <w:color w:val="auto"/>
              </w:rPr>
            </w:pPr>
          </w:p>
        </w:tc>
        <w:tc>
          <w:tcPr>
            <w:tcW w:w="280" w:type="dxa"/>
            <w:vAlign w:val="bottom"/>
            <w:tcBorders>
              <w:bottom w:val="single" w:sz="8" w:color="auto"/>
            </w:tcBorders>
            <w:shd w:val="clear" w:color="auto" w:fill="D4EFF4"/>
          </w:tcPr>
          <w:p>
            <w:pPr>
              <w:spacing w:after="0"/>
              <w:rPr>
                <w:sz w:val="20"/>
                <w:szCs w:val="20"/>
                <w:color w:val="auto"/>
              </w:rPr>
            </w:pPr>
          </w:p>
        </w:tc>
        <w:tc>
          <w:tcPr>
            <w:tcW w:w="116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shd w:val="clear" w:color="auto" w:fill="D4EFF4"/>
          </w:tcPr>
          <w:p>
            <w:pPr>
              <w:spacing w:after="0"/>
              <w:rPr>
                <w:sz w:val="20"/>
                <w:szCs w:val="20"/>
                <w:color w:val="auto"/>
              </w:rPr>
            </w:pPr>
          </w:p>
        </w:tc>
        <w:tc>
          <w:tcPr>
            <w:tcW w:w="280" w:type="dxa"/>
            <w:vAlign w:val="bottom"/>
            <w:tcBorders>
              <w:bottom w:val="single" w:sz="8" w:color="auto"/>
            </w:tcBorders>
            <w:shd w:val="clear" w:color="auto" w:fill="D4EFF4"/>
          </w:tcPr>
          <w:p>
            <w:pPr>
              <w:spacing w:after="0"/>
              <w:rPr>
                <w:sz w:val="20"/>
                <w:szCs w:val="20"/>
                <w:color w:val="auto"/>
              </w:rPr>
            </w:pPr>
          </w:p>
        </w:tc>
        <w:tc>
          <w:tcPr>
            <w:tcW w:w="10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shd w:val="clear" w:color="auto" w:fill="D4EFF4"/>
          </w:tcPr>
          <w:p>
            <w:pPr>
              <w:spacing w:after="0"/>
              <w:rPr>
                <w:sz w:val="20"/>
                <w:szCs w:val="20"/>
                <w:color w:val="auto"/>
              </w:rPr>
            </w:pPr>
          </w:p>
        </w:tc>
      </w:tr>
      <w:tr>
        <w:trPr>
          <w:trHeight w:val="225"/>
        </w:trPr>
        <w:tc>
          <w:tcPr>
            <w:tcW w:w="67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Tax valuation allowances - end of year</w:t>
            </w:r>
          </w:p>
        </w:tc>
        <w:tc>
          <w:tcPr>
            <w:tcW w:w="300" w:type="dxa"/>
            <w:vAlign w:val="bottom"/>
            <w:tcBorders>
              <w:bottom w:val="single" w:sz="8" w:color="auto"/>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76</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64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56</w:t>
            </w:r>
          </w:p>
        </w:tc>
        <w:tc>
          <w:tcPr>
            <w:tcW w:w="80" w:type="dxa"/>
            <w:vAlign w:val="bottom"/>
            <w:tcBorders>
              <w:bottom w:val="single" w:sz="8" w:color="auto"/>
            </w:tcBorders>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6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-698500</wp:posOffset>
            </wp:positionV>
            <wp:extent cx="7207250"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08">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-23495</wp:posOffset>
            </wp:positionV>
            <wp:extent cx="7207250"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09">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Asbestos-related litigation</w:t>
      </w:r>
    </w:p>
    <w:p>
      <w:pPr>
        <w:spacing w:after="0" w:line="124" w:lineRule="exact"/>
        <w:rPr>
          <w:sz w:val="20"/>
          <w:szCs w:val="20"/>
          <w:color w:val="auto"/>
        </w:rPr>
      </w:pPr>
    </w:p>
    <w:p>
      <w:pPr>
        <w:jc w:val="both"/>
        <w:ind w:right="20" w:firstLine="360"/>
        <w:spacing w:after="0" w:line="294"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(formerly Hercules Incorporated)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80" w:lineRule="exact"/>
        <w:rPr>
          <w:sz w:val="20"/>
          <w:szCs w:val="20"/>
          <w:color w:val="auto"/>
        </w:rPr>
      </w:pPr>
    </w:p>
    <w:p>
      <w:pPr>
        <w:jc w:val="both"/>
        <w:ind w:right="20" w:firstLine="360"/>
        <w:spacing w:after="0" w:line="292" w:lineRule="auto"/>
        <w:rPr>
          <w:sz w:val="20"/>
          <w:szCs w:val="20"/>
          <w:color w:val="auto"/>
        </w:rPr>
      </w:pPr>
      <w:r>
        <w:rPr>
          <w:rFonts w:ascii="Times New Roman" w:cs="Times New Roman" w:eastAsia="Times New Roman" w:hAnsi="Times New Roman"/>
          <w:sz w:val="20"/>
          <w:szCs w:val="20"/>
          <w:color w:val="auto"/>
        </w:rPr>
        <w:t>Ashland retained Gnarus Advisors LLC ("Gnarus") to assist in developing and annually updating independent reserve estimates for future asbestos claims and related costs given various assumptions. The methodology used to project future asbestos costs is based largely on Ashland’s recent experience, including claim-filing and settlement rates, disease mix, open claims, and litigation defense. Ashland’s claim experience is compared to the results of previously conducted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Ashland records the amount it believes to be the best estimate of future payments for litigation defense and claim settlement costs using the results of a non-inflated, non-discounted approximate 40-year model. For additional information on asbestos-related litigation, see Note 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remediation</w:t>
      </w:r>
    </w:p>
    <w:p>
      <w:pPr>
        <w:spacing w:after="0" w:line="124" w:lineRule="exact"/>
        <w:rPr>
          <w:sz w:val="20"/>
          <w:szCs w:val="20"/>
          <w:color w:val="auto"/>
        </w:rPr>
      </w:pPr>
    </w:p>
    <w:p>
      <w:pPr>
        <w:jc w:val="both"/>
        <w:ind w:right="20" w:firstLine="360"/>
        <w:spacing w:after="0" w:line="295" w:lineRule="auto"/>
        <w:rPr>
          <w:sz w:val="20"/>
          <w:szCs w:val="20"/>
          <w:color w:val="auto"/>
        </w:rPr>
      </w:pPr>
      <w:r>
        <w:rPr>
          <w:rFonts w:ascii="Times New Roman" w:cs="Times New Roman" w:eastAsia="Times New Roman" w:hAnsi="Times New Roman"/>
          <w:sz w:val="20"/>
          <w:szCs w:val="20"/>
          <w:color w:val="auto"/>
        </w:rPr>
        <w:t>Accruals for environmental remediation are recognized when it is probable a liability has been incurred and the amount of that liability can be reasonably estimated. Such costs are charged to expense if they relate to the remediation of conditions caused by past operations or are not expected to mitigate or prevent contamination from future operations. Accruals for environmental remediation reflect Ashland's estimates of the most likely costs that will be incurred over an extended period of time to remediate identified conditions for which costs are reasonably estimable and probable of being incurred, without regard to any third-party recoveries, and are regularly adjusted as environmental assessments and remediation efforts continue. For additional information on environmental remediation, see Note M.</w:t>
      </w:r>
    </w:p>
    <w:p>
      <w:pPr>
        <w:sectPr>
          <w:pgSz w:w="12240" w:h="15840" w:orient="portrait"/>
          <w:cols w:equalWidth="0" w:num="1">
            <w:col w:w="11380"/>
          </w:cols>
          <w:pgMar w:left="440" w:top="930" w:right="4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1380"/>
          </w:cols>
          <w:pgMar w:left="440" w:top="930" w:right="420" w:bottom="186"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color w:val="auto"/>
        </w:rPr>
        <w:t>Pension and other postretirement benefits</w:t>
      </w:r>
    </w:p>
    <w:p>
      <w:pPr>
        <w:spacing w:after="0" w:line="124"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The funded status of Ashland’s pension and other postretirement benefit plans is recognized in the Consolidated Balance Sheets. The funded status is measured as the difference between the fair value of plan assets and the benefit obligation at September 30, the measurement date. For defined benefit pension plans, the benefit obligation is the projected benefit obligation ("PBO") and for the other postretirement benefit plans, the benefit obligation is the accumulated postretirement benefit obligation ("APBO"). The PBO represents the actuarial present value of benefits expected to be paid upon retirement based on estimated future compensation levels. The APBO represents the actuarial present value of postretirement benefits attributed to employee services already rendered. The measurement of the benefit obligation is based on Ashland’s estimates and actuarial valuations. These valuations reflect the terms of the plans and use participant-specific information such as compensation, age and years of service, as well as certain assumptions that require judgment, including, but not limited to, estimates of discount rates, rate of compensation increases, interest rates and mortality rates. The fair value of plan assets represents the current market value of assets held by an irrevocable trust fund for the sole benefit of participants. For additional information regarding plan assumptions and the current financial position of the pension and other postretirement plans, see Note L.</w:t>
      </w:r>
    </w:p>
    <w:p>
      <w:pPr>
        <w:spacing w:after="0" w:line="89"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Ashland recognizes the change in the fair value of plan assets and net actuarial gains and losses annually in the fourth quarter of each fiscal year and whenever a plan is determined to qualify for a remeasurement. The remaining components of pension and other postretirement benefits expense are recorded ratably on a quarterly basis. Pension and other postretirement benefits adjustments charged directly to cost of sales that are applicable to inactive participants are excluded from inventoriable costs. The service cost component of pension and other postretirement benefits costs is allocated to each reportable segment; while the remaining components of pension and other postretirement benefits costs are recorded within the other net periodic benefit loss caption on the Statements of Consolidated Comprehensive Income (Loss).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17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Subsidiaries outside the United States primarily use the local currency as the functional currency. Upon consolidation, the results of operations of the subsidiaries and affiliates whose functional currency is other than the U.S. dollar are translated into U.S. dollars at the average exchange rates for the year while assets and liabilities are translated at year-end exchange rates. Adjustments to translate assets and liabilities into U.S. dollars are recorded in the stockholders’ equity section of the Consolidated Balance Sheets as a component of accumulated other comprehensive loss and are included in net income (loss) only upon sale or substantial liquidation of the underlying foreign subsidiary or affiliated company.</w:t>
      </w:r>
    </w:p>
    <w:p>
      <w:pPr>
        <w:spacing w:after="0" w:line="8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During 2024, following the enactment by the Argentina government of a 50% peso devaluation against the U.S. dollar, Ashland recorded a $5 million currency devaluation charge within the selling, general and administrative expense caption of the Statements of Consolidated Comprehensive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incentive plans</w:t>
      </w:r>
    </w:p>
    <w:p>
      <w:pPr>
        <w:spacing w:after="0" w:line="17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recognizes compensation expense for stock incentive plans awarded to key employees and directors over the requisite service period based upon the grant-date fair value. Stock incentive awards are primarily in the form of restricted stock and restricted stock units, performance shares and other non-vested stock awards. Ashland utilizes several industry accepted valuation models to determine grant-date fair value. For further information concerning stock incentive plans, see Note O.</w:t>
      </w:r>
    </w:p>
    <w:p>
      <w:pPr>
        <w:sectPr>
          <w:pgSz w:w="12240" w:h="15840" w:orient="portrait"/>
          <w:cols w:equalWidth="0" w:num="1">
            <w:col w:w="11360"/>
          </w:cols>
          <w:pgMar w:left="440" w:top="926"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1360"/>
          </w:cols>
          <w:pgMar w:left="440" w:top="926" w:right="440" w:bottom="186" w:gutter="0" w:footer="0" w:header="0"/>
          <w:type w:val="continuous"/>
        </w:sectPr>
      </w:pPr>
    </w:p>
    <w:bookmarkStart w:id="119" w:name="page120"/>
    <w:bookmarkEnd w:id="119"/>
    <w:p>
      <w:pPr>
        <w:ind w:left="8"/>
        <w:spacing w:after="0"/>
        <w:rPr>
          <w:sz w:val="20"/>
          <w:szCs w:val="20"/>
          <w:color w:val="auto"/>
        </w:rPr>
      </w:pPr>
      <w:r>
        <w:rPr>
          <w:rFonts w:ascii="Times New Roman" w:cs="Times New Roman" w:eastAsia="Times New Roman" w:hAnsi="Times New Roman"/>
          <w:sz w:val="20"/>
          <w:szCs w:val="20"/>
          <w:b w:val="1"/>
          <w:bCs w:val="1"/>
          <w:color w:val="auto"/>
        </w:rPr>
        <w:t>Earnings (loss) per share</w:t>
      </w:r>
    </w:p>
    <w:p>
      <w:pPr>
        <w:spacing w:after="0" w:line="170" w:lineRule="exact"/>
        <w:rPr>
          <w:sz w:val="20"/>
          <w:szCs w:val="20"/>
          <w:color w:val="auto"/>
        </w:rPr>
      </w:pPr>
    </w:p>
    <w:p>
      <w:pPr>
        <w:jc w:val="both"/>
        <w:ind w:left="8" w:firstLine="360"/>
        <w:spacing w:after="0" w:line="295" w:lineRule="auto"/>
        <w:rPr>
          <w:sz w:val="20"/>
          <w:szCs w:val="20"/>
          <w:color w:val="auto"/>
        </w:rPr>
      </w:pPr>
      <w:r>
        <w:rPr>
          <w:rFonts w:ascii="Times New Roman" w:cs="Times New Roman" w:eastAsia="Times New Roman" w:hAnsi="Times New Roman"/>
          <w:sz w:val="20"/>
          <w:szCs w:val="20"/>
          <w:color w:val="auto"/>
        </w:rPr>
        <w:t>The following is the computation of basic and diluted earnings (loss) per share ("EPS") from continuing operations attributable to Ashland for the years ended September 30. EPS is reported under the treasury stock method. Stock Appreciation Rights ("SARs") and warrants for each reported year whose grant price was greater than the market price of Ashland Common Stock at the end of each fiscal year were not included in the computation of EPS from continuing operations per diluted share because the effect of these instruments would be antidilutive. The total number of these shares outstanding was 1.6 million for 2025 and 1.2 million for both 2024 and 2023. The majority of these shares are for warrants with a strike price of $128.66.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48895</wp:posOffset>
            </wp:positionV>
            <wp:extent cx="7200900"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10">
                      <a:extLst>
                        <a:ext uri="{28A0092B-C50C-407E-A947-70E740481C1C}"/>
                      </a:extLst>
                    </a:blip>
                    <a:srcRect/>
                    <a:stretch>
                      <a:fillRect/>
                    </a:stretch>
                  </pic:blipFill>
                  <pic:spPr bwMode="auto">
                    <a:xfrm>
                      <a:off x="0" y="0"/>
                      <a:ext cx="7200900" cy="38100"/>
                    </a:xfrm>
                    <a:prstGeom prst="rect">
                      <a:avLst/>
                    </a:prstGeom>
                    <a:noFill/>
                  </pic:spPr>
                </pic:pic>
              </a:graphicData>
            </a:graphic>
          </wp:anchor>
        </w:drawing>
      </w:r>
    </w:p>
    <w:p>
      <w:pPr>
        <w:spacing w:after="0" w:line="59"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(In millions except per share data)</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780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Numerator</w:t>
            </w:r>
          </w:p>
        </w:tc>
        <w:tc>
          <w:tcPr>
            <w:tcW w:w="360" w:type="dxa"/>
            <w:vAlign w:val="bottom"/>
            <w:shd w:val="clear" w:color="auto" w:fill="D5EFF4"/>
          </w:tcPr>
          <w:p>
            <w:pPr>
              <w:spacing w:after="0"/>
              <w:rPr>
                <w:sz w:val="19"/>
                <w:szCs w:val="19"/>
                <w:color w:val="auto"/>
              </w:rPr>
            </w:pPr>
          </w:p>
        </w:tc>
        <w:tc>
          <w:tcPr>
            <w:tcW w:w="160" w:type="dxa"/>
            <w:vAlign w:val="bottom"/>
            <w:shd w:val="clear" w:color="auto" w:fill="D5EFF4"/>
          </w:tcPr>
          <w:p>
            <w:pPr>
              <w:spacing w:after="0"/>
              <w:rPr>
                <w:sz w:val="19"/>
                <w:szCs w:val="19"/>
                <w:color w:val="auto"/>
              </w:rPr>
            </w:pPr>
          </w:p>
        </w:tc>
        <w:tc>
          <w:tcPr>
            <w:tcW w:w="860" w:type="dxa"/>
            <w:vAlign w:val="bottom"/>
            <w:shd w:val="clear" w:color="auto" w:fill="D5EFF4"/>
          </w:tcPr>
          <w:p>
            <w:pPr>
              <w:spacing w:after="0"/>
              <w:rPr>
                <w:sz w:val="19"/>
                <w:szCs w:val="19"/>
                <w:color w:val="auto"/>
              </w:rPr>
            </w:pPr>
          </w:p>
        </w:tc>
        <w:tc>
          <w:tcPr>
            <w:tcW w:w="160" w:type="dxa"/>
            <w:vAlign w:val="bottom"/>
            <w:shd w:val="clear" w:color="auto" w:fill="D5EFF4"/>
          </w:tcPr>
          <w:p>
            <w:pPr>
              <w:spacing w:after="0"/>
              <w:rPr>
                <w:sz w:val="19"/>
                <w:szCs w:val="19"/>
                <w:color w:val="auto"/>
              </w:rPr>
            </w:pPr>
          </w:p>
        </w:tc>
        <w:tc>
          <w:tcPr>
            <w:tcW w:w="160" w:type="dxa"/>
            <w:vAlign w:val="bottom"/>
            <w:shd w:val="clear" w:color="auto" w:fill="D5EFF4"/>
          </w:tcPr>
          <w:p>
            <w:pPr>
              <w:spacing w:after="0"/>
              <w:rPr>
                <w:sz w:val="19"/>
                <w:szCs w:val="19"/>
                <w:color w:val="auto"/>
              </w:rPr>
            </w:pPr>
          </w:p>
        </w:tc>
        <w:tc>
          <w:tcPr>
            <w:tcW w:w="800" w:type="dxa"/>
            <w:vAlign w:val="bottom"/>
            <w:shd w:val="clear" w:color="auto" w:fill="D5EFF4"/>
          </w:tcPr>
          <w:p>
            <w:pPr>
              <w:spacing w:after="0"/>
              <w:rPr>
                <w:sz w:val="19"/>
                <w:szCs w:val="19"/>
                <w:color w:val="auto"/>
              </w:rPr>
            </w:pPr>
          </w:p>
        </w:tc>
        <w:tc>
          <w:tcPr>
            <w:tcW w:w="160" w:type="dxa"/>
            <w:vAlign w:val="bottom"/>
            <w:shd w:val="clear" w:color="auto" w:fill="D5EFF4"/>
          </w:tcPr>
          <w:p>
            <w:pPr>
              <w:spacing w:after="0"/>
              <w:rPr>
                <w:sz w:val="19"/>
                <w:szCs w:val="19"/>
                <w:color w:val="auto"/>
              </w:rPr>
            </w:pPr>
          </w:p>
        </w:tc>
        <w:tc>
          <w:tcPr>
            <w:tcW w:w="160" w:type="dxa"/>
            <w:vAlign w:val="bottom"/>
            <w:shd w:val="clear" w:color="auto" w:fill="D5EFF4"/>
          </w:tcPr>
          <w:p>
            <w:pPr>
              <w:spacing w:after="0"/>
              <w:rPr>
                <w:sz w:val="19"/>
                <w:szCs w:val="19"/>
                <w:color w:val="auto"/>
              </w:rPr>
            </w:pPr>
          </w:p>
        </w:tc>
        <w:tc>
          <w:tcPr>
            <w:tcW w:w="660" w:type="dxa"/>
            <w:vAlign w:val="bottom"/>
            <w:shd w:val="clear" w:color="auto" w:fill="D5EFF4"/>
          </w:tcPr>
          <w:p>
            <w:pPr>
              <w:spacing w:after="0"/>
              <w:rPr>
                <w:sz w:val="19"/>
                <w:szCs w:val="19"/>
                <w:color w:val="auto"/>
              </w:rPr>
            </w:pPr>
          </w:p>
        </w:tc>
        <w:tc>
          <w:tcPr>
            <w:tcW w:w="80" w:type="dxa"/>
            <w:vAlign w:val="bottom"/>
            <w:shd w:val="clear" w:color="auto" w:fill="D5EFF4"/>
          </w:tcPr>
          <w:p>
            <w:pPr>
              <w:spacing w:after="0"/>
              <w:rPr>
                <w:sz w:val="19"/>
                <w:szCs w:val="19"/>
                <w:color w:val="auto"/>
              </w:rPr>
            </w:pP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Numerator for basic and diluted EPS - Income (loss) from continuing operations, net of tax</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199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80" w:type="dxa"/>
            <w:vAlign w:val="bottom"/>
          </w:tcPr>
          <w:p>
            <w:pPr>
              <w:spacing w:after="0"/>
              <w:rPr>
                <w:sz w:val="23"/>
                <w:szCs w:val="23"/>
                <w:color w:val="auto"/>
              </w:rPr>
            </w:pPr>
          </w:p>
        </w:tc>
      </w:tr>
      <w:tr>
        <w:trPr>
          <w:trHeight w:val="215"/>
        </w:trPr>
        <w:tc>
          <w:tcPr>
            <w:tcW w:w="7800" w:type="dxa"/>
            <w:vAlign w:val="bottom"/>
            <w:tcBorders>
              <w:top w:val="single" w:sz="8" w:color="D5EFF4"/>
            </w:tcBorders>
            <w:shd w:val="clear" w:color="auto" w:fill="D5EFF4"/>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Denominator</w:t>
            </w:r>
          </w:p>
        </w:tc>
        <w:tc>
          <w:tcPr>
            <w:tcW w:w="360" w:type="dxa"/>
            <w:vAlign w:val="bottom"/>
            <w:tcBorders>
              <w:top w:val="single" w:sz="8" w:color="D5EFF4"/>
            </w:tcBorders>
            <w:shd w:val="clear" w:color="auto" w:fill="D5EFF4"/>
          </w:tcPr>
          <w:p>
            <w:pPr>
              <w:spacing w:after="0"/>
              <w:rPr>
                <w:sz w:val="18"/>
                <w:szCs w:val="18"/>
                <w:color w:val="auto"/>
              </w:rPr>
            </w:pPr>
          </w:p>
        </w:tc>
        <w:tc>
          <w:tcPr>
            <w:tcW w:w="160" w:type="dxa"/>
            <w:vAlign w:val="bottom"/>
            <w:tcBorders>
              <w:top w:val="single" w:sz="8" w:color="auto"/>
            </w:tcBorders>
            <w:shd w:val="clear" w:color="auto" w:fill="D5EFF4"/>
          </w:tcPr>
          <w:p>
            <w:pPr>
              <w:spacing w:after="0"/>
              <w:rPr>
                <w:sz w:val="18"/>
                <w:szCs w:val="18"/>
                <w:color w:val="auto"/>
              </w:rPr>
            </w:pPr>
          </w:p>
        </w:tc>
        <w:tc>
          <w:tcPr>
            <w:tcW w:w="860" w:type="dxa"/>
            <w:vAlign w:val="bottom"/>
            <w:tcBorders>
              <w:top w:val="single" w:sz="8" w:color="auto"/>
            </w:tcBorders>
            <w:shd w:val="clear" w:color="auto" w:fill="D5EFF4"/>
          </w:tcPr>
          <w:p>
            <w:pPr>
              <w:spacing w:after="0"/>
              <w:rPr>
                <w:sz w:val="18"/>
                <w:szCs w:val="18"/>
                <w:color w:val="auto"/>
              </w:rPr>
            </w:pPr>
          </w:p>
        </w:tc>
        <w:tc>
          <w:tcPr>
            <w:tcW w:w="160" w:type="dxa"/>
            <w:vAlign w:val="bottom"/>
            <w:tcBorders>
              <w:top w:val="single" w:sz="8" w:color="D5EFF4"/>
            </w:tcBorders>
            <w:shd w:val="clear" w:color="auto" w:fill="D5EFF4"/>
          </w:tcPr>
          <w:p>
            <w:pPr>
              <w:spacing w:after="0"/>
              <w:rPr>
                <w:sz w:val="18"/>
                <w:szCs w:val="18"/>
                <w:color w:val="auto"/>
              </w:rPr>
            </w:pPr>
          </w:p>
        </w:tc>
        <w:tc>
          <w:tcPr>
            <w:tcW w:w="160" w:type="dxa"/>
            <w:vAlign w:val="bottom"/>
            <w:tcBorders>
              <w:top w:val="single" w:sz="8" w:color="auto"/>
            </w:tcBorders>
            <w:shd w:val="clear" w:color="auto" w:fill="D5EFF4"/>
          </w:tcPr>
          <w:p>
            <w:pPr>
              <w:spacing w:after="0"/>
              <w:rPr>
                <w:sz w:val="18"/>
                <w:szCs w:val="18"/>
                <w:color w:val="auto"/>
              </w:rPr>
            </w:pPr>
          </w:p>
        </w:tc>
        <w:tc>
          <w:tcPr>
            <w:tcW w:w="800" w:type="dxa"/>
            <w:vAlign w:val="bottom"/>
            <w:tcBorders>
              <w:top w:val="single" w:sz="8" w:color="auto"/>
            </w:tcBorders>
            <w:shd w:val="clear" w:color="auto" w:fill="D5EFF4"/>
          </w:tcPr>
          <w:p>
            <w:pPr>
              <w:spacing w:after="0"/>
              <w:rPr>
                <w:sz w:val="18"/>
                <w:szCs w:val="18"/>
                <w:color w:val="auto"/>
              </w:rPr>
            </w:pPr>
          </w:p>
        </w:tc>
        <w:tc>
          <w:tcPr>
            <w:tcW w:w="160" w:type="dxa"/>
            <w:vAlign w:val="bottom"/>
            <w:tcBorders>
              <w:top w:val="single" w:sz="8" w:color="D5EFF4"/>
            </w:tcBorders>
            <w:shd w:val="clear" w:color="auto" w:fill="D5EFF4"/>
          </w:tcPr>
          <w:p>
            <w:pPr>
              <w:spacing w:after="0"/>
              <w:rPr>
                <w:sz w:val="18"/>
                <w:szCs w:val="18"/>
                <w:color w:val="auto"/>
              </w:rPr>
            </w:pPr>
          </w:p>
        </w:tc>
        <w:tc>
          <w:tcPr>
            <w:tcW w:w="160" w:type="dxa"/>
            <w:vAlign w:val="bottom"/>
            <w:tcBorders>
              <w:top w:val="single" w:sz="8" w:color="auto"/>
            </w:tcBorders>
            <w:shd w:val="clear" w:color="auto" w:fill="D5EFF4"/>
          </w:tcPr>
          <w:p>
            <w:pPr>
              <w:spacing w:after="0"/>
              <w:rPr>
                <w:sz w:val="18"/>
                <w:szCs w:val="18"/>
                <w:color w:val="auto"/>
              </w:rPr>
            </w:pPr>
          </w:p>
        </w:tc>
        <w:tc>
          <w:tcPr>
            <w:tcW w:w="660" w:type="dxa"/>
            <w:vAlign w:val="bottom"/>
            <w:tcBorders>
              <w:top w:val="single" w:sz="8" w:color="auto"/>
            </w:tcBorders>
            <w:shd w:val="clear" w:color="auto" w:fill="D5EFF4"/>
          </w:tcPr>
          <w:p>
            <w:pPr>
              <w:spacing w:after="0"/>
              <w:rPr>
                <w:sz w:val="18"/>
                <w:szCs w:val="18"/>
                <w:color w:val="auto"/>
              </w:rPr>
            </w:pPr>
          </w:p>
        </w:tc>
        <w:tc>
          <w:tcPr>
            <w:tcW w:w="80" w:type="dxa"/>
            <w:vAlign w:val="bottom"/>
            <w:tcBorders>
              <w:top w:val="single" w:sz="8" w:color="auto"/>
            </w:tcBorders>
            <w:shd w:val="clear" w:color="auto" w:fill="D5EFF4"/>
          </w:tcPr>
          <w:p>
            <w:pPr>
              <w:spacing w:after="0"/>
              <w:rPr>
                <w:sz w:val="18"/>
                <w:szCs w:val="18"/>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Denominator for basic EPS - Weighted-average common shares outstanding</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80" w:type="dxa"/>
            <w:vAlign w:val="bottom"/>
          </w:tcPr>
          <w:p>
            <w:pPr>
              <w:spacing w:after="0"/>
              <w:rPr>
                <w:sz w:val="20"/>
                <w:szCs w:val="20"/>
                <w:color w:val="auto"/>
              </w:rPr>
            </w:pPr>
          </w:p>
        </w:tc>
      </w:tr>
      <w:tr>
        <w:trPr>
          <w:trHeight w:val="230"/>
        </w:trPr>
        <w:tc>
          <w:tcPr>
            <w:tcW w:w="7800" w:type="dxa"/>
            <w:vAlign w:val="bottom"/>
            <w:shd w:val="clear" w:color="auto" w:fill="D5EFF4"/>
          </w:tcPr>
          <w:p>
            <w:pPr>
              <w:spacing w:after="0" w:line="230" w:lineRule="exact"/>
              <w:rPr>
                <w:sz w:val="20"/>
                <w:szCs w:val="20"/>
                <w:color w:val="auto"/>
              </w:rPr>
            </w:pPr>
            <w:r>
              <w:rPr>
                <w:rFonts w:ascii="Times New Roman" w:cs="Times New Roman" w:eastAsia="Times New Roman" w:hAnsi="Times New Roman"/>
                <w:sz w:val="20"/>
                <w:szCs w:val="20"/>
                <w:color w:val="auto"/>
              </w:rPr>
              <w:t>Share based awards convertible to common shares</w:t>
            </w:r>
            <w:r>
              <w:rPr>
                <w:rFonts w:ascii="Times New Roman" w:cs="Times New Roman" w:eastAsia="Times New Roman" w:hAnsi="Times New Roman"/>
                <w:sz w:val="25"/>
                <w:szCs w:val="25"/>
                <w:color w:val="auto"/>
                <w:vertAlign w:val="superscript"/>
              </w:rPr>
              <w:t>(a)</w:t>
            </w:r>
          </w:p>
        </w:tc>
        <w:tc>
          <w:tcPr>
            <w:tcW w:w="360" w:type="dxa"/>
            <w:vAlign w:val="bottom"/>
            <w:shd w:val="clear" w:color="auto" w:fill="D5EFF4"/>
          </w:tcPr>
          <w:p>
            <w:pPr>
              <w:spacing w:after="0"/>
              <w:rPr>
                <w:sz w:val="20"/>
                <w:szCs w:val="20"/>
                <w:color w:val="auto"/>
              </w:rPr>
            </w:pPr>
          </w:p>
        </w:tc>
        <w:tc>
          <w:tcPr>
            <w:tcW w:w="160" w:type="dxa"/>
            <w:vAlign w:val="bottom"/>
            <w:tcBorders>
              <w:bottom w:val="single" w:sz="8" w:color="auto"/>
            </w:tcBorders>
            <w:shd w:val="clear" w:color="auto" w:fill="D5EFF4"/>
          </w:tcPr>
          <w:p>
            <w:pPr>
              <w:spacing w:after="0"/>
              <w:rPr>
                <w:sz w:val="20"/>
                <w:szCs w:val="20"/>
                <w:color w:val="auto"/>
              </w:rPr>
            </w:pPr>
          </w:p>
        </w:tc>
        <w:tc>
          <w:tcPr>
            <w:tcW w:w="860" w:type="dxa"/>
            <w:vAlign w:val="bottom"/>
            <w:tcBorders>
              <w:bottom w:val="single" w:sz="8" w:color="auto"/>
            </w:tcBorders>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5EFF4"/>
          </w:tcPr>
          <w:p>
            <w:pPr>
              <w:spacing w:after="0"/>
              <w:rPr>
                <w:sz w:val="20"/>
                <w:szCs w:val="20"/>
                <w:color w:val="auto"/>
              </w:rPr>
            </w:pPr>
          </w:p>
        </w:tc>
        <w:tc>
          <w:tcPr>
            <w:tcW w:w="160" w:type="dxa"/>
            <w:vAlign w:val="bottom"/>
            <w:tcBorders>
              <w:bottom w:val="single" w:sz="8" w:color="auto"/>
            </w:tcBorders>
            <w:shd w:val="clear" w:color="auto" w:fill="D5EFF4"/>
          </w:tcPr>
          <w:p>
            <w:pPr>
              <w:spacing w:after="0"/>
              <w:rPr>
                <w:sz w:val="20"/>
                <w:szCs w:val="20"/>
                <w:color w:val="auto"/>
              </w:rPr>
            </w:pPr>
          </w:p>
        </w:tc>
        <w:tc>
          <w:tcPr>
            <w:tcW w:w="80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shd w:val="clear" w:color="auto" w:fill="D5EFF4"/>
          </w:tcPr>
          <w:p>
            <w:pPr>
              <w:spacing w:after="0"/>
              <w:rPr>
                <w:sz w:val="20"/>
                <w:szCs w:val="20"/>
                <w:color w:val="auto"/>
              </w:rPr>
            </w:pPr>
          </w:p>
        </w:tc>
        <w:tc>
          <w:tcPr>
            <w:tcW w:w="160" w:type="dxa"/>
            <w:vAlign w:val="bottom"/>
            <w:tcBorders>
              <w:bottom w:val="single" w:sz="8" w:color="auto"/>
            </w:tcBorders>
            <w:shd w:val="clear" w:color="auto" w:fill="D5EFF4"/>
          </w:tcPr>
          <w:p>
            <w:pPr>
              <w:spacing w:after="0"/>
              <w:rPr>
                <w:sz w:val="20"/>
                <w:szCs w:val="20"/>
                <w:color w:val="auto"/>
              </w:rPr>
            </w:pPr>
          </w:p>
        </w:tc>
        <w:tc>
          <w:tcPr>
            <w:tcW w:w="6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shd w:val="clear" w:color="auto" w:fill="D5EFF4"/>
          </w:tcPr>
          <w:p>
            <w:pPr>
              <w:spacing w:after="0"/>
              <w:rPr>
                <w:sz w:val="20"/>
                <w:szCs w:val="20"/>
                <w:color w:val="auto"/>
              </w:rPr>
            </w:pPr>
          </w:p>
        </w:tc>
      </w:tr>
      <w:tr>
        <w:trPr>
          <w:trHeight w:val="265"/>
        </w:trPr>
        <w:tc>
          <w:tcPr>
            <w:tcW w:w="7800" w:type="dxa"/>
            <w:vAlign w:val="bottom"/>
            <w:tcBorders>
              <w:bottom w:val="single" w:sz="8" w:color="D5EFF4"/>
            </w:tcBorders>
          </w:tcPr>
          <w:p>
            <w:pPr>
              <w:spacing w:after="0" w:line="225" w:lineRule="exact"/>
              <w:rPr>
                <w:sz w:val="20"/>
                <w:szCs w:val="20"/>
                <w:color w:val="auto"/>
              </w:rPr>
            </w:pPr>
            <w:r>
              <w:rPr>
                <w:rFonts w:ascii="Times New Roman" w:cs="Times New Roman" w:eastAsia="Times New Roman" w:hAnsi="Times New Roman"/>
                <w:sz w:val="20"/>
                <w:szCs w:val="20"/>
                <w:color w:val="auto"/>
              </w:rPr>
              <w:t>Denominator for diluted EPS - Adjusted weighted - average shares and assumed conversions</w:t>
            </w:r>
          </w:p>
        </w:tc>
        <w:tc>
          <w:tcPr>
            <w:tcW w:w="360" w:type="dxa"/>
            <w:vAlign w:val="bottom"/>
            <w:tcBorders>
              <w:bottom w:val="single" w:sz="8" w:color="D5EFF4"/>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46</w:t>
            </w:r>
          </w:p>
        </w:tc>
        <w:tc>
          <w:tcPr>
            <w:tcW w:w="160" w:type="dxa"/>
            <w:vAlign w:val="bottom"/>
            <w:tcBorders>
              <w:bottom w:val="single" w:sz="8" w:color="D5EFF4"/>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50</w:t>
            </w:r>
          </w:p>
        </w:tc>
        <w:tc>
          <w:tcPr>
            <w:tcW w:w="160" w:type="dxa"/>
            <w:vAlign w:val="bottom"/>
            <w:tcBorders>
              <w:bottom w:val="single" w:sz="8" w:color="D5EFF4"/>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54</w:t>
            </w:r>
          </w:p>
        </w:tc>
        <w:tc>
          <w:tcPr>
            <w:tcW w:w="80" w:type="dxa"/>
            <w:vAlign w:val="bottom"/>
            <w:tcBorders>
              <w:bottom w:val="single" w:sz="8" w:color="auto"/>
            </w:tcBorders>
          </w:tcPr>
          <w:p>
            <w:pPr>
              <w:spacing w:after="0"/>
              <w:rPr>
                <w:sz w:val="23"/>
                <w:szCs w:val="23"/>
                <w:color w:val="auto"/>
              </w:rPr>
            </w:pPr>
          </w:p>
        </w:tc>
      </w:tr>
      <w:tr>
        <w:trPr>
          <w:trHeight w:val="215"/>
        </w:trPr>
        <w:tc>
          <w:tcPr>
            <w:tcW w:w="7800" w:type="dxa"/>
            <w:vAlign w:val="bottom"/>
            <w:shd w:val="clear" w:color="auto" w:fill="D5EFF4"/>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EPS from continuing operations</w:t>
            </w:r>
          </w:p>
        </w:tc>
        <w:tc>
          <w:tcPr>
            <w:tcW w:w="360" w:type="dxa"/>
            <w:vAlign w:val="bottom"/>
            <w:shd w:val="clear" w:color="auto" w:fill="D5EFF4"/>
          </w:tcPr>
          <w:p>
            <w:pPr>
              <w:spacing w:after="0"/>
              <w:rPr>
                <w:sz w:val="18"/>
                <w:szCs w:val="18"/>
                <w:color w:val="auto"/>
              </w:rPr>
            </w:pPr>
          </w:p>
        </w:tc>
        <w:tc>
          <w:tcPr>
            <w:tcW w:w="160" w:type="dxa"/>
            <w:vAlign w:val="bottom"/>
            <w:shd w:val="clear" w:color="auto" w:fill="D5EFF4"/>
          </w:tcPr>
          <w:p>
            <w:pPr>
              <w:spacing w:after="0"/>
              <w:rPr>
                <w:sz w:val="18"/>
                <w:szCs w:val="18"/>
                <w:color w:val="auto"/>
              </w:rPr>
            </w:pPr>
          </w:p>
        </w:tc>
        <w:tc>
          <w:tcPr>
            <w:tcW w:w="860" w:type="dxa"/>
            <w:vAlign w:val="bottom"/>
            <w:shd w:val="clear" w:color="auto" w:fill="D5EFF4"/>
          </w:tcPr>
          <w:p>
            <w:pPr>
              <w:spacing w:after="0"/>
              <w:rPr>
                <w:sz w:val="18"/>
                <w:szCs w:val="18"/>
                <w:color w:val="auto"/>
              </w:rPr>
            </w:pPr>
          </w:p>
        </w:tc>
        <w:tc>
          <w:tcPr>
            <w:tcW w:w="160" w:type="dxa"/>
            <w:vAlign w:val="bottom"/>
            <w:shd w:val="clear" w:color="auto" w:fill="D5EFF4"/>
          </w:tcPr>
          <w:p>
            <w:pPr>
              <w:spacing w:after="0"/>
              <w:rPr>
                <w:sz w:val="18"/>
                <w:szCs w:val="18"/>
                <w:color w:val="auto"/>
              </w:rPr>
            </w:pPr>
          </w:p>
        </w:tc>
        <w:tc>
          <w:tcPr>
            <w:tcW w:w="160" w:type="dxa"/>
            <w:vAlign w:val="bottom"/>
            <w:shd w:val="clear" w:color="auto" w:fill="D5EFF4"/>
          </w:tcPr>
          <w:p>
            <w:pPr>
              <w:spacing w:after="0"/>
              <w:rPr>
                <w:sz w:val="18"/>
                <w:szCs w:val="18"/>
                <w:color w:val="auto"/>
              </w:rPr>
            </w:pPr>
          </w:p>
        </w:tc>
        <w:tc>
          <w:tcPr>
            <w:tcW w:w="800" w:type="dxa"/>
            <w:vAlign w:val="bottom"/>
            <w:shd w:val="clear" w:color="auto" w:fill="D5EFF4"/>
          </w:tcPr>
          <w:p>
            <w:pPr>
              <w:spacing w:after="0"/>
              <w:rPr>
                <w:sz w:val="18"/>
                <w:szCs w:val="18"/>
                <w:color w:val="auto"/>
              </w:rPr>
            </w:pPr>
          </w:p>
        </w:tc>
        <w:tc>
          <w:tcPr>
            <w:tcW w:w="160" w:type="dxa"/>
            <w:vAlign w:val="bottom"/>
            <w:shd w:val="clear" w:color="auto" w:fill="D5EFF4"/>
          </w:tcPr>
          <w:p>
            <w:pPr>
              <w:spacing w:after="0"/>
              <w:rPr>
                <w:sz w:val="18"/>
                <w:szCs w:val="18"/>
                <w:color w:val="auto"/>
              </w:rPr>
            </w:pPr>
          </w:p>
        </w:tc>
        <w:tc>
          <w:tcPr>
            <w:tcW w:w="160" w:type="dxa"/>
            <w:vAlign w:val="bottom"/>
            <w:shd w:val="clear" w:color="auto" w:fill="D5EFF4"/>
          </w:tcPr>
          <w:p>
            <w:pPr>
              <w:spacing w:after="0"/>
              <w:rPr>
                <w:sz w:val="18"/>
                <w:szCs w:val="18"/>
                <w:color w:val="auto"/>
              </w:rPr>
            </w:pPr>
          </w:p>
        </w:tc>
        <w:tc>
          <w:tcPr>
            <w:tcW w:w="660" w:type="dxa"/>
            <w:vAlign w:val="bottom"/>
            <w:shd w:val="clear" w:color="auto" w:fill="D5EFF4"/>
          </w:tcPr>
          <w:p>
            <w:pPr>
              <w:spacing w:after="0"/>
              <w:rPr>
                <w:sz w:val="18"/>
                <w:szCs w:val="18"/>
                <w:color w:val="auto"/>
              </w:rPr>
            </w:pPr>
          </w:p>
        </w:tc>
        <w:tc>
          <w:tcPr>
            <w:tcW w:w="80" w:type="dxa"/>
            <w:vAlign w:val="bottom"/>
            <w:shd w:val="clear" w:color="auto" w:fill="D5EFF4"/>
          </w:tcPr>
          <w:p>
            <w:pPr>
              <w:spacing w:after="0"/>
              <w:rPr>
                <w:sz w:val="18"/>
                <w:szCs w:val="18"/>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Basic</w:t>
            </w:r>
          </w:p>
        </w:tc>
        <w:tc>
          <w:tcPr>
            <w:tcW w:w="3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(17.74)</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3.99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80" w:type="dxa"/>
            <w:vAlign w:val="bottom"/>
          </w:tcPr>
          <w:p>
            <w:pPr>
              <w:spacing w:after="0"/>
              <w:rPr>
                <w:sz w:val="20"/>
                <w:szCs w:val="20"/>
                <w:color w:val="auto"/>
              </w:rPr>
            </w:pPr>
          </w:p>
        </w:tc>
      </w:tr>
      <w:tr>
        <w:trPr>
          <w:trHeight w:val="230"/>
        </w:trPr>
        <w:tc>
          <w:tcPr>
            <w:tcW w:w="7800" w:type="dxa"/>
            <w:vAlign w:val="bottom"/>
            <w:shd w:val="clear" w:color="auto" w:fill="D5EFF4"/>
          </w:tcPr>
          <w:p>
            <w:pPr>
              <w:spacing w:after="0" w:line="230" w:lineRule="exact"/>
              <w:rPr>
                <w:sz w:val="20"/>
                <w:szCs w:val="20"/>
                <w:color w:val="auto"/>
              </w:rPr>
            </w:pPr>
            <w:r>
              <w:rPr>
                <w:rFonts w:ascii="Times New Roman" w:cs="Times New Roman" w:eastAsia="Times New Roman" w:hAnsi="Times New Roman"/>
                <w:sz w:val="20"/>
                <w:szCs w:val="20"/>
                <w:color w:val="auto"/>
              </w:rPr>
              <w:t>Diluted</w:t>
            </w:r>
            <w:r>
              <w:rPr>
                <w:rFonts w:ascii="Times New Roman" w:cs="Times New Roman" w:eastAsia="Times New Roman" w:hAnsi="Times New Roman"/>
                <w:sz w:val="25"/>
                <w:szCs w:val="25"/>
                <w:color w:val="auto"/>
                <w:vertAlign w:val="superscript"/>
              </w:rPr>
              <w:t>(a)</w:t>
            </w:r>
          </w:p>
        </w:tc>
        <w:tc>
          <w:tcPr>
            <w:tcW w:w="52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(17.74)</w:t>
            </w:r>
          </w:p>
        </w:tc>
        <w:tc>
          <w:tcPr>
            <w:tcW w:w="32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3.95</w:t>
            </w:r>
          </w:p>
        </w:tc>
        <w:tc>
          <w:tcPr>
            <w:tcW w:w="32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80" w:type="dxa"/>
            <w:vAlign w:val="bottom"/>
            <w:shd w:val="clear" w:color="auto" w:fill="D5EFF4"/>
          </w:tcPr>
          <w:p>
            <w:pPr>
              <w:spacing w:after="0"/>
              <w:rPr>
                <w:sz w:val="20"/>
                <w:szCs w:val="20"/>
                <w:color w:val="auto"/>
              </w:rPr>
            </w:pPr>
          </w:p>
        </w:tc>
      </w:tr>
      <w:tr>
        <w:trPr>
          <w:trHeight w:val="69"/>
        </w:trPr>
        <w:tc>
          <w:tcPr>
            <w:tcW w:w="7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-1457960</wp:posOffset>
            </wp:positionV>
            <wp:extent cx="7200900"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11">
                      <a:extLst>
                        <a:ext uri="{28A0092B-C50C-407E-A947-70E740481C1C}"/>
                      </a:extLst>
                    </a:blip>
                    <a:srcRect/>
                    <a:stretch>
                      <a:fillRect/>
                    </a:stretch>
                  </pic:blipFill>
                  <pic:spPr bwMode="auto">
                    <a:xfrm>
                      <a:off x="0" y="0"/>
                      <a:ext cx="720090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00900"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12">
                      <a:extLst>
                        <a:ext uri="{28A0092B-C50C-407E-A947-70E740481C1C}"/>
                      </a:extLst>
                    </a:blip>
                    <a:srcRect/>
                    <a:stretch>
                      <a:fillRect/>
                    </a:stretch>
                  </pic:blipFill>
                  <pic:spPr bwMode="auto">
                    <a:xfrm>
                      <a:off x="0" y="0"/>
                      <a:ext cx="7200900" cy="38100"/>
                    </a:xfrm>
                    <a:prstGeom prst="rect">
                      <a:avLst/>
                    </a:prstGeom>
                    <a:noFill/>
                  </pic:spPr>
                </pic:pic>
              </a:graphicData>
            </a:graphic>
          </wp:anchor>
        </w:drawing>
      </w:r>
    </w:p>
    <w:p>
      <w:pPr>
        <w:spacing w:after="0" w:line="5" w:lineRule="exact"/>
        <w:rPr>
          <w:sz w:val="20"/>
          <w:szCs w:val="20"/>
          <w:color w:val="auto"/>
        </w:rPr>
      </w:pPr>
    </w:p>
    <w:p>
      <w:pPr>
        <w:ind w:left="568" w:hanging="568"/>
        <w:spacing w:after="0" w:line="277" w:lineRule="auto"/>
        <w:tabs>
          <w:tab w:leader="none" w:pos="56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loss from continuing operations attributable to Ashland during fiscal 2025, the effect of the share-based awards convertible to common stock would be antidilutive and have been excluded from the diluted EPS calculation.</w:t>
      </w:r>
    </w:p>
    <w:p>
      <w:pPr>
        <w:spacing w:after="0" w:line="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Other accounting pronouncements</w:t>
      </w:r>
    </w:p>
    <w:p>
      <w:pPr>
        <w:spacing w:after="0" w:line="170" w:lineRule="exact"/>
        <w:rPr>
          <w:sz w:val="20"/>
          <w:szCs w:val="20"/>
          <w:color w:val="auto"/>
        </w:rPr>
      </w:pPr>
    </w:p>
    <w:p>
      <w:pPr>
        <w:jc w:val="both"/>
        <w:ind w:left="8" w:firstLine="360"/>
        <w:spacing w:after="0" w:line="291" w:lineRule="auto"/>
        <w:rPr>
          <w:sz w:val="20"/>
          <w:szCs w:val="20"/>
          <w:color w:val="auto"/>
        </w:rPr>
      </w:pPr>
      <w:r>
        <w:rPr>
          <w:rFonts w:ascii="Times New Roman" w:cs="Times New Roman" w:eastAsia="Times New Roman" w:hAnsi="Times New Roman"/>
          <w:sz w:val="20"/>
          <w:szCs w:val="20"/>
          <w:color w:val="auto"/>
        </w:rPr>
        <w:t>In November 2024, the Financial Accounting Standards Board (“FASB”) issued Accounting Standards Update ("ASU") ASU No. 2024-03 “Income Statement – Reporting Comprehensive Income – Expense Disaggregation Disclosures” which was subsequently updated by ASU No. 2025-01 "Income Statement – Reporting Comprehensive Income – Expense Disaggregation Disclosures" clarifying the effective date. The ASU was issued to enhance disclosure of income statement expenses. For each relevant expense caption presented on the face of the income statement, the following expense components must be presented in a tabular format within the Notes to Consolidated Financial Statements: purchases of inventory, employee compensation, depreciation, intangible asset amortization and depletion expense. Certain amounts already required to be disclosed under current GAAP requirements must also be presented in the same disclosure as the new disaggregation requirements. The new guidance also requires disclosure of a qualitative description of the amounts remaining in relevant expense captions that are not separately disaggregated quantitatively. Additionally, the total amount of selling expenses must be disclosed at each interim and annual reporting periods. Finally, the Company’s description of selling expenses must be defined in annual reporting periods. The amendments in this ASU are effective for fiscal years beginning after December 15, 2027, and for interim periods beginning after December 15, 2027. The Company is currently evaluating the impact of adopting this guidance on our Consolidated Financial Statements.</w:t>
      </w:r>
    </w:p>
    <w:p>
      <w:pPr>
        <w:spacing w:after="0" w:line="83" w:lineRule="exact"/>
        <w:rPr>
          <w:sz w:val="20"/>
          <w:szCs w:val="20"/>
          <w:color w:val="auto"/>
        </w:rPr>
      </w:pPr>
    </w:p>
    <w:p>
      <w:pPr>
        <w:jc w:val="both"/>
        <w:ind w:left="8" w:firstLine="360"/>
        <w:spacing w:after="0" w:line="300"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The ASU was issued to improve transparency and disclosure requirements for the rate reconciliation, income taxes paid and other tax disclosures. The amendments in ASU 2023-09 are effective for fiscal years beginning after December 15, 2024, with early adoption permitted, and may be applied either prospectively or retrospectively. The Company is currently evaluating the impact of adopting this guidance.</w:t>
      </w:r>
    </w:p>
    <w:p>
      <w:pPr>
        <w:spacing w:after="0" w:line="74" w:lineRule="exact"/>
        <w:rPr>
          <w:sz w:val="20"/>
          <w:szCs w:val="20"/>
          <w:color w:val="auto"/>
        </w:rPr>
      </w:pPr>
    </w:p>
    <w:p>
      <w:pPr>
        <w:jc w:val="both"/>
        <w:ind w:left="8" w:firstLine="360"/>
        <w:spacing w:after="0" w:line="295" w:lineRule="auto"/>
        <w:rPr>
          <w:sz w:val="20"/>
          <w:szCs w:val="20"/>
          <w:color w:val="auto"/>
        </w:rPr>
      </w:pPr>
      <w:r>
        <w:rPr>
          <w:rFonts w:ascii="Times New Roman" w:cs="Times New Roman" w:eastAsia="Times New Roman" w:hAnsi="Times New Roman"/>
          <w:sz w:val="20"/>
          <w:szCs w:val="20"/>
          <w:color w:val="auto"/>
        </w:rPr>
        <w:t>In November 2023, the FASB issued ASU No. 2023-07 "Segment Reporting (Topic 280): Improvements to Reporting Segment Disclosures." The ASU was issued to improve reportable segment disclosure requirements, primarily through enhanced disclosures of significant segment expenses that are regularly provided to the chief operating decision maker and included within segment profit and loss. This guidance was effective for fiscal years beginning after December 15, 2023, and interim periods within fiscal years beginning after December 15, 2024, with early adoption permitted, and applied retrospectively to all prior periods presented in the financial statements. The Company adopted the annual guidance during the year ended September 30, 2025. See Note Q for disclosures.</w:t>
      </w:r>
    </w:p>
    <w:p>
      <w:pPr>
        <w:sectPr>
          <w:pgSz w:w="12240" w:h="15840" w:orient="portrait"/>
          <w:cols w:equalWidth="0" w:num="1">
            <w:col w:w="11368"/>
          </w:cols>
          <w:pgMar w:left="432" w:top="926"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1368"/>
          </w:cols>
          <w:pgMar w:left="432" w:top="926" w:right="440" w:bottom="186" w:gutter="0" w:footer="0" w:header="0"/>
          <w:type w:val="continuous"/>
        </w:sectPr>
      </w:pPr>
    </w:p>
    <w:bookmarkStart w:id="120" w:name="page121"/>
    <w:bookmarkEnd w:id="120"/>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In October 2023, the FASB issued ASU No. 2023-06 "Disclosure Improvements: Codification Amendments in Response to the SEC's Disclosure Update and Simplification Initiative". The amendments in this ASU represent changes to clarify or improve disclosures and presentation requirements of a variety of topics by aligning them with the SEC's regulations. The amendments to the various topics should be applied prospectively, and the effective date will be determined for each individual disclosure based on the effective date of the SEC's removal of the related disclosure. If the SEC has not removed the applicable requirements from Regulation S-X or Regulation S-K by June 30, 2027, then this ASU will not become effective. Early adoption is prohibited. The Company does not expect the amendments in this ASU to have a material impact on the Consolidated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B – DIVESTITURES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Avoca business sale</w:t>
      </w:r>
    </w:p>
    <w:p>
      <w:pPr>
        <w:spacing w:after="0" w:line="170" w:lineRule="exact"/>
        <w:rPr>
          <w:sz w:val="20"/>
          <w:szCs w:val="20"/>
          <w:color w:val="auto"/>
        </w:rPr>
      </w:pPr>
    </w:p>
    <w:p>
      <w:pPr>
        <w:jc w:val="both"/>
        <w:ind w:firstLine="360"/>
        <w:spacing w:after="0" w:line="304" w:lineRule="auto"/>
        <w:rPr>
          <w:sz w:val="20"/>
          <w:szCs w:val="20"/>
          <w:color w:val="auto"/>
        </w:rPr>
      </w:pPr>
      <w:r>
        <w:rPr>
          <w:rFonts w:ascii="Times New Roman" w:cs="Times New Roman" w:eastAsia="Times New Roman" w:hAnsi="Times New Roman"/>
          <w:sz w:val="20"/>
          <w:szCs w:val="20"/>
          <w:color w:val="auto"/>
        </w:rPr>
        <w:t>On March 31, 2025, Ashland completed the sale of its Avoca business to Mane SA. Proceeds from the sale were $16 million, net of transaction costs. Ashland recorded an impairment charge of $183 million ($1 million allocated to goodwill, $134 million to other intangible assets, $33 million to property, plant and equipment, $14 million to operating lease assets, net and $1 million to other current assets) within the income (loss) on acquisitions and divestitures, net caption of the Statement of Consolidated Comprehensive Income (Loss) for the year ended September 30, 2025. The impairment charge includes the impact of the related inside tax basis differences associated with the impaired assets. The tax benefit associated with the sale is included within the income tax expense (benefit) caption of the Statement of Consolidated Comprehensive Income (Loss) for the year ended September 30, 2025. See Note K for tax details associated with the transaction. Ashland also recorded a pre-tax gain on sale of $8 million following the completion of this divestiture, mainly related to working capital movements, within the income (loss) on acquisitions and divestitures, net caption of Statement of Consolidated Comprehensive Income (Loss) for the year ended September 30, 2025.</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Avoca business was included within Ashland's Personal Care reportable segment.</w:t>
      </w:r>
    </w:p>
    <w:p>
      <w:pPr>
        <w:spacing w:after="0" w:line="178" w:lineRule="exact"/>
        <w:rPr>
          <w:sz w:val="20"/>
          <w:szCs w:val="20"/>
          <w:color w:val="auto"/>
        </w:rPr>
      </w:pPr>
    </w:p>
    <w:p>
      <w:pPr>
        <w:jc w:val="both"/>
        <w:ind w:firstLine="360"/>
        <w:spacing w:after="0" w:line="337" w:lineRule="auto"/>
        <w:rPr>
          <w:sz w:val="20"/>
          <w:szCs w:val="20"/>
          <w:color w:val="auto"/>
        </w:rPr>
      </w:pPr>
      <w:r>
        <w:rPr>
          <w:rFonts w:ascii="Times New Roman" w:cs="Times New Roman" w:eastAsia="Times New Roman" w:hAnsi="Times New Roman"/>
          <w:sz w:val="20"/>
          <w:szCs w:val="20"/>
          <w:color w:val="auto"/>
        </w:rPr>
        <w:t>Ashland determined this transaction did not qualify for discontinued operations treatment since it neither represented a strategic shift nor did it have a major effect on Ashland's operations and financial results.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Nutraceuticals business sale</w:t>
      </w:r>
    </w:p>
    <w:p>
      <w:pPr>
        <w:spacing w:after="0" w:line="170" w:lineRule="exact"/>
        <w:rPr>
          <w:sz w:val="20"/>
          <w:szCs w:val="20"/>
          <w:color w:val="auto"/>
        </w:rPr>
      </w:pPr>
    </w:p>
    <w:p>
      <w:pPr>
        <w:jc w:val="both"/>
        <w:ind w:firstLine="360"/>
        <w:spacing w:after="0" w:line="303" w:lineRule="auto"/>
        <w:rPr>
          <w:sz w:val="20"/>
          <w:szCs w:val="20"/>
          <w:color w:val="auto"/>
        </w:rPr>
      </w:pPr>
      <w:r>
        <w:rPr>
          <w:rFonts w:ascii="Times New Roman" w:cs="Times New Roman" w:eastAsia="Times New Roman" w:hAnsi="Times New Roman"/>
          <w:sz w:val="20"/>
          <w:szCs w:val="20"/>
          <w:color w:val="auto"/>
        </w:rPr>
        <w:t>On August 30, 2024, Ashland completed the sale of its Nutraceuticals business to Turnspire Capital Partners LLC ("Turnspire"). Proceeds from the sale were $26 million, net of transaction costs. Ashland recorded a $99 million impairment charge primarily related to allocated goodwill of $17 million, other intangible assets of $69 million and property, plant and equipment of $13 million within the income (loss) on acquisitions and divestitures, net caption of the Statement of Consolidated Comprehensive Income (Loss) for the year ended September 30, 2024. The impairment charge includes the impact of the related inside tax basis differences associated with the impaired assets. The tax benefit associated with the expected disposition is included within the income tax expense (benefit) caption of the Statement of Consolidated Comprehensive Income (Loss) for the year ended September 30, 2025. See Note K for tax details associated with the transaction. Ashland also recorded a pre-tax loss on sale of $8 million following the completion of this divestiture, mainly related to working capital movements, within the income (loss) on acquisitions and divestitures, net caption of Statement of Consolidated Comprehensive Income (Loss) for the year ended September 30, 2024. The income (loss) on acquisitions and divestitures, net caption also includes a reserve of $7 million for foreign VAT taxes associated with the entities transferred within the Statement of Consolidated Comprehensive Income (Loss) for the year ended September 30, 2024.</w:t>
      </w:r>
    </w:p>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Nutraceuticals business was included within Ashland's Life Sciences reportable segment and served the broader nutrition market.</w:t>
      </w:r>
    </w:p>
    <w:p>
      <w:pPr>
        <w:spacing w:after="0" w:line="178" w:lineRule="exact"/>
        <w:rPr>
          <w:sz w:val="20"/>
          <w:szCs w:val="20"/>
          <w:color w:val="auto"/>
        </w:rPr>
      </w:pPr>
    </w:p>
    <w:p>
      <w:pPr>
        <w:jc w:val="both"/>
        <w:ind w:firstLine="360"/>
        <w:spacing w:after="0" w:line="337" w:lineRule="auto"/>
        <w:rPr>
          <w:sz w:val="20"/>
          <w:szCs w:val="20"/>
          <w:color w:val="auto"/>
        </w:rPr>
      </w:pPr>
      <w:r>
        <w:rPr>
          <w:rFonts w:ascii="Times New Roman" w:cs="Times New Roman" w:eastAsia="Times New Roman" w:hAnsi="Times New Roman"/>
          <w:sz w:val="20"/>
          <w:szCs w:val="20"/>
          <w:color w:val="auto"/>
        </w:rPr>
        <w:t>Ashland determined this transaction did not qualify for discontinued operations treatment since it neither represented a strategic shift nor did it have a major effect on Ashland's operations and financial results.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manufacturing facility sales</w:t>
      </w:r>
    </w:p>
    <w:p>
      <w:pPr>
        <w:spacing w:after="0" w:line="17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During 2023, Ashland entered into and completed a definitive sale agreement to sell a Specialty Additives manufacturing facility for less than $1 million. The net asset value related to this site was $4 million at September 30, 2022. Ashland recorded a $4 million impairment</w:t>
      </w:r>
    </w:p>
    <w:p>
      <w:pPr>
        <w:sectPr>
          <w:pgSz w:w="12240" w:h="15840" w:orient="portrait"/>
          <w:cols w:equalWidth="0" w:num="1">
            <w:col w:w="11360"/>
          </w:cols>
          <w:pgMar w:left="440"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1360"/>
          </w:cols>
          <w:pgMar w:left="440" w:top="930" w:right="440" w:bottom="186" w:gutter="0" w:footer="0" w:header="0"/>
          <w:type w:val="continuous"/>
        </w:sectPr>
      </w:pPr>
    </w:p>
    <w:bookmarkStart w:id="121" w:name="page122"/>
    <w:bookmarkEnd w:id="121"/>
    <w:p>
      <w:pPr>
        <w:jc w:val="both"/>
        <w:spacing w:after="0" w:line="325" w:lineRule="auto"/>
        <w:rPr>
          <w:sz w:val="20"/>
          <w:szCs w:val="20"/>
          <w:color w:val="auto"/>
        </w:rPr>
      </w:pPr>
      <w:r>
        <w:rPr>
          <w:rFonts w:ascii="Times New Roman" w:cs="Times New Roman" w:eastAsia="Times New Roman" w:hAnsi="Times New Roman"/>
          <w:sz w:val="20"/>
          <w:szCs w:val="20"/>
          <w:color w:val="auto"/>
        </w:rPr>
        <w:t>charge within the selling, general and administrative expense caption of the Statement of Consolidated Comprehensive Income (Loss) during the year ended September 30, 2023, related to this site.</w:t>
      </w:r>
    </w:p>
    <w:p>
      <w:pPr>
        <w:spacing w:after="0" w:line="49"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 determined this transaction did not qualify for discontinued operations treatment since it neither represented a strategic shift nor did it have a major effect on Ashland’s operations and financial results.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corporate assets</w:t>
      </w:r>
    </w:p>
    <w:p>
      <w:pPr>
        <w:spacing w:after="0" w:line="17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During 2025, Ashland completed the sale of two excess land properties with a net book value of zero. Ashland received net proceeds and recorded a pre-tax gain of $15 million within the income (loss) on acquisitions and divestitures, net caption of the Statement of Consolidated Comprehensive Income (Loss) during the year ended September 30, 2025.</w:t>
      </w:r>
    </w:p>
    <w:p>
      <w:pPr>
        <w:spacing w:after="0" w:line="68"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During 2023, Ashland completed the sale of two excess land properties with a net book value of $2 million. Ashland received net proceeds of $9 million and recorded a pre-tax gain of $7 million within the income (loss) on acquisitions and divestitures, net caption of the Statement of Consolidated Comprehensive Income (Loss) for during the year ended September 30,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 – DISCONTINUED OPERATIONS</w:t>
      </w:r>
    </w:p>
    <w:p>
      <w:pPr>
        <w:spacing w:after="0" w:line="17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has divested certain businesses that have qualified as discontinued operations. The operating results from these divested businesses and subsequent adjustments related to ongoing assessments and activities of certain retained liabilities and tax items have been recorded within the discontinued operations caption in the Statements of Consolidated Comprehensive Income (Loss) for all periods presented and are discussed further within this note.</w:t>
      </w:r>
    </w:p>
    <w:p>
      <w:pPr>
        <w:spacing w:after="0" w:line="74"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Due to the ongoing assessment of certain matters associated with previous divestitures, subsequent adjustments to these divestitures may continue in future periods in the discontinued operations caption in the Statements of Consolidated Comprehensive Income (Loss).</w:t>
      </w:r>
    </w:p>
    <w:p>
      <w:pPr>
        <w:spacing w:after="0" w:line="49"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following divested businesses represent disposal groups that qualified as discontinued operations in previous periods and impacted discontinued operations:</w:t>
      </w:r>
    </w:p>
    <w:p>
      <w:pPr>
        <w:spacing w:after="0" w:line="64" w:lineRule="exact"/>
        <w:rPr>
          <w:sz w:val="20"/>
          <w:szCs w:val="20"/>
          <w:color w:val="auto"/>
        </w:rPr>
      </w:pPr>
    </w:p>
    <w:p>
      <w:pPr>
        <w:ind w:left="980" w:hanging="498"/>
        <w:spacing w:after="0"/>
        <w:tabs>
          <w:tab w:leader="none" w:pos="98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Adhesives business divested in 2022;</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Composites business and Marl facility (Composites/Marl facility) divested in 2019;</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separation of Valvoline Inc. (Valvoline) business divested in 2017;</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sale of Ashland Water Technologies (Water Technologies) business divested in 2014; and</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sale of the Ashland Distribution (Distribution) business divested in 2011.</w:t>
      </w:r>
    </w:p>
    <w:p>
      <w:pPr>
        <w:spacing w:after="0" w:line="119"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Additionally, Ashland is subject to liabilities from claims alleging personal injury caused by exposure to asbestos. Such claims result primarily from indemnification obligations undertaken in 1990 in connection with the sale of Riley, which qualified as a discontinued operation and from the acquisition during 2009 of Hercules. Adjustments to the recorded asbestos litigation reserves and related insurance receivables are recorded within the discontinued operations caption. See Note M for more information related to the adjustments on asbestos litigation reserves and receivables.</w:t>
      </w:r>
    </w:p>
    <w:p>
      <w:pPr>
        <w:sectPr>
          <w:pgSz w:w="12240" w:h="15840" w:orient="portrait"/>
          <w:cols w:equalWidth="0" w:num="1">
            <w:col w:w="11360"/>
          </w:cols>
          <w:pgMar w:left="440"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1360"/>
          </w:cols>
          <w:pgMar w:left="440" w:top="930" w:right="440" w:bottom="186" w:gutter="0" w:footer="0" w:header="0"/>
          <w:type w:val="continuous"/>
        </w:sectPr>
      </w:pPr>
    </w:p>
    <w:bookmarkStart w:id="122" w:name="page123"/>
    <w:bookmarkEnd w:id="122"/>
    <w:p>
      <w:pPr>
        <w:jc w:val="both"/>
        <w:ind w:left="8" w:right="40" w:firstLine="360"/>
        <w:spacing w:after="0" w:line="325" w:lineRule="auto"/>
        <w:rPr>
          <w:sz w:val="20"/>
          <w:szCs w:val="20"/>
          <w:color w:val="auto"/>
        </w:rPr>
      </w:pPr>
      <w:r>
        <w:rPr>
          <w:rFonts w:ascii="Times New Roman" w:cs="Times New Roman" w:eastAsia="Times New Roman" w:hAnsi="Times New Roman"/>
          <w:sz w:val="20"/>
          <w:szCs w:val="20"/>
          <w:color w:val="auto"/>
        </w:rPr>
        <w:t>Components of amounts reflected in the Statements of Consolidated Comprehensive Income (Loss) related to discontinued operations are presented in the following table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42810"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13">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8" w:lineRule="exact"/>
        <w:rPr>
          <w:sz w:val="20"/>
          <w:szCs w:val="20"/>
          <w:color w:val="auto"/>
        </w:rPr>
      </w:pPr>
    </w:p>
    <w:tbl>
      <w:tblPr>
        <w:tblLayout w:type="fixed"/>
        <w:tblInd w:w="8" w:type="dxa"/>
        <w:tblCellMar>
          <w:top w:w="0" w:type="dxa"/>
          <w:left w:w="0" w:type="dxa"/>
          <w:bottom w:w="0" w:type="dxa"/>
          <w:right w:w="0" w:type="dxa"/>
        </w:tblCellMar>
      </w:tblPr>
      <w:tr>
        <w:trPr>
          <w:trHeight w:val="249"/>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5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1"/>
                <w:szCs w:val="21"/>
                <w:color w:val="auto"/>
              </w:rPr>
            </w:pPr>
          </w:p>
        </w:tc>
      </w:tr>
      <w:tr>
        <w:trPr>
          <w:trHeight w:val="239"/>
        </w:trPr>
        <w:tc>
          <w:tcPr>
            <w:tcW w:w="66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Income (loss) from discontinued operations</w:t>
            </w:r>
          </w:p>
        </w:tc>
        <w:tc>
          <w:tcPr>
            <w:tcW w:w="980" w:type="dxa"/>
            <w:vAlign w:val="bottom"/>
            <w:shd w:val="clear" w:color="auto" w:fill="D5EFF4"/>
          </w:tcPr>
          <w:p>
            <w:pPr>
              <w:spacing w:after="0"/>
              <w:rPr>
                <w:sz w:val="20"/>
                <w:szCs w:val="20"/>
                <w:color w:val="auto"/>
              </w:rPr>
            </w:pPr>
          </w:p>
        </w:tc>
        <w:tc>
          <w:tcPr>
            <w:tcW w:w="5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980" w:type="dxa"/>
            <w:vAlign w:val="bottom"/>
            <w:shd w:val="clear" w:color="auto" w:fill="D5EFF4"/>
          </w:tcPr>
          <w:p>
            <w:pPr>
              <w:spacing w:after="0"/>
              <w:rPr>
                <w:sz w:val="20"/>
                <w:szCs w:val="20"/>
                <w:color w:val="auto"/>
              </w:rPr>
            </w:pPr>
          </w:p>
        </w:tc>
        <w:tc>
          <w:tcPr>
            <w:tcW w:w="50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108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Performance Adhesives</w:t>
            </w:r>
          </w:p>
        </w:tc>
        <w:tc>
          <w:tcPr>
            <w:tcW w:w="980" w:type="dxa"/>
            <w:vAlign w:val="bottom"/>
          </w:tcPr>
          <w:p>
            <w:pPr>
              <w:jc w:val="right"/>
              <w:ind w:right="78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120" w:type="dxa"/>
            <w:vAlign w:val="bottom"/>
            <w:gridSpan w:val="2"/>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44"/>
        </w:trPr>
        <w:tc>
          <w:tcPr>
            <w:tcW w:w="66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Composites/Marl facility</w:t>
            </w:r>
          </w:p>
        </w:tc>
        <w:tc>
          <w:tcPr>
            <w:tcW w:w="980" w:type="dxa"/>
            <w:vAlign w:val="bottom"/>
            <w:shd w:val="clear" w:color="auto" w:fill="D5EFF4"/>
          </w:tcPr>
          <w:p>
            <w:pPr>
              <w:spacing w:after="0"/>
              <w:rPr>
                <w:sz w:val="21"/>
                <w:szCs w:val="21"/>
                <w:color w:val="auto"/>
              </w:rPr>
            </w:pP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FF4"/>
          </w:tcPr>
          <w:p>
            <w:pPr>
              <w:spacing w:after="0"/>
              <w:rPr>
                <w:sz w:val="21"/>
                <w:szCs w:val="21"/>
                <w:color w:val="auto"/>
              </w:rPr>
            </w:pPr>
          </w:p>
        </w:tc>
        <w:tc>
          <w:tcPr>
            <w:tcW w:w="980" w:type="dxa"/>
            <w:vAlign w:val="bottom"/>
            <w:shd w:val="clear" w:color="auto" w:fill="D5EFF4"/>
          </w:tcPr>
          <w:p>
            <w:pPr>
              <w:spacing w:after="0"/>
              <w:rPr>
                <w:sz w:val="21"/>
                <w:szCs w:val="21"/>
                <w:color w:val="auto"/>
              </w:rPr>
            </w:pPr>
          </w:p>
        </w:tc>
        <w:tc>
          <w:tcPr>
            <w:tcW w:w="5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16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Valvoline</w:t>
            </w:r>
          </w:p>
        </w:tc>
        <w:tc>
          <w:tcPr>
            <w:tcW w:w="98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1"/>
                <w:szCs w:val="21"/>
                <w:color w:val="auto"/>
              </w:rPr>
            </w:pPr>
          </w:p>
        </w:tc>
      </w:tr>
      <w:tr>
        <w:trPr>
          <w:trHeight w:val="244"/>
        </w:trPr>
        <w:tc>
          <w:tcPr>
            <w:tcW w:w="66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Water Technologies</w:t>
            </w:r>
          </w:p>
        </w:tc>
        <w:tc>
          <w:tcPr>
            <w:tcW w:w="980" w:type="dxa"/>
            <w:vAlign w:val="bottom"/>
            <w:shd w:val="clear" w:color="auto" w:fill="D5EFF4"/>
          </w:tcPr>
          <w:p>
            <w:pPr>
              <w:spacing w:after="0"/>
              <w:rPr>
                <w:sz w:val="21"/>
                <w:szCs w:val="21"/>
                <w:color w:val="auto"/>
              </w:rPr>
            </w:pP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FF4"/>
          </w:tcPr>
          <w:p>
            <w:pPr>
              <w:spacing w:after="0"/>
              <w:rPr>
                <w:sz w:val="21"/>
                <w:szCs w:val="21"/>
                <w:color w:val="auto"/>
              </w:rPr>
            </w:pPr>
          </w:p>
        </w:tc>
        <w:tc>
          <w:tcPr>
            <w:tcW w:w="980" w:type="dxa"/>
            <w:vAlign w:val="bottom"/>
            <w:shd w:val="clear" w:color="auto" w:fill="D5EFF4"/>
          </w:tcPr>
          <w:p>
            <w:pPr>
              <w:spacing w:after="0"/>
              <w:rPr>
                <w:sz w:val="21"/>
                <w:szCs w:val="21"/>
                <w:color w:val="auto"/>
              </w:rPr>
            </w:pPr>
          </w:p>
        </w:tc>
        <w:tc>
          <w:tcPr>
            <w:tcW w:w="5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1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Distribution</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r>
      <w:tr>
        <w:trPr>
          <w:trHeight w:val="244"/>
        </w:trPr>
        <w:tc>
          <w:tcPr>
            <w:tcW w:w="66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Asbestos-related litigation</w:t>
            </w:r>
          </w:p>
        </w:tc>
        <w:tc>
          <w:tcPr>
            <w:tcW w:w="980" w:type="dxa"/>
            <w:vAlign w:val="bottom"/>
            <w:tcBorders>
              <w:bottom w:val="single" w:sz="8" w:color="auto"/>
            </w:tcBorders>
            <w:shd w:val="clear" w:color="auto" w:fill="D5EFF4"/>
          </w:tcPr>
          <w:p>
            <w:pPr>
              <w:spacing w:after="0"/>
              <w:rPr>
                <w:sz w:val="21"/>
                <w:szCs w:val="21"/>
                <w:color w:val="auto"/>
              </w:rPr>
            </w:pPr>
          </w:p>
        </w:tc>
        <w:tc>
          <w:tcPr>
            <w:tcW w:w="5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40" w:type="dxa"/>
            <w:vAlign w:val="bottom"/>
            <w:shd w:val="clear" w:color="auto" w:fill="D5EFF4"/>
          </w:tcPr>
          <w:p>
            <w:pPr>
              <w:spacing w:after="0"/>
              <w:rPr>
                <w:sz w:val="21"/>
                <w:szCs w:val="21"/>
                <w:color w:val="auto"/>
              </w:rPr>
            </w:pPr>
          </w:p>
        </w:tc>
        <w:tc>
          <w:tcPr>
            <w:tcW w:w="980" w:type="dxa"/>
            <w:vAlign w:val="bottom"/>
            <w:tcBorders>
              <w:bottom w:val="single" w:sz="8" w:color="auto"/>
            </w:tcBorders>
            <w:shd w:val="clear" w:color="auto" w:fill="D5EFF4"/>
          </w:tcPr>
          <w:p>
            <w:pPr>
              <w:spacing w:after="0"/>
              <w:rPr>
                <w:sz w:val="21"/>
                <w:szCs w:val="21"/>
                <w:color w:val="auto"/>
              </w:rPr>
            </w:pPr>
          </w:p>
        </w:tc>
        <w:tc>
          <w:tcPr>
            <w:tcW w:w="5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60" w:type="dxa"/>
            <w:vAlign w:val="bottom"/>
            <w:shd w:val="clear" w:color="auto" w:fill="D5EFF4"/>
          </w:tcPr>
          <w:p>
            <w:pPr>
              <w:spacing w:after="0"/>
              <w:rPr>
                <w:sz w:val="21"/>
                <w:szCs w:val="21"/>
                <w:color w:val="auto"/>
              </w:rPr>
            </w:pPr>
          </w:p>
        </w:tc>
        <w:tc>
          <w:tcPr>
            <w:tcW w:w="280" w:type="dxa"/>
            <w:vAlign w:val="bottom"/>
            <w:tcBorders>
              <w:bottom w:val="single" w:sz="8" w:color="auto"/>
            </w:tcBorders>
            <w:shd w:val="clear" w:color="auto" w:fill="D5EFF4"/>
          </w:tcPr>
          <w:p>
            <w:pPr>
              <w:spacing w:after="0"/>
              <w:rPr>
                <w:sz w:val="21"/>
                <w:szCs w:val="21"/>
                <w:color w:val="auto"/>
              </w:rPr>
            </w:pPr>
          </w:p>
        </w:tc>
        <w:tc>
          <w:tcPr>
            <w:tcW w:w="116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(loss) before taxes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0"/>
                <w:szCs w:val="20"/>
                <w:color w:val="auto"/>
              </w:rPr>
            </w:pPr>
          </w:p>
        </w:tc>
      </w:tr>
      <w:tr>
        <w:trPr>
          <w:trHeight w:val="244"/>
        </w:trPr>
        <w:tc>
          <w:tcPr>
            <w:tcW w:w="66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Income tax benefit (expense)</w:t>
            </w:r>
          </w:p>
        </w:tc>
        <w:tc>
          <w:tcPr>
            <w:tcW w:w="980" w:type="dxa"/>
            <w:vAlign w:val="bottom"/>
            <w:shd w:val="clear" w:color="auto" w:fill="D5EFF4"/>
          </w:tcPr>
          <w:p>
            <w:pPr>
              <w:spacing w:after="0"/>
              <w:rPr>
                <w:sz w:val="21"/>
                <w:szCs w:val="21"/>
                <w:color w:val="auto"/>
              </w:rPr>
            </w:pPr>
          </w:p>
        </w:tc>
        <w:tc>
          <w:tcPr>
            <w:tcW w:w="50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980" w:type="dxa"/>
            <w:vAlign w:val="bottom"/>
            <w:shd w:val="clear" w:color="auto" w:fill="D5EFF4"/>
          </w:tcPr>
          <w:p>
            <w:pPr>
              <w:spacing w:after="0"/>
              <w:rPr>
                <w:sz w:val="21"/>
                <w:szCs w:val="21"/>
                <w:color w:val="auto"/>
              </w:rPr>
            </w:pPr>
          </w:p>
        </w:tc>
        <w:tc>
          <w:tcPr>
            <w:tcW w:w="50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080" w:type="dxa"/>
            <w:vAlign w:val="bottom"/>
            <w:shd w:val="clear" w:color="auto" w:fill="D5EFF4"/>
          </w:tcPr>
          <w:p>
            <w:pPr>
              <w:spacing w:after="0"/>
              <w:rPr>
                <w:sz w:val="21"/>
                <w:szCs w:val="21"/>
                <w:color w:val="auto"/>
              </w:rPr>
            </w:pPr>
          </w:p>
        </w:tc>
        <w:tc>
          <w:tcPr>
            <w:tcW w:w="80" w:type="dxa"/>
            <w:vAlign w:val="bottom"/>
            <w:shd w:val="clear" w:color="auto" w:fill="D5EFF4"/>
          </w:tcPr>
          <w:p>
            <w:pPr>
              <w:spacing w:after="0"/>
              <w:rPr>
                <w:sz w:val="21"/>
                <w:szCs w:val="2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Benefit (expense) related to income (loss) from discontinued operations</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6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Performance Adhesives</w:t>
            </w:r>
          </w:p>
        </w:tc>
        <w:tc>
          <w:tcPr>
            <w:tcW w:w="980" w:type="dxa"/>
            <w:vAlign w:val="bottom"/>
            <w:shd w:val="clear" w:color="auto" w:fill="D5EFF4"/>
          </w:tcPr>
          <w:p>
            <w:pPr>
              <w:spacing w:after="0"/>
              <w:rPr>
                <w:sz w:val="21"/>
                <w:szCs w:val="21"/>
                <w:color w:val="auto"/>
              </w:rPr>
            </w:pPr>
          </w:p>
        </w:tc>
        <w:tc>
          <w:tcPr>
            <w:tcW w:w="5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5EFF4"/>
          </w:tcPr>
          <w:p>
            <w:pPr>
              <w:spacing w:after="0"/>
              <w:rPr>
                <w:sz w:val="21"/>
                <w:szCs w:val="21"/>
                <w:color w:val="auto"/>
              </w:rPr>
            </w:pPr>
          </w:p>
        </w:tc>
        <w:tc>
          <w:tcPr>
            <w:tcW w:w="980" w:type="dxa"/>
            <w:vAlign w:val="bottom"/>
            <w:shd w:val="clear" w:color="auto" w:fill="D5EFF4"/>
          </w:tcPr>
          <w:p>
            <w:pPr>
              <w:spacing w:after="0"/>
              <w:rPr>
                <w:sz w:val="21"/>
                <w:szCs w:val="21"/>
                <w:color w:val="auto"/>
              </w:rPr>
            </w:pPr>
          </w:p>
        </w:tc>
        <w:tc>
          <w:tcPr>
            <w:tcW w:w="5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shd w:val="clear" w:color="auto" w:fill="D5EFF4"/>
          </w:tcPr>
          <w:p>
            <w:pPr>
              <w:spacing w:after="0"/>
              <w:rPr>
                <w:sz w:val="21"/>
                <w:szCs w:val="2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Composites/Marl facility</w:t>
            </w:r>
          </w:p>
        </w:tc>
        <w:tc>
          <w:tcPr>
            <w:tcW w:w="98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Water Technologies</w:t>
            </w:r>
          </w:p>
        </w:tc>
        <w:tc>
          <w:tcPr>
            <w:tcW w:w="980" w:type="dxa"/>
            <w:vAlign w:val="bottom"/>
            <w:shd w:val="clear" w:color="auto" w:fill="D5EFF4"/>
          </w:tcPr>
          <w:p>
            <w:pPr>
              <w:spacing w:after="0"/>
              <w:rPr>
                <w:sz w:val="21"/>
                <w:szCs w:val="21"/>
                <w:color w:val="auto"/>
              </w:rPr>
            </w:pP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FF4"/>
          </w:tcPr>
          <w:p>
            <w:pPr>
              <w:spacing w:after="0"/>
              <w:rPr>
                <w:sz w:val="21"/>
                <w:szCs w:val="21"/>
                <w:color w:val="auto"/>
              </w:rPr>
            </w:pPr>
          </w:p>
        </w:tc>
        <w:tc>
          <w:tcPr>
            <w:tcW w:w="980" w:type="dxa"/>
            <w:vAlign w:val="bottom"/>
            <w:shd w:val="clear" w:color="auto" w:fill="D5EFF4"/>
          </w:tcPr>
          <w:p>
            <w:pPr>
              <w:spacing w:after="0"/>
              <w:rPr>
                <w:sz w:val="21"/>
                <w:szCs w:val="21"/>
                <w:color w:val="auto"/>
              </w:rPr>
            </w:pP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1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Distribution</w:t>
            </w:r>
          </w:p>
        </w:tc>
        <w:tc>
          <w:tcPr>
            <w:tcW w:w="98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1"/>
                <w:szCs w:val="21"/>
                <w:color w:val="auto"/>
              </w:rPr>
            </w:pPr>
          </w:p>
        </w:tc>
      </w:tr>
      <w:tr>
        <w:trPr>
          <w:trHeight w:val="264"/>
        </w:trPr>
        <w:tc>
          <w:tcPr>
            <w:tcW w:w="6660" w:type="dxa"/>
            <w:vAlign w:val="bottom"/>
            <w:tcBorders>
              <w:bottom w:val="single" w:sz="8" w:color="D5EFF4"/>
            </w:tcBorders>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Asbestos-related litigation</w:t>
            </w:r>
          </w:p>
        </w:tc>
        <w:tc>
          <w:tcPr>
            <w:tcW w:w="980" w:type="dxa"/>
            <w:vAlign w:val="bottom"/>
            <w:tcBorders>
              <w:bottom w:val="single" w:sz="8" w:color="auto"/>
            </w:tcBorders>
            <w:shd w:val="clear" w:color="auto" w:fill="D5EFF4"/>
          </w:tcPr>
          <w:p>
            <w:pPr>
              <w:spacing w:after="0"/>
              <w:rPr>
                <w:sz w:val="22"/>
                <w:szCs w:val="22"/>
                <w:color w:val="auto"/>
              </w:rPr>
            </w:pPr>
          </w:p>
        </w:tc>
        <w:tc>
          <w:tcPr>
            <w:tcW w:w="50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Borders>
              <w:bottom w:val="single" w:sz="8" w:color="D5EFF4"/>
            </w:tcBorders>
            <w:shd w:val="clear" w:color="auto" w:fill="D5EFF4"/>
          </w:tcPr>
          <w:p>
            <w:pPr>
              <w:spacing w:after="0"/>
              <w:rPr>
                <w:sz w:val="22"/>
                <w:szCs w:val="22"/>
                <w:color w:val="auto"/>
              </w:rPr>
            </w:pPr>
          </w:p>
        </w:tc>
        <w:tc>
          <w:tcPr>
            <w:tcW w:w="980" w:type="dxa"/>
            <w:vAlign w:val="bottom"/>
            <w:tcBorders>
              <w:bottom w:val="single" w:sz="8" w:color="auto"/>
            </w:tcBorders>
            <w:shd w:val="clear" w:color="auto" w:fill="D5EFF4"/>
          </w:tcPr>
          <w:p>
            <w:pPr>
              <w:spacing w:after="0"/>
              <w:rPr>
                <w:sz w:val="22"/>
                <w:szCs w:val="22"/>
                <w:color w:val="auto"/>
              </w:rPr>
            </w:pPr>
          </w:p>
        </w:tc>
        <w:tc>
          <w:tcPr>
            <w:tcW w:w="50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tcBorders>
              <w:bottom w:val="single" w:sz="8" w:color="D5EFF4"/>
            </w:tcBorders>
            <w:shd w:val="clear" w:color="auto" w:fill="D5EFF4"/>
          </w:tcPr>
          <w:p>
            <w:pPr>
              <w:spacing w:after="0"/>
              <w:rPr>
                <w:sz w:val="22"/>
                <w:szCs w:val="22"/>
                <w:color w:val="auto"/>
              </w:rPr>
            </w:pPr>
          </w:p>
        </w:tc>
        <w:tc>
          <w:tcPr>
            <w:tcW w:w="280" w:type="dxa"/>
            <w:vAlign w:val="bottom"/>
            <w:tcBorders>
              <w:bottom w:val="single" w:sz="8" w:color="auto"/>
            </w:tcBorders>
            <w:shd w:val="clear" w:color="auto" w:fill="D5EFF4"/>
          </w:tcPr>
          <w:p>
            <w:pPr>
              <w:spacing w:after="0"/>
              <w:rPr>
                <w:sz w:val="22"/>
                <w:szCs w:val="22"/>
                <w:color w:val="auto"/>
              </w:rPr>
            </w:pPr>
          </w:p>
        </w:tc>
        <w:tc>
          <w:tcPr>
            <w:tcW w:w="10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shd w:val="clear" w:color="auto" w:fill="D5EFF4"/>
          </w:tcPr>
          <w:p>
            <w:pPr>
              <w:spacing w:after="0"/>
              <w:rPr>
                <w:sz w:val="22"/>
                <w:szCs w:val="22"/>
                <w:color w:val="auto"/>
              </w:rPr>
            </w:pPr>
          </w:p>
        </w:tc>
      </w:tr>
      <w:tr>
        <w:trPr>
          <w:trHeight w:val="219"/>
        </w:trPr>
        <w:tc>
          <w:tcPr>
            <w:tcW w:w="666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Income (loss) from discontinued operations, net of income taxes</w:t>
            </w:r>
          </w:p>
        </w:tc>
        <w:tc>
          <w:tcPr>
            <w:tcW w:w="980" w:type="dxa"/>
            <w:vAlign w:val="bottom"/>
            <w:tcBorders>
              <w:bottom w:val="single" w:sz="8" w:color="auto"/>
            </w:tcBorders>
          </w:tcPr>
          <w:p>
            <w:pPr>
              <w:jc w:val="right"/>
              <w:ind w:right="7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(23)</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7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(30)</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auto"/>
            </w:tcBorders>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6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-2612390</wp:posOffset>
            </wp:positionV>
            <wp:extent cx="7207250"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14">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07250"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15">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3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NOTE D – RESTRUCTURING ACTIVITIES</w:t>
      </w:r>
    </w:p>
    <w:p>
      <w:pPr>
        <w:spacing w:after="0" w:line="1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Restructuring activities</w:t>
      </w:r>
    </w:p>
    <w:p>
      <w:pPr>
        <w:spacing w:after="0" w:line="170" w:lineRule="exact"/>
        <w:rPr>
          <w:sz w:val="20"/>
          <w:szCs w:val="20"/>
          <w:color w:val="auto"/>
        </w:rPr>
      </w:pPr>
    </w:p>
    <w:p>
      <w:pPr>
        <w:jc w:val="both"/>
        <w:ind w:left="8" w:right="40" w:firstLine="360"/>
        <w:spacing w:after="0" w:line="325" w:lineRule="auto"/>
        <w:rPr>
          <w:sz w:val="20"/>
          <w:szCs w:val="20"/>
          <w:color w:val="auto"/>
        </w:rPr>
      </w:pPr>
      <w:r>
        <w:rPr>
          <w:rFonts w:ascii="Times New Roman" w:cs="Times New Roman" w:eastAsia="Times New Roman" w:hAnsi="Times New Roman"/>
          <w:sz w:val="20"/>
          <w:szCs w:val="20"/>
          <w:color w:val="auto"/>
        </w:rPr>
        <w:t>Ashland periodically implements company-wide and targeted restructuring programs related to acquisitions, divestitures and other cost reduction programs in order to enhance profitability through streamlined operations and an improved overall cost structure.</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Fiscal 2025, 2024 and 2023 restructuring costs</w:t>
      </w:r>
    </w:p>
    <w:p>
      <w:pPr>
        <w:spacing w:after="0" w:line="164" w:lineRule="exact"/>
        <w:rPr>
          <w:sz w:val="20"/>
          <w:szCs w:val="20"/>
          <w:color w:val="auto"/>
        </w:rPr>
      </w:pPr>
    </w:p>
    <w:p>
      <w:pPr>
        <w:jc w:val="both"/>
        <w:ind w:left="8" w:right="40" w:firstLine="360"/>
        <w:spacing w:after="0" w:line="306" w:lineRule="auto"/>
        <w:rPr>
          <w:sz w:val="20"/>
          <w:szCs w:val="20"/>
          <w:color w:val="auto"/>
        </w:rPr>
      </w:pPr>
      <w:r>
        <w:rPr>
          <w:rFonts w:ascii="Times New Roman" w:cs="Times New Roman" w:eastAsia="Times New Roman" w:hAnsi="Times New Roman"/>
          <w:sz w:val="20"/>
          <w:szCs w:val="20"/>
          <w:color w:val="auto"/>
        </w:rPr>
        <w:t>During fiscal 2025, Ashland initiated a restructuring plan to offset the impact from the Nutraceuticals business sale completed in fiscal 2024 and other portfolio optimization actions ("2025 Restructuring Program"). As a part of this program, Ashland is also advancing a multi-year manufacturing optimization restructuring plan to improve operational cost and strengthen its competitive position.</w:t>
      </w:r>
    </w:p>
    <w:p>
      <w:pPr>
        <w:spacing w:after="0" w:line="6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During fiscal 2023, Ashland implemented targeted organizational restructuring actions to reduce costs ("2023 Restructuring Program").</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This program continued into fiscal 2024.</w:t>
      </w:r>
    </w:p>
    <w:p>
      <w:pPr>
        <w:spacing w:after="0" w:line="166" w:lineRule="exact"/>
        <w:rPr>
          <w:sz w:val="20"/>
          <w:szCs w:val="20"/>
          <w:color w:val="auto"/>
        </w:rPr>
      </w:pPr>
    </w:p>
    <w:p>
      <w:pPr>
        <w:jc w:val="both"/>
        <w:ind w:left="8" w:right="40" w:firstLine="360"/>
        <w:spacing w:after="0" w:line="306" w:lineRule="auto"/>
        <w:rPr>
          <w:sz w:val="20"/>
          <w:szCs w:val="20"/>
          <w:color w:val="auto"/>
        </w:rPr>
      </w:pPr>
      <w:r>
        <w:rPr>
          <w:rFonts w:ascii="Times New Roman" w:cs="Times New Roman" w:eastAsia="Times New Roman" w:hAnsi="Times New Roman"/>
          <w:sz w:val="20"/>
          <w:szCs w:val="20"/>
          <w:color w:val="auto"/>
        </w:rPr>
        <w:t>Ashland recorded severance expense of $13 million, $25 million and $5 million during the years ended September 30, 2025, 2024 and 2023, respectively, within the selling, general and administrative expense caption of the Statements of Consolidated Comprehensive Income (Loss).</w:t>
      </w:r>
    </w:p>
    <w:p>
      <w:pPr>
        <w:spacing w:after="0" w:line="6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The following table details at September 30, 2025, the amount of restructuring severance liabilities related to these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27305</wp:posOffset>
            </wp:positionV>
            <wp:extent cx="7242810"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16">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249"/>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20" w:type="dxa"/>
            <w:vAlign w:val="bottom"/>
          </w:tcPr>
          <w:p>
            <w:pPr>
              <w:spacing w:after="0"/>
              <w:rPr>
                <w:sz w:val="21"/>
                <w:szCs w:val="21"/>
                <w:color w:val="auto"/>
              </w:rPr>
            </w:pPr>
          </w:p>
        </w:tc>
        <w:tc>
          <w:tcPr>
            <w:tcW w:w="2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2025 Restructuring Program</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2023 Restructuring Program</w:t>
            </w:r>
          </w:p>
        </w:tc>
      </w:tr>
      <w:tr>
        <w:trPr>
          <w:trHeight w:val="239"/>
        </w:trPr>
        <w:tc>
          <w:tcPr>
            <w:tcW w:w="5860" w:type="dxa"/>
            <w:vAlign w:val="bottom"/>
            <w:shd w:val="clear" w:color="auto" w:fill="D5EFF4"/>
          </w:tcPr>
          <w:p>
            <w:pPr>
              <w:spacing w:after="0" w:line="239" w:lineRule="exact"/>
              <w:rPr>
                <w:sz w:val="20"/>
                <w:szCs w:val="20"/>
                <w:color w:val="auto"/>
              </w:rPr>
            </w:pPr>
            <w:r>
              <w:rPr>
                <w:rFonts w:ascii="Times New Roman" w:cs="Times New Roman" w:eastAsia="Times New Roman" w:hAnsi="Times New Roman"/>
                <w:sz w:val="20"/>
                <w:szCs w:val="20"/>
                <w:b w:val="1"/>
                <w:bCs w:val="1"/>
                <w:color w:val="auto"/>
              </w:rPr>
              <w:t>Balance at September 30, 2023</w:t>
            </w:r>
            <w:r>
              <w:rPr>
                <w:rFonts w:ascii="Times New Roman" w:cs="Times New Roman" w:eastAsia="Times New Roman" w:hAnsi="Times New Roman"/>
                <w:sz w:val="25"/>
                <w:szCs w:val="25"/>
                <w:b w:val="1"/>
                <w:bCs w:val="1"/>
                <w:color w:val="auto"/>
                <w:vertAlign w:val="superscript"/>
              </w:rPr>
              <w:t>(a)</w:t>
            </w:r>
          </w:p>
        </w:tc>
        <w:tc>
          <w:tcPr>
            <w:tcW w:w="1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540" w:type="dxa"/>
            <w:vAlign w:val="bottom"/>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top w:val="single" w:sz="8" w:color="auto"/>
            </w:tcBorders>
            <w:shd w:val="clear" w:color="auto" w:fill="D5EFF4"/>
          </w:tcPr>
          <w:p>
            <w:pPr>
              <w:spacing w:after="0"/>
              <w:rPr>
                <w:sz w:val="20"/>
                <w:szCs w:val="20"/>
                <w:color w:val="auto"/>
              </w:rPr>
            </w:pPr>
          </w:p>
        </w:tc>
      </w:tr>
      <w:tr>
        <w:trPr>
          <w:trHeight w:val="244"/>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reserve</w:t>
            </w:r>
          </w:p>
        </w:tc>
        <w:tc>
          <w:tcPr>
            <w:tcW w:w="120" w:type="dxa"/>
            <w:vAlign w:val="bottom"/>
          </w:tcPr>
          <w:p>
            <w:pPr>
              <w:spacing w:after="0"/>
              <w:rPr>
                <w:sz w:val="21"/>
                <w:szCs w:val="21"/>
                <w:color w:val="auto"/>
              </w:rPr>
            </w:pPr>
          </w:p>
        </w:tc>
        <w:tc>
          <w:tcPr>
            <w:tcW w:w="25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1"/>
                <w:szCs w:val="21"/>
                <w:color w:val="auto"/>
              </w:rPr>
            </w:pPr>
          </w:p>
        </w:tc>
      </w:tr>
      <w:tr>
        <w:trPr>
          <w:trHeight w:val="244"/>
        </w:trPr>
        <w:tc>
          <w:tcPr>
            <w:tcW w:w="58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Utilization (cash paid)</w:t>
            </w:r>
          </w:p>
        </w:tc>
        <w:tc>
          <w:tcPr>
            <w:tcW w:w="120" w:type="dxa"/>
            <w:vAlign w:val="bottom"/>
            <w:tcBorders>
              <w:bottom w:val="single" w:sz="8" w:color="auto"/>
            </w:tcBorders>
            <w:shd w:val="clear" w:color="auto" w:fill="D5EFF4"/>
          </w:tcPr>
          <w:p>
            <w:pPr>
              <w:spacing w:after="0"/>
              <w:rPr>
                <w:sz w:val="21"/>
                <w:szCs w:val="21"/>
                <w:color w:val="auto"/>
              </w:rPr>
            </w:pPr>
          </w:p>
        </w:tc>
        <w:tc>
          <w:tcPr>
            <w:tcW w:w="2540" w:type="dxa"/>
            <w:vAlign w:val="bottom"/>
            <w:tcBorders>
              <w:bottom w:val="single" w:sz="8" w:color="auto"/>
            </w:tcBorders>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FF4"/>
          </w:tcPr>
          <w:p>
            <w:pPr>
              <w:spacing w:after="0"/>
              <w:rPr>
                <w:sz w:val="21"/>
                <w:szCs w:val="21"/>
                <w:color w:val="auto"/>
              </w:rPr>
            </w:pPr>
          </w:p>
        </w:tc>
        <w:tc>
          <w:tcPr>
            <w:tcW w:w="100" w:type="dxa"/>
            <w:vAlign w:val="bottom"/>
            <w:tcBorders>
              <w:bottom w:val="single" w:sz="8" w:color="auto"/>
            </w:tcBorders>
            <w:shd w:val="clear" w:color="auto" w:fill="D5EFF4"/>
          </w:tcPr>
          <w:p>
            <w:pPr>
              <w:spacing w:after="0"/>
              <w:rPr>
                <w:sz w:val="21"/>
                <w:szCs w:val="21"/>
                <w:color w:val="auto"/>
              </w:rPr>
            </w:pPr>
          </w:p>
        </w:tc>
        <w:tc>
          <w:tcPr>
            <w:tcW w:w="248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r>
      <w:tr>
        <w:trPr>
          <w:trHeight w:val="279"/>
        </w:trPr>
        <w:tc>
          <w:tcPr>
            <w:tcW w:w="5860" w:type="dxa"/>
            <w:vAlign w:val="bottom"/>
            <w:tcBorders>
              <w:bottom w:val="single" w:sz="8" w:color="D5EFF4"/>
            </w:tcBorders>
          </w:tcPr>
          <w:p>
            <w:pPr>
              <w:spacing w:after="0" w:line="239" w:lineRule="exact"/>
              <w:rPr>
                <w:sz w:val="20"/>
                <w:szCs w:val="20"/>
                <w:color w:val="auto"/>
              </w:rPr>
            </w:pPr>
            <w:r>
              <w:rPr>
                <w:rFonts w:ascii="Times New Roman" w:cs="Times New Roman" w:eastAsia="Times New Roman" w:hAnsi="Times New Roman"/>
                <w:sz w:val="20"/>
                <w:szCs w:val="20"/>
                <w:b w:val="1"/>
                <w:bCs w:val="1"/>
                <w:color w:val="auto"/>
              </w:rPr>
              <w:t>Balance at September 30, 2024</w:t>
            </w:r>
            <w:r>
              <w:rPr>
                <w:rFonts w:ascii="Times New Roman" w:cs="Times New Roman" w:eastAsia="Times New Roman" w:hAnsi="Times New Roman"/>
                <w:sz w:val="25"/>
                <w:szCs w:val="25"/>
                <w:b w:val="1"/>
                <w:bCs w:val="1"/>
                <w:color w:val="auto"/>
                <w:vertAlign w:val="superscript"/>
              </w:rPr>
              <w:t>(a)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D5EFF4"/>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Borders>
              <w:bottom w:val="single" w:sz="8" w:color="auto"/>
            </w:tcBorders>
          </w:tcPr>
          <w:p>
            <w:pPr>
              <w:spacing w:after="0"/>
              <w:rPr>
                <w:sz w:val="24"/>
                <w:szCs w:val="24"/>
                <w:color w:val="auto"/>
              </w:rPr>
            </w:pPr>
          </w:p>
        </w:tc>
      </w:tr>
      <w:tr>
        <w:trPr>
          <w:trHeight w:val="229"/>
        </w:trPr>
        <w:tc>
          <w:tcPr>
            <w:tcW w:w="58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Restructuring reserve</w:t>
            </w:r>
          </w:p>
        </w:tc>
        <w:tc>
          <w:tcPr>
            <w:tcW w:w="120" w:type="dxa"/>
            <w:vAlign w:val="bottom"/>
            <w:shd w:val="clear" w:color="auto" w:fill="D5EFF4"/>
          </w:tcPr>
          <w:p>
            <w:pPr>
              <w:spacing w:after="0"/>
              <w:rPr>
                <w:sz w:val="19"/>
                <w:szCs w:val="19"/>
                <w:color w:val="auto"/>
              </w:rPr>
            </w:pPr>
          </w:p>
        </w:tc>
        <w:tc>
          <w:tcPr>
            <w:tcW w:w="2540" w:type="dxa"/>
            <w:vAlign w:val="bottom"/>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c>
          <w:tcPr>
            <w:tcW w:w="260" w:type="dxa"/>
            <w:vAlign w:val="bottom"/>
            <w:shd w:val="clear" w:color="auto" w:fill="D5EFF4"/>
          </w:tcPr>
          <w:p>
            <w:pPr>
              <w:spacing w:after="0"/>
              <w:rPr>
                <w:sz w:val="19"/>
                <w:szCs w:val="19"/>
                <w:color w:val="auto"/>
              </w:rPr>
            </w:pPr>
          </w:p>
        </w:tc>
        <w:tc>
          <w:tcPr>
            <w:tcW w:w="100" w:type="dxa"/>
            <w:vAlign w:val="bottom"/>
            <w:shd w:val="clear" w:color="auto" w:fill="D5EFF4"/>
          </w:tcPr>
          <w:p>
            <w:pPr>
              <w:spacing w:after="0"/>
              <w:rPr>
                <w:sz w:val="19"/>
                <w:szCs w:val="19"/>
                <w:color w:val="auto"/>
              </w:rPr>
            </w:pPr>
          </w:p>
        </w:tc>
        <w:tc>
          <w:tcPr>
            <w:tcW w:w="248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44"/>
        </w:trPr>
        <w:tc>
          <w:tcPr>
            <w:tcW w:w="5860" w:type="dxa"/>
            <w:vAlign w:val="bottom"/>
            <w:tcBorders>
              <w:bottom w:val="single" w:sz="8" w:color="D5EFF4"/>
            </w:tcBorders>
          </w:tcPr>
          <w:p>
            <w:pPr>
              <w:spacing w:after="0"/>
              <w:rPr>
                <w:sz w:val="20"/>
                <w:szCs w:val="20"/>
                <w:color w:val="auto"/>
              </w:rPr>
            </w:pPr>
            <w:r>
              <w:rPr>
                <w:rFonts w:ascii="Times New Roman" w:cs="Times New Roman" w:eastAsia="Times New Roman" w:hAnsi="Times New Roman"/>
                <w:sz w:val="20"/>
                <w:szCs w:val="20"/>
                <w:color w:val="auto"/>
              </w:rPr>
              <w:t>Utilization (cash paid)</w:t>
            </w: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60" w:type="dxa"/>
            <w:vAlign w:val="bottom"/>
            <w:tcBorders>
              <w:bottom w:val="single" w:sz="8" w:color="D5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r>
      <w:tr>
        <w:trPr>
          <w:trHeight w:val="239"/>
        </w:trPr>
        <w:tc>
          <w:tcPr>
            <w:tcW w:w="5860" w:type="dxa"/>
            <w:vAlign w:val="bottom"/>
            <w:shd w:val="clear" w:color="auto" w:fill="D5EFF4"/>
          </w:tcPr>
          <w:p>
            <w:pPr>
              <w:spacing w:after="0" w:line="239" w:lineRule="exact"/>
              <w:rPr>
                <w:sz w:val="20"/>
                <w:szCs w:val="20"/>
                <w:color w:val="auto"/>
              </w:rPr>
            </w:pPr>
            <w:r>
              <w:rPr>
                <w:rFonts w:ascii="Times New Roman" w:cs="Times New Roman" w:eastAsia="Times New Roman" w:hAnsi="Times New Roman"/>
                <w:sz w:val="20"/>
                <w:szCs w:val="20"/>
                <w:b w:val="1"/>
                <w:bCs w:val="1"/>
                <w:color w:val="auto"/>
              </w:rPr>
              <w:t>Balance at September 30, 2025</w:t>
            </w:r>
            <w:r>
              <w:rPr>
                <w:rFonts w:ascii="Times New Roman" w:cs="Times New Roman" w:eastAsia="Times New Roman" w:hAnsi="Times New Roman"/>
                <w:sz w:val="25"/>
                <w:szCs w:val="25"/>
                <w:b w:val="1"/>
                <w:bCs w:val="1"/>
                <w:color w:val="auto"/>
                <w:vertAlign w:val="superscript"/>
              </w:rPr>
              <w:t>(a)</w:t>
            </w:r>
          </w:p>
        </w:tc>
        <w:tc>
          <w:tcPr>
            <w:tcW w:w="12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540" w:type="dxa"/>
            <w:vAlign w:val="bottom"/>
            <w:tcBorders>
              <w:bottom w:val="single" w:sz="8" w:color="auto"/>
            </w:tcBorders>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5</w:t>
            </w:r>
          </w:p>
        </w:tc>
        <w:tc>
          <w:tcPr>
            <w:tcW w:w="260" w:type="dxa"/>
            <w:vAlign w:val="bottom"/>
            <w:shd w:val="clear" w:color="auto" w:fill="D5EFF4"/>
          </w:tcPr>
          <w:p>
            <w:pPr>
              <w:spacing w:after="0"/>
              <w:rPr>
                <w:sz w:val="20"/>
                <w:szCs w:val="20"/>
                <w:color w:val="auto"/>
              </w:rPr>
            </w:pPr>
          </w:p>
        </w:tc>
        <w:tc>
          <w:tcPr>
            <w:tcW w:w="1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4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shd w:val="clear" w:color="auto" w:fill="D5EFF4"/>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5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-1245870</wp:posOffset>
            </wp:positionV>
            <wp:extent cx="7207250"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17">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61225" cy="1854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18">
                      <a:extLst>
                        <a:ext uri="{28A0092B-C50C-407E-A947-70E740481C1C}"/>
                      </a:extLst>
                    </a:blip>
                    <a:srcRect/>
                    <a:stretch>
                      <a:fillRect/>
                    </a:stretch>
                  </pic:blipFill>
                  <pic:spPr bwMode="auto">
                    <a:xfrm>
                      <a:off x="0" y="0"/>
                      <a:ext cx="7261225" cy="185420"/>
                    </a:xfrm>
                    <a:prstGeom prst="rect">
                      <a:avLst/>
                    </a:prstGeom>
                    <a:noFill/>
                  </pic:spPr>
                </pic:pic>
              </a:graphicData>
            </a:graphic>
          </wp:anchor>
        </w:drawing>
      </w:r>
    </w:p>
    <w:p>
      <w:pPr>
        <w:spacing w:after="0" w:line="5" w:lineRule="exact"/>
        <w:rPr>
          <w:sz w:val="20"/>
          <w:szCs w:val="20"/>
          <w:color w:val="auto"/>
        </w:rPr>
      </w:pPr>
    </w:p>
    <w:p>
      <w:pPr>
        <w:ind w:left="568" w:hanging="568"/>
        <w:spacing w:after="0" w:line="283" w:lineRule="auto"/>
        <w:tabs>
          <w:tab w:leader="none" w:pos="568"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restructuring severance liability associated with these programs is </w:t>
      </w:r>
      <w:r>
        <w:rPr>
          <w:rFonts w:ascii="Times New Roman" w:cs="Times New Roman" w:eastAsia="Times New Roman" w:hAnsi="Times New Roman"/>
          <w:sz w:val="16"/>
          <w:szCs w:val="16"/>
          <w:color w:val="auto"/>
          <w:highlight w:val="white"/>
        </w:rPr>
        <w:t>recorded</w:t>
      </w:r>
      <w:r>
        <w:rPr>
          <w:rFonts w:ascii="Times New Roman" w:cs="Times New Roman" w:eastAsia="Times New Roman" w:hAnsi="Times New Roman"/>
          <w:sz w:val="1"/>
          <w:szCs w:val="1"/>
          <w:color w:val="auto"/>
        </w:rPr>
        <w:drawing>
          <wp:inline distT="0" distB="0" distL="0" distR="0">
            <wp:extent cx="36830" cy="11684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19">
                      <a:extLst>
                        <a:ext uri="{28A0092B-C50C-407E-A947-70E740481C1C}"/>
                      </a:extLst>
                    </a:blip>
                    <a:srcRect/>
                    <a:stretch>
                      <a:fillRect/>
                    </a:stretch>
                  </pic:blipFill>
                  <pic:spPr bwMode="auto">
                    <a:xfrm>
                      <a:off x="0" y="0"/>
                      <a:ext cx="36830" cy="11684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 xml:space="preserve">within accrued expenses and other liabilities in the Consolidated Balance Sheets </w:t>
      </w:r>
      <w:r>
        <w:rPr>
          <w:rFonts w:ascii="Times New Roman" w:cs="Times New Roman" w:eastAsia="Times New Roman" w:hAnsi="Times New Roman"/>
          <w:sz w:val="16"/>
          <w:szCs w:val="16"/>
          <w:color w:val="auto"/>
        </w:rPr>
        <w:t>at</w:t>
      </w:r>
      <w:r>
        <w:rPr>
          <w:rFonts w:ascii="Times New Roman" w:cs="Times New Roman" w:eastAsia="Times New Roman" w:hAnsi="Times New Roman"/>
          <w:sz w:val="1"/>
          <w:szCs w:val="1"/>
          <w:color w:val="auto"/>
        </w:rPr>
        <w:drawing>
          <wp:inline distT="0" distB="0" distL="0" distR="0">
            <wp:extent cx="25400" cy="11684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20">
                      <a:extLst>
                        <a:ext uri="{28A0092B-C50C-407E-A947-70E740481C1C}"/>
                      </a:extLst>
                    </a:blip>
                    <a:srcRect/>
                    <a:stretch>
                      <a:fillRect/>
                    </a:stretch>
                  </pic:blipFill>
                  <pic:spPr bwMode="auto">
                    <a:xfrm>
                      <a:off x="0" y="0"/>
                      <a:ext cx="25400" cy="116840"/>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September 30, 2025 and 2024.</w:t>
      </w:r>
    </w:p>
    <w:p>
      <w:pPr>
        <w:sectPr>
          <w:pgSz w:w="12240" w:h="15840" w:orient="portrait"/>
          <w:cols w:equalWidth="0" w:num="1">
            <w:col w:w="11408"/>
          </w:cols>
          <w:pgMar w:left="432" w:top="930" w:right="4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1408"/>
          </w:cols>
          <w:pgMar w:left="432" w:top="930" w:right="400" w:bottom="186"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i w:val="1"/>
          <w:iCs w:val="1"/>
          <w:color w:val="auto"/>
        </w:rPr>
        <w:t>Plant optimization actions</w:t>
      </w:r>
    </w:p>
    <w:p>
      <w:pPr>
        <w:spacing w:after="0" w:line="164"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Ashland's portfolio optimization actions have included projects associated with carboxymethylcellulose ("CMC"), industrial methylcellulose ("MC"), vinyl pyrrolidone and derivatives ("VP&amp;D") and hydroxyethylcellulose ("HEC") as well as manufacturing productivity initiatives.</w:t>
      </w:r>
    </w:p>
    <w:p>
      <w:pPr>
        <w:spacing w:after="0" w:line="68"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During 2025, Ashland incurred $21 million, $1 million and $19 million of accelerated depreciation for product line optimization activities associated with manufacturing facilities within the Life Sciences, Personal Care and Specialty Additives reportable segments, respectively, which was recorded within the cost of sales caption of the Statements of Consolidated Comprehensive Income (Loss).</w:t>
      </w:r>
    </w:p>
    <w:p>
      <w:pPr>
        <w:spacing w:after="0" w:line="68"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During 2024, Ashland incurred $55 million of accelerated depreciation for product line optimization activities associated with two Specialty Additives manufacturing facilities, which was recorded within the cost of sales caption of the Statements of Consolidated Comprehensive Income (Loss).</w:t>
      </w:r>
    </w:p>
    <w:p>
      <w:pPr>
        <w:spacing w:after="0" w:line="68"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During 2024, Ashland incurred $2 million of accelerated depreciation for product line optimization activities associated with a Personal Care manufacturing facility in Summerville, South Carolina, which was recorded within the cost of sales caption of the Statements of Consolidated Comprehensive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 – FAIR VALUE MEASUREMENTS</w:t>
      </w:r>
    </w:p>
    <w:p>
      <w:pPr>
        <w:spacing w:after="0" w:line="170" w:lineRule="exact"/>
        <w:rPr>
          <w:sz w:val="20"/>
          <w:szCs w:val="20"/>
          <w:color w:val="auto"/>
        </w:rPr>
      </w:pPr>
    </w:p>
    <w:p>
      <w:pPr>
        <w:jc w:val="both"/>
        <w:ind w:right="20" w:firstLine="360"/>
        <w:spacing w:after="0" w:line="270" w:lineRule="auto"/>
        <w:rPr>
          <w:sz w:val="20"/>
          <w:szCs w:val="20"/>
          <w:color w:val="auto"/>
        </w:rPr>
      </w:pPr>
      <w:r>
        <w:rPr>
          <w:rFonts w:ascii="Times New Roman" w:cs="Times New Roman" w:eastAsia="Times New Roman" w:hAnsi="Times New Roman"/>
          <w:sz w:val="20"/>
          <w:szCs w:val="20"/>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 Observable inputs such as unadjusted quoted prices in active markets for identical assets or liabilities.</w:t>
      </w:r>
    </w:p>
    <w:p>
      <w:pPr>
        <w:spacing w:after="0" w:line="166"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8" w:lineRule="exact"/>
        <w:rPr>
          <w:sz w:val="20"/>
          <w:szCs w:val="20"/>
          <w:color w:val="auto"/>
        </w:rPr>
      </w:pPr>
    </w:p>
    <w:p>
      <w:pPr>
        <w:jc w:val="both"/>
        <w:ind w:right="20" w:firstLine="360"/>
        <w:spacing w:after="0" w:line="273" w:lineRule="auto"/>
        <w:rPr>
          <w:sz w:val="20"/>
          <w:szCs w:val="20"/>
          <w:color w:val="auto"/>
        </w:rPr>
      </w:pPr>
      <w:r>
        <w:rPr>
          <w:rFonts w:ascii="Times New Roman" w:cs="Times New Roman" w:eastAsia="Times New Roman" w:hAnsi="Times New Roman"/>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7" w:lineRule="exact"/>
        <w:rPr>
          <w:sz w:val="20"/>
          <w:szCs w:val="20"/>
          <w:color w:val="auto"/>
        </w:rPr>
      </w:pPr>
    </w:p>
    <w:p>
      <w:pPr>
        <w:jc w:val="both"/>
        <w:ind w:right="20" w:firstLine="360"/>
        <w:spacing w:after="0" w:line="271" w:lineRule="auto"/>
        <w:rPr>
          <w:sz w:val="20"/>
          <w:szCs w:val="20"/>
          <w:color w:val="auto"/>
        </w:rPr>
      </w:pPr>
      <w:r>
        <w:rPr>
          <w:rFonts w:ascii="Times New Roman" w:cs="Times New Roman" w:eastAsia="Times New Roman" w:hAnsi="Times New Roman"/>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sectPr>
          <w:pgSz w:w="12240" w:h="15840" w:orient="portrait"/>
          <w:cols w:equalWidth="0" w:num="1">
            <w:col w:w="11380"/>
          </w:cols>
          <w:pgMar w:left="440" w:top="932" w:right="4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1380"/>
          </w:cols>
          <w:pgMar w:left="440" w:top="932" w:right="420" w:bottom="186" w:gutter="0" w:footer="0" w:header="0"/>
          <w:type w:val="continuous"/>
        </w:sectPr>
      </w:pPr>
    </w:p>
    <w:bookmarkStart w:id="124" w:name="page125"/>
    <w:bookmarkEnd w:id="124"/>
    <w:p>
      <w:pPr>
        <w:ind w:left="8"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summarizes financial instruments subject to recurring fair value measurements as of September 30, 2025. For additional information on fair value hierarchy measurements of pension plan assets, see Note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42810"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21">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8"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Carrying</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00" w:type="dxa"/>
            <w:vAlign w:val="bottom"/>
          </w:tcPr>
          <w:p>
            <w:pPr>
              <w:spacing w:after="0"/>
              <w:rPr>
                <w:sz w:val="21"/>
                <w:szCs w:val="21"/>
                <w:color w:val="auto"/>
              </w:rPr>
            </w:pPr>
          </w:p>
        </w:tc>
        <w:tc>
          <w:tcPr>
            <w:tcW w:w="10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value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Total fair value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Level 1</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Level 3</w:t>
            </w:r>
          </w:p>
        </w:tc>
      </w:tr>
      <w:tr>
        <w:trPr>
          <w:trHeight w:val="239"/>
        </w:trPr>
        <w:tc>
          <w:tcPr>
            <w:tcW w:w="396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shd w:val="clear" w:color="auto" w:fill="D5EFF4"/>
          </w:tcPr>
          <w:p>
            <w:pPr>
              <w:spacing w:after="0"/>
              <w:rPr>
                <w:sz w:val="20"/>
                <w:szCs w:val="20"/>
                <w:color w:val="auto"/>
              </w:rPr>
            </w:pPr>
          </w:p>
        </w:tc>
        <w:tc>
          <w:tcPr>
            <w:tcW w:w="108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60" w:type="dxa"/>
            <w:vAlign w:val="bottom"/>
            <w:shd w:val="clear" w:color="auto" w:fill="D5EFF4"/>
          </w:tcPr>
          <w:p>
            <w:pPr>
              <w:spacing w:after="0"/>
              <w:rPr>
                <w:sz w:val="20"/>
                <w:szCs w:val="20"/>
                <w:color w:val="auto"/>
              </w:rPr>
            </w:pPr>
          </w:p>
        </w:tc>
        <w:tc>
          <w:tcPr>
            <w:tcW w:w="152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1080" w:type="dxa"/>
            <w:vAlign w:val="bottom"/>
            <w:shd w:val="clear" w:color="auto" w:fill="D5EFF4"/>
          </w:tcPr>
          <w:p>
            <w:pPr>
              <w:spacing w:after="0"/>
              <w:rPr>
                <w:sz w:val="20"/>
                <w:szCs w:val="20"/>
                <w:color w:val="auto"/>
              </w:rPr>
            </w:pPr>
          </w:p>
        </w:tc>
        <w:tc>
          <w:tcPr>
            <w:tcW w:w="5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820" w:type="dxa"/>
            <w:vAlign w:val="bottom"/>
            <w:shd w:val="clear" w:color="auto" w:fill="D5EFF4"/>
          </w:tcPr>
          <w:p>
            <w:pPr>
              <w:spacing w:after="0"/>
              <w:rPr>
                <w:sz w:val="20"/>
                <w:szCs w:val="20"/>
                <w:color w:val="auto"/>
              </w:rPr>
            </w:pPr>
          </w:p>
        </w:tc>
        <w:tc>
          <w:tcPr>
            <w:tcW w:w="34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100" w:type="dxa"/>
            <w:vAlign w:val="bottom"/>
            <w:shd w:val="clear" w:color="auto" w:fill="D5EFF4"/>
          </w:tcPr>
          <w:p>
            <w:pPr>
              <w:spacing w:after="0"/>
              <w:rPr>
                <w:sz w:val="20"/>
                <w:szCs w:val="20"/>
                <w:color w:val="auto"/>
              </w:rPr>
            </w:pPr>
          </w:p>
        </w:tc>
        <w:tc>
          <w:tcPr>
            <w:tcW w:w="940" w:type="dxa"/>
            <w:vAlign w:val="bottom"/>
            <w:shd w:val="clear" w:color="auto" w:fill="D5EFF4"/>
          </w:tcPr>
          <w:p>
            <w:pPr>
              <w:spacing w:after="0"/>
              <w:rPr>
                <w:sz w:val="20"/>
                <w:szCs w:val="20"/>
                <w:color w:val="auto"/>
              </w:rPr>
            </w:pPr>
          </w:p>
        </w:tc>
        <w:tc>
          <w:tcPr>
            <w:tcW w:w="60" w:type="dxa"/>
            <w:vAlign w:val="bottom"/>
            <w:tcBorders>
              <w:top w:val="single" w:sz="8" w:color="auto"/>
            </w:tcBorders>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r>
      <w:tr>
        <w:trPr>
          <w:trHeight w:val="244"/>
        </w:trPr>
        <w:tc>
          <w:tcPr>
            <w:tcW w:w="3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215</w:t>
            </w:r>
          </w:p>
        </w:tc>
        <w:tc>
          <w:tcPr>
            <w:tcW w:w="2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215</w:t>
            </w:r>
          </w:p>
        </w:tc>
        <w:tc>
          <w:tcPr>
            <w:tcW w:w="1280" w:type="dxa"/>
            <w:vAlign w:val="bottom"/>
            <w:gridSpan w:val="5"/>
          </w:tcPr>
          <w:p>
            <w:pPr>
              <w:jc w:val="right"/>
              <w:ind w:right="978"/>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215</w:t>
            </w:r>
          </w:p>
        </w:tc>
        <w:tc>
          <w:tcPr>
            <w:tcW w:w="1020" w:type="dxa"/>
            <w:vAlign w:val="bottom"/>
            <w:gridSpan w:val="5"/>
          </w:tcPr>
          <w:p>
            <w:pPr>
              <w:jc w:val="right"/>
              <w:ind w:right="718"/>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300" w:type="dxa"/>
            <w:vAlign w:val="bottom"/>
            <w:gridSpan w:val="5"/>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960" w:type="dxa"/>
            <w:vAlign w:val="bottom"/>
            <w:gridSpan w:val="3"/>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Restricted investments</w:t>
            </w:r>
            <w:r>
              <w:rPr>
                <w:rFonts w:ascii="Times New Roman" w:cs="Times New Roman" w:eastAsia="Times New Roman" w:hAnsi="Times New Roman"/>
                <w:sz w:val="25"/>
                <w:szCs w:val="25"/>
                <w:color w:val="auto"/>
                <w:vertAlign w:val="superscript"/>
              </w:rPr>
              <w:t>(a)(b)</w:t>
            </w:r>
          </w:p>
        </w:tc>
        <w:tc>
          <w:tcPr>
            <w:tcW w:w="10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347</w:t>
            </w: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60" w:type="dxa"/>
            <w:vAlign w:val="bottom"/>
            <w:shd w:val="clear" w:color="auto" w:fill="D5EFF4"/>
          </w:tcPr>
          <w:p>
            <w:pPr>
              <w:spacing w:after="0"/>
              <w:rPr>
                <w:sz w:val="21"/>
                <w:szCs w:val="21"/>
                <w:color w:val="auto"/>
              </w:rPr>
            </w:pPr>
          </w:p>
        </w:tc>
        <w:tc>
          <w:tcPr>
            <w:tcW w:w="15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347</w:t>
            </w: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080" w:type="dxa"/>
            <w:vAlign w:val="bottom"/>
            <w:shd w:val="clear" w:color="auto" w:fill="D5EFF4"/>
          </w:tcPr>
          <w:p>
            <w:pPr>
              <w:spacing w:after="0"/>
              <w:rPr>
                <w:sz w:val="21"/>
                <w:szCs w:val="21"/>
                <w:color w:val="auto"/>
              </w:rPr>
            </w:pP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347</w:t>
            </w: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820" w:type="dxa"/>
            <w:vAlign w:val="bottom"/>
            <w:shd w:val="clear" w:color="auto" w:fill="D5EFF4"/>
          </w:tcPr>
          <w:p>
            <w:pPr>
              <w:spacing w:after="0"/>
              <w:rPr>
                <w:sz w:val="21"/>
                <w:szCs w:val="21"/>
                <w:color w:val="auto"/>
              </w:rPr>
            </w:pPr>
          </w:p>
        </w:tc>
        <w:tc>
          <w:tcPr>
            <w:tcW w:w="3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00" w:type="dxa"/>
            <w:vAlign w:val="bottom"/>
            <w:shd w:val="clear" w:color="auto" w:fill="D5EFF4"/>
          </w:tcPr>
          <w:p>
            <w:pPr>
              <w:spacing w:after="0"/>
              <w:rPr>
                <w:sz w:val="21"/>
                <w:szCs w:val="21"/>
                <w:color w:val="auto"/>
              </w:rPr>
            </w:pPr>
          </w:p>
        </w:tc>
        <w:tc>
          <w:tcPr>
            <w:tcW w:w="1020" w:type="dxa"/>
            <w:vAlign w:val="bottom"/>
            <w:gridSpan w:val="3"/>
            <w:shd w:val="clear" w:color="auto" w:fill="D5EFF4"/>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960" w:type="dxa"/>
            <w:vAlign w:val="bottom"/>
            <w:gridSpan w:val="3"/>
          </w:tcPr>
          <w:p>
            <w:pPr>
              <w:spacing w:after="0" w:line="244" w:lineRule="exact"/>
              <w:rPr>
                <w:sz w:val="20"/>
                <w:szCs w:val="20"/>
                <w:color w:val="auto"/>
              </w:rPr>
            </w:pPr>
            <w:r>
              <w:rPr>
                <w:rFonts w:ascii="Times New Roman" w:cs="Times New Roman" w:eastAsia="Times New Roman" w:hAnsi="Times New Roman"/>
                <w:sz w:val="20"/>
                <w:szCs w:val="20"/>
                <w:color w:val="auto"/>
              </w:rPr>
              <w:t>Investments of captive insurance company</w:t>
            </w:r>
            <w:r>
              <w:rPr>
                <w:rFonts w:ascii="Times New Roman" w:cs="Times New Roman" w:eastAsia="Times New Roman" w:hAnsi="Times New Roman"/>
                <w:sz w:val="25"/>
                <w:szCs w:val="25"/>
                <w:color w:val="auto"/>
                <w:vertAlign w:val="superscript"/>
              </w:rPr>
              <w:t>(c)</w:t>
            </w:r>
          </w:p>
        </w:tc>
        <w:tc>
          <w:tcPr>
            <w:tcW w:w="10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3960" w:type="dxa"/>
            <w:vAlign w:val="bottom"/>
            <w:gridSpan w:val="3"/>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Commodity derivatives</w:t>
            </w:r>
            <w:r>
              <w:rPr>
                <w:rFonts w:ascii="Times New Roman" w:cs="Times New Roman" w:eastAsia="Times New Roman" w:hAnsi="Times New Roman"/>
                <w:sz w:val="25"/>
                <w:szCs w:val="25"/>
                <w:color w:val="auto"/>
                <w:vertAlign w:val="superscript"/>
              </w:rPr>
              <w:t>(d)</w:t>
            </w:r>
          </w:p>
        </w:tc>
        <w:tc>
          <w:tcPr>
            <w:tcW w:w="100" w:type="dxa"/>
            <w:vAlign w:val="bottom"/>
            <w:shd w:val="clear" w:color="auto" w:fill="D5EFF4"/>
          </w:tcPr>
          <w:p>
            <w:pPr>
              <w:spacing w:after="0"/>
              <w:rPr>
                <w:sz w:val="22"/>
                <w:szCs w:val="22"/>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60" w:type="dxa"/>
            <w:vAlign w:val="bottom"/>
            <w:shd w:val="clear" w:color="auto" w:fill="D5EFF4"/>
          </w:tcPr>
          <w:p>
            <w:pPr>
              <w:spacing w:after="0"/>
              <w:rPr>
                <w:sz w:val="22"/>
                <w:szCs w:val="22"/>
                <w:color w:val="auto"/>
              </w:rPr>
            </w:pPr>
          </w:p>
        </w:tc>
        <w:tc>
          <w:tcPr>
            <w:tcW w:w="15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1080" w:type="dxa"/>
            <w:vAlign w:val="bottom"/>
            <w:shd w:val="clear" w:color="auto" w:fill="D5EFF4"/>
          </w:tcPr>
          <w:p>
            <w:pPr>
              <w:spacing w:after="0"/>
              <w:rPr>
                <w:sz w:val="22"/>
                <w:szCs w:val="22"/>
                <w:color w:val="auto"/>
              </w:rPr>
            </w:pP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820" w:type="dxa"/>
            <w:vAlign w:val="bottom"/>
            <w:shd w:val="clear" w:color="auto" w:fill="D5EFF4"/>
          </w:tcPr>
          <w:p>
            <w:pPr>
              <w:spacing w:after="0"/>
              <w:rPr>
                <w:sz w:val="22"/>
                <w:szCs w:val="22"/>
                <w:color w:val="auto"/>
              </w:rPr>
            </w:pPr>
          </w:p>
        </w:tc>
        <w:tc>
          <w:tcPr>
            <w:tcW w:w="3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100" w:type="dxa"/>
            <w:vAlign w:val="bottom"/>
            <w:shd w:val="clear" w:color="auto" w:fill="D5EFF4"/>
          </w:tcPr>
          <w:p>
            <w:pPr>
              <w:spacing w:after="0"/>
              <w:rPr>
                <w:sz w:val="22"/>
                <w:szCs w:val="22"/>
                <w:color w:val="auto"/>
              </w:rPr>
            </w:pPr>
          </w:p>
        </w:tc>
        <w:tc>
          <w:tcPr>
            <w:tcW w:w="1020" w:type="dxa"/>
            <w:vAlign w:val="bottom"/>
            <w:gridSpan w:val="3"/>
            <w:shd w:val="clear" w:color="auto" w:fill="D5EFF4"/>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3960" w:type="dxa"/>
            <w:vAlign w:val="bottom"/>
            <w:tcBorders>
              <w:top w:val="single" w:sz="8" w:color="D5EFF4"/>
            </w:tcBorders>
            <w:gridSpan w:val="3"/>
          </w:tcPr>
          <w:p>
            <w:pPr>
              <w:spacing w:after="0" w:line="219" w:lineRule="exact"/>
              <w:rPr>
                <w:sz w:val="20"/>
                <w:szCs w:val="20"/>
                <w:color w:val="auto"/>
              </w:rPr>
            </w:pPr>
            <w:r>
              <w:rPr>
                <w:rFonts w:ascii="Times New Roman" w:cs="Times New Roman" w:eastAsia="Times New Roman" w:hAnsi="Times New Roman"/>
                <w:sz w:val="20"/>
                <w:szCs w:val="20"/>
                <w:color w:val="auto"/>
              </w:rPr>
              <w:t>Total assets at fair value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568</w:t>
            </w:r>
          </w:p>
        </w:tc>
        <w:tc>
          <w:tcPr>
            <w:tcW w:w="14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568</w:t>
            </w:r>
          </w:p>
        </w:tc>
        <w:tc>
          <w:tcPr>
            <w:tcW w:w="14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1100" w:type="dxa"/>
            <w:vAlign w:val="bottom"/>
            <w:tcBorders>
              <w:top w:val="single" w:sz="8" w:color="auto"/>
            </w:tcBorders>
            <w:gridSpan w:val="2"/>
          </w:tcPr>
          <w:p>
            <w:pPr>
              <w:jc w:val="right"/>
              <w:ind w:right="97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567</w:t>
            </w:r>
          </w:p>
        </w:tc>
        <w:tc>
          <w:tcPr>
            <w:tcW w:w="14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840" w:type="dxa"/>
            <w:vAlign w:val="bottom"/>
            <w:tcBorders>
              <w:top w:val="single" w:sz="8" w:color="auto"/>
            </w:tcBorders>
            <w:gridSpan w:val="2"/>
          </w:tcPr>
          <w:p>
            <w:pPr>
              <w:jc w:val="right"/>
              <w:ind w:right="71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w:t>
            </w:r>
          </w:p>
        </w:tc>
        <w:tc>
          <w:tcPr>
            <w:tcW w:w="14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12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gridSpan w:val="2"/>
          </w:tcPr>
          <w:p>
            <w:pPr>
              <w:ind w:left="720"/>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D5EFF4"/>
            </w:tcBorders>
          </w:tcPr>
          <w:p>
            <w:pPr>
              <w:spacing w:after="0"/>
              <w:rPr>
                <w:sz w:val="22"/>
                <w:szCs w:val="22"/>
                <w:color w:val="auto"/>
              </w:rPr>
            </w:pPr>
          </w:p>
        </w:tc>
      </w:tr>
      <w:tr>
        <w:trPr>
          <w:trHeight w:val="229"/>
        </w:trPr>
        <w:tc>
          <w:tcPr>
            <w:tcW w:w="3920" w:type="dxa"/>
            <w:vAlign w:val="bottom"/>
            <w:tcBorders>
              <w:top w:val="single" w:sz="8" w:color="D5EFF4"/>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100" w:type="dxa"/>
            <w:vAlign w:val="bottom"/>
            <w:tcBorders>
              <w:top w:val="single" w:sz="8" w:color="auto"/>
            </w:tcBorders>
            <w:shd w:val="clear" w:color="auto" w:fill="D5EFF4"/>
          </w:tcPr>
          <w:p>
            <w:pPr>
              <w:spacing w:after="0"/>
              <w:rPr>
                <w:sz w:val="19"/>
                <w:szCs w:val="19"/>
                <w:color w:val="auto"/>
              </w:rPr>
            </w:pPr>
          </w:p>
        </w:tc>
        <w:tc>
          <w:tcPr>
            <w:tcW w:w="1080" w:type="dxa"/>
            <w:vAlign w:val="bottom"/>
            <w:tcBorders>
              <w:top w:val="single" w:sz="8" w:color="auto"/>
            </w:tcBorders>
            <w:shd w:val="clear" w:color="auto" w:fill="D5EFF4"/>
          </w:tcPr>
          <w:p>
            <w:pPr>
              <w:spacing w:after="0"/>
              <w:rPr>
                <w:sz w:val="19"/>
                <w:szCs w:val="19"/>
                <w:color w:val="auto"/>
              </w:rPr>
            </w:pPr>
          </w:p>
        </w:tc>
        <w:tc>
          <w:tcPr>
            <w:tcW w:w="140" w:type="dxa"/>
            <w:vAlign w:val="bottom"/>
            <w:tcBorders>
              <w:top w:val="single" w:sz="8" w:color="D5EFF4"/>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60" w:type="dxa"/>
            <w:vAlign w:val="bottom"/>
            <w:tcBorders>
              <w:top w:val="single" w:sz="8" w:color="auto"/>
            </w:tcBorders>
            <w:shd w:val="clear" w:color="auto" w:fill="D5EFF4"/>
          </w:tcPr>
          <w:p>
            <w:pPr>
              <w:spacing w:after="0"/>
              <w:rPr>
                <w:sz w:val="19"/>
                <w:szCs w:val="19"/>
                <w:color w:val="auto"/>
              </w:rPr>
            </w:pPr>
          </w:p>
        </w:tc>
        <w:tc>
          <w:tcPr>
            <w:tcW w:w="1520" w:type="dxa"/>
            <w:vAlign w:val="bottom"/>
            <w:tcBorders>
              <w:top w:val="single" w:sz="8" w:color="auto"/>
            </w:tcBorders>
            <w:shd w:val="clear" w:color="auto" w:fill="D5EFF4"/>
          </w:tcPr>
          <w:p>
            <w:pPr>
              <w:spacing w:after="0"/>
              <w:rPr>
                <w:sz w:val="19"/>
                <w:szCs w:val="19"/>
                <w:color w:val="auto"/>
              </w:rPr>
            </w:pPr>
          </w:p>
        </w:tc>
        <w:tc>
          <w:tcPr>
            <w:tcW w:w="140" w:type="dxa"/>
            <w:vAlign w:val="bottom"/>
            <w:tcBorders>
              <w:top w:val="single" w:sz="8" w:color="D5EFF4"/>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1080" w:type="dxa"/>
            <w:vAlign w:val="bottom"/>
            <w:tcBorders>
              <w:top w:val="single" w:sz="8" w:color="auto"/>
            </w:tcBorders>
            <w:shd w:val="clear" w:color="auto" w:fill="D5EFF4"/>
          </w:tcPr>
          <w:p>
            <w:pPr>
              <w:spacing w:after="0"/>
              <w:rPr>
                <w:sz w:val="19"/>
                <w:szCs w:val="19"/>
                <w:color w:val="auto"/>
              </w:rPr>
            </w:pPr>
          </w:p>
        </w:tc>
        <w:tc>
          <w:tcPr>
            <w:tcW w:w="500" w:type="dxa"/>
            <w:vAlign w:val="bottom"/>
            <w:tcBorders>
              <w:top w:val="single" w:sz="8" w:color="auto"/>
            </w:tcBorders>
            <w:shd w:val="clear" w:color="auto" w:fill="D5EFF4"/>
          </w:tcPr>
          <w:p>
            <w:pPr>
              <w:spacing w:after="0"/>
              <w:rPr>
                <w:sz w:val="19"/>
                <w:szCs w:val="19"/>
                <w:color w:val="auto"/>
              </w:rPr>
            </w:pPr>
          </w:p>
        </w:tc>
        <w:tc>
          <w:tcPr>
            <w:tcW w:w="140" w:type="dxa"/>
            <w:vAlign w:val="bottom"/>
            <w:tcBorders>
              <w:top w:val="single" w:sz="8" w:color="D5EFF4"/>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820" w:type="dxa"/>
            <w:vAlign w:val="bottom"/>
            <w:tcBorders>
              <w:top w:val="single" w:sz="8" w:color="auto"/>
            </w:tcBorders>
            <w:shd w:val="clear" w:color="auto" w:fill="D5EFF4"/>
          </w:tcPr>
          <w:p>
            <w:pPr>
              <w:spacing w:after="0"/>
              <w:rPr>
                <w:sz w:val="19"/>
                <w:szCs w:val="19"/>
                <w:color w:val="auto"/>
              </w:rPr>
            </w:pPr>
          </w:p>
        </w:tc>
        <w:tc>
          <w:tcPr>
            <w:tcW w:w="340" w:type="dxa"/>
            <w:vAlign w:val="bottom"/>
            <w:tcBorders>
              <w:top w:val="single" w:sz="8" w:color="auto"/>
            </w:tcBorders>
            <w:shd w:val="clear" w:color="auto" w:fill="D5EFF4"/>
          </w:tcPr>
          <w:p>
            <w:pPr>
              <w:spacing w:after="0"/>
              <w:rPr>
                <w:sz w:val="19"/>
                <w:szCs w:val="19"/>
                <w:color w:val="auto"/>
              </w:rPr>
            </w:pPr>
          </w:p>
        </w:tc>
        <w:tc>
          <w:tcPr>
            <w:tcW w:w="140" w:type="dxa"/>
            <w:vAlign w:val="bottom"/>
            <w:tcBorders>
              <w:top w:val="single" w:sz="8" w:color="D5EFF4"/>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100" w:type="dxa"/>
            <w:vAlign w:val="bottom"/>
            <w:tcBorders>
              <w:top w:val="single" w:sz="8" w:color="auto"/>
            </w:tcBorders>
            <w:shd w:val="clear" w:color="auto" w:fill="D5EFF4"/>
          </w:tcPr>
          <w:p>
            <w:pPr>
              <w:spacing w:after="0"/>
              <w:rPr>
                <w:sz w:val="19"/>
                <w:szCs w:val="19"/>
                <w:color w:val="auto"/>
              </w:rPr>
            </w:pPr>
          </w:p>
        </w:tc>
        <w:tc>
          <w:tcPr>
            <w:tcW w:w="940" w:type="dxa"/>
            <w:vAlign w:val="bottom"/>
            <w:tcBorders>
              <w:top w:val="single" w:sz="8" w:color="auto"/>
            </w:tcBorders>
            <w:shd w:val="clear" w:color="auto" w:fill="D5EFF4"/>
          </w:tcPr>
          <w:p>
            <w:pPr>
              <w:spacing w:after="0"/>
              <w:rPr>
                <w:sz w:val="19"/>
                <w:szCs w:val="19"/>
                <w:color w:val="auto"/>
              </w:rPr>
            </w:pPr>
          </w:p>
        </w:tc>
        <w:tc>
          <w:tcPr>
            <w:tcW w:w="60" w:type="dxa"/>
            <w:vAlign w:val="bottom"/>
            <w:tcBorders>
              <w:top w:val="single" w:sz="8" w:color="auto"/>
            </w:tcBorders>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r>
      <w:tr>
        <w:trPr>
          <w:trHeight w:val="244"/>
        </w:trPr>
        <w:tc>
          <w:tcPr>
            <w:tcW w:w="39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960" w:type="dxa"/>
            <w:vAlign w:val="bottom"/>
            <w:gridSpan w:val="3"/>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Foreign currency derivatives</w:t>
            </w:r>
            <w:r>
              <w:rPr>
                <w:rFonts w:ascii="Times New Roman" w:cs="Times New Roman" w:eastAsia="Times New Roman" w:hAnsi="Times New Roman"/>
                <w:sz w:val="25"/>
                <w:szCs w:val="25"/>
                <w:color w:val="auto"/>
                <w:vertAlign w:val="superscript"/>
              </w:rPr>
              <w:t>(e)</w:t>
            </w:r>
          </w:p>
        </w:tc>
        <w:tc>
          <w:tcPr>
            <w:tcW w:w="1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60" w:type="dxa"/>
            <w:vAlign w:val="bottom"/>
            <w:gridSpan w:val="5"/>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280" w:type="dxa"/>
            <w:vAlign w:val="bottom"/>
            <w:gridSpan w:val="5"/>
            <w:shd w:val="clear" w:color="auto" w:fill="D5EFF4"/>
          </w:tcPr>
          <w:p>
            <w:pPr>
              <w:jc w:val="right"/>
              <w:ind w:right="978"/>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5"/>
            <w:shd w:val="clear" w:color="auto" w:fill="D5EFF4"/>
          </w:tcPr>
          <w:p>
            <w:pPr>
              <w:jc w:val="right"/>
              <w:ind w:right="718"/>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300" w:type="dxa"/>
            <w:vAlign w:val="bottom"/>
            <w:gridSpan w:val="5"/>
            <w:shd w:val="clear" w:color="auto" w:fill="D5EFF4"/>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shd w:val="clear" w:color="auto" w:fill="D5EFF4"/>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940" w:type="dxa"/>
            <w:vAlign w:val="bottom"/>
            <w:tcBorders>
              <w:bottom w:val="single" w:sz="8" w:color="D5EFF4"/>
            </w:tcBorders>
            <w:gridSpan w:val="2"/>
          </w:tcPr>
          <w:p>
            <w:pPr>
              <w:spacing w:after="0" w:line="244" w:lineRule="exact"/>
              <w:rPr>
                <w:sz w:val="20"/>
                <w:szCs w:val="20"/>
                <w:color w:val="auto"/>
              </w:rPr>
            </w:pPr>
            <w:r>
              <w:rPr>
                <w:rFonts w:ascii="Times New Roman" w:cs="Times New Roman" w:eastAsia="Times New Roman" w:hAnsi="Times New Roman"/>
                <w:sz w:val="20"/>
                <w:szCs w:val="20"/>
                <w:color w:val="auto"/>
              </w:rPr>
              <w:t>Commodity derivatives</w:t>
            </w:r>
            <w:r>
              <w:rPr>
                <w:rFonts w:ascii="Times New Roman" w:cs="Times New Roman" w:eastAsia="Times New Roman" w:hAnsi="Times New Roman"/>
                <w:sz w:val="25"/>
                <w:szCs w:val="25"/>
                <w:color w:val="auto"/>
                <w:vertAlign w:val="superscript"/>
              </w:rPr>
              <w:t>(e)</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r>
      <w:tr>
        <w:trPr>
          <w:trHeight w:val="259"/>
        </w:trPr>
        <w:tc>
          <w:tcPr>
            <w:tcW w:w="39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liabilities at fair value</w:t>
            </w:r>
          </w:p>
        </w:tc>
        <w:tc>
          <w:tcPr>
            <w:tcW w:w="20" w:type="dxa"/>
            <w:vAlign w:val="bottom"/>
            <w:shd w:val="clear" w:color="auto" w:fill="D5EFF4"/>
          </w:tcPr>
          <w:p>
            <w:pPr>
              <w:spacing w:after="0"/>
              <w:rPr>
                <w:sz w:val="22"/>
                <w:szCs w:val="22"/>
                <w:color w:val="auto"/>
              </w:rPr>
            </w:pPr>
          </w:p>
        </w:tc>
        <w:tc>
          <w:tcPr>
            <w:tcW w:w="1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5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1080" w:type="dxa"/>
            <w:vAlign w:val="bottom"/>
            <w:shd w:val="clear" w:color="auto" w:fill="D5EFF4"/>
          </w:tcPr>
          <w:p>
            <w:pPr>
              <w:jc w:val="right"/>
              <w:ind w:right="978"/>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820" w:type="dxa"/>
            <w:vAlign w:val="bottom"/>
            <w:shd w:val="clear" w:color="auto" w:fill="D5EFF4"/>
          </w:tcPr>
          <w:p>
            <w:pPr>
              <w:jc w:val="right"/>
              <w:ind w:right="718"/>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100" w:type="dxa"/>
            <w:vAlign w:val="bottom"/>
            <w:shd w:val="clear" w:color="auto" w:fill="D5EFF4"/>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3"/>
            <w:shd w:val="clear" w:color="auto" w:fill="D5EFF4"/>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92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5EFF4"/>
            </w:tcBorders>
          </w:tcPr>
          <w:p>
            <w:pPr>
              <w:spacing w:after="0" w:line="20" w:lineRule="exact"/>
              <w:rPr>
                <w:sz w:val="1"/>
                <w:szCs w:val="1"/>
                <w:color w:val="auto"/>
              </w:rPr>
            </w:pPr>
          </w:p>
        </w:tc>
      </w:tr>
      <w:tr>
        <w:trPr>
          <w:trHeight w:val="48"/>
        </w:trPr>
        <w:tc>
          <w:tcPr>
            <w:tcW w:w="3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-1865630</wp:posOffset>
            </wp:positionV>
            <wp:extent cx="7221220"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22">
                      <a:extLst>
                        <a:ext uri="{28A0092B-C50C-407E-A947-70E740481C1C}"/>
                      </a:extLst>
                    </a:blip>
                    <a:srcRect/>
                    <a:stretch>
                      <a:fillRect/>
                    </a:stretch>
                  </pic:blipFill>
                  <pic:spPr bwMode="auto">
                    <a:xfrm>
                      <a:off x="0" y="0"/>
                      <a:ext cx="722122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21220" cy="1854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23">
                      <a:extLst>
                        <a:ext uri="{28A0092B-C50C-407E-A947-70E740481C1C}"/>
                      </a:extLst>
                    </a:blip>
                    <a:srcRect/>
                    <a:stretch>
                      <a:fillRect/>
                    </a:stretch>
                  </pic:blipFill>
                  <pic:spPr bwMode="auto">
                    <a:xfrm>
                      <a:off x="0" y="0"/>
                      <a:ext cx="7221220" cy="18542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$297 million within restricted </w:t>
      </w:r>
      <w:r>
        <w:rPr>
          <w:rFonts w:ascii="Times New Roman" w:cs="Times New Roman" w:eastAsia="Times New Roman" w:hAnsi="Times New Roman"/>
          <w:sz w:val="16"/>
          <w:szCs w:val="16"/>
          <w:color w:val="auto"/>
          <w:highlight w:val="white"/>
        </w:rPr>
        <w:t>investments and $50 million within other current assets in the Consolidated Balance Sheets.</w:t>
      </w:r>
    </w:p>
    <w:p>
      <w:pPr>
        <w:spacing w:after="0" w:line="76"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$231 million related to the Asbestos trust and $116 million related to the Environmental trust. See Note A for additional details.</w:t>
      </w:r>
    </w:p>
    <w:p>
      <w:pPr>
        <w:spacing w:after="0" w:line="76"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noncurrent assets in the Consolidated Balance Sheets.</w:t>
      </w:r>
    </w:p>
    <w:p>
      <w:pPr>
        <w:spacing w:after="0" w:line="76"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accounts receivable, net in the Consolidated Balance Sheets.</w:t>
      </w:r>
    </w:p>
    <w:p>
      <w:pPr>
        <w:spacing w:after="0" w:line="76"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accrued expenses and other liabilities in the Consolidated Balance Sheets.</w:t>
      </w:r>
    </w:p>
    <w:p>
      <w:pPr>
        <w:spacing w:after="0" w:line="152"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The following table summarizes financial instruments subject to recurring fair value measurements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42810"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24">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Carrying</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 millions)</w:t>
            </w:r>
          </w:p>
        </w:tc>
        <w:tc>
          <w:tcPr>
            <w:tcW w:w="80" w:type="dxa"/>
            <w:vAlign w:val="bottom"/>
          </w:tcPr>
          <w:p>
            <w:pPr>
              <w:spacing w:after="0"/>
              <w:rPr>
                <w:sz w:val="21"/>
                <w:szCs w:val="21"/>
                <w:color w:val="auto"/>
              </w:rPr>
            </w:pPr>
          </w:p>
        </w:tc>
        <w:tc>
          <w:tcPr>
            <w:tcW w:w="10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value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Total fair value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Level 1</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Level 3</w:t>
            </w:r>
          </w:p>
        </w:tc>
      </w:tr>
      <w:tr>
        <w:trPr>
          <w:trHeight w:val="239"/>
        </w:trPr>
        <w:tc>
          <w:tcPr>
            <w:tcW w:w="3980" w:type="dxa"/>
            <w:vAlign w:val="bottom"/>
            <w:gridSpan w:val="4"/>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80" w:type="dxa"/>
            <w:vAlign w:val="bottom"/>
            <w:shd w:val="clear" w:color="auto" w:fill="D5EFF4"/>
          </w:tcPr>
          <w:p>
            <w:pPr>
              <w:spacing w:after="0"/>
              <w:rPr>
                <w:sz w:val="20"/>
                <w:szCs w:val="20"/>
                <w:color w:val="auto"/>
              </w:rPr>
            </w:pPr>
          </w:p>
        </w:tc>
        <w:tc>
          <w:tcPr>
            <w:tcW w:w="108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c>
          <w:tcPr>
            <w:tcW w:w="152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1100" w:type="dxa"/>
            <w:vAlign w:val="bottom"/>
            <w:shd w:val="clear" w:color="auto" w:fill="D5EFF4"/>
          </w:tcPr>
          <w:p>
            <w:pPr>
              <w:spacing w:after="0"/>
              <w:rPr>
                <w:sz w:val="20"/>
                <w:szCs w:val="20"/>
                <w:color w:val="auto"/>
              </w:rPr>
            </w:pPr>
          </w:p>
        </w:tc>
        <w:tc>
          <w:tcPr>
            <w:tcW w:w="5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840" w:type="dxa"/>
            <w:vAlign w:val="bottom"/>
            <w:shd w:val="clear" w:color="auto" w:fill="D5EFF4"/>
          </w:tcPr>
          <w:p>
            <w:pPr>
              <w:spacing w:after="0"/>
              <w:rPr>
                <w:sz w:val="20"/>
                <w:szCs w:val="20"/>
                <w:color w:val="auto"/>
              </w:rPr>
            </w:pPr>
          </w:p>
        </w:tc>
        <w:tc>
          <w:tcPr>
            <w:tcW w:w="34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120" w:type="dxa"/>
            <w:vAlign w:val="bottom"/>
            <w:shd w:val="clear" w:color="auto" w:fill="D5EFF4"/>
          </w:tcPr>
          <w:p>
            <w:pPr>
              <w:spacing w:after="0"/>
              <w:rPr>
                <w:sz w:val="20"/>
                <w:szCs w:val="20"/>
                <w:color w:val="auto"/>
              </w:rPr>
            </w:pPr>
          </w:p>
        </w:tc>
        <w:tc>
          <w:tcPr>
            <w:tcW w:w="940" w:type="dxa"/>
            <w:vAlign w:val="bottom"/>
            <w:shd w:val="clear" w:color="auto" w:fill="D5EFF4"/>
          </w:tcPr>
          <w:p>
            <w:pPr>
              <w:spacing w:after="0"/>
              <w:rPr>
                <w:sz w:val="20"/>
                <w:szCs w:val="20"/>
                <w:color w:val="auto"/>
              </w:rPr>
            </w:pPr>
          </w:p>
        </w:tc>
        <w:tc>
          <w:tcPr>
            <w:tcW w:w="60" w:type="dxa"/>
            <w:vAlign w:val="bottom"/>
            <w:tcBorders>
              <w:top w:val="single" w:sz="8" w:color="auto"/>
            </w:tcBorders>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r>
      <w:tr>
        <w:trPr>
          <w:trHeight w:val="244"/>
        </w:trPr>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80" w:type="dxa"/>
            <w:vAlign w:val="bottom"/>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300</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300</w:t>
            </w:r>
          </w:p>
        </w:tc>
        <w:tc>
          <w:tcPr>
            <w:tcW w:w="1280" w:type="dxa"/>
            <w:vAlign w:val="bottom"/>
            <w:gridSpan w:val="4"/>
          </w:tcPr>
          <w:p>
            <w:pPr>
              <w:jc w:val="right"/>
              <w:ind w:right="963"/>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300</w:t>
            </w:r>
          </w:p>
        </w:tc>
        <w:tc>
          <w:tcPr>
            <w:tcW w:w="1020" w:type="dxa"/>
            <w:vAlign w:val="bottom"/>
            <w:gridSpan w:val="4"/>
          </w:tcPr>
          <w:p>
            <w:pPr>
              <w:jc w:val="right"/>
              <w:ind w:right="703"/>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300" w:type="dxa"/>
            <w:vAlign w:val="bottom"/>
            <w:gridSpan w:val="4"/>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980" w:type="dxa"/>
            <w:vAlign w:val="bottom"/>
            <w:gridSpan w:val="4"/>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Restricted investments</w:t>
            </w:r>
            <w:r>
              <w:rPr>
                <w:rFonts w:ascii="Times New Roman" w:cs="Times New Roman" w:eastAsia="Times New Roman" w:hAnsi="Times New Roman"/>
                <w:sz w:val="25"/>
                <w:szCs w:val="25"/>
                <w:color w:val="auto"/>
                <w:vertAlign w:val="superscript"/>
              </w:rPr>
              <w:t>(a)(b)</w:t>
            </w:r>
          </w:p>
        </w:tc>
        <w:tc>
          <w:tcPr>
            <w:tcW w:w="80" w:type="dxa"/>
            <w:vAlign w:val="bottom"/>
            <w:shd w:val="clear" w:color="auto" w:fill="D5EFF4"/>
          </w:tcPr>
          <w:p>
            <w:pPr>
              <w:spacing w:after="0"/>
              <w:rPr>
                <w:sz w:val="21"/>
                <w:szCs w:val="21"/>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368</w:t>
            </w: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80" w:type="dxa"/>
            <w:vAlign w:val="bottom"/>
            <w:shd w:val="clear" w:color="auto" w:fill="D5EFF4"/>
          </w:tcPr>
          <w:p>
            <w:pPr>
              <w:spacing w:after="0"/>
              <w:rPr>
                <w:sz w:val="21"/>
                <w:szCs w:val="21"/>
                <w:color w:val="auto"/>
              </w:rPr>
            </w:pPr>
          </w:p>
        </w:tc>
        <w:tc>
          <w:tcPr>
            <w:tcW w:w="15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368</w:t>
            </w: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100" w:type="dxa"/>
            <w:vAlign w:val="bottom"/>
            <w:shd w:val="clear" w:color="auto" w:fill="D5EFF4"/>
          </w:tcPr>
          <w:p>
            <w:pPr>
              <w:spacing w:after="0"/>
              <w:rPr>
                <w:sz w:val="21"/>
                <w:szCs w:val="21"/>
                <w:color w:val="auto"/>
              </w:rPr>
            </w:pP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368</w:t>
            </w: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840" w:type="dxa"/>
            <w:vAlign w:val="bottom"/>
            <w:shd w:val="clear" w:color="auto" w:fill="D5EFF4"/>
          </w:tcPr>
          <w:p>
            <w:pPr>
              <w:spacing w:after="0"/>
              <w:rPr>
                <w:sz w:val="21"/>
                <w:szCs w:val="21"/>
                <w:color w:val="auto"/>
              </w:rPr>
            </w:pPr>
          </w:p>
        </w:tc>
        <w:tc>
          <w:tcPr>
            <w:tcW w:w="3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120" w:type="dxa"/>
            <w:vAlign w:val="bottom"/>
            <w:shd w:val="clear" w:color="auto" w:fill="D5EFF4"/>
          </w:tcPr>
          <w:p>
            <w:pPr>
              <w:spacing w:after="0"/>
              <w:rPr>
                <w:sz w:val="21"/>
                <w:szCs w:val="21"/>
                <w:color w:val="auto"/>
              </w:rPr>
            </w:pPr>
          </w:p>
        </w:tc>
        <w:tc>
          <w:tcPr>
            <w:tcW w:w="1020" w:type="dxa"/>
            <w:vAlign w:val="bottom"/>
            <w:gridSpan w:val="3"/>
            <w:shd w:val="clear" w:color="auto" w:fill="D5EFF4"/>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980" w:type="dxa"/>
            <w:vAlign w:val="bottom"/>
            <w:gridSpan w:val="4"/>
          </w:tcPr>
          <w:p>
            <w:pPr>
              <w:spacing w:after="0" w:line="244" w:lineRule="exact"/>
              <w:rPr>
                <w:sz w:val="20"/>
                <w:szCs w:val="20"/>
                <w:color w:val="auto"/>
              </w:rPr>
            </w:pPr>
            <w:r>
              <w:rPr>
                <w:rFonts w:ascii="Times New Roman" w:cs="Times New Roman" w:eastAsia="Times New Roman" w:hAnsi="Times New Roman"/>
                <w:sz w:val="20"/>
                <w:szCs w:val="20"/>
                <w:color w:val="auto"/>
              </w:rPr>
              <w:t>Investments of captive insurance company</w:t>
            </w:r>
            <w:r>
              <w:rPr>
                <w:rFonts w:ascii="Times New Roman" w:cs="Times New Roman" w:eastAsia="Times New Roman" w:hAnsi="Times New Roman"/>
                <w:sz w:val="25"/>
                <w:szCs w:val="25"/>
                <w:color w:val="auto"/>
                <w:vertAlign w:val="superscript"/>
              </w:rPr>
              <w:t>(c)</w:t>
            </w:r>
          </w:p>
        </w:tc>
        <w:tc>
          <w:tcPr>
            <w:tcW w:w="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3980" w:type="dxa"/>
            <w:vAlign w:val="bottom"/>
            <w:gridSpan w:val="4"/>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Foreign currency derivatives</w:t>
            </w:r>
            <w:r>
              <w:rPr>
                <w:rFonts w:ascii="Times New Roman" w:cs="Times New Roman" w:eastAsia="Times New Roman" w:hAnsi="Times New Roman"/>
                <w:sz w:val="25"/>
                <w:szCs w:val="25"/>
                <w:color w:val="auto"/>
                <w:vertAlign w:val="superscript"/>
              </w:rPr>
              <w:t>(d)</w:t>
            </w:r>
          </w:p>
        </w:tc>
        <w:tc>
          <w:tcPr>
            <w:tcW w:w="80" w:type="dxa"/>
            <w:vAlign w:val="bottom"/>
            <w:shd w:val="clear" w:color="auto" w:fill="D5EFF4"/>
          </w:tcPr>
          <w:p>
            <w:pPr>
              <w:spacing w:after="0"/>
              <w:rPr>
                <w:sz w:val="22"/>
                <w:szCs w:val="22"/>
                <w:color w:val="auto"/>
              </w:rPr>
            </w:pP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80" w:type="dxa"/>
            <w:vAlign w:val="bottom"/>
            <w:shd w:val="clear" w:color="auto" w:fill="D5EFF4"/>
          </w:tcPr>
          <w:p>
            <w:pPr>
              <w:spacing w:after="0"/>
              <w:rPr>
                <w:sz w:val="22"/>
                <w:szCs w:val="22"/>
                <w:color w:val="auto"/>
              </w:rPr>
            </w:pPr>
          </w:p>
        </w:tc>
        <w:tc>
          <w:tcPr>
            <w:tcW w:w="15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1100" w:type="dxa"/>
            <w:vAlign w:val="bottom"/>
            <w:shd w:val="clear" w:color="auto" w:fill="D5EFF4"/>
          </w:tcPr>
          <w:p>
            <w:pPr>
              <w:spacing w:after="0"/>
              <w:rPr>
                <w:sz w:val="22"/>
                <w:szCs w:val="22"/>
                <w:color w:val="auto"/>
              </w:rPr>
            </w:pP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840" w:type="dxa"/>
            <w:vAlign w:val="bottom"/>
            <w:shd w:val="clear" w:color="auto" w:fill="D5EFF4"/>
          </w:tcPr>
          <w:p>
            <w:pPr>
              <w:spacing w:after="0"/>
              <w:rPr>
                <w:sz w:val="22"/>
                <w:szCs w:val="22"/>
                <w:color w:val="auto"/>
              </w:rPr>
            </w:pPr>
          </w:p>
        </w:tc>
        <w:tc>
          <w:tcPr>
            <w:tcW w:w="3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120" w:type="dxa"/>
            <w:vAlign w:val="bottom"/>
            <w:shd w:val="clear" w:color="auto" w:fill="D5EFF4"/>
          </w:tcPr>
          <w:p>
            <w:pPr>
              <w:spacing w:after="0"/>
              <w:rPr>
                <w:sz w:val="22"/>
                <w:szCs w:val="22"/>
                <w:color w:val="auto"/>
              </w:rPr>
            </w:pPr>
          </w:p>
        </w:tc>
        <w:tc>
          <w:tcPr>
            <w:tcW w:w="1020" w:type="dxa"/>
            <w:vAlign w:val="bottom"/>
            <w:gridSpan w:val="3"/>
            <w:shd w:val="clear" w:color="auto" w:fill="D5EFF4"/>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3960" w:type="dxa"/>
            <w:vAlign w:val="bottom"/>
            <w:tcBorders>
              <w:top w:val="single" w:sz="8" w:color="D5EFF4"/>
            </w:tcBorders>
            <w:gridSpan w:val="3"/>
          </w:tcPr>
          <w:p>
            <w:pPr>
              <w:spacing w:after="0" w:line="219" w:lineRule="exact"/>
              <w:rPr>
                <w:sz w:val="20"/>
                <w:szCs w:val="20"/>
                <w:color w:val="auto"/>
              </w:rPr>
            </w:pPr>
            <w:r>
              <w:rPr>
                <w:rFonts w:ascii="Times New Roman" w:cs="Times New Roman" w:eastAsia="Times New Roman" w:hAnsi="Times New Roman"/>
                <w:sz w:val="20"/>
                <w:szCs w:val="20"/>
                <w:color w:val="auto"/>
              </w:rPr>
              <w:t>Total assets at fair value</w:t>
            </w: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676</w:t>
            </w:r>
          </w:p>
        </w:tc>
        <w:tc>
          <w:tcPr>
            <w:tcW w:w="14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676</w:t>
            </w:r>
          </w:p>
        </w:tc>
        <w:tc>
          <w:tcPr>
            <w:tcW w:w="14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1120" w:type="dxa"/>
            <w:vAlign w:val="bottom"/>
            <w:tcBorders>
              <w:top w:val="single" w:sz="8" w:color="auto"/>
            </w:tcBorders>
            <w:gridSpan w:val="2"/>
          </w:tcPr>
          <w:p>
            <w:pPr>
              <w:jc w:val="right"/>
              <w:ind w:right="96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675</w:t>
            </w:r>
          </w:p>
        </w:tc>
        <w:tc>
          <w:tcPr>
            <w:tcW w:w="14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860" w:type="dxa"/>
            <w:vAlign w:val="bottom"/>
            <w:tcBorders>
              <w:top w:val="single" w:sz="8" w:color="auto"/>
            </w:tcBorders>
            <w:gridSpan w:val="2"/>
          </w:tcPr>
          <w:p>
            <w:pPr>
              <w:jc w:val="right"/>
              <w:ind w:right="70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w:t>
            </w:r>
          </w:p>
        </w:tc>
        <w:tc>
          <w:tcPr>
            <w:tcW w:w="140" w:type="dxa"/>
            <w:vAlign w:val="bottom"/>
            <w:tcBorders>
              <w:top w:val="single" w:sz="8" w:color="D5EFF4"/>
            </w:tcBorders>
          </w:tcPr>
          <w:p>
            <w:pPr>
              <w:spacing w:after="0"/>
              <w:rPr>
                <w:sz w:val="22"/>
                <w:szCs w:val="22"/>
                <w:color w:val="auto"/>
              </w:rPr>
            </w:pPr>
          </w:p>
        </w:tc>
        <w:tc>
          <w:tcPr>
            <w:tcW w:w="20" w:type="dxa"/>
            <w:vAlign w:val="bottom"/>
            <w:tcBorders>
              <w:top w:val="single" w:sz="8" w:color="D5EFF4"/>
            </w:tcBorders>
          </w:tcPr>
          <w:p>
            <w:pPr>
              <w:spacing w:after="0"/>
              <w:rPr>
                <w:sz w:val="22"/>
                <w:szCs w:val="22"/>
                <w:color w:val="auto"/>
              </w:rPr>
            </w:pPr>
          </w:p>
        </w:tc>
        <w:tc>
          <w:tcPr>
            <w:tcW w:w="140" w:type="dxa"/>
            <w:vAlign w:val="bottom"/>
            <w:tcBorders>
              <w:top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ind w:left="720"/>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D5EFF4"/>
            </w:tcBorders>
          </w:tcPr>
          <w:p>
            <w:pPr>
              <w:spacing w:after="0"/>
              <w:rPr>
                <w:sz w:val="22"/>
                <w:szCs w:val="22"/>
                <w:color w:val="auto"/>
              </w:rPr>
            </w:pPr>
          </w:p>
        </w:tc>
      </w:tr>
      <w:tr>
        <w:trPr>
          <w:trHeight w:val="229"/>
        </w:trPr>
        <w:tc>
          <w:tcPr>
            <w:tcW w:w="3920" w:type="dxa"/>
            <w:vAlign w:val="bottom"/>
            <w:tcBorders>
              <w:top w:val="single" w:sz="8" w:color="D5EFF4"/>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80" w:type="dxa"/>
            <w:vAlign w:val="bottom"/>
            <w:tcBorders>
              <w:top w:val="single" w:sz="8" w:color="auto"/>
            </w:tcBorders>
            <w:shd w:val="clear" w:color="auto" w:fill="D5EFF4"/>
          </w:tcPr>
          <w:p>
            <w:pPr>
              <w:spacing w:after="0"/>
              <w:rPr>
                <w:sz w:val="19"/>
                <w:szCs w:val="19"/>
                <w:color w:val="auto"/>
              </w:rPr>
            </w:pPr>
          </w:p>
        </w:tc>
        <w:tc>
          <w:tcPr>
            <w:tcW w:w="1080" w:type="dxa"/>
            <w:vAlign w:val="bottom"/>
            <w:tcBorders>
              <w:top w:val="single" w:sz="8" w:color="auto"/>
            </w:tcBorders>
            <w:shd w:val="clear" w:color="auto" w:fill="D5EFF4"/>
          </w:tcPr>
          <w:p>
            <w:pPr>
              <w:spacing w:after="0"/>
              <w:rPr>
                <w:sz w:val="19"/>
                <w:szCs w:val="19"/>
                <w:color w:val="auto"/>
              </w:rPr>
            </w:pPr>
          </w:p>
        </w:tc>
        <w:tc>
          <w:tcPr>
            <w:tcW w:w="140" w:type="dxa"/>
            <w:vAlign w:val="bottom"/>
            <w:tcBorders>
              <w:top w:val="single" w:sz="8" w:color="D5EFF4"/>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80" w:type="dxa"/>
            <w:vAlign w:val="bottom"/>
            <w:tcBorders>
              <w:top w:val="single" w:sz="8" w:color="auto"/>
            </w:tcBorders>
            <w:shd w:val="clear" w:color="auto" w:fill="D5EFF4"/>
          </w:tcPr>
          <w:p>
            <w:pPr>
              <w:spacing w:after="0"/>
              <w:rPr>
                <w:sz w:val="19"/>
                <w:szCs w:val="19"/>
                <w:color w:val="auto"/>
              </w:rPr>
            </w:pPr>
          </w:p>
        </w:tc>
        <w:tc>
          <w:tcPr>
            <w:tcW w:w="1520" w:type="dxa"/>
            <w:vAlign w:val="bottom"/>
            <w:tcBorders>
              <w:top w:val="single" w:sz="8" w:color="auto"/>
            </w:tcBorders>
            <w:shd w:val="clear" w:color="auto" w:fill="D5EFF4"/>
          </w:tcPr>
          <w:p>
            <w:pPr>
              <w:spacing w:after="0"/>
              <w:rPr>
                <w:sz w:val="19"/>
                <w:szCs w:val="19"/>
                <w:color w:val="auto"/>
              </w:rPr>
            </w:pPr>
          </w:p>
        </w:tc>
        <w:tc>
          <w:tcPr>
            <w:tcW w:w="140" w:type="dxa"/>
            <w:vAlign w:val="bottom"/>
            <w:tcBorders>
              <w:top w:val="single" w:sz="8" w:color="D5EFF4"/>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1100" w:type="dxa"/>
            <w:vAlign w:val="bottom"/>
            <w:tcBorders>
              <w:top w:val="single" w:sz="8" w:color="auto"/>
            </w:tcBorders>
            <w:shd w:val="clear" w:color="auto" w:fill="D5EFF4"/>
          </w:tcPr>
          <w:p>
            <w:pPr>
              <w:spacing w:after="0"/>
              <w:rPr>
                <w:sz w:val="19"/>
                <w:szCs w:val="19"/>
                <w:color w:val="auto"/>
              </w:rPr>
            </w:pPr>
          </w:p>
        </w:tc>
        <w:tc>
          <w:tcPr>
            <w:tcW w:w="500" w:type="dxa"/>
            <w:vAlign w:val="bottom"/>
            <w:tcBorders>
              <w:top w:val="single" w:sz="8" w:color="auto"/>
            </w:tcBorders>
            <w:shd w:val="clear" w:color="auto" w:fill="D5EFF4"/>
          </w:tcPr>
          <w:p>
            <w:pPr>
              <w:spacing w:after="0"/>
              <w:rPr>
                <w:sz w:val="19"/>
                <w:szCs w:val="19"/>
                <w:color w:val="auto"/>
              </w:rPr>
            </w:pPr>
          </w:p>
        </w:tc>
        <w:tc>
          <w:tcPr>
            <w:tcW w:w="140" w:type="dxa"/>
            <w:vAlign w:val="bottom"/>
            <w:tcBorders>
              <w:top w:val="single" w:sz="8" w:color="D5EFF4"/>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840" w:type="dxa"/>
            <w:vAlign w:val="bottom"/>
            <w:tcBorders>
              <w:top w:val="single" w:sz="8" w:color="auto"/>
            </w:tcBorders>
            <w:shd w:val="clear" w:color="auto" w:fill="D5EFF4"/>
          </w:tcPr>
          <w:p>
            <w:pPr>
              <w:spacing w:after="0"/>
              <w:rPr>
                <w:sz w:val="19"/>
                <w:szCs w:val="19"/>
                <w:color w:val="auto"/>
              </w:rPr>
            </w:pPr>
          </w:p>
        </w:tc>
        <w:tc>
          <w:tcPr>
            <w:tcW w:w="340" w:type="dxa"/>
            <w:vAlign w:val="bottom"/>
            <w:tcBorders>
              <w:top w:val="single" w:sz="8" w:color="auto"/>
            </w:tcBorders>
            <w:shd w:val="clear" w:color="auto" w:fill="D5EFF4"/>
          </w:tcPr>
          <w:p>
            <w:pPr>
              <w:spacing w:after="0"/>
              <w:rPr>
                <w:sz w:val="19"/>
                <w:szCs w:val="19"/>
                <w:color w:val="auto"/>
              </w:rPr>
            </w:pPr>
          </w:p>
        </w:tc>
        <w:tc>
          <w:tcPr>
            <w:tcW w:w="140" w:type="dxa"/>
            <w:vAlign w:val="bottom"/>
            <w:tcBorders>
              <w:top w:val="single" w:sz="8" w:color="D5EFF4"/>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20" w:type="dxa"/>
            <w:vAlign w:val="bottom"/>
            <w:tcBorders>
              <w:top w:val="single" w:sz="8" w:color="auto"/>
            </w:tcBorders>
            <w:shd w:val="clear" w:color="auto" w:fill="D5EFF4"/>
          </w:tcPr>
          <w:p>
            <w:pPr>
              <w:spacing w:after="0"/>
              <w:rPr>
                <w:sz w:val="19"/>
                <w:szCs w:val="19"/>
                <w:color w:val="auto"/>
              </w:rPr>
            </w:pPr>
          </w:p>
        </w:tc>
        <w:tc>
          <w:tcPr>
            <w:tcW w:w="120" w:type="dxa"/>
            <w:vAlign w:val="bottom"/>
            <w:tcBorders>
              <w:top w:val="single" w:sz="8" w:color="auto"/>
            </w:tcBorders>
            <w:shd w:val="clear" w:color="auto" w:fill="D5EFF4"/>
          </w:tcPr>
          <w:p>
            <w:pPr>
              <w:spacing w:after="0"/>
              <w:rPr>
                <w:sz w:val="19"/>
                <w:szCs w:val="19"/>
                <w:color w:val="auto"/>
              </w:rPr>
            </w:pPr>
          </w:p>
        </w:tc>
        <w:tc>
          <w:tcPr>
            <w:tcW w:w="940" w:type="dxa"/>
            <w:vAlign w:val="bottom"/>
            <w:tcBorders>
              <w:top w:val="single" w:sz="8" w:color="auto"/>
            </w:tcBorders>
            <w:shd w:val="clear" w:color="auto" w:fill="D5EFF4"/>
          </w:tcPr>
          <w:p>
            <w:pPr>
              <w:spacing w:after="0"/>
              <w:rPr>
                <w:sz w:val="19"/>
                <w:szCs w:val="19"/>
                <w:color w:val="auto"/>
              </w:rPr>
            </w:pPr>
          </w:p>
        </w:tc>
        <w:tc>
          <w:tcPr>
            <w:tcW w:w="60" w:type="dxa"/>
            <w:vAlign w:val="bottom"/>
            <w:tcBorders>
              <w:top w:val="single" w:sz="8" w:color="auto"/>
            </w:tcBorders>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r>
      <w:tr>
        <w:trPr>
          <w:trHeight w:val="244"/>
        </w:trPr>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980" w:type="dxa"/>
            <w:vAlign w:val="bottom"/>
            <w:gridSpan w:val="4"/>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Foreign currency derivatives</w:t>
            </w:r>
            <w:r>
              <w:rPr>
                <w:rFonts w:ascii="Times New Roman" w:cs="Times New Roman" w:eastAsia="Times New Roman" w:hAnsi="Times New Roman"/>
                <w:sz w:val="25"/>
                <w:szCs w:val="25"/>
                <w:color w:val="auto"/>
                <w:vertAlign w:val="superscript"/>
              </w:rPr>
              <w:t>(e)</w:t>
            </w:r>
          </w:p>
        </w:tc>
        <w:tc>
          <w:tcPr>
            <w:tcW w:w="80" w:type="dxa"/>
            <w:vAlign w:val="bottom"/>
            <w:shd w:val="clear" w:color="auto" w:fill="D5EFF4"/>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60" w:type="dxa"/>
            <w:vAlign w:val="bottom"/>
            <w:gridSpan w:val="4"/>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280" w:type="dxa"/>
            <w:vAlign w:val="bottom"/>
            <w:gridSpan w:val="4"/>
            <w:shd w:val="clear" w:color="auto" w:fill="D5EFF4"/>
          </w:tcPr>
          <w:p>
            <w:pPr>
              <w:jc w:val="right"/>
              <w:ind w:right="963"/>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shd w:val="clear" w:color="auto" w:fill="D5EFF4"/>
          </w:tcPr>
          <w:p>
            <w:pPr>
              <w:jc w:val="right"/>
              <w:ind w:right="703"/>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300" w:type="dxa"/>
            <w:vAlign w:val="bottom"/>
            <w:gridSpan w:val="4"/>
            <w:shd w:val="clear" w:color="auto" w:fill="D5EFF4"/>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shd w:val="clear" w:color="auto" w:fill="D5EFF4"/>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940" w:type="dxa"/>
            <w:vAlign w:val="bottom"/>
            <w:tcBorders>
              <w:bottom w:val="single" w:sz="8" w:color="D5EFF4"/>
            </w:tcBorders>
            <w:gridSpan w:val="2"/>
          </w:tcPr>
          <w:p>
            <w:pPr>
              <w:spacing w:after="0" w:line="244" w:lineRule="exact"/>
              <w:rPr>
                <w:sz w:val="20"/>
                <w:szCs w:val="20"/>
                <w:color w:val="auto"/>
              </w:rPr>
            </w:pPr>
            <w:r>
              <w:rPr>
                <w:rFonts w:ascii="Times New Roman" w:cs="Times New Roman" w:eastAsia="Times New Roman" w:hAnsi="Times New Roman"/>
                <w:sz w:val="20"/>
                <w:szCs w:val="20"/>
                <w:color w:val="auto"/>
              </w:rPr>
              <w:t>Commodity derivatives</w:t>
            </w:r>
            <w:r>
              <w:rPr>
                <w:rFonts w:ascii="Times New Roman" w:cs="Times New Roman" w:eastAsia="Times New Roman" w:hAnsi="Times New Roman"/>
                <w:sz w:val="25"/>
                <w:szCs w:val="25"/>
                <w:color w:val="auto"/>
                <w:vertAlign w:val="superscript"/>
              </w:rPr>
              <w:t>(e)</w:t>
            </w:r>
          </w:p>
        </w:tc>
        <w:tc>
          <w:tcPr>
            <w:tcW w:w="4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Borders>
              <w:bottom w:val="single" w:sz="8" w:color="D5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r>
      <w:tr>
        <w:trPr>
          <w:trHeight w:val="279"/>
        </w:trPr>
        <w:tc>
          <w:tcPr>
            <w:tcW w:w="39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liabilities at fair value</w:t>
            </w:r>
          </w:p>
        </w:tc>
        <w:tc>
          <w:tcPr>
            <w:tcW w:w="40" w:type="dxa"/>
            <w:vAlign w:val="bottom"/>
            <w:gridSpan w:val="2"/>
            <w:shd w:val="clear" w:color="auto" w:fill="D5EFF4"/>
          </w:tcPr>
          <w:p>
            <w:pPr>
              <w:spacing w:after="0"/>
              <w:rPr>
                <w:sz w:val="24"/>
                <w:szCs w:val="24"/>
                <w:color w:val="auto"/>
              </w:rPr>
            </w:pPr>
          </w:p>
        </w:tc>
        <w:tc>
          <w:tcPr>
            <w:tcW w:w="80" w:type="dxa"/>
            <w:vAlign w:val="bottom"/>
            <w:shd w:val="clear" w:color="auto" w:fill="D5EFF4"/>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shd w:val="clear" w:color="auto" w:fill="D5EFF4"/>
          </w:tcPr>
          <w:p>
            <w:pPr>
              <w:spacing w:after="0"/>
              <w:rPr>
                <w:sz w:val="24"/>
                <w:szCs w:val="24"/>
                <w:color w:val="auto"/>
              </w:rPr>
            </w:pPr>
          </w:p>
        </w:tc>
        <w:tc>
          <w:tcPr>
            <w:tcW w:w="20" w:type="dxa"/>
            <w:vAlign w:val="bottom"/>
            <w:shd w:val="clear" w:color="auto" w:fill="D5EFF4"/>
          </w:tcPr>
          <w:p>
            <w:pPr>
              <w:spacing w:after="0"/>
              <w:rPr>
                <w:sz w:val="24"/>
                <w:szCs w:val="24"/>
                <w:color w:val="auto"/>
              </w:rPr>
            </w:pPr>
          </w:p>
        </w:tc>
        <w:tc>
          <w:tcPr>
            <w:tcW w:w="20" w:type="dxa"/>
            <w:vAlign w:val="bottom"/>
            <w:shd w:val="clear" w:color="auto" w:fill="D5EFF4"/>
          </w:tcPr>
          <w:p>
            <w:pPr>
              <w:spacing w:after="0"/>
              <w:rPr>
                <w:sz w:val="24"/>
                <w:szCs w:val="24"/>
                <w:color w:val="auto"/>
              </w:rPr>
            </w:pPr>
          </w:p>
        </w:tc>
        <w:tc>
          <w:tcPr>
            <w:tcW w:w="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shd w:val="clear" w:color="auto" w:fill="D5EFF4"/>
          </w:tcPr>
          <w:p>
            <w:pPr>
              <w:spacing w:after="0"/>
              <w:rPr>
                <w:sz w:val="24"/>
                <w:szCs w:val="24"/>
                <w:color w:val="auto"/>
              </w:rPr>
            </w:pPr>
          </w:p>
        </w:tc>
        <w:tc>
          <w:tcPr>
            <w:tcW w:w="20" w:type="dxa"/>
            <w:vAlign w:val="bottom"/>
            <w:shd w:val="clear" w:color="auto" w:fill="D5EFF4"/>
          </w:tcPr>
          <w:p>
            <w:pPr>
              <w:spacing w:after="0"/>
              <w:rPr>
                <w:sz w:val="24"/>
                <w:szCs w:val="24"/>
                <w:color w:val="auto"/>
              </w:rPr>
            </w:pPr>
          </w:p>
        </w:tc>
        <w:tc>
          <w:tcPr>
            <w:tcW w:w="20" w:type="dxa"/>
            <w:vAlign w:val="bottom"/>
            <w:shd w:val="clear" w:color="auto" w:fill="D5EFF4"/>
          </w:tcPr>
          <w:p>
            <w:pPr>
              <w:spacing w:after="0"/>
              <w:rPr>
                <w:sz w:val="24"/>
                <w:szCs w:val="24"/>
                <w:color w:val="auto"/>
              </w:rPr>
            </w:pPr>
          </w:p>
        </w:tc>
        <w:tc>
          <w:tcPr>
            <w:tcW w:w="1100" w:type="dxa"/>
            <w:vAlign w:val="bottom"/>
            <w:shd w:val="clear" w:color="auto" w:fill="D5EFF4"/>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FF4"/>
          </w:tcPr>
          <w:p>
            <w:pPr>
              <w:spacing w:after="0"/>
              <w:rPr>
                <w:sz w:val="24"/>
                <w:szCs w:val="24"/>
                <w:color w:val="auto"/>
              </w:rPr>
            </w:pPr>
          </w:p>
        </w:tc>
        <w:tc>
          <w:tcPr>
            <w:tcW w:w="20" w:type="dxa"/>
            <w:vAlign w:val="bottom"/>
            <w:shd w:val="clear" w:color="auto" w:fill="D5EFF4"/>
          </w:tcPr>
          <w:p>
            <w:pPr>
              <w:spacing w:after="0"/>
              <w:rPr>
                <w:sz w:val="24"/>
                <w:szCs w:val="24"/>
                <w:color w:val="auto"/>
              </w:rPr>
            </w:pPr>
          </w:p>
        </w:tc>
        <w:tc>
          <w:tcPr>
            <w:tcW w:w="20" w:type="dxa"/>
            <w:vAlign w:val="bottom"/>
            <w:shd w:val="clear" w:color="auto" w:fill="D5EFF4"/>
          </w:tcPr>
          <w:p>
            <w:pPr>
              <w:spacing w:after="0"/>
              <w:rPr>
                <w:sz w:val="24"/>
                <w:szCs w:val="24"/>
                <w:color w:val="auto"/>
              </w:rPr>
            </w:pPr>
          </w:p>
        </w:tc>
        <w:tc>
          <w:tcPr>
            <w:tcW w:w="840" w:type="dxa"/>
            <w:vAlign w:val="bottom"/>
            <w:shd w:val="clear" w:color="auto" w:fill="D5EFF4"/>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shd w:val="clear" w:color="auto" w:fill="D5EFF4"/>
          </w:tcPr>
          <w:p>
            <w:pPr>
              <w:spacing w:after="0"/>
              <w:rPr>
                <w:sz w:val="24"/>
                <w:szCs w:val="24"/>
                <w:color w:val="auto"/>
              </w:rPr>
            </w:pPr>
          </w:p>
        </w:tc>
        <w:tc>
          <w:tcPr>
            <w:tcW w:w="20" w:type="dxa"/>
            <w:vAlign w:val="bottom"/>
            <w:shd w:val="clear" w:color="auto" w:fill="D5EFF4"/>
          </w:tcPr>
          <w:p>
            <w:pPr>
              <w:spacing w:after="0"/>
              <w:rPr>
                <w:sz w:val="24"/>
                <w:szCs w:val="24"/>
                <w:color w:val="auto"/>
              </w:rPr>
            </w:pPr>
          </w:p>
        </w:tc>
        <w:tc>
          <w:tcPr>
            <w:tcW w:w="20" w:type="dxa"/>
            <w:vAlign w:val="bottom"/>
            <w:shd w:val="clear" w:color="auto" w:fill="D5EFF4"/>
          </w:tcPr>
          <w:p>
            <w:pPr>
              <w:spacing w:after="0"/>
              <w:rPr>
                <w:sz w:val="24"/>
                <w:szCs w:val="24"/>
                <w:color w:val="auto"/>
              </w:rPr>
            </w:pPr>
          </w:p>
        </w:tc>
        <w:tc>
          <w:tcPr>
            <w:tcW w:w="120" w:type="dxa"/>
            <w:vAlign w:val="bottom"/>
            <w:shd w:val="clear" w:color="auto" w:fill="D5EFF4"/>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3"/>
            <w:shd w:val="clear" w:color="auto" w:fill="D5EFF4"/>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92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5EFF4"/>
            </w:tcBorders>
          </w:tcPr>
          <w:p>
            <w:pPr>
              <w:spacing w:after="0" w:line="20" w:lineRule="exact"/>
              <w:rPr>
                <w:sz w:val="1"/>
                <w:szCs w:val="1"/>
                <w:color w:val="auto"/>
              </w:rPr>
            </w:pPr>
          </w:p>
        </w:tc>
      </w:tr>
      <w:tr>
        <w:trPr>
          <w:trHeight w:val="28"/>
        </w:trPr>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-1866265</wp:posOffset>
            </wp:positionV>
            <wp:extent cx="7221220"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25">
                      <a:extLst>
                        <a:ext uri="{28A0092B-C50C-407E-A947-70E740481C1C}"/>
                      </a:extLst>
                    </a:blip>
                    <a:srcRect/>
                    <a:stretch>
                      <a:fillRect/>
                    </a:stretch>
                  </pic:blipFill>
                  <pic:spPr bwMode="auto">
                    <a:xfrm>
                      <a:off x="0" y="0"/>
                      <a:ext cx="722122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21220" cy="1854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26">
                      <a:extLst>
                        <a:ext uri="{28A0092B-C50C-407E-A947-70E740481C1C}"/>
                      </a:extLst>
                    </a:blip>
                    <a:srcRect/>
                    <a:stretch>
                      <a:fillRect/>
                    </a:stretch>
                  </pic:blipFill>
                  <pic:spPr bwMode="auto">
                    <a:xfrm>
                      <a:off x="0" y="0"/>
                      <a:ext cx="7221220" cy="18542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$295 million within restricted </w:t>
      </w:r>
      <w:r>
        <w:rPr>
          <w:rFonts w:ascii="Times New Roman" w:cs="Times New Roman" w:eastAsia="Times New Roman" w:hAnsi="Times New Roman"/>
          <w:sz w:val="16"/>
          <w:szCs w:val="16"/>
          <w:color w:val="auto"/>
          <w:highlight w:val="white"/>
        </w:rPr>
        <w:t>investments and $73 million within other current assets in the Consolidated Balance Sheets.</w:t>
      </w:r>
    </w:p>
    <w:p>
      <w:pPr>
        <w:spacing w:after="0" w:line="77" w:lineRule="exact"/>
        <w:rPr>
          <w:sz w:val="20"/>
          <w:szCs w:val="20"/>
          <w:color w:val="auto"/>
        </w:rPr>
      </w:pPr>
    </w:p>
    <w:p>
      <w:pPr>
        <w:ind w:left="568" w:hanging="568"/>
        <w:spacing w:after="0"/>
        <w:tabs>
          <w:tab w:leader="none" w:pos="568"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$248 million related to the Asbestos trust and $120 million related to the Environmental trust. See Note A for additional details.</w:t>
      </w:r>
    </w:p>
    <w:p>
      <w:pPr>
        <w:spacing w:after="0" w:line="76"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noncurrent assets in the Consolidated Balance Sheets.</w:t>
      </w:r>
    </w:p>
    <w:p>
      <w:pPr>
        <w:spacing w:after="0" w:line="76"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accounts receivable, net in the Consolidated Balance Sheets.</w:t>
      </w:r>
    </w:p>
    <w:p>
      <w:pPr>
        <w:spacing w:after="0" w:line="76"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accrued expenses and other liabilities in the Consolidated Balance Sheets.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Restricted investments</w:t>
      </w:r>
    </w:p>
    <w:p>
      <w:pPr>
        <w:spacing w:after="0" w:line="164" w:lineRule="exact"/>
        <w:rPr>
          <w:sz w:val="20"/>
          <w:szCs w:val="20"/>
          <w:color w:val="auto"/>
        </w:rPr>
      </w:pPr>
    </w:p>
    <w:p>
      <w:pPr>
        <w:jc w:val="both"/>
        <w:ind w:left="8" w:firstLine="360"/>
        <w:spacing w:after="0" w:line="297" w:lineRule="auto"/>
        <w:rPr>
          <w:sz w:val="20"/>
          <w:szCs w:val="20"/>
          <w:color w:val="auto"/>
        </w:rPr>
      </w:pPr>
      <w:r>
        <w:rPr>
          <w:rFonts w:ascii="Times New Roman" w:cs="Times New Roman" w:eastAsia="Times New Roman" w:hAnsi="Times New Roman"/>
          <w:sz w:val="20"/>
          <w:szCs w:val="20"/>
          <w:color w:val="auto"/>
        </w:rPr>
        <w:t>As discussed in Note A, Ashland maintains certain investments in a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 These investment securities were classified primarily as noncurrent restricted investment assets, with $50 million and $73 million classified within other current assets, in the Consolidated Balance Sheets at September 30, 2025 and 2024, respectively.</w:t>
      </w:r>
    </w:p>
    <w:p>
      <w:pPr>
        <w:sectPr>
          <w:pgSz w:w="12240" w:h="15840" w:orient="portrait"/>
          <w:cols w:equalWidth="0" w:num="1">
            <w:col w:w="11368"/>
          </w:cols>
          <w:pgMar w:left="432"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1368"/>
          </w:cols>
          <w:pgMar w:left="432" w:top="930" w:right="440" w:bottom="186" w:gutter="0" w:footer="0" w:header="0"/>
          <w:type w:val="continuous"/>
        </w:sectPr>
      </w:pPr>
    </w:p>
    <w:bookmarkStart w:id="125" w:name="page126"/>
    <w:bookmarkEnd w:id="125"/>
    <w:p>
      <w:pPr>
        <w:ind w:left="368"/>
        <w:spacing w:after="0"/>
        <w:rPr>
          <w:sz w:val="20"/>
          <w:szCs w:val="20"/>
          <w:color w:val="auto"/>
        </w:rPr>
      </w:pPr>
      <w:r>
        <w:rPr>
          <w:rFonts w:ascii="Times New Roman" w:cs="Times New Roman" w:eastAsia="Times New Roman" w:hAnsi="Times New Roman"/>
          <w:sz w:val="20"/>
          <w:szCs w:val="20"/>
          <w:color w:val="auto"/>
        </w:rPr>
        <w:t>The following table presents gross unrealized gains and losses for the restricted investments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21220"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27">
                      <a:extLst>
                        <a:ext uri="{28A0092B-C50C-407E-A947-70E740481C1C}"/>
                      </a:extLst>
                    </a:blip>
                    <a:srcRect/>
                    <a:stretch>
                      <a:fillRect/>
                    </a:stretch>
                  </pic:blipFill>
                  <pic:spPr bwMode="auto">
                    <a:xfrm>
                      <a:off x="0" y="0"/>
                      <a:ext cx="7221220" cy="38100"/>
                    </a:xfrm>
                    <a:prstGeom prst="rect">
                      <a:avLst/>
                    </a:prstGeom>
                    <a:noFill/>
                  </pic:spPr>
                </pic:pic>
              </a:graphicData>
            </a:graphic>
          </wp:anchor>
        </w:drawing>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26"/>
        </w:trPr>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right"/>
              <w:ind w:right="363"/>
              <w:spacing w:after="0" w:line="226" w:lineRule="exact"/>
              <w:rPr>
                <w:sz w:val="20"/>
                <w:szCs w:val="20"/>
                <w:color w:val="auto"/>
              </w:rPr>
            </w:pPr>
            <w:r>
              <w:rPr>
                <w:rFonts w:ascii="Times New Roman" w:cs="Times New Roman" w:eastAsia="Times New Roman" w:hAnsi="Times New Roman"/>
                <w:sz w:val="20"/>
                <w:szCs w:val="20"/>
                <w:color w:val="auto"/>
              </w:rPr>
              <w:t>Gross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ind w:right="640"/>
              <w:spacing w:after="0" w:line="226" w:lineRule="exact"/>
              <w:rPr>
                <w:sz w:val="20"/>
                <w:szCs w:val="20"/>
                <w:color w:val="auto"/>
              </w:rPr>
            </w:pPr>
            <w:r>
              <w:rPr>
                <w:rFonts w:ascii="Times New Roman" w:cs="Times New Roman" w:eastAsia="Times New Roman" w:hAnsi="Times New Roman"/>
                <w:sz w:val="20"/>
                <w:szCs w:val="20"/>
                <w:color w:val="auto"/>
              </w:rPr>
              <w:t>Gross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r>
      <w:tr>
        <w:trPr>
          <w:trHeight w:val="249"/>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Adjusted Cost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 Gain</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Unrealized Loss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Fair Value</w:t>
            </w:r>
          </w:p>
        </w:tc>
      </w:tr>
      <w:tr>
        <w:trPr>
          <w:trHeight w:val="225"/>
        </w:trPr>
        <w:tc>
          <w:tcPr>
            <w:tcW w:w="4480" w:type="dxa"/>
            <w:vAlign w:val="bottom"/>
            <w:gridSpan w:val="2"/>
            <w:shd w:val="clear" w:color="auto" w:fill="D4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September 30, 2025</w:t>
            </w:r>
          </w:p>
        </w:tc>
        <w:tc>
          <w:tcPr>
            <w:tcW w:w="520" w:type="dxa"/>
            <w:vAlign w:val="bottom"/>
            <w:shd w:val="clear" w:color="auto" w:fill="D4EFF4"/>
          </w:tcPr>
          <w:p>
            <w:pPr>
              <w:spacing w:after="0"/>
              <w:rPr>
                <w:sz w:val="19"/>
                <w:szCs w:val="19"/>
                <w:color w:val="auto"/>
              </w:rPr>
            </w:pPr>
          </w:p>
        </w:tc>
        <w:tc>
          <w:tcPr>
            <w:tcW w:w="86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520" w:type="dxa"/>
            <w:vAlign w:val="bottom"/>
            <w:shd w:val="clear" w:color="auto" w:fill="D4EFF4"/>
          </w:tcPr>
          <w:p>
            <w:pPr>
              <w:spacing w:after="0"/>
              <w:rPr>
                <w:sz w:val="19"/>
                <w:szCs w:val="19"/>
                <w:color w:val="auto"/>
              </w:rPr>
            </w:pPr>
          </w:p>
        </w:tc>
        <w:tc>
          <w:tcPr>
            <w:tcW w:w="3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70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120" w:type="dxa"/>
            <w:vAlign w:val="bottom"/>
            <w:shd w:val="clear" w:color="auto" w:fill="D4EFF4"/>
          </w:tcPr>
          <w:p>
            <w:pPr>
              <w:spacing w:after="0"/>
              <w:rPr>
                <w:sz w:val="19"/>
                <w:szCs w:val="19"/>
                <w:color w:val="auto"/>
              </w:rPr>
            </w:pPr>
          </w:p>
        </w:tc>
        <w:tc>
          <w:tcPr>
            <w:tcW w:w="60" w:type="dxa"/>
            <w:vAlign w:val="bottom"/>
            <w:tcBorders>
              <w:top w:val="single" w:sz="8" w:color="auto"/>
            </w:tcBorders>
            <w:shd w:val="clear" w:color="auto" w:fill="D4EFF4"/>
          </w:tcPr>
          <w:p>
            <w:pPr>
              <w:spacing w:after="0"/>
              <w:rPr>
                <w:sz w:val="19"/>
                <w:szCs w:val="19"/>
                <w:color w:val="auto"/>
              </w:rPr>
            </w:pPr>
          </w:p>
        </w:tc>
      </w:tr>
      <w:tr>
        <w:trPr>
          <w:trHeight w:val="230"/>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Demand deposit</w:t>
            </w:r>
          </w:p>
        </w:tc>
        <w:tc>
          <w:tcPr>
            <w:tcW w:w="520" w:type="dxa"/>
            <w:vAlign w:val="bottom"/>
          </w:tcPr>
          <w:p>
            <w:pPr>
              <w:jc w:val="right"/>
              <w:ind w:right="35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700" w:type="dxa"/>
            <w:vAlign w:val="bottom"/>
            <w:gridSpan w:val="4"/>
          </w:tcPr>
          <w:p>
            <w:pPr>
              <w:jc w:val="right"/>
              <w:ind w:right="1383"/>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4"/>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448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Equity mutual fund</w:t>
            </w:r>
          </w:p>
        </w:tc>
        <w:tc>
          <w:tcPr>
            <w:tcW w:w="520" w:type="dxa"/>
            <w:vAlign w:val="bottom"/>
            <w:shd w:val="clear" w:color="auto" w:fill="D4EFF4"/>
          </w:tcPr>
          <w:p>
            <w:pPr>
              <w:spacing w:after="0"/>
              <w:rPr>
                <w:sz w:val="20"/>
                <w:szCs w:val="20"/>
                <w:color w:val="auto"/>
              </w:rPr>
            </w:pPr>
          </w:p>
        </w:tc>
        <w:tc>
          <w:tcPr>
            <w:tcW w:w="86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103</w:t>
            </w: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520" w:type="dxa"/>
            <w:vAlign w:val="bottom"/>
            <w:shd w:val="clear" w:color="auto" w:fill="D4EFF4"/>
          </w:tcPr>
          <w:p>
            <w:pPr>
              <w:spacing w:after="0"/>
              <w:rPr>
                <w:sz w:val="20"/>
                <w:szCs w:val="20"/>
                <w:color w:val="auto"/>
              </w:rPr>
            </w:pPr>
          </w:p>
        </w:tc>
        <w:tc>
          <w:tcPr>
            <w:tcW w:w="3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67</w:t>
            </w: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70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18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170</w:t>
            </w:r>
          </w:p>
        </w:tc>
      </w:tr>
      <w:tr>
        <w:trPr>
          <w:trHeight w:val="230"/>
        </w:trPr>
        <w:tc>
          <w:tcPr>
            <w:tcW w:w="4480" w:type="dxa"/>
            <w:vAlign w:val="bottom"/>
            <w:tcBorders>
              <w:bottom w:val="single" w:sz="8" w:color="D4EFF4"/>
            </w:tcBorders>
            <w:gridSpan w:val="2"/>
          </w:tcPr>
          <w:p>
            <w:pPr>
              <w:spacing w:after="0"/>
              <w:rPr>
                <w:sz w:val="20"/>
                <w:szCs w:val="20"/>
                <w:color w:val="auto"/>
              </w:rPr>
            </w:pPr>
            <w:r>
              <w:rPr>
                <w:rFonts w:ascii="Times New Roman" w:cs="Times New Roman" w:eastAsia="Times New Roman" w:hAnsi="Times New Roman"/>
                <w:sz w:val="20"/>
                <w:szCs w:val="20"/>
                <w:color w:val="auto"/>
              </w:rPr>
              <w:t>Fixed income mutual fund</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205</w:t>
            </w:r>
          </w:p>
        </w:tc>
        <w:tc>
          <w:tcPr>
            <w:tcW w:w="14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174</w:t>
            </w:r>
          </w:p>
        </w:tc>
      </w:tr>
      <w:tr>
        <w:trPr>
          <w:trHeight w:val="245"/>
        </w:trPr>
        <w:tc>
          <w:tcPr>
            <w:tcW w:w="4480" w:type="dxa"/>
            <w:vAlign w:val="bottom"/>
            <w:gridSpan w:val="2"/>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Fair value</w:t>
            </w:r>
          </w:p>
        </w:tc>
        <w:tc>
          <w:tcPr>
            <w:tcW w:w="520" w:type="dxa"/>
            <w:vAlign w:val="bottom"/>
            <w:shd w:val="clear" w:color="auto" w:fill="D4EFF4"/>
          </w:tcPr>
          <w:p>
            <w:pPr>
              <w:jc w:val="right"/>
              <w:ind w:right="35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311</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520" w:type="dxa"/>
            <w:vAlign w:val="bottom"/>
            <w:shd w:val="clear" w:color="auto" w:fill="D4EFF4"/>
          </w:tcPr>
          <w:p>
            <w:pPr>
              <w:jc w:val="right"/>
              <w:ind w:right="13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67</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(31)</w:t>
            </w: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347</w:t>
            </w:r>
          </w:p>
        </w:tc>
      </w:tr>
      <w:tr>
        <w:trPr>
          <w:trHeight w:val="20"/>
        </w:trPr>
        <w:tc>
          <w:tcPr>
            <w:tcW w:w="446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448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September 30, 2024</w:t>
            </w:r>
          </w:p>
        </w:tc>
        <w:tc>
          <w:tcPr>
            <w:tcW w:w="520" w:type="dxa"/>
            <w:vAlign w:val="bottom"/>
            <w:shd w:val="clear" w:color="auto" w:fill="D4EFF4"/>
          </w:tcPr>
          <w:p>
            <w:pPr>
              <w:spacing w:after="0"/>
              <w:rPr>
                <w:sz w:val="20"/>
                <w:szCs w:val="20"/>
                <w:color w:val="auto"/>
              </w:rPr>
            </w:pPr>
          </w:p>
        </w:tc>
        <w:tc>
          <w:tcPr>
            <w:tcW w:w="86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520" w:type="dxa"/>
            <w:vAlign w:val="bottom"/>
            <w:shd w:val="clear" w:color="auto" w:fill="D4EFF4"/>
          </w:tcPr>
          <w:p>
            <w:pPr>
              <w:spacing w:after="0"/>
              <w:rPr>
                <w:sz w:val="20"/>
                <w:szCs w:val="20"/>
                <w:color w:val="auto"/>
              </w:rPr>
            </w:pPr>
          </w:p>
        </w:tc>
        <w:tc>
          <w:tcPr>
            <w:tcW w:w="32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70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120" w:type="dxa"/>
            <w:vAlign w:val="bottom"/>
            <w:shd w:val="clear" w:color="auto" w:fill="D4EFF4"/>
          </w:tcPr>
          <w:p>
            <w:pPr>
              <w:spacing w:after="0"/>
              <w:rPr>
                <w:sz w:val="20"/>
                <w:szCs w:val="20"/>
                <w:color w:val="auto"/>
              </w:rPr>
            </w:pPr>
          </w:p>
        </w:tc>
        <w:tc>
          <w:tcPr>
            <w:tcW w:w="60" w:type="dxa"/>
            <w:vAlign w:val="bottom"/>
            <w:shd w:val="clear" w:color="auto" w:fill="D4EFF4"/>
          </w:tcPr>
          <w:p>
            <w:pPr>
              <w:spacing w:after="0"/>
              <w:rPr>
                <w:sz w:val="20"/>
                <w:szCs w:val="20"/>
                <w:color w:val="auto"/>
              </w:rPr>
            </w:pPr>
          </w:p>
        </w:tc>
      </w:tr>
      <w:tr>
        <w:trPr>
          <w:trHeight w:val="230"/>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Demand deposit</w:t>
            </w:r>
          </w:p>
        </w:tc>
        <w:tc>
          <w:tcPr>
            <w:tcW w:w="520" w:type="dxa"/>
            <w:vAlign w:val="bottom"/>
          </w:tcPr>
          <w:p>
            <w:pPr>
              <w:jc w:val="right"/>
              <w:ind w:right="35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700" w:type="dxa"/>
            <w:vAlign w:val="bottom"/>
            <w:gridSpan w:val="4"/>
          </w:tcPr>
          <w:p>
            <w:pPr>
              <w:jc w:val="right"/>
              <w:ind w:right="1383"/>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4"/>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448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Equity mutual fund</w:t>
            </w:r>
          </w:p>
        </w:tc>
        <w:tc>
          <w:tcPr>
            <w:tcW w:w="520" w:type="dxa"/>
            <w:vAlign w:val="bottom"/>
            <w:shd w:val="clear" w:color="auto" w:fill="D4EFF4"/>
          </w:tcPr>
          <w:p>
            <w:pPr>
              <w:spacing w:after="0"/>
              <w:rPr>
                <w:sz w:val="20"/>
                <w:szCs w:val="20"/>
                <w:color w:val="auto"/>
              </w:rPr>
            </w:pPr>
          </w:p>
        </w:tc>
        <w:tc>
          <w:tcPr>
            <w:tcW w:w="86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124</w:t>
            </w: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520" w:type="dxa"/>
            <w:vAlign w:val="bottom"/>
            <w:shd w:val="clear" w:color="auto" w:fill="D4EFF4"/>
          </w:tcPr>
          <w:p>
            <w:pPr>
              <w:spacing w:after="0"/>
              <w:rPr>
                <w:sz w:val="20"/>
                <w:szCs w:val="20"/>
                <w:color w:val="auto"/>
              </w:rPr>
            </w:pPr>
          </w:p>
        </w:tc>
        <w:tc>
          <w:tcPr>
            <w:tcW w:w="3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56</w:t>
            </w: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70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18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180</w:t>
            </w:r>
          </w:p>
        </w:tc>
      </w:tr>
      <w:tr>
        <w:trPr>
          <w:trHeight w:val="230"/>
        </w:trPr>
        <w:tc>
          <w:tcPr>
            <w:tcW w:w="4480" w:type="dxa"/>
            <w:vAlign w:val="bottom"/>
            <w:tcBorders>
              <w:bottom w:val="single" w:sz="8" w:color="D4EFF4"/>
            </w:tcBorders>
            <w:gridSpan w:val="2"/>
          </w:tcPr>
          <w:p>
            <w:pPr>
              <w:spacing w:after="0"/>
              <w:rPr>
                <w:sz w:val="20"/>
                <w:szCs w:val="20"/>
                <w:color w:val="auto"/>
              </w:rPr>
            </w:pPr>
            <w:r>
              <w:rPr>
                <w:rFonts w:ascii="Times New Roman" w:cs="Times New Roman" w:eastAsia="Times New Roman" w:hAnsi="Times New Roman"/>
                <w:sz w:val="20"/>
                <w:szCs w:val="20"/>
                <w:color w:val="auto"/>
              </w:rPr>
              <w:t>Fixed income mutual fund</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211</w:t>
            </w:r>
          </w:p>
        </w:tc>
        <w:tc>
          <w:tcPr>
            <w:tcW w:w="14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183</w:t>
            </w:r>
          </w:p>
        </w:tc>
      </w:tr>
      <w:tr>
        <w:trPr>
          <w:trHeight w:val="225"/>
        </w:trPr>
        <w:tc>
          <w:tcPr>
            <w:tcW w:w="4480" w:type="dxa"/>
            <w:vAlign w:val="bottom"/>
            <w:gridSpan w:val="2"/>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Fair value</w:t>
            </w:r>
          </w:p>
        </w:tc>
        <w:tc>
          <w:tcPr>
            <w:tcW w:w="520" w:type="dxa"/>
            <w:vAlign w:val="bottom"/>
            <w:shd w:val="clear" w:color="auto" w:fill="D4EFF4"/>
          </w:tcPr>
          <w:p>
            <w:pPr>
              <w:jc w:val="right"/>
              <w:ind w:right="35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340</w:t>
            </w: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520" w:type="dxa"/>
            <w:vAlign w:val="bottom"/>
            <w:shd w:val="clear" w:color="auto" w:fill="D4EFF4"/>
          </w:tcPr>
          <w:p>
            <w:pPr>
              <w:jc w:val="right"/>
              <w:ind w:right="13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56</w:t>
            </w: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(28)</w:t>
            </w: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368</w:t>
            </w:r>
          </w:p>
        </w:tc>
      </w:tr>
      <w:tr>
        <w:trPr>
          <w:trHeight w:val="20"/>
        </w:trPr>
        <w:tc>
          <w:tcPr>
            <w:tcW w:w="446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54"/>
        </w:trPr>
        <w:tc>
          <w:tcPr>
            <w:tcW w:w="44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-1758950</wp:posOffset>
            </wp:positionV>
            <wp:extent cx="7221220"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28">
                      <a:extLst>
                        <a:ext uri="{28A0092B-C50C-407E-A947-70E740481C1C}"/>
                      </a:extLst>
                    </a:blip>
                    <a:srcRect/>
                    <a:stretch>
                      <a:fillRect/>
                    </a:stretch>
                  </pic:blipFill>
                  <pic:spPr bwMode="auto">
                    <a:xfrm>
                      <a:off x="0" y="0"/>
                      <a:ext cx="722122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-52705</wp:posOffset>
            </wp:positionV>
            <wp:extent cx="7221220" cy="679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329">
                      <a:extLst>
                        <a:ext uri="{28A0092B-C50C-407E-A947-70E740481C1C}"/>
                      </a:extLst>
                    </a:blip>
                    <a:srcRect/>
                    <a:stretch>
                      <a:fillRect/>
                    </a:stretch>
                  </pic:blipFill>
                  <pic:spPr bwMode="auto">
                    <a:xfrm>
                      <a:off x="0" y="0"/>
                      <a:ext cx="7221220" cy="67945"/>
                    </a:xfrm>
                    <a:prstGeom prst="rect">
                      <a:avLst/>
                    </a:prstGeom>
                    <a:noFill/>
                  </pic:spPr>
                </pic:pic>
              </a:graphicData>
            </a:graphic>
          </wp:anchor>
        </w:drawing>
      </w:r>
    </w:p>
    <w:p>
      <w:pPr>
        <w:spacing w:after="0" w:line="81"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presents the investment income, net gains and losses realized, funds restricted for specific transactions, and disbursements related to restricted investments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07250"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30">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2025</w:t>
            </w:r>
          </w:p>
        </w:tc>
        <w:tc>
          <w:tcPr>
            <w:tcW w:w="580" w:type="dxa"/>
            <w:vAlign w:val="bottom"/>
          </w:tcPr>
          <w:p>
            <w:pPr>
              <w:spacing w:after="0"/>
              <w:rPr>
                <w:sz w:val="21"/>
                <w:szCs w:val="21"/>
                <w:color w:val="auto"/>
              </w:rPr>
            </w:pPr>
          </w:p>
        </w:tc>
        <w:tc>
          <w:tcPr>
            <w:tcW w:w="16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2024</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6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422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Investment income</w:t>
            </w:r>
            <w:r>
              <w:rPr>
                <w:rFonts w:ascii="Times New Roman" w:cs="Times New Roman" w:eastAsia="Times New Roman" w:hAnsi="Times New Roman"/>
                <w:sz w:val="25"/>
                <w:szCs w:val="25"/>
                <w:color w:val="auto"/>
                <w:vertAlign w:val="superscript"/>
              </w:rPr>
              <w:t>(a)</w:t>
            </w:r>
          </w:p>
        </w:tc>
        <w:tc>
          <w:tcPr>
            <w:tcW w:w="2020" w:type="dxa"/>
            <w:vAlign w:val="bottom"/>
            <w:shd w:val="clear" w:color="auto" w:fill="D4EFF4"/>
          </w:tcPr>
          <w:p>
            <w:pPr>
              <w:jc w:val="right"/>
              <w:ind w:right="8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1600" w:type="dxa"/>
            <w:vAlign w:val="bottom"/>
            <w:shd w:val="clear" w:color="auto" w:fill="D4EFF4"/>
          </w:tcPr>
          <w:p>
            <w:pPr>
              <w:jc w:val="right"/>
              <w:ind w:right="12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15</w:t>
            </w:r>
          </w:p>
        </w:tc>
        <w:tc>
          <w:tcPr>
            <w:tcW w:w="580" w:type="dxa"/>
            <w:vAlign w:val="bottom"/>
            <w:shd w:val="clear" w:color="auto" w:fill="D4EFF4"/>
          </w:tcPr>
          <w:p>
            <w:pPr>
              <w:jc w:val="right"/>
              <w:ind w:right="2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80" w:type="dxa"/>
            <w:vAlign w:val="bottom"/>
            <w:shd w:val="clear" w:color="auto" w:fill="D4EFF4"/>
          </w:tcPr>
          <w:p>
            <w:pPr>
              <w:spacing w:after="0"/>
              <w:rPr>
                <w:sz w:val="19"/>
                <w:szCs w:val="19"/>
                <w:color w:val="auto"/>
              </w:rPr>
            </w:pPr>
          </w:p>
        </w:tc>
      </w:tr>
      <w:tr>
        <w:trPr>
          <w:trHeight w:val="230"/>
        </w:trPr>
        <w:tc>
          <w:tcPr>
            <w:tcW w:w="422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Net gains</w:t>
            </w:r>
            <w:r>
              <w:rPr>
                <w:rFonts w:ascii="Times New Roman" w:cs="Times New Roman" w:eastAsia="Times New Roman" w:hAnsi="Times New Roman"/>
                <w:sz w:val="25"/>
                <w:szCs w:val="25"/>
                <w:color w:val="auto"/>
                <w:vertAlign w:val="superscript"/>
              </w:rPr>
              <w:t>(a)</w:t>
            </w:r>
          </w:p>
        </w:tc>
        <w:tc>
          <w:tcPr>
            <w:tcW w:w="2020" w:type="dxa"/>
            <w:vAlign w:val="bottom"/>
          </w:tcPr>
          <w:p>
            <w:pPr>
              <w:spacing w:after="0"/>
              <w:rPr>
                <w:sz w:val="20"/>
                <w:szCs w:val="20"/>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w:t>
            </w:r>
          </w:p>
        </w:tc>
        <w:tc>
          <w:tcPr>
            <w:tcW w:w="1600" w:type="dxa"/>
            <w:vAlign w:val="bottom"/>
          </w:tcPr>
          <w:p>
            <w:pPr>
              <w:spacing w:after="0"/>
              <w:rPr>
                <w:sz w:val="20"/>
                <w:szCs w:val="20"/>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60</w:t>
            </w:r>
          </w:p>
        </w:tc>
        <w:tc>
          <w:tcPr>
            <w:tcW w:w="5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0"/>
                <w:szCs w:val="20"/>
                <w:color w:val="auto"/>
              </w:rPr>
            </w:pPr>
          </w:p>
        </w:tc>
      </w:tr>
      <w:tr>
        <w:trPr>
          <w:trHeight w:val="230"/>
        </w:trPr>
        <w:tc>
          <w:tcPr>
            <w:tcW w:w="42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Funds restricted for specific transactions</w:t>
            </w:r>
          </w:p>
        </w:tc>
        <w:tc>
          <w:tcPr>
            <w:tcW w:w="2020" w:type="dxa"/>
            <w:vAlign w:val="bottom"/>
            <w:shd w:val="clear" w:color="auto" w:fill="D4EFF4"/>
          </w:tcPr>
          <w:p>
            <w:pPr>
              <w:spacing w:after="0"/>
              <w:rPr>
                <w:sz w:val="20"/>
                <w:szCs w:val="20"/>
                <w:color w:val="auto"/>
              </w:rPr>
            </w:pPr>
          </w:p>
        </w:tc>
        <w:tc>
          <w:tcPr>
            <w:tcW w:w="580" w:type="dxa"/>
            <w:vAlign w:val="bottom"/>
            <w:shd w:val="clear" w:color="auto" w:fill="D4EFF4"/>
          </w:tcPr>
          <w:p>
            <w:pPr>
              <w:jc w:val="right"/>
              <w:ind w:right="80"/>
              <w:spacing w:after="0"/>
              <w:rPr>
                <w:sz w:val="20"/>
                <w:szCs w:val="20"/>
                <w:color w:val="auto"/>
              </w:rPr>
            </w:pPr>
            <w:r>
              <w:rPr>
                <w:rFonts w:ascii="Times New Roman" w:cs="Times New Roman" w:eastAsia="Times New Roman" w:hAnsi="Times New Roman"/>
                <w:sz w:val="20"/>
                <w:szCs w:val="20"/>
                <w:color w:val="auto"/>
              </w:rPr>
              <w:t>8</w:t>
            </w:r>
          </w:p>
        </w:tc>
        <w:tc>
          <w:tcPr>
            <w:tcW w:w="1600" w:type="dxa"/>
            <w:vAlign w:val="bottom"/>
            <w:shd w:val="clear" w:color="auto" w:fill="D4EFF4"/>
          </w:tcPr>
          <w:p>
            <w:pPr>
              <w:spacing w:after="0"/>
              <w:rPr>
                <w:sz w:val="20"/>
                <w:szCs w:val="20"/>
                <w:color w:val="auto"/>
              </w:rPr>
            </w:pPr>
          </w:p>
        </w:tc>
        <w:tc>
          <w:tcPr>
            <w:tcW w:w="720" w:type="dxa"/>
            <w:vAlign w:val="bottom"/>
            <w:shd w:val="clear" w:color="auto" w:fill="D4EFF4"/>
          </w:tcPr>
          <w:p>
            <w:pPr>
              <w:jc w:val="right"/>
              <w:ind w:right="80"/>
              <w:spacing w:after="0"/>
              <w:rPr>
                <w:sz w:val="20"/>
                <w:szCs w:val="20"/>
                <w:color w:val="auto"/>
              </w:rPr>
            </w:pPr>
            <w:r>
              <w:rPr>
                <w:rFonts w:ascii="Times New Roman" w:cs="Times New Roman" w:eastAsia="Times New Roman" w:hAnsi="Times New Roman"/>
                <w:sz w:val="20"/>
                <w:szCs w:val="20"/>
                <w:color w:val="auto"/>
              </w:rPr>
              <w:t>5</w:t>
            </w:r>
          </w:p>
        </w:tc>
        <w:tc>
          <w:tcPr>
            <w:tcW w:w="580" w:type="dxa"/>
            <w:vAlign w:val="bottom"/>
            <w:shd w:val="clear" w:color="auto" w:fill="D4EFF4"/>
          </w:tcPr>
          <w:p>
            <w:pPr>
              <w:spacing w:after="0"/>
              <w:rPr>
                <w:sz w:val="20"/>
                <w:szCs w:val="20"/>
                <w:color w:val="auto"/>
              </w:rPr>
            </w:pPr>
          </w:p>
        </w:tc>
        <w:tc>
          <w:tcPr>
            <w:tcW w:w="15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shd w:val="clear" w:color="auto" w:fill="D4EFF4"/>
          </w:tcPr>
          <w:p>
            <w:pPr>
              <w:spacing w:after="0"/>
              <w:rPr>
                <w:sz w:val="20"/>
                <w:szCs w:val="20"/>
                <w:color w:val="auto"/>
              </w:rPr>
            </w:pPr>
          </w:p>
        </w:tc>
      </w:tr>
      <w:tr>
        <w:trPr>
          <w:trHeight w:val="266"/>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Disbursements</w:t>
            </w:r>
          </w:p>
        </w:tc>
        <w:tc>
          <w:tcPr>
            <w:tcW w:w="20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580" w:type="dxa"/>
            <w:vAlign w:val="bottom"/>
          </w:tcPr>
          <w:p>
            <w:pPr>
              <w:spacing w:after="0"/>
              <w:rPr>
                <w:sz w:val="23"/>
                <w:szCs w:val="23"/>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-630555</wp:posOffset>
            </wp:positionV>
            <wp:extent cx="7207250"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31">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6350</wp:posOffset>
            </wp:positionV>
            <wp:extent cx="7242810"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32">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3" w:lineRule="exact"/>
        <w:rPr>
          <w:sz w:val="20"/>
          <w:szCs w:val="20"/>
          <w:color w:val="auto"/>
        </w:rPr>
      </w:pPr>
    </w:p>
    <w:p>
      <w:pPr>
        <w:ind w:left="568" w:hanging="568"/>
        <w:spacing w:after="0"/>
        <w:tabs>
          <w:tab w:leader="none" w:pos="56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net interest and other expense (income) caption within the Statements of Consolidated Comprehensive Income (Loss).</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Foreign currency derivatives</w:t>
      </w:r>
    </w:p>
    <w:p>
      <w:pPr>
        <w:spacing w:after="0" w:line="170" w:lineRule="exact"/>
        <w:rPr>
          <w:sz w:val="20"/>
          <w:szCs w:val="20"/>
          <w:color w:val="auto"/>
        </w:rPr>
      </w:pPr>
    </w:p>
    <w:p>
      <w:pPr>
        <w:jc w:val="both"/>
        <w:ind w:left="8" w:firstLine="360"/>
        <w:spacing w:after="0" w:line="293" w:lineRule="auto"/>
        <w:rPr>
          <w:sz w:val="20"/>
          <w:szCs w:val="20"/>
          <w:color w:val="auto"/>
        </w:rPr>
      </w:pPr>
      <w:r>
        <w:rPr>
          <w:rFonts w:ascii="Times New Roman" w:cs="Times New Roman" w:eastAsia="Times New Roman" w:hAnsi="Times New Roman"/>
          <w:sz w:val="20"/>
          <w:szCs w:val="20"/>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of the Statements of Comprehensive Income (Loss). The impacts of these contracts were largely offset by gains and losses resulting from the impact of changes in exchange rates on transactions denominated in non-functional currencies.</w:t>
      </w:r>
    </w:p>
    <w:p>
      <w:pPr>
        <w:spacing w:after="0" w:line="82"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The following table summarizes the gains and losses recognized within the Statements of Consolidated Comprehensive Income (Loss)</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21220"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33">
                      <a:extLst>
                        <a:ext uri="{28A0092B-C50C-407E-A947-70E740481C1C}"/>
                      </a:extLst>
                    </a:blip>
                    <a:srcRect/>
                    <a:stretch>
                      <a:fillRect/>
                    </a:stretch>
                  </pic:blipFill>
                  <pic:spPr bwMode="auto">
                    <a:xfrm>
                      <a:off x="0" y="0"/>
                      <a:ext cx="7221220" cy="38100"/>
                    </a:xfrm>
                    <a:prstGeom prst="rect">
                      <a:avLst/>
                    </a:prstGeom>
                    <a:noFill/>
                  </pic:spPr>
                </pic:pic>
              </a:graphicData>
            </a:graphic>
          </wp:anchor>
        </w:drawing>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3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2025</w:t>
            </w:r>
          </w:p>
        </w:tc>
        <w:tc>
          <w:tcPr>
            <w:tcW w:w="520" w:type="dxa"/>
            <w:vAlign w:val="bottom"/>
          </w:tcPr>
          <w:p>
            <w:pPr>
              <w:spacing w:after="0"/>
              <w:rPr>
                <w:sz w:val="21"/>
                <w:szCs w:val="21"/>
                <w:color w:val="auto"/>
              </w:rPr>
            </w:pPr>
          </w:p>
        </w:tc>
        <w:tc>
          <w:tcPr>
            <w:tcW w:w="17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2024</w:t>
            </w: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top w:val="single" w:sz="8" w:color="auto"/>
              <w:bottom w:val="single" w:sz="8" w:color="auto"/>
            </w:tcBorders>
          </w:tcPr>
          <w:p>
            <w:pPr>
              <w:spacing w:after="0"/>
              <w:rPr>
                <w:sz w:val="21"/>
                <w:szCs w:val="21"/>
                <w:color w:val="auto"/>
              </w:rPr>
            </w:pPr>
          </w:p>
        </w:tc>
      </w:tr>
      <w:tr>
        <w:trPr>
          <w:trHeight w:val="225"/>
        </w:trPr>
        <w:tc>
          <w:tcPr>
            <w:tcW w:w="394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Foreign currency derivative gains</w:t>
            </w:r>
          </w:p>
        </w:tc>
        <w:tc>
          <w:tcPr>
            <w:tcW w:w="2340" w:type="dxa"/>
            <w:vAlign w:val="bottom"/>
            <w:shd w:val="clear" w:color="auto" w:fill="D4EFF4"/>
          </w:tcPr>
          <w:p>
            <w:pPr>
              <w:jc w:val="right"/>
              <w:ind w:right="9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D4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15</w:t>
            </w:r>
          </w:p>
        </w:tc>
        <w:tc>
          <w:tcPr>
            <w:tcW w:w="1720" w:type="dxa"/>
            <w:vAlign w:val="bottom"/>
            <w:shd w:val="clear" w:color="auto" w:fill="D4EFF4"/>
          </w:tcPr>
          <w:p>
            <w:pPr>
              <w:jc w:val="right"/>
              <w:ind w:right="13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4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7</w:t>
            </w:r>
          </w:p>
        </w:tc>
        <w:tc>
          <w:tcPr>
            <w:tcW w:w="600" w:type="dxa"/>
            <w:vAlign w:val="bottom"/>
            <w:shd w:val="clear" w:color="auto" w:fill="D4EFF4"/>
          </w:tcPr>
          <w:p>
            <w:pPr>
              <w:jc w:val="right"/>
              <w:ind w:right="2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w:t>
            </w:r>
          </w:p>
        </w:tc>
        <w:tc>
          <w:tcPr>
            <w:tcW w:w="60" w:type="dxa"/>
            <w:vAlign w:val="bottom"/>
            <w:shd w:val="clear" w:color="auto" w:fill="D4EFF4"/>
          </w:tcPr>
          <w:p>
            <w:pPr>
              <w:spacing w:after="0"/>
              <w:rPr>
                <w:sz w:val="19"/>
                <w:szCs w:val="19"/>
                <w:color w:val="auto"/>
              </w:rPr>
            </w:pPr>
          </w:p>
        </w:tc>
      </w:tr>
      <w:tr>
        <w:trPr>
          <w:trHeight w:val="69"/>
        </w:trPr>
        <w:tc>
          <w:tcPr>
            <w:tcW w:w="39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-222250</wp:posOffset>
            </wp:positionV>
            <wp:extent cx="7221220"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34">
                      <a:extLst>
                        <a:ext uri="{28A0092B-C50C-407E-A947-70E740481C1C}"/>
                      </a:extLst>
                    </a:blip>
                    <a:srcRect/>
                    <a:stretch>
                      <a:fillRect/>
                    </a:stretch>
                  </pic:blipFill>
                  <pic:spPr bwMode="auto">
                    <a:xfrm>
                      <a:off x="0" y="0"/>
                      <a:ext cx="722122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-52705</wp:posOffset>
            </wp:positionV>
            <wp:extent cx="7242810" cy="673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35">
                      <a:extLst>
                        <a:ext uri="{28A0092B-C50C-407E-A947-70E740481C1C}"/>
                      </a:extLst>
                    </a:blip>
                    <a:srcRect/>
                    <a:stretch>
                      <a:fillRect/>
                    </a:stretch>
                  </pic:blipFill>
                  <pic:spPr bwMode="auto">
                    <a:xfrm>
                      <a:off x="0" y="0"/>
                      <a:ext cx="7242810" cy="67310"/>
                    </a:xfrm>
                    <a:prstGeom prst="rect">
                      <a:avLst/>
                    </a:prstGeom>
                    <a:noFill/>
                  </pic:spPr>
                </pic:pic>
              </a:graphicData>
            </a:graphic>
          </wp:anchor>
        </w:drawing>
      </w:r>
    </w:p>
    <w:p>
      <w:pPr>
        <w:spacing w:after="0" w:line="81"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summarizes the fair values of the outstanding foreign currency derivatives included in accounts receivable, net and accrued expenses and other liabilities of the Consolidated Balance Sheets 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2058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336">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180" w:type="dxa"/>
            <w:vAlign w:val="bottom"/>
          </w:tcPr>
          <w:p>
            <w:pPr>
              <w:spacing w:after="0"/>
              <w:rPr>
                <w:sz w:val="21"/>
                <w:szCs w:val="21"/>
                <w:color w:val="auto"/>
              </w:rPr>
            </w:pPr>
          </w:p>
        </w:tc>
        <w:tc>
          <w:tcPr>
            <w:tcW w:w="1620" w:type="dxa"/>
            <w:vAlign w:val="bottom"/>
          </w:tcPr>
          <w:p>
            <w:pPr>
              <w:jc w:val="right"/>
              <w:ind w:right="820"/>
              <w:spacing w:after="0"/>
              <w:rPr>
                <w:sz w:val="20"/>
                <w:szCs w:val="20"/>
                <w:color w:val="auto"/>
              </w:rPr>
            </w:pPr>
            <w:r>
              <w:rPr>
                <w:rFonts w:ascii="Times New Roman" w:cs="Times New Roman" w:eastAsia="Times New Roman" w:hAnsi="Times New Roman"/>
                <w:sz w:val="20"/>
                <w:szCs w:val="20"/>
                <w:color w:val="auto"/>
              </w:rPr>
              <w:t>2025</w:t>
            </w:r>
          </w:p>
        </w:tc>
        <w:tc>
          <w:tcPr>
            <w:tcW w:w="760" w:type="dxa"/>
            <w:vAlign w:val="bottom"/>
          </w:tcPr>
          <w:p>
            <w:pPr>
              <w:spacing w:after="0"/>
              <w:rPr>
                <w:sz w:val="21"/>
                <w:szCs w:val="21"/>
                <w:color w:val="auto"/>
              </w:rPr>
            </w:pPr>
          </w:p>
        </w:tc>
        <w:tc>
          <w:tcPr>
            <w:tcW w:w="19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top w:val="single" w:sz="8" w:color="auto"/>
              <w:bottom w:val="single" w:sz="8" w:color="auto"/>
            </w:tcBorders>
          </w:tcPr>
          <w:p>
            <w:pPr>
              <w:spacing w:after="0"/>
              <w:rPr>
                <w:sz w:val="21"/>
                <w:szCs w:val="21"/>
                <w:color w:val="auto"/>
              </w:rPr>
            </w:pPr>
          </w:p>
        </w:tc>
      </w:tr>
      <w:tr>
        <w:trPr>
          <w:trHeight w:val="225"/>
        </w:trPr>
        <w:tc>
          <w:tcPr>
            <w:tcW w:w="476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Foreign currency derivative assets</w:t>
            </w:r>
          </w:p>
        </w:tc>
        <w:tc>
          <w:tcPr>
            <w:tcW w:w="2180" w:type="dxa"/>
            <w:vAlign w:val="bottom"/>
            <w:shd w:val="clear" w:color="auto" w:fill="D4EFF4"/>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4EFF4"/>
          </w:tcPr>
          <w:p>
            <w:pPr>
              <w:jc w:val="right"/>
              <w:ind w:right="4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4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w:t>
            </w: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Notional contract values</w:t>
            </w:r>
          </w:p>
        </w:tc>
        <w:tc>
          <w:tcPr>
            <w:tcW w:w="2180" w:type="dxa"/>
            <w:vAlign w:val="bottom"/>
          </w:tcPr>
          <w:p>
            <w:pPr>
              <w:spacing w:after="0"/>
              <w:rPr>
                <w:sz w:val="20"/>
                <w:szCs w:val="20"/>
                <w:color w:val="auto"/>
              </w:rPr>
            </w:pPr>
          </w:p>
        </w:tc>
        <w:tc>
          <w:tcPr>
            <w:tcW w:w="1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44</w:t>
            </w:r>
          </w:p>
        </w:tc>
        <w:tc>
          <w:tcPr>
            <w:tcW w:w="760" w:type="dxa"/>
            <w:vAlign w:val="bottom"/>
          </w:tcPr>
          <w:p>
            <w:pPr>
              <w:spacing w:after="0"/>
              <w:rPr>
                <w:sz w:val="20"/>
                <w:szCs w:val="20"/>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125</w:t>
            </w:r>
          </w:p>
        </w:tc>
      </w:tr>
      <w:tr>
        <w:trPr>
          <w:trHeight w:val="230"/>
        </w:trPr>
        <w:tc>
          <w:tcPr>
            <w:tcW w:w="4760" w:type="dxa"/>
            <w:vAlign w:val="bottom"/>
            <w:shd w:val="clear" w:color="auto" w:fill="D4EFF4"/>
          </w:tcPr>
          <w:p>
            <w:pPr>
              <w:spacing w:after="0"/>
              <w:rPr>
                <w:sz w:val="20"/>
                <w:szCs w:val="20"/>
                <w:color w:val="auto"/>
              </w:rPr>
            </w:pPr>
          </w:p>
        </w:tc>
        <w:tc>
          <w:tcPr>
            <w:tcW w:w="2180" w:type="dxa"/>
            <w:vAlign w:val="bottom"/>
            <w:shd w:val="clear" w:color="auto" w:fill="D4EFF4"/>
          </w:tcPr>
          <w:p>
            <w:pPr>
              <w:spacing w:after="0"/>
              <w:rPr>
                <w:sz w:val="20"/>
                <w:szCs w:val="20"/>
                <w:color w:val="auto"/>
              </w:rPr>
            </w:pPr>
          </w:p>
        </w:tc>
        <w:tc>
          <w:tcPr>
            <w:tcW w:w="1620" w:type="dxa"/>
            <w:vAlign w:val="bottom"/>
            <w:shd w:val="clear" w:color="auto" w:fill="D4EFF4"/>
          </w:tcPr>
          <w:p>
            <w:pPr>
              <w:spacing w:after="0"/>
              <w:rPr>
                <w:sz w:val="20"/>
                <w:szCs w:val="20"/>
                <w:color w:val="auto"/>
              </w:rPr>
            </w:pPr>
          </w:p>
        </w:tc>
        <w:tc>
          <w:tcPr>
            <w:tcW w:w="760" w:type="dxa"/>
            <w:vAlign w:val="bottom"/>
            <w:shd w:val="clear" w:color="auto" w:fill="D4EFF4"/>
          </w:tcPr>
          <w:p>
            <w:pPr>
              <w:spacing w:after="0"/>
              <w:rPr>
                <w:sz w:val="20"/>
                <w:szCs w:val="20"/>
                <w:color w:val="auto"/>
              </w:rPr>
            </w:pPr>
          </w:p>
        </w:tc>
        <w:tc>
          <w:tcPr>
            <w:tcW w:w="1980" w:type="dxa"/>
            <w:vAlign w:val="bottom"/>
            <w:shd w:val="clear" w:color="auto" w:fill="D4EFF4"/>
          </w:tcPr>
          <w:p>
            <w:pPr>
              <w:spacing w:after="0"/>
              <w:rPr>
                <w:sz w:val="20"/>
                <w:szCs w:val="20"/>
                <w:color w:val="auto"/>
              </w:rPr>
            </w:pPr>
          </w:p>
        </w:tc>
        <w:tc>
          <w:tcPr>
            <w:tcW w:w="60" w:type="dxa"/>
            <w:vAlign w:val="bottom"/>
            <w:shd w:val="clear" w:color="auto" w:fill="D4EFF4"/>
          </w:tcPr>
          <w:p>
            <w:pPr>
              <w:spacing w:after="0"/>
              <w:rPr>
                <w:sz w:val="20"/>
                <w:szCs w:val="20"/>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derivative liabilities</w:t>
            </w:r>
          </w:p>
        </w:tc>
        <w:tc>
          <w:tcPr>
            <w:tcW w:w="2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7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47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Notional contract values</w:t>
            </w:r>
          </w:p>
        </w:tc>
        <w:tc>
          <w:tcPr>
            <w:tcW w:w="2180" w:type="dxa"/>
            <w:vAlign w:val="bottom"/>
            <w:shd w:val="clear" w:color="auto" w:fill="D4EFF4"/>
          </w:tcPr>
          <w:p>
            <w:pPr>
              <w:spacing w:after="0"/>
              <w:rPr>
                <w:sz w:val="20"/>
                <w:szCs w:val="20"/>
                <w:color w:val="auto"/>
              </w:rPr>
            </w:pPr>
          </w:p>
        </w:tc>
        <w:tc>
          <w:tcPr>
            <w:tcW w:w="1620" w:type="dxa"/>
            <w:vAlign w:val="bottom"/>
            <w:shd w:val="clear" w:color="auto" w:fill="D4EFF4"/>
          </w:tcPr>
          <w:p>
            <w:pPr>
              <w:jc w:val="right"/>
              <w:ind w:right="80"/>
              <w:spacing w:after="0"/>
              <w:rPr>
                <w:sz w:val="20"/>
                <w:szCs w:val="20"/>
                <w:color w:val="auto"/>
              </w:rPr>
            </w:pPr>
            <w:r>
              <w:rPr>
                <w:rFonts w:ascii="Times New Roman" w:cs="Times New Roman" w:eastAsia="Times New Roman" w:hAnsi="Times New Roman"/>
                <w:sz w:val="20"/>
                <w:szCs w:val="20"/>
                <w:color w:val="auto"/>
              </w:rPr>
              <w:t>128</w:t>
            </w:r>
          </w:p>
        </w:tc>
        <w:tc>
          <w:tcPr>
            <w:tcW w:w="760" w:type="dxa"/>
            <w:vAlign w:val="bottom"/>
            <w:shd w:val="clear" w:color="auto" w:fill="D4EFF4"/>
          </w:tcPr>
          <w:p>
            <w:pPr>
              <w:spacing w:after="0"/>
              <w:rPr>
                <w:sz w:val="20"/>
                <w:szCs w:val="20"/>
                <w:color w:val="auto"/>
              </w:rPr>
            </w:pPr>
          </w:p>
        </w:tc>
        <w:tc>
          <w:tcPr>
            <w:tcW w:w="204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184</w:t>
            </w:r>
          </w:p>
        </w:tc>
      </w:tr>
      <w:tr>
        <w:trPr>
          <w:trHeight w:val="69"/>
        </w:trPr>
        <w:tc>
          <w:tcPr>
            <w:tcW w:w="47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-806450</wp:posOffset>
            </wp:positionV>
            <wp:extent cx="722058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37">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2058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338">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ectPr>
          <w:pgSz w:w="12240" w:h="15840" w:orient="portrait"/>
          <w:cols w:equalWidth="0" w:num="1">
            <w:col w:w="11368"/>
          </w:cols>
          <w:pgMar w:left="432"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1368"/>
          </w:cols>
          <w:pgMar w:left="432" w:top="930" w:right="440" w:bottom="186" w:gutter="0" w:footer="0" w:header="0"/>
          <w:type w:val="continuous"/>
        </w:sectPr>
      </w:pPr>
    </w:p>
    <w:bookmarkStart w:id="126" w:name="page127"/>
    <w:bookmarkEnd w:id="126"/>
    <w:p>
      <w:pPr>
        <w:ind w:left="8"/>
        <w:spacing w:after="0"/>
        <w:rPr>
          <w:sz w:val="20"/>
          <w:szCs w:val="20"/>
          <w:color w:val="auto"/>
        </w:rPr>
      </w:pPr>
      <w:r>
        <w:rPr>
          <w:rFonts w:ascii="Times New Roman" w:cs="Times New Roman" w:eastAsia="Times New Roman" w:hAnsi="Times New Roman"/>
          <w:sz w:val="20"/>
          <w:szCs w:val="20"/>
          <w:b w:val="1"/>
          <w:bCs w:val="1"/>
          <w:color w:val="auto"/>
        </w:rPr>
        <w:t>Commodity derivatives</w:t>
      </w:r>
    </w:p>
    <w:p>
      <w:pPr>
        <w:spacing w:after="0" w:line="170"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To manage its exposure to the market price volatility of natural gas consumed by its U.S. plants during the manufacturing process, Ashland regularly enters into forward contracts that are designated as cash flow hedges. See Note A for more information.</w:t>
      </w:r>
    </w:p>
    <w:p>
      <w:pPr>
        <w:spacing w:after="0" w:line="49"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summarizes the gains and losses recognized within the cost of sales caption of the Statements of Consolidated Comprehensive Income (Loss)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0788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339">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740" w:type="dxa"/>
            <w:vAlign w:val="bottom"/>
          </w:tcPr>
          <w:p>
            <w:pPr>
              <w:spacing w:after="0"/>
              <w:rPr>
                <w:sz w:val="21"/>
                <w:szCs w:val="21"/>
                <w:color w:val="auto"/>
              </w:rPr>
            </w:pPr>
          </w:p>
        </w:tc>
        <w:tc>
          <w:tcPr>
            <w:tcW w:w="134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rPr>
              <w:t>2025</w:t>
            </w:r>
          </w:p>
        </w:tc>
        <w:tc>
          <w:tcPr>
            <w:tcW w:w="560" w:type="dxa"/>
            <w:vAlign w:val="bottom"/>
          </w:tcPr>
          <w:p>
            <w:pPr>
              <w:spacing w:after="0"/>
              <w:rPr>
                <w:sz w:val="21"/>
                <w:szCs w:val="21"/>
                <w:color w:val="auto"/>
              </w:rPr>
            </w:pPr>
          </w:p>
        </w:tc>
        <w:tc>
          <w:tcPr>
            <w:tcW w:w="1760" w:type="dxa"/>
            <w:vAlign w:val="bottom"/>
          </w:tcPr>
          <w:p>
            <w:pPr>
              <w:jc w:val="right"/>
              <w:ind w:right="900"/>
              <w:spacing w:after="0"/>
              <w:rPr>
                <w:sz w:val="20"/>
                <w:szCs w:val="20"/>
                <w:color w:val="auto"/>
              </w:rPr>
            </w:pPr>
            <w:r>
              <w:rPr>
                <w:rFonts w:ascii="Times New Roman" w:cs="Times New Roman" w:eastAsia="Times New Roman" w:hAnsi="Times New Roman"/>
                <w:sz w:val="20"/>
                <w:szCs w:val="20"/>
                <w:color w:val="auto"/>
              </w:rPr>
              <w:t>2024</w:t>
            </w:r>
          </w:p>
        </w:tc>
        <w:tc>
          <w:tcPr>
            <w:tcW w:w="560" w:type="dxa"/>
            <w:vAlign w:val="bottom"/>
          </w:tcPr>
          <w:p>
            <w:pPr>
              <w:spacing w:after="0"/>
              <w:rPr>
                <w:sz w:val="21"/>
                <w:szCs w:val="21"/>
                <w:color w:val="auto"/>
              </w:rPr>
            </w:pPr>
          </w:p>
        </w:tc>
        <w:tc>
          <w:tcPr>
            <w:tcW w:w="158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374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Commodity derivative losses</w:t>
            </w:r>
          </w:p>
        </w:tc>
        <w:tc>
          <w:tcPr>
            <w:tcW w:w="1740" w:type="dxa"/>
            <w:vAlign w:val="bottom"/>
            <w:shd w:val="clear" w:color="auto" w:fill="D4EFF4"/>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w:t>
            </w:r>
          </w:p>
        </w:tc>
        <w:tc>
          <w:tcPr>
            <w:tcW w:w="560" w:type="dxa"/>
            <w:vAlign w:val="bottom"/>
            <w:shd w:val="clear" w:color="auto" w:fill="D4EFF4"/>
          </w:tcPr>
          <w:p>
            <w:pPr>
              <w:jc w:val="right"/>
              <w:ind w:right="2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(6)</w:t>
            </w:r>
          </w:p>
        </w:tc>
        <w:tc>
          <w:tcPr>
            <w:tcW w:w="560" w:type="dxa"/>
            <w:vAlign w:val="bottom"/>
            <w:shd w:val="clear" w:color="auto" w:fill="D4EFF4"/>
          </w:tcPr>
          <w:p>
            <w:pPr>
              <w:jc w:val="right"/>
              <w:ind w:right="2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w:t>
            </w:r>
          </w:p>
        </w:tc>
      </w:tr>
      <w:tr>
        <w:trPr>
          <w:trHeight w:val="69"/>
        </w:trPr>
        <w:tc>
          <w:tcPr>
            <w:tcW w:w="37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-222250</wp:posOffset>
            </wp:positionV>
            <wp:extent cx="720788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340">
                      <a:extLst>
                        <a:ext uri="{28A0092B-C50C-407E-A947-70E740481C1C}"/>
                      </a:extLst>
                    </a:blip>
                    <a:srcRect/>
                    <a:stretch>
                      <a:fillRect/>
                    </a:stretch>
                  </pic:blipFill>
                  <pic:spPr bwMode="auto">
                    <a:xfrm>
                      <a:off x="0" y="0"/>
                      <a:ext cx="72078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0788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341">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pacing w:after="0" w:line="81"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summarizes the fair values of the outstanding commodity derivatives included in accounts receivable, net and accrued expenses and other liabilities of the Consolidated Balance Sheets 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2058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342">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380" w:type="dxa"/>
            <w:vAlign w:val="bottom"/>
          </w:tcPr>
          <w:p>
            <w:pPr>
              <w:spacing w:after="0"/>
              <w:rPr>
                <w:sz w:val="21"/>
                <w:szCs w:val="21"/>
                <w:color w:val="auto"/>
              </w:rPr>
            </w:pPr>
          </w:p>
        </w:tc>
        <w:tc>
          <w:tcPr>
            <w:tcW w:w="1620" w:type="dxa"/>
            <w:vAlign w:val="bottom"/>
          </w:tcPr>
          <w:p>
            <w:pPr>
              <w:jc w:val="right"/>
              <w:ind w:right="820"/>
              <w:spacing w:after="0"/>
              <w:rPr>
                <w:sz w:val="20"/>
                <w:szCs w:val="20"/>
                <w:color w:val="auto"/>
              </w:rPr>
            </w:pPr>
            <w:r>
              <w:rPr>
                <w:rFonts w:ascii="Times New Roman" w:cs="Times New Roman" w:eastAsia="Times New Roman" w:hAnsi="Times New Roman"/>
                <w:sz w:val="20"/>
                <w:szCs w:val="20"/>
                <w:color w:val="auto"/>
              </w:rPr>
              <w:t>2025</w:t>
            </w:r>
          </w:p>
        </w:tc>
        <w:tc>
          <w:tcPr>
            <w:tcW w:w="760" w:type="dxa"/>
            <w:vAlign w:val="bottom"/>
          </w:tcPr>
          <w:p>
            <w:pPr>
              <w:spacing w:after="0"/>
              <w:rPr>
                <w:sz w:val="21"/>
                <w:szCs w:val="21"/>
                <w:color w:val="auto"/>
              </w:rPr>
            </w:pPr>
          </w:p>
        </w:tc>
        <w:tc>
          <w:tcPr>
            <w:tcW w:w="19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top w:val="single" w:sz="8" w:color="auto"/>
              <w:bottom w:val="single" w:sz="8" w:color="auto"/>
            </w:tcBorders>
          </w:tcPr>
          <w:p>
            <w:pPr>
              <w:spacing w:after="0"/>
              <w:rPr>
                <w:sz w:val="21"/>
                <w:szCs w:val="21"/>
                <w:color w:val="auto"/>
              </w:rPr>
            </w:pPr>
          </w:p>
        </w:tc>
      </w:tr>
      <w:tr>
        <w:trPr>
          <w:trHeight w:val="225"/>
        </w:trPr>
        <w:tc>
          <w:tcPr>
            <w:tcW w:w="456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Commodity derivative assets</w:t>
            </w:r>
          </w:p>
        </w:tc>
        <w:tc>
          <w:tcPr>
            <w:tcW w:w="2380" w:type="dxa"/>
            <w:vAlign w:val="bottom"/>
            <w:shd w:val="clear" w:color="auto" w:fill="D4EFF4"/>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1</w:t>
            </w:r>
          </w:p>
        </w:tc>
        <w:tc>
          <w:tcPr>
            <w:tcW w:w="760" w:type="dxa"/>
            <w:vAlign w:val="bottom"/>
            <w:shd w:val="clear" w:color="auto" w:fill="D4EFF4"/>
          </w:tcPr>
          <w:p>
            <w:pPr>
              <w:jc w:val="right"/>
              <w:ind w:right="4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4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Notional contract values</w:t>
            </w:r>
          </w:p>
        </w:tc>
        <w:tc>
          <w:tcPr>
            <w:tcW w:w="2380" w:type="dxa"/>
            <w:vAlign w:val="bottom"/>
          </w:tcPr>
          <w:p>
            <w:pPr>
              <w:spacing w:after="0"/>
              <w:rPr>
                <w:sz w:val="20"/>
                <w:szCs w:val="20"/>
                <w:color w:val="auto"/>
              </w:rPr>
            </w:pPr>
          </w:p>
        </w:tc>
        <w:tc>
          <w:tcPr>
            <w:tcW w:w="1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6</w:t>
            </w:r>
          </w:p>
        </w:tc>
        <w:tc>
          <w:tcPr>
            <w:tcW w:w="760" w:type="dxa"/>
            <w:vAlign w:val="bottom"/>
          </w:tcPr>
          <w:p>
            <w:pPr>
              <w:spacing w:after="0"/>
              <w:rPr>
                <w:sz w:val="20"/>
                <w:szCs w:val="20"/>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4560" w:type="dxa"/>
            <w:vAlign w:val="bottom"/>
            <w:shd w:val="clear" w:color="auto" w:fill="D4EFF4"/>
          </w:tcPr>
          <w:p>
            <w:pPr>
              <w:spacing w:after="0"/>
              <w:rPr>
                <w:sz w:val="20"/>
                <w:szCs w:val="20"/>
                <w:color w:val="auto"/>
              </w:rPr>
            </w:pPr>
          </w:p>
        </w:tc>
        <w:tc>
          <w:tcPr>
            <w:tcW w:w="2380" w:type="dxa"/>
            <w:vAlign w:val="bottom"/>
            <w:shd w:val="clear" w:color="auto" w:fill="D4EFF4"/>
          </w:tcPr>
          <w:p>
            <w:pPr>
              <w:spacing w:after="0"/>
              <w:rPr>
                <w:sz w:val="20"/>
                <w:szCs w:val="20"/>
                <w:color w:val="auto"/>
              </w:rPr>
            </w:pPr>
          </w:p>
        </w:tc>
        <w:tc>
          <w:tcPr>
            <w:tcW w:w="1620" w:type="dxa"/>
            <w:vAlign w:val="bottom"/>
            <w:shd w:val="clear" w:color="auto" w:fill="D4EFF4"/>
          </w:tcPr>
          <w:p>
            <w:pPr>
              <w:spacing w:after="0"/>
              <w:rPr>
                <w:sz w:val="20"/>
                <w:szCs w:val="20"/>
                <w:color w:val="auto"/>
              </w:rPr>
            </w:pPr>
          </w:p>
        </w:tc>
        <w:tc>
          <w:tcPr>
            <w:tcW w:w="760" w:type="dxa"/>
            <w:vAlign w:val="bottom"/>
            <w:shd w:val="clear" w:color="auto" w:fill="D4EFF4"/>
          </w:tcPr>
          <w:p>
            <w:pPr>
              <w:spacing w:after="0"/>
              <w:rPr>
                <w:sz w:val="20"/>
                <w:szCs w:val="20"/>
                <w:color w:val="auto"/>
              </w:rPr>
            </w:pPr>
          </w:p>
        </w:tc>
        <w:tc>
          <w:tcPr>
            <w:tcW w:w="1980" w:type="dxa"/>
            <w:vAlign w:val="bottom"/>
            <w:shd w:val="clear" w:color="auto" w:fill="D4EFF4"/>
          </w:tcPr>
          <w:p>
            <w:pPr>
              <w:spacing w:after="0"/>
              <w:rPr>
                <w:sz w:val="20"/>
                <w:szCs w:val="20"/>
                <w:color w:val="auto"/>
              </w:rPr>
            </w:pPr>
          </w:p>
        </w:tc>
        <w:tc>
          <w:tcPr>
            <w:tcW w:w="60" w:type="dxa"/>
            <w:vAlign w:val="bottom"/>
            <w:shd w:val="clear" w:color="auto" w:fill="D4EFF4"/>
          </w:tcPr>
          <w:p>
            <w:pPr>
              <w:spacing w:after="0"/>
              <w:rPr>
                <w:sz w:val="20"/>
                <w:szCs w:val="20"/>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Commodity derivative liabilities</w:t>
            </w:r>
          </w:p>
        </w:tc>
        <w:tc>
          <w:tcPr>
            <w:tcW w:w="23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7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45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Notional contract values</w:t>
            </w:r>
          </w:p>
        </w:tc>
        <w:tc>
          <w:tcPr>
            <w:tcW w:w="2380" w:type="dxa"/>
            <w:vAlign w:val="bottom"/>
            <w:shd w:val="clear" w:color="auto" w:fill="D4EFF4"/>
          </w:tcPr>
          <w:p>
            <w:pPr>
              <w:spacing w:after="0"/>
              <w:rPr>
                <w:sz w:val="20"/>
                <w:szCs w:val="20"/>
                <w:color w:val="auto"/>
              </w:rPr>
            </w:pPr>
          </w:p>
        </w:tc>
        <w:tc>
          <w:tcPr>
            <w:tcW w:w="1620" w:type="dxa"/>
            <w:vAlign w:val="bottom"/>
            <w:shd w:val="clear" w:color="auto" w:fill="D4EFF4"/>
          </w:tcPr>
          <w:p>
            <w:pPr>
              <w:jc w:val="right"/>
              <w:ind w:right="80"/>
              <w:spacing w:after="0"/>
              <w:rPr>
                <w:sz w:val="20"/>
                <w:szCs w:val="20"/>
                <w:color w:val="auto"/>
              </w:rPr>
            </w:pPr>
            <w:r>
              <w:rPr>
                <w:rFonts w:ascii="Times New Roman" w:cs="Times New Roman" w:eastAsia="Times New Roman" w:hAnsi="Times New Roman"/>
                <w:sz w:val="20"/>
                <w:szCs w:val="20"/>
                <w:color w:val="auto"/>
              </w:rPr>
              <w:t>7</w:t>
            </w:r>
          </w:p>
        </w:tc>
        <w:tc>
          <w:tcPr>
            <w:tcW w:w="760" w:type="dxa"/>
            <w:vAlign w:val="bottom"/>
            <w:shd w:val="clear" w:color="auto" w:fill="D4EFF4"/>
          </w:tcPr>
          <w:p>
            <w:pPr>
              <w:spacing w:after="0"/>
              <w:rPr>
                <w:sz w:val="20"/>
                <w:szCs w:val="20"/>
                <w:color w:val="auto"/>
              </w:rPr>
            </w:pPr>
          </w:p>
        </w:tc>
        <w:tc>
          <w:tcPr>
            <w:tcW w:w="204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13</w:t>
            </w:r>
          </w:p>
        </w:tc>
      </w:tr>
      <w:tr>
        <w:trPr>
          <w:trHeight w:val="69"/>
        </w:trPr>
        <w:tc>
          <w:tcPr>
            <w:tcW w:w="45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-806450</wp:posOffset>
            </wp:positionV>
            <wp:extent cx="722058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343">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2058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344">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Other financial instruments</w:t>
      </w:r>
    </w:p>
    <w:p>
      <w:pPr>
        <w:spacing w:after="0" w:line="170"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At September 30, 2025 and 2024, Ashland’s long-term debt (including the current portion and excluding debt issuance cost discounts) had carrying values of $1,394 million and $1,361 million, respectively, compared to a fair value of $1,366 million and $1,327 million, respectively. The fair values of long-term debt are based on quoted market prices (level 1 of the fair value hierarchy).</w:t>
      </w:r>
    </w:p>
    <w:p>
      <w:pPr>
        <w:spacing w:after="0" w:line="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NOTE F – PROPERTY, PLANT AND EQUIPMENT</w:t>
      </w:r>
    </w:p>
    <w:p>
      <w:pPr>
        <w:spacing w:after="0" w:line="170"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The following table describes the various components of property, plant and equipment within the Consolidated Balance Sheets as of</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07250"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345">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60" w:type="dxa"/>
            <w:vAlign w:val="bottom"/>
          </w:tcPr>
          <w:p>
            <w:pPr>
              <w:spacing w:after="0"/>
              <w:rPr>
                <w:sz w:val="21"/>
                <w:szCs w:val="21"/>
                <w:color w:val="auto"/>
              </w:rPr>
            </w:pPr>
          </w:p>
        </w:tc>
        <w:tc>
          <w:tcPr>
            <w:tcW w:w="136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778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Land</w:t>
            </w:r>
            <w:r>
              <w:rPr>
                <w:rFonts w:ascii="Times New Roman" w:cs="Times New Roman" w:eastAsia="Times New Roman" w:hAnsi="Times New Roman"/>
                <w:sz w:val="25"/>
                <w:szCs w:val="25"/>
                <w:color w:val="auto"/>
                <w:vertAlign w:val="superscript"/>
              </w:rPr>
              <w:t>(a)</w:t>
            </w:r>
          </w:p>
        </w:tc>
        <w:tc>
          <w:tcPr>
            <w:tcW w:w="360" w:type="dxa"/>
            <w:vAlign w:val="bottom"/>
            <w:shd w:val="clear" w:color="auto" w:fill="D4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154</w:t>
            </w:r>
          </w:p>
        </w:tc>
        <w:tc>
          <w:tcPr>
            <w:tcW w:w="520" w:type="dxa"/>
            <w:vAlign w:val="bottom"/>
            <w:gridSpan w:val="2"/>
            <w:shd w:val="clear" w:color="auto" w:fill="D4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149</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Buildings</w:t>
            </w:r>
          </w:p>
        </w:tc>
        <w:tc>
          <w:tcPr>
            <w:tcW w:w="36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503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473</w:t>
            </w:r>
          </w:p>
        </w:tc>
      </w:tr>
      <w:tr>
        <w:trPr>
          <w:trHeight w:val="230"/>
        </w:trPr>
        <w:tc>
          <w:tcPr>
            <w:tcW w:w="77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360" w:type="dxa"/>
            <w:vAlign w:val="bottom"/>
            <w:shd w:val="clear" w:color="auto" w:fill="D4EFF4"/>
          </w:tcPr>
          <w:p>
            <w:pPr>
              <w:spacing w:after="0"/>
              <w:rPr>
                <w:sz w:val="20"/>
                <w:szCs w:val="20"/>
                <w:color w:val="auto"/>
              </w:rPr>
            </w:pPr>
          </w:p>
        </w:tc>
        <w:tc>
          <w:tcPr>
            <w:tcW w:w="136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2,565</w:t>
            </w:r>
          </w:p>
        </w:tc>
        <w:tc>
          <w:tcPr>
            <w:tcW w:w="180" w:type="dxa"/>
            <w:vAlign w:val="bottom"/>
            <w:shd w:val="clear" w:color="auto" w:fill="D4EFF4"/>
          </w:tcPr>
          <w:p>
            <w:pPr>
              <w:spacing w:after="0"/>
              <w:rPr>
                <w:sz w:val="20"/>
                <w:szCs w:val="20"/>
                <w:color w:val="auto"/>
              </w:rPr>
            </w:pPr>
          </w:p>
        </w:tc>
        <w:tc>
          <w:tcPr>
            <w:tcW w:w="340" w:type="dxa"/>
            <w:vAlign w:val="bottom"/>
            <w:shd w:val="clear" w:color="auto" w:fill="D4EFF4"/>
          </w:tcPr>
          <w:p>
            <w:pPr>
              <w:spacing w:after="0"/>
              <w:rPr>
                <w:sz w:val="20"/>
                <w:szCs w:val="20"/>
                <w:color w:val="auto"/>
              </w:rPr>
            </w:pPr>
          </w:p>
        </w:tc>
        <w:tc>
          <w:tcPr>
            <w:tcW w:w="1340" w:type="dxa"/>
            <w:vAlign w:val="bottom"/>
            <w:gridSpan w:val="2"/>
            <w:shd w:val="clear" w:color="auto" w:fill="D4EFF4"/>
          </w:tcPr>
          <w:p>
            <w:pPr>
              <w:jc w:val="right"/>
              <w:ind w:right="80"/>
              <w:spacing w:after="0"/>
              <w:rPr>
                <w:sz w:val="20"/>
                <w:szCs w:val="20"/>
                <w:color w:val="auto"/>
              </w:rPr>
            </w:pPr>
            <w:r>
              <w:rPr>
                <w:rFonts w:ascii="Times New Roman" w:cs="Times New Roman" w:eastAsia="Times New Roman" w:hAnsi="Times New Roman"/>
                <w:sz w:val="20"/>
                <w:szCs w:val="20"/>
                <w:color w:val="auto"/>
              </w:rPr>
              <w:t>2,513</w:t>
            </w:r>
          </w:p>
        </w:tc>
      </w:tr>
      <w:tr>
        <w:trPr>
          <w:trHeight w:val="230"/>
        </w:trPr>
        <w:tc>
          <w:tcPr>
            <w:tcW w:w="77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133</w:t>
            </w:r>
          </w:p>
        </w:tc>
        <w:tc>
          <w:tcPr>
            <w:tcW w:w="180" w:type="dxa"/>
            <w:vAlign w:val="bottom"/>
            <w:tcBorders>
              <w:bottom w:val="single" w:sz="8" w:color="D4EFF4"/>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181</w:t>
            </w:r>
          </w:p>
        </w:tc>
      </w:tr>
      <w:tr>
        <w:trPr>
          <w:trHeight w:val="225"/>
        </w:trPr>
        <w:tc>
          <w:tcPr>
            <w:tcW w:w="7780" w:type="dxa"/>
            <w:vAlign w:val="bottom"/>
            <w:shd w:val="clear" w:color="auto" w:fill="D4EFF4"/>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property, plant and equipment (gross)</w:t>
            </w:r>
          </w:p>
        </w:tc>
        <w:tc>
          <w:tcPr>
            <w:tcW w:w="360" w:type="dxa"/>
            <w:vAlign w:val="bottom"/>
            <w:shd w:val="clear" w:color="auto" w:fill="D4EFF4"/>
          </w:tcPr>
          <w:p>
            <w:pPr>
              <w:spacing w:after="0"/>
              <w:rPr>
                <w:sz w:val="19"/>
                <w:szCs w:val="19"/>
                <w:color w:val="auto"/>
              </w:rPr>
            </w:pPr>
          </w:p>
        </w:tc>
        <w:tc>
          <w:tcPr>
            <w:tcW w:w="13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3,355</w:t>
            </w:r>
          </w:p>
        </w:tc>
        <w:tc>
          <w:tcPr>
            <w:tcW w:w="180" w:type="dxa"/>
            <w:vAlign w:val="bottom"/>
            <w:shd w:val="clear" w:color="auto" w:fill="D4EFF4"/>
          </w:tcPr>
          <w:p>
            <w:pPr>
              <w:spacing w:after="0"/>
              <w:rPr>
                <w:sz w:val="19"/>
                <w:szCs w:val="19"/>
                <w:color w:val="auto"/>
              </w:rPr>
            </w:pPr>
          </w:p>
        </w:tc>
        <w:tc>
          <w:tcPr>
            <w:tcW w:w="340" w:type="dxa"/>
            <w:vAlign w:val="bottom"/>
            <w:shd w:val="clear" w:color="auto" w:fill="D4EFF4"/>
          </w:tcPr>
          <w:p>
            <w:pPr>
              <w:spacing w:after="0"/>
              <w:rPr>
                <w:sz w:val="19"/>
                <w:szCs w:val="19"/>
                <w:color w:val="auto"/>
              </w:rPr>
            </w:pPr>
          </w:p>
        </w:tc>
        <w:tc>
          <w:tcPr>
            <w:tcW w:w="1340" w:type="dxa"/>
            <w:vAlign w:val="bottom"/>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3,316</w:t>
            </w:r>
          </w:p>
        </w:tc>
      </w:tr>
      <w:tr>
        <w:trPr>
          <w:trHeight w:val="230"/>
        </w:trPr>
        <w:tc>
          <w:tcPr>
            <w:tcW w:w="77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(2,154)</w:t>
            </w:r>
          </w:p>
        </w:tc>
        <w:tc>
          <w:tcPr>
            <w:tcW w:w="180" w:type="dxa"/>
            <w:vAlign w:val="bottom"/>
            <w:tcBorders>
              <w:bottom w:val="single" w:sz="8" w:color="D4EFF4"/>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(2,013)</w:t>
            </w:r>
          </w:p>
        </w:tc>
      </w:tr>
      <w:tr>
        <w:trPr>
          <w:trHeight w:val="245"/>
        </w:trPr>
        <w:tc>
          <w:tcPr>
            <w:tcW w:w="7780" w:type="dxa"/>
            <w:vAlign w:val="bottom"/>
            <w:tcBorders>
              <w:bottom w:val="single" w:sz="8" w:color="D4EFF4"/>
            </w:tcBorders>
            <w:shd w:val="clear" w:color="auto" w:fill="D4EFF4"/>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property, plant and equipment (net)</w:t>
            </w:r>
          </w:p>
        </w:tc>
        <w:tc>
          <w:tcPr>
            <w:tcW w:w="360" w:type="dxa"/>
            <w:vAlign w:val="bottom"/>
            <w:tcBorders>
              <w:bottom w:val="single" w:sz="8" w:color="auto"/>
            </w:tcBorders>
            <w:shd w:val="clear" w:color="auto" w:fill="D4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1,201</w:t>
            </w:r>
          </w:p>
        </w:tc>
        <w:tc>
          <w:tcPr>
            <w:tcW w:w="180" w:type="dxa"/>
            <w:vAlign w:val="bottom"/>
            <w:tcBorders>
              <w:bottom w:val="single" w:sz="8" w:color="D4EFF4"/>
            </w:tcBorders>
            <w:shd w:val="clear" w:color="auto" w:fill="D4EFF4"/>
          </w:tcPr>
          <w:p>
            <w:pPr>
              <w:spacing w:after="0"/>
              <w:rPr>
                <w:sz w:val="21"/>
                <w:szCs w:val="21"/>
                <w:color w:val="auto"/>
              </w:rPr>
            </w:pPr>
          </w:p>
        </w:tc>
        <w:tc>
          <w:tcPr>
            <w:tcW w:w="340" w:type="dxa"/>
            <w:vAlign w:val="bottom"/>
            <w:tcBorders>
              <w:bottom w:val="single" w:sz="8" w:color="auto"/>
            </w:tcBorders>
            <w:shd w:val="clear" w:color="auto" w:fill="D4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gridSpan w:val="2"/>
            <w:shd w:val="clear" w:color="auto" w:fill="D4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1,303</w:t>
            </w: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4"/>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-1146175</wp:posOffset>
            </wp:positionV>
            <wp:extent cx="7207250"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346">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07250"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347">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million of finance lease asset as of September 30, 2025 and 2024.</w:t>
      </w:r>
    </w:p>
    <w:p>
      <w:pPr>
        <w:spacing w:after="0" w:line="152" w:lineRule="exact"/>
        <w:rPr>
          <w:sz w:val="20"/>
          <w:szCs w:val="20"/>
          <w:color w:val="auto"/>
        </w:rPr>
      </w:pPr>
    </w:p>
    <w:p>
      <w:pPr>
        <w:ind w:left="8"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summarizes various property, plant and equipment activity within the Statements of Consolidated Comprehensive Income (Loss) during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21220"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348">
                      <a:extLst>
                        <a:ext uri="{28A0092B-C50C-407E-A947-70E740481C1C}"/>
                      </a:extLst>
                    </a:blip>
                    <a:srcRect/>
                    <a:stretch>
                      <a:fillRect/>
                    </a:stretch>
                  </pic:blipFill>
                  <pic:spPr bwMode="auto">
                    <a:xfrm>
                      <a:off x="0" y="0"/>
                      <a:ext cx="7221220" cy="38100"/>
                    </a:xfrm>
                    <a:prstGeom prst="rect">
                      <a:avLst/>
                    </a:prstGeom>
                    <a:noFill/>
                  </pic:spPr>
                </pic:pic>
              </a:graphicData>
            </a:graphic>
          </wp:anchor>
        </w:drawing>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60" w:type="dxa"/>
            <w:vAlign w:val="bottom"/>
          </w:tcPr>
          <w:p>
            <w:pPr>
              <w:spacing w:after="0"/>
              <w:rPr>
                <w:sz w:val="21"/>
                <w:szCs w:val="21"/>
                <w:color w:val="auto"/>
              </w:rPr>
            </w:pPr>
          </w:p>
        </w:tc>
        <w:tc>
          <w:tcPr>
            <w:tcW w:w="120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2025</w:t>
            </w:r>
          </w:p>
        </w:tc>
        <w:tc>
          <w:tcPr>
            <w:tcW w:w="440" w:type="dxa"/>
            <w:vAlign w:val="bottom"/>
          </w:tcPr>
          <w:p>
            <w:pPr>
              <w:spacing w:after="0"/>
              <w:rPr>
                <w:sz w:val="21"/>
                <w:szCs w:val="21"/>
                <w:color w:val="auto"/>
              </w:rPr>
            </w:pPr>
          </w:p>
        </w:tc>
        <w:tc>
          <w:tcPr>
            <w:tcW w:w="122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2024</w:t>
            </w:r>
          </w:p>
        </w:tc>
        <w:tc>
          <w:tcPr>
            <w:tcW w:w="420" w:type="dxa"/>
            <w:vAlign w:val="bottom"/>
          </w:tcPr>
          <w:p>
            <w:pPr>
              <w:spacing w:after="0"/>
              <w:rPr>
                <w:sz w:val="21"/>
                <w:szCs w:val="21"/>
                <w:color w:val="auto"/>
              </w:rPr>
            </w:pPr>
          </w:p>
        </w:tc>
        <w:tc>
          <w:tcPr>
            <w:tcW w:w="10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top w:val="single" w:sz="8" w:color="auto"/>
              <w:bottom w:val="single" w:sz="8" w:color="auto"/>
            </w:tcBorders>
          </w:tcPr>
          <w:p>
            <w:pPr>
              <w:spacing w:after="0"/>
              <w:rPr>
                <w:sz w:val="21"/>
                <w:szCs w:val="21"/>
                <w:color w:val="auto"/>
              </w:rPr>
            </w:pPr>
          </w:p>
        </w:tc>
      </w:tr>
      <w:tr>
        <w:trPr>
          <w:trHeight w:val="225"/>
        </w:trPr>
        <w:tc>
          <w:tcPr>
            <w:tcW w:w="408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Depreciation</w:t>
            </w:r>
            <w:r>
              <w:rPr>
                <w:rFonts w:ascii="Times New Roman" w:cs="Times New Roman" w:eastAsia="Times New Roman" w:hAnsi="Times New Roman"/>
                <w:sz w:val="25"/>
                <w:szCs w:val="25"/>
                <w:color w:val="auto"/>
                <w:vertAlign w:val="superscript"/>
              </w:rPr>
              <w:t>(a)</w:t>
            </w:r>
          </w:p>
        </w:tc>
        <w:tc>
          <w:tcPr>
            <w:tcW w:w="2860" w:type="dxa"/>
            <w:vAlign w:val="bottom"/>
            <w:shd w:val="clear" w:color="auto" w:fill="D4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174</w:t>
            </w:r>
          </w:p>
        </w:tc>
        <w:tc>
          <w:tcPr>
            <w:tcW w:w="440" w:type="dxa"/>
            <w:vAlign w:val="bottom"/>
            <w:shd w:val="clear" w:color="auto" w:fill="D4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4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198</w:t>
            </w:r>
          </w:p>
        </w:tc>
        <w:tc>
          <w:tcPr>
            <w:tcW w:w="420" w:type="dxa"/>
            <w:vAlign w:val="bottom"/>
            <w:shd w:val="clear" w:color="auto" w:fill="D4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150</w:t>
            </w:r>
          </w:p>
        </w:tc>
      </w:tr>
      <w:tr>
        <w:trPr>
          <w:trHeight w:val="266"/>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Capitalized interest</w:t>
            </w:r>
          </w:p>
        </w:tc>
        <w:tc>
          <w:tcPr>
            <w:tcW w:w="28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c>
          <w:tcPr>
            <w:tcW w:w="42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-338455</wp:posOffset>
            </wp:positionV>
            <wp:extent cx="7221220"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349">
                      <a:extLst>
                        <a:ext uri="{28A0092B-C50C-407E-A947-70E740481C1C}"/>
                      </a:extLst>
                    </a:blip>
                    <a:srcRect/>
                    <a:stretch>
                      <a:fillRect/>
                    </a:stretch>
                  </pic:blipFill>
                  <pic:spPr bwMode="auto">
                    <a:xfrm>
                      <a:off x="0" y="0"/>
                      <a:ext cx="722122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6350</wp:posOffset>
            </wp:positionV>
            <wp:extent cx="7242810"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350">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3" w:lineRule="exact"/>
        <w:rPr>
          <w:sz w:val="20"/>
          <w:szCs w:val="20"/>
          <w:color w:val="auto"/>
        </w:rPr>
      </w:pPr>
    </w:p>
    <w:p>
      <w:pPr>
        <w:ind w:left="568" w:hanging="568"/>
        <w:spacing w:after="0" w:line="325" w:lineRule="auto"/>
        <w:tabs>
          <w:tab w:leader="none" w:pos="56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$41 million and $57 million of accelerated depreciation during 2025 and 2024, respectively, related to plant optimization actions. See Note D for additional details.</w:t>
      </w:r>
    </w:p>
    <w:p>
      <w:pPr>
        <w:sectPr>
          <w:pgSz w:w="12240" w:h="15840" w:orient="portrait"/>
          <w:cols w:equalWidth="0" w:num="1">
            <w:col w:w="11368"/>
          </w:cols>
          <w:pgMar w:left="432" w:top="1092"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1368"/>
          </w:cols>
          <w:pgMar w:left="432" w:top="1092" w:right="440" w:bottom="186"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NOTE G – GOODWILL AND OTHER INTANGIBLES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164"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During the third quarter of fiscal 2025, Ashland experienced a continued decline in the market price of its common stock. Ashland also experienced slowing growth due to a weakening macroeconomic environment that is dampening consumer sentiment and demand globally which resulted in lower growth and lower margins for the Life Sciences and Specialty Additives reporting units than what was previously forecasted. These factors led Ashland to determine that triggering events occurred, and a quantitative goodwill impairment assessment was performed during the third quarter of fiscal 2025.</w:t>
      </w:r>
    </w:p>
    <w:p>
      <w:pPr>
        <w:spacing w:after="0" w:line="77"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Following the aforementioned quantitative analysis, the carrying value of the Life Sciences and the Specialty Additives reporting units exceeded their fair value, resulting in non-cash goodwill impairment charges of $375 million and $331 million, respectively, for a total goodwill impairment charge of $706 million, which was recorded within the goodwill impairment caption of the Statement of Consolidated Comprehensive Income (Loss) for the year ended September 30, 2025. The pre-impairment goodwill balance for the Life Sciences and Specialty Additives reporting units were $841 million and $443 million, respectively. The goodwill impairment charges are nondeductible for tax purposes.</w:t>
      </w:r>
    </w:p>
    <w:p>
      <w:pPr>
        <w:spacing w:after="0" w:line="8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On July 1, 2025, the date of our annual goodwill impairment assessment, Ashland evaluated each reporting unit using a qualitative approach focusing on any additional changes in market conditions, performances versus forecast and strategic initiatives. Particular attention was given to forward looking macroeconomic trends and forecasts, recent financial results, earnings multiples for guideline public companies in each reporting unit's industry peer group and sensitivity analysis for each reporting unit's discounted cash flow model. There was no additional impairment identified as part of the July 1, 2025 annual goodwill impairment assessment. No subsequent indicators of impairment had been identified during the fourth quarter of fiscal 2025.</w:t>
      </w:r>
    </w:p>
    <w:p>
      <w:pPr>
        <w:spacing w:after="0" w:line="8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The valuation used to test goodwill for impairment is dependent upon a number of significant estimates and assumptions, including macroeconomic conditions, growth rates, competitive activities, cost containment, margin expansion, and Ashland's business plans. Ashland believes these estimates and assumptions are reasonable. However, future changes in the judgments, assumptions, and estimates that are used in the impairment testing for goodwill, including discount rates or future cash flow projections, could result in significantly different estimates of the fair values. As a result of these factors and other factors discussed above and the limited or no cushion (or headroom as commonly referred) for the Life Sciences and Specialty Additives reporting units, goodwill is more susceptible to impairment risk.</w:t>
      </w:r>
    </w:p>
    <w:p>
      <w:pPr>
        <w:spacing w:after="0" w:line="80"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20"/>
          <w:szCs w:val="20"/>
          <w:color w:val="auto"/>
        </w:rPr>
        <w:t>Ashland is required to provide additional disclosures about fair value measurements as part of the Consolidated Financial Statements for each major category of assets and liabilities measured at fair value on a non-recurring basis (including impairment assessments). Goodwill was valued using Level 3 inputs, which are unobservable by nature, and included internal estimates of future cash flows (income approach). Significant increases (decreases) in any of those unobservable inputs in isolation would result in a significantly higher (lower) fair value measurement. The most significant assumptions used in the determination of the estimated fair value of reporting units are sales and EBITDA growth rates (including terminal growth rates) and the discount rate. The terminal growth rate represents the rate at which the reporting unit is expected to grow beyond the shorter-term business planning period. The terminal growth rate utilized in Ashland’s fair value estimate is consistent with the reporting unit operating plans and approximates expected long-term category market growth rates and inflation. The discount rate, which is consistent with a weighted-average cost of capital that is likely to be expected by a market participant, is based upon industry required rates of return, including consideration of both debt and equity components of the capital structure. The discount rates may be impacted by adverse changes in the macroeconomic environment, volatility in the equity and debt markets, or other factors. While Ashland can implement and has implemented certain strategies to address the events that triggered the interim impairment assessment, future changes in operating plans or other adverse changes could result in a further decline in fair value that would trigger a future material impairment charge of the reporting unit’s goodwill balance.</w:t>
      </w:r>
    </w:p>
    <w:p>
      <w:pPr>
        <w:sectPr>
          <w:pgSz w:w="12240" w:h="15840" w:orient="portrait"/>
          <w:cols w:equalWidth="0" w:num="1">
            <w:col w:w="11360"/>
          </w:cols>
          <w:pgMar w:left="440" w:top="926"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1360"/>
          </w:cols>
          <w:pgMar w:left="440" w:top="926" w:right="440" w:bottom="186" w:gutter="0" w:footer="0" w:header="0"/>
          <w:type w:val="continuous"/>
        </w:sectPr>
      </w:pPr>
    </w:p>
    <w:bookmarkStart w:id="128" w:name="page129"/>
    <w:bookmarkEnd w:id="128"/>
    <w:p>
      <w:pPr>
        <w:ind w:left="368"/>
        <w:spacing w:after="0"/>
        <w:rPr>
          <w:sz w:val="20"/>
          <w:szCs w:val="20"/>
          <w:color w:val="auto"/>
        </w:rPr>
      </w:pPr>
      <w:r>
        <w:rPr>
          <w:rFonts w:ascii="Times New Roman" w:cs="Times New Roman" w:eastAsia="Times New Roman" w:hAnsi="Times New Roman"/>
          <w:sz w:val="20"/>
          <w:szCs w:val="20"/>
          <w:color w:val="auto"/>
        </w:rPr>
        <w:t>The following is a progression of goodwill by reportable segment for the years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42810"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351">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Life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Specialty</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 millions)</w:t>
            </w:r>
          </w:p>
        </w:tc>
        <w:tc>
          <w:tcPr>
            <w:tcW w:w="60" w:type="dxa"/>
            <w:vAlign w:val="bottom"/>
          </w:tcPr>
          <w:p>
            <w:pPr>
              <w:spacing w:after="0"/>
              <w:rPr>
                <w:sz w:val="21"/>
                <w:szCs w:val="21"/>
                <w:color w:val="auto"/>
              </w:rPr>
            </w:pP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Sciences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Personal Care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Additives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Intermediates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Total</w:t>
            </w:r>
          </w:p>
        </w:tc>
      </w:tr>
      <w:tr>
        <w:trPr>
          <w:trHeight w:val="239"/>
        </w:trPr>
        <w:tc>
          <w:tcPr>
            <w:tcW w:w="3880" w:type="dxa"/>
            <w:vAlign w:val="bottom"/>
            <w:gridSpan w:val="4"/>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Balance at September 30, 2023</w:t>
            </w:r>
          </w:p>
        </w:tc>
        <w:tc>
          <w:tcPr>
            <w:tcW w:w="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819</w:t>
            </w:r>
          </w:p>
        </w:tc>
        <w:tc>
          <w:tcPr>
            <w:tcW w:w="340" w:type="dxa"/>
            <w:vAlign w:val="bottom"/>
            <w:gridSpan w:val="5"/>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122</w:t>
            </w:r>
          </w:p>
        </w:tc>
        <w:tc>
          <w:tcPr>
            <w:tcW w:w="20" w:type="dxa"/>
            <w:vAlign w:val="bottom"/>
            <w:shd w:val="clear" w:color="auto" w:fill="D5EFF4"/>
          </w:tcPr>
          <w:p>
            <w:pPr>
              <w:spacing w:after="0"/>
              <w:rPr>
                <w:sz w:val="20"/>
                <w:szCs w:val="20"/>
                <w:color w:val="auto"/>
              </w:rPr>
            </w:pPr>
          </w:p>
        </w:tc>
        <w:tc>
          <w:tcPr>
            <w:tcW w:w="320" w:type="dxa"/>
            <w:vAlign w:val="bottom"/>
            <w:gridSpan w:val="5"/>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421</w:t>
            </w:r>
          </w:p>
        </w:tc>
        <w:tc>
          <w:tcPr>
            <w:tcW w:w="20" w:type="dxa"/>
            <w:vAlign w:val="bottom"/>
            <w:shd w:val="clear" w:color="auto" w:fill="D5EFF4"/>
          </w:tcPr>
          <w:p>
            <w:pPr>
              <w:spacing w:after="0"/>
              <w:rPr>
                <w:sz w:val="20"/>
                <w:szCs w:val="20"/>
                <w:color w:val="auto"/>
              </w:rPr>
            </w:pPr>
          </w:p>
        </w:tc>
        <w:tc>
          <w:tcPr>
            <w:tcW w:w="320" w:type="dxa"/>
            <w:vAlign w:val="bottom"/>
            <w:gridSpan w:val="5"/>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shd w:val="clear" w:color="auto" w:fill="D5EFF4"/>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5"/>
            <w:shd w:val="clear" w:color="auto" w:fill="D5EFF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1,362</w:t>
            </w:r>
          </w:p>
        </w:tc>
        <w:tc>
          <w:tcPr>
            <w:tcW w:w="80" w:type="dxa"/>
            <w:vAlign w:val="bottom"/>
            <w:tcBorders>
              <w:top w:val="single" w:sz="8" w:color="auto"/>
            </w:tcBorders>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r>
      <w:tr>
        <w:trPr>
          <w:trHeight w:val="244"/>
        </w:trPr>
        <w:tc>
          <w:tcPr>
            <w:tcW w:w="3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Currency translation and other</w:t>
            </w:r>
          </w:p>
        </w:tc>
        <w:tc>
          <w:tcPr>
            <w:tcW w:w="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3880" w:type="dxa"/>
            <w:vAlign w:val="bottom"/>
            <w:tcBorders>
              <w:bottom w:val="single" w:sz="8" w:color="D5EFF4"/>
            </w:tcBorders>
            <w:gridSpan w:val="4"/>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Nutraceuticals business - divestiture</w:t>
            </w:r>
            <w:r>
              <w:rPr>
                <w:rFonts w:ascii="Times New Roman" w:cs="Times New Roman" w:eastAsia="Times New Roman" w:hAnsi="Times New Roman"/>
                <w:sz w:val="25"/>
                <w:szCs w:val="25"/>
                <w:color w:val="auto"/>
                <w:vertAlign w:val="superscript"/>
              </w:rPr>
              <w:t>(a)</w:t>
            </w:r>
          </w:p>
        </w:tc>
        <w:tc>
          <w:tcPr>
            <w:tcW w:w="60" w:type="dxa"/>
            <w:vAlign w:val="bottom"/>
            <w:tcBorders>
              <w:bottom w:val="single" w:sz="8" w:color="D5EFF4"/>
            </w:tcBorders>
            <w:shd w:val="clear" w:color="auto" w:fill="D5EFF4"/>
          </w:tcPr>
          <w:p>
            <w:pPr>
              <w:spacing w:after="0"/>
              <w:rPr>
                <w:sz w:val="22"/>
                <w:szCs w:val="22"/>
                <w:color w:val="auto"/>
              </w:rPr>
            </w:pPr>
          </w:p>
        </w:tc>
        <w:tc>
          <w:tcPr>
            <w:tcW w:w="1020" w:type="dxa"/>
            <w:vAlign w:val="bottom"/>
            <w:tcBorders>
              <w:bottom w:val="single" w:sz="8" w:color="D5EFF4"/>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4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40" w:type="dxa"/>
            <w:vAlign w:val="bottom"/>
            <w:tcBorders>
              <w:bottom w:val="single" w:sz="8" w:color="D5EFF4"/>
            </w:tcBorders>
            <w:shd w:val="clear" w:color="auto" w:fill="D5EFF4"/>
          </w:tcPr>
          <w:p>
            <w:pPr>
              <w:spacing w:after="0"/>
              <w:rPr>
                <w:sz w:val="22"/>
                <w:szCs w:val="22"/>
                <w:color w:val="auto"/>
              </w:rPr>
            </w:pPr>
          </w:p>
        </w:tc>
        <w:tc>
          <w:tcPr>
            <w:tcW w:w="1420" w:type="dxa"/>
            <w:vAlign w:val="bottom"/>
            <w:tcBorders>
              <w:bottom w:val="single" w:sz="8" w:color="D5EFF4"/>
            </w:tcBorders>
            <w:gridSpan w:val="2"/>
            <w:shd w:val="clear" w:color="auto" w:fill="D5EFF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60" w:type="dxa"/>
            <w:vAlign w:val="bottom"/>
            <w:tcBorders>
              <w:bottom w:val="single" w:sz="8" w:color="D5EFF4"/>
            </w:tcBorders>
            <w:shd w:val="clear" w:color="auto" w:fill="D5EFF4"/>
          </w:tcPr>
          <w:p>
            <w:pPr>
              <w:spacing w:after="0"/>
              <w:rPr>
                <w:sz w:val="22"/>
                <w:szCs w:val="22"/>
                <w:color w:val="auto"/>
              </w:rPr>
            </w:pPr>
          </w:p>
        </w:tc>
        <w:tc>
          <w:tcPr>
            <w:tcW w:w="1060" w:type="dxa"/>
            <w:vAlign w:val="bottom"/>
            <w:tcBorders>
              <w:bottom w:val="single" w:sz="8" w:color="D5EFF4"/>
            </w:tcBorders>
            <w:gridSpan w:val="2"/>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60" w:type="dxa"/>
            <w:vAlign w:val="bottom"/>
            <w:tcBorders>
              <w:bottom w:val="single" w:sz="8" w:color="D5EFF4"/>
            </w:tcBorders>
            <w:shd w:val="clear" w:color="auto" w:fill="D5EFF4"/>
          </w:tcPr>
          <w:p>
            <w:pPr>
              <w:spacing w:after="0"/>
              <w:rPr>
                <w:sz w:val="22"/>
                <w:szCs w:val="22"/>
                <w:color w:val="auto"/>
              </w:rPr>
            </w:pPr>
          </w:p>
        </w:tc>
        <w:tc>
          <w:tcPr>
            <w:tcW w:w="1340" w:type="dxa"/>
            <w:vAlign w:val="bottom"/>
            <w:tcBorders>
              <w:bottom w:val="single" w:sz="8" w:color="D5EFF4"/>
            </w:tcBorders>
            <w:gridSpan w:val="2"/>
            <w:shd w:val="clear" w:color="auto" w:fill="D5EFF4"/>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200" w:type="dxa"/>
            <w:vAlign w:val="bottom"/>
            <w:tcBorders>
              <w:bottom w:val="single" w:sz="8" w:color="auto"/>
            </w:tcBorders>
            <w:shd w:val="clear" w:color="auto" w:fill="D5EFF4"/>
          </w:tcPr>
          <w:p>
            <w:pPr>
              <w:spacing w:after="0"/>
              <w:rPr>
                <w:sz w:val="22"/>
                <w:szCs w:val="22"/>
                <w:color w:val="auto"/>
              </w:rPr>
            </w:pPr>
          </w:p>
        </w:tc>
        <w:tc>
          <w:tcPr>
            <w:tcW w:w="112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Borders>
              <w:bottom w:val="single" w:sz="8" w:color="D5EFF4"/>
            </w:tcBorders>
            <w:shd w:val="clear" w:color="auto" w:fill="D5EFF4"/>
          </w:tcPr>
          <w:p>
            <w:pPr>
              <w:spacing w:after="0"/>
              <w:rPr>
                <w:sz w:val="22"/>
                <w:szCs w:val="22"/>
                <w:color w:val="auto"/>
              </w:rPr>
            </w:pPr>
          </w:p>
        </w:tc>
      </w:tr>
      <w:tr>
        <w:trPr>
          <w:trHeight w:val="259"/>
        </w:trPr>
        <w:tc>
          <w:tcPr>
            <w:tcW w:w="3840" w:type="dxa"/>
            <w:vAlign w:val="bottom"/>
            <w:tcBorders>
              <w:bottom w:val="single" w:sz="8" w:color="D5EFF4"/>
            </w:tcBorders>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Balance at September 30, 2024</w:t>
            </w:r>
            <w:r>
              <w:rPr>
                <w:rFonts w:ascii="Times New Roman" w:cs="Times New Roman" w:eastAsia="Times New Roman" w:hAnsi="Times New Roman"/>
                <w:sz w:val="25"/>
                <w:szCs w:val="25"/>
                <w:b w:val="1"/>
                <w:bCs w:val="1"/>
                <w:color w:val="auto"/>
                <w:vertAlign w:val="superscript"/>
              </w:rPr>
              <w:t>(b)</w:t>
            </w:r>
          </w:p>
        </w:tc>
        <w:tc>
          <w:tcPr>
            <w:tcW w:w="40" w:type="dxa"/>
            <w:vAlign w:val="bottom"/>
            <w:tcBorders>
              <w:bottom w:val="single" w:sz="8" w:color="auto"/>
            </w:tcBorders>
            <w:gridSpan w:val="2"/>
          </w:tcPr>
          <w:p>
            <w:pPr>
              <w:spacing w:after="0"/>
              <w:rPr>
                <w:sz w:val="22"/>
                <w:szCs w:val="2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822</w:t>
            </w:r>
          </w:p>
        </w:tc>
        <w:tc>
          <w:tcPr>
            <w:tcW w:w="240" w:type="dxa"/>
            <w:vAlign w:val="bottom"/>
            <w:tcBorders>
              <w:bottom w:val="single" w:sz="8" w:color="D5EFF4"/>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rPr>
              <w:t>125</w:t>
            </w:r>
          </w:p>
        </w:tc>
        <w:tc>
          <w:tcPr>
            <w:tcW w:w="20" w:type="dxa"/>
            <w:vAlign w:val="bottom"/>
            <w:tcBorders>
              <w:top w:val="single" w:sz="8" w:color="auto"/>
            </w:tcBorders>
          </w:tcPr>
          <w:p>
            <w:pPr>
              <w:spacing w:after="0"/>
              <w:rPr>
                <w:sz w:val="22"/>
                <w:szCs w:val="22"/>
                <w:color w:val="auto"/>
              </w:rPr>
            </w:pPr>
          </w:p>
        </w:tc>
        <w:tc>
          <w:tcPr>
            <w:tcW w:w="200" w:type="dxa"/>
            <w:vAlign w:val="bottom"/>
            <w:tcBorders>
              <w:bottom w:val="single" w:sz="8" w:color="D5EFF4"/>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434</w:t>
            </w:r>
          </w:p>
        </w:tc>
        <w:tc>
          <w:tcPr>
            <w:tcW w:w="20" w:type="dxa"/>
            <w:vAlign w:val="bottom"/>
            <w:tcBorders>
              <w:top w:val="single" w:sz="8" w:color="auto"/>
            </w:tcBorders>
          </w:tcPr>
          <w:p>
            <w:pPr>
              <w:spacing w:after="0"/>
              <w:rPr>
                <w:sz w:val="22"/>
                <w:szCs w:val="22"/>
                <w:color w:val="auto"/>
              </w:rPr>
            </w:pPr>
          </w:p>
        </w:tc>
        <w:tc>
          <w:tcPr>
            <w:tcW w:w="200" w:type="dxa"/>
            <w:vAlign w:val="bottom"/>
            <w:tcBorders>
              <w:bottom w:val="single" w:sz="8" w:color="D5EFF4"/>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ind w:left="1000"/>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auto"/>
            </w:tcBorders>
          </w:tcPr>
          <w:p>
            <w:pPr>
              <w:spacing w:after="0"/>
              <w:rPr>
                <w:sz w:val="22"/>
                <w:szCs w:val="22"/>
                <w:color w:val="auto"/>
              </w:rPr>
            </w:pPr>
          </w:p>
        </w:tc>
        <w:tc>
          <w:tcPr>
            <w:tcW w:w="220" w:type="dxa"/>
            <w:vAlign w:val="bottom"/>
            <w:tcBorders>
              <w:bottom w:val="single" w:sz="8" w:color="D5EFF4"/>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1,381</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38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Impairment</w:t>
            </w:r>
          </w:p>
        </w:tc>
        <w:tc>
          <w:tcPr>
            <w:tcW w:w="40" w:type="dxa"/>
            <w:vAlign w:val="bottom"/>
            <w:gridSpan w:val="2"/>
            <w:shd w:val="clear" w:color="auto" w:fill="D5EFF4"/>
          </w:tcPr>
          <w:p>
            <w:pPr>
              <w:spacing w:after="0"/>
              <w:rPr>
                <w:sz w:val="19"/>
                <w:szCs w:val="19"/>
                <w:color w:val="auto"/>
              </w:rPr>
            </w:pPr>
          </w:p>
        </w:tc>
        <w:tc>
          <w:tcPr>
            <w:tcW w:w="60" w:type="dxa"/>
            <w:vAlign w:val="bottom"/>
            <w:shd w:val="clear" w:color="auto" w:fill="D5EFF4"/>
          </w:tcPr>
          <w:p>
            <w:pPr>
              <w:spacing w:after="0"/>
              <w:rPr>
                <w:sz w:val="19"/>
                <w:szCs w:val="19"/>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24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40" w:type="dxa"/>
            <w:vAlign w:val="bottom"/>
            <w:shd w:val="clear" w:color="auto" w:fill="D5EFF4"/>
          </w:tcPr>
          <w:p>
            <w:pPr>
              <w:spacing w:after="0"/>
              <w:rPr>
                <w:sz w:val="19"/>
                <w:szCs w:val="19"/>
                <w:color w:val="auto"/>
              </w:rPr>
            </w:pPr>
          </w:p>
        </w:tc>
        <w:tc>
          <w:tcPr>
            <w:tcW w:w="1420" w:type="dxa"/>
            <w:vAlign w:val="bottom"/>
            <w:gridSpan w:val="2"/>
            <w:shd w:val="clear" w:color="auto" w:fill="D5EFF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60" w:type="dxa"/>
            <w:vAlign w:val="bottom"/>
            <w:shd w:val="clear" w:color="auto" w:fill="D5EFF4"/>
          </w:tcPr>
          <w:p>
            <w:pPr>
              <w:spacing w:after="0"/>
              <w:rPr>
                <w:sz w:val="19"/>
                <w:szCs w:val="19"/>
                <w:color w:val="auto"/>
              </w:rPr>
            </w:pPr>
          </w:p>
        </w:tc>
        <w:tc>
          <w:tcPr>
            <w:tcW w:w="10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20" w:type="dxa"/>
            <w:vAlign w:val="bottom"/>
            <w:shd w:val="clear" w:color="auto" w:fill="D5EFF4"/>
          </w:tcPr>
          <w:p>
            <w:pPr>
              <w:spacing w:after="0"/>
              <w:rPr>
                <w:sz w:val="19"/>
                <w:szCs w:val="19"/>
                <w:color w:val="auto"/>
              </w:rPr>
            </w:pPr>
          </w:p>
        </w:tc>
        <w:tc>
          <w:tcPr>
            <w:tcW w:w="20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60" w:type="dxa"/>
            <w:vAlign w:val="bottom"/>
            <w:shd w:val="clear" w:color="auto" w:fill="D5EFF4"/>
          </w:tcPr>
          <w:p>
            <w:pPr>
              <w:spacing w:after="0"/>
              <w:rPr>
                <w:sz w:val="19"/>
                <w:szCs w:val="19"/>
                <w:color w:val="auto"/>
              </w:rPr>
            </w:pPr>
          </w:p>
        </w:tc>
        <w:tc>
          <w:tcPr>
            <w:tcW w:w="1340" w:type="dxa"/>
            <w:vAlign w:val="bottom"/>
            <w:gridSpan w:val="2"/>
            <w:shd w:val="clear" w:color="auto" w:fill="D5EFF4"/>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20" w:type="dxa"/>
            <w:vAlign w:val="bottom"/>
            <w:shd w:val="clear" w:color="auto" w:fill="D5EFF4"/>
          </w:tcPr>
          <w:p>
            <w:pPr>
              <w:spacing w:after="0"/>
              <w:rPr>
                <w:sz w:val="19"/>
                <w:szCs w:val="19"/>
                <w:color w:val="auto"/>
              </w:rPr>
            </w:pPr>
          </w:p>
        </w:tc>
        <w:tc>
          <w:tcPr>
            <w:tcW w:w="200" w:type="dxa"/>
            <w:vAlign w:val="bottom"/>
            <w:shd w:val="clear" w:color="auto" w:fill="D5EFF4"/>
          </w:tcPr>
          <w:p>
            <w:pPr>
              <w:spacing w:after="0"/>
              <w:rPr>
                <w:sz w:val="19"/>
                <w:szCs w:val="19"/>
                <w:color w:val="auto"/>
              </w:rPr>
            </w:pPr>
          </w:p>
        </w:tc>
        <w:tc>
          <w:tcPr>
            <w:tcW w:w="112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(706)</w:t>
            </w:r>
          </w:p>
        </w:tc>
        <w:tc>
          <w:tcPr>
            <w:tcW w:w="20" w:type="dxa"/>
            <w:vAlign w:val="bottom"/>
            <w:shd w:val="clear" w:color="auto" w:fill="D5EFF4"/>
          </w:tcPr>
          <w:p>
            <w:pPr>
              <w:spacing w:after="0"/>
              <w:rPr>
                <w:sz w:val="19"/>
                <w:szCs w:val="19"/>
                <w:color w:val="auto"/>
              </w:rPr>
            </w:pPr>
          </w:p>
        </w:tc>
      </w:tr>
      <w:tr>
        <w:trPr>
          <w:trHeight w:val="244"/>
        </w:trPr>
        <w:tc>
          <w:tcPr>
            <w:tcW w:w="3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Currency translation and other</w:t>
            </w:r>
          </w:p>
        </w:tc>
        <w:tc>
          <w:tcPr>
            <w:tcW w:w="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3880" w:type="dxa"/>
            <w:vAlign w:val="bottom"/>
            <w:tcBorders>
              <w:bottom w:val="single" w:sz="8" w:color="D5EFF4"/>
            </w:tcBorders>
            <w:gridSpan w:val="4"/>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Avoca business - divestiture</w:t>
            </w:r>
            <w:r>
              <w:rPr>
                <w:rFonts w:ascii="Times New Roman" w:cs="Times New Roman" w:eastAsia="Times New Roman" w:hAnsi="Times New Roman"/>
                <w:sz w:val="25"/>
                <w:szCs w:val="25"/>
                <w:color w:val="auto"/>
                <w:vertAlign w:val="superscript"/>
              </w:rPr>
              <w:t>(c)</w:t>
            </w:r>
          </w:p>
        </w:tc>
        <w:tc>
          <w:tcPr>
            <w:tcW w:w="60" w:type="dxa"/>
            <w:vAlign w:val="bottom"/>
            <w:tcBorders>
              <w:bottom w:val="single" w:sz="8" w:color="D5EFF4"/>
            </w:tcBorders>
            <w:shd w:val="clear" w:color="auto" w:fill="D5EFF4"/>
          </w:tcPr>
          <w:p>
            <w:pPr>
              <w:spacing w:after="0"/>
              <w:rPr>
                <w:sz w:val="22"/>
                <w:szCs w:val="22"/>
                <w:color w:val="auto"/>
              </w:rPr>
            </w:pPr>
          </w:p>
        </w:tc>
        <w:tc>
          <w:tcPr>
            <w:tcW w:w="1020" w:type="dxa"/>
            <w:vAlign w:val="bottom"/>
            <w:tcBorders>
              <w:bottom w:val="single" w:sz="8" w:color="D5EFF4"/>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40" w:type="dxa"/>
            <w:vAlign w:val="bottom"/>
            <w:tcBorders>
              <w:bottom w:val="single" w:sz="8" w:color="D5EFF4"/>
            </w:tcBorders>
            <w:shd w:val="clear" w:color="auto" w:fill="D5EFF4"/>
          </w:tcPr>
          <w:p>
            <w:pPr>
              <w:spacing w:after="0"/>
              <w:rPr>
                <w:sz w:val="22"/>
                <w:szCs w:val="22"/>
                <w:color w:val="auto"/>
              </w:rPr>
            </w:pPr>
          </w:p>
        </w:tc>
        <w:tc>
          <w:tcPr>
            <w:tcW w:w="1400" w:type="dxa"/>
            <w:vAlign w:val="bottom"/>
            <w:tcBorders>
              <w:bottom w:val="single" w:sz="8" w:color="D5EFF4"/>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Borders>
              <w:bottom w:val="single" w:sz="8" w:color="D5EFF4"/>
            </w:tcBorders>
            <w:shd w:val="clear" w:color="auto" w:fill="D5EFF4"/>
          </w:tcPr>
          <w:p>
            <w:pPr>
              <w:spacing w:after="0"/>
              <w:rPr>
                <w:sz w:val="22"/>
                <w:szCs w:val="22"/>
                <w:color w:val="auto"/>
              </w:rPr>
            </w:pPr>
          </w:p>
        </w:tc>
        <w:tc>
          <w:tcPr>
            <w:tcW w:w="2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60" w:type="dxa"/>
            <w:vAlign w:val="bottom"/>
            <w:tcBorders>
              <w:bottom w:val="single" w:sz="8" w:color="D5EFF4"/>
            </w:tcBorders>
            <w:shd w:val="clear" w:color="auto" w:fill="D5EFF4"/>
          </w:tcPr>
          <w:p>
            <w:pPr>
              <w:spacing w:after="0"/>
              <w:rPr>
                <w:sz w:val="22"/>
                <w:szCs w:val="22"/>
                <w:color w:val="auto"/>
              </w:rPr>
            </w:pPr>
          </w:p>
        </w:tc>
        <w:tc>
          <w:tcPr>
            <w:tcW w:w="1060" w:type="dxa"/>
            <w:vAlign w:val="bottom"/>
            <w:tcBorders>
              <w:bottom w:val="single" w:sz="8" w:color="D5EFF4"/>
            </w:tcBorders>
            <w:gridSpan w:val="2"/>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60" w:type="dxa"/>
            <w:vAlign w:val="bottom"/>
            <w:tcBorders>
              <w:bottom w:val="single" w:sz="8" w:color="D5EFF4"/>
            </w:tcBorders>
            <w:shd w:val="clear" w:color="auto" w:fill="D5EFF4"/>
          </w:tcPr>
          <w:p>
            <w:pPr>
              <w:spacing w:after="0"/>
              <w:rPr>
                <w:sz w:val="22"/>
                <w:szCs w:val="22"/>
                <w:color w:val="auto"/>
              </w:rPr>
            </w:pPr>
          </w:p>
        </w:tc>
        <w:tc>
          <w:tcPr>
            <w:tcW w:w="1340" w:type="dxa"/>
            <w:vAlign w:val="bottom"/>
            <w:tcBorders>
              <w:bottom w:val="single" w:sz="8" w:color="D5EFF4"/>
            </w:tcBorders>
            <w:gridSpan w:val="2"/>
            <w:shd w:val="clear" w:color="auto" w:fill="D5EFF4"/>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20" w:type="dxa"/>
            <w:vAlign w:val="bottom"/>
            <w:tcBorders>
              <w:bottom w:val="single" w:sz="8" w:color="auto"/>
            </w:tcBorders>
            <w:shd w:val="clear" w:color="auto" w:fill="D5EFF4"/>
          </w:tcPr>
          <w:p>
            <w:pPr>
              <w:spacing w:after="0"/>
              <w:rPr>
                <w:sz w:val="22"/>
                <w:szCs w:val="22"/>
                <w:color w:val="auto"/>
              </w:rPr>
            </w:pPr>
          </w:p>
        </w:tc>
        <w:tc>
          <w:tcPr>
            <w:tcW w:w="200" w:type="dxa"/>
            <w:vAlign w:val="bottom"/>
            <w:tcBorders>
              <w:bottom w:val="single" w:sz="8" w:color="auto"/>
            </w:tcBorders>
            <w:shd w:val="clear" w:color="auto" w:fill="D5EFF4"/>
          </w:tcPr>
          <w:p>
            <w:pPr>
              <w:spacing w:after="0"/>
              <w:rPr>
                <w:sz w:val="22"/>
                <w:szCs w:val="22"/>
                <w:color w:val="auto"/>
              </w:rPr>
            </w:pPr>
          </w:p>
        </w:tc>
        <w:tc>
          <w:tcPr>
            <w:tcW w:w="112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Borders>
              <w:bottom w:val="single" w:sz="8" w:color="D5EFF4"/>
            </w:tcBorders>
            <w:shd w:val="clear" w:color="auto" w:fill="D5EFF4"/>
          </w:tcPr>
          <w:p>
            <w:pPr>
              <w:spacing w:after="0"/>
              <w:rPr>
                <w:sz w:val="22"/>
                <w:szCs w:val="22"/>
                <w:color w:val="auto"/>
              </w:rPr>
            </w:pPr>
          </w:p>
        </w:tc>
      </w:tr>
      <w:tr>
        <w:trPr>
          <w:trHeight w:val="219"/>
        </w:trPr>
        <w:tc>
          <w:tcPr>
            <w:tcW w:w="3860" w:type="dxa"/>
            <w:vAlign w:val="bottom"/>
            <w:gridSpan w:val="3"/>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Balance at September 30, 2025</w:t>
            </w:r>
            <w:r>
              <w:rPr>
                <w:rFonts w:ascii="Times New Roman" w:cs="Times New Roman" w:eastAsia="Times New Roman" w:hAnsi="Times New Roman"/>
                <w:sz w:val="25"/>
                <w:szCs w:val="25"/>
                <w:b w:val="1"/>
                <w:bCs w:val="1"/>
                <w:color w:val="auto"/>
                <w:vertAlign w:val="superscript"/>
              </w:rPr>
              <w:t>(d)</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466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rPr>
              <w:t>127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ind w:left="1000"/>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705</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
        </w:trPr>
        <w:tc>
          <w:tcPr>
            <w:tcW w:w="38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-1400810</wp:posOffset>
            </wp:positionV>
            <wp:extent cx="720788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352">
                      <a:extLst>
                        <a:ext uri="{28A0092B-C50C-407E-A947-70E740481C1C}"/>
                      </a:extLst>
                    </a:blip>
                    <a:srcRect/>
                    <a:stretch>
                      <a:fillRect/>
                    </a:stretch>
                  </pic:blipFill>
                  <pic:spPr bwMode="auto">
                    <a:xfrm>
                      <a:off x="0" y="0"/>
                      <a:ext cx="72078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0788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353">
                      <a:extLst>
                        <a:ext uri="{28A0092B-C50C-407E-A947-70E740481C1C}"/>
                      </a:extLst>
                    </a:blip>
                    <a:srcRect/>
                    <a:stretch>
                      <a:fillRect/>
                    </a:stretch>
                  </pic:blipFill>
                  <pic:spPr bwMode="auto">
                    <a:xfrm>
                      <a:off x="0" y="0"/>
                      <a:ext cx="7207885" cy="3810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Ashland allocated $17 million to the Nutraceuticals business during 2024. See Note B for additional details.</w:t>
      </w:r>
    </w:p>
    <w:p>
      <w:pPr>
        <w:spacing w:after="0" w:line="76" w:lineRule="exact"/>
        <w:rPr>
          <w:rFonts w:ascii="Times New Roman" w:cs="Times New Roman" w:eastAsia="Times New Roman" w:hAnsi="Times New Roman"/>
          <w:sz w:val="16"/>
          <w:szCs w:val="16"/>
          <w:color w:val="auto"/>
        </w:rPr>
      </w:pPr>
    </w:p>
    <w:p>
      <w:pPr>
        <w:ind w:left="568" w:hanging="568"/>
        <w:spacing w:after="0" w:line="314" w:lineRule="auto"/>
        <w:tabs>
          <w:tab w:leader="none" w:pos="56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2024, there were accumulated impairments of zero, $356 million, $174 million and $90 million related to the Life Sciences, Personal Care, Specialty Additives and Intermediates reportable segments, respectively.</w:t>
      </w:r>
    </w:p>
    <w:p>
      <w:pPr>
        <w:ind w:left="568" w:hanging="568"/>
        <w:spacing w:after="0"/>
        <w:tabs>
          <w:tab w:leader="none" w:pos="56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Ashland allocated $1 million to the Avoca business during 2025. See Note B for additional details.</w:t>
      </w:r>
    </w:p>
    <w:p>
      <w:pPr>
        <w:spacing w:after="0" w:line="76" w:lineRule="exact"/>
        <w:rPr>
          <w:rFonts w:ascii="Times New Roman" w:cs="Times New Roman" w:eastAsia="Times New Roman" w:hAnsi="Times New Roman"/>
          <w:sz w:val="16"/>
          <w:szCs w:val="16"/>
          <w:color w:val="auto"/>
        </w:rPr>
      </w:pPr>
    </w:p>
    <w:p>
      <w:pPr>
        <w:ind w:left="568" w:hanging="568"/>
        <w:spacing w:after="0" w:line="325" w:lineRule="auto"/>
        <w:tabs>
          <w:tab w:leader="none" w:pos="56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2025, there were accumulated impairments of $375 million, $356 million, $505 million and $90 million related to the Life Sciences, Personal Care, Specialty Additives and Intermediates reportable segments, respectively.</w:t>
      </w:r>
    </w:p>
    <w:p>
      <w:pPr>
        <w:spacing w:after="0" w:line="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Other intangible assets</w:t>
      </w:r>
    </w:p>
    <w:p>
      <w:pPr>
        <w:spacing w:after="0" w:line="164" w:lineRule="exact"/>
        <w:rPr>
          <w:sz w:val="20"/>
          <w:szCs w:val="20"/>
          <w:color w:val="auto"/>
        </w:rPr>
      </w:pPr>
    </w:p>
    <w:p>
      <w:pPr>
        <w:jc w:val="both"/>
        <w:ind w:left="8" w:firstLine="360"/>
        <w:spacing w:after="0" w:line="268" w:lineRule="auto"/>
        <w:rPr>
          <w:sz w:val="20"/>
          <w:szCs w:val="20"/>
          <w:color w:val="auto"/>
        </w:rPr>
      </w:pPr>
      <w:r>
        <w:rPr>
          <w:rFonts w:ascii="Times New Roman" w:cs="Times New Roman" w:eastAsia="Times New Roman" w:hAnsi="Times New Roman"/>
          <w:sz w:val="20"/>
          <w:szCs w:val="20"/>
          <w:color w:val="auto"/>
        </w:rPr>
        <w:t>In conjunction with the triggering events described above for goodwill, Ashland tested its indefinite-lived intangible assets for impairment during the third quarter of fiscal 2025. Ashland's quantitative assessment did not indicate any impairment, as each indefinite-lived intangible asset's fair value exceeded its carrying values. Trademarks and trade names are valued using a “relief-from-royalty” valuation method compared to the carrying value. On July 1, 2025, the date of our annual impairment assessment, Ashland evaluated its indefinite-lived intangible assets for impairment using a qualitative approach focusing on key assumptions used as part of the third quarter quantitative approach. There was no impairment identified as part of the July 1, 2025 annual other indefinite-lived intangible asset impairment assessment. No subsequent indicators of impairment had been identified during the fourth quarter of fiscal 2025. However, similar to the factors discussed with respect to goodwill above and limited cushion, certain indefinite-lived intangible assets are more susceptible to impairment risk. See Note B for further information with respect to other intangible assets related to the Avoca business.</w:t>
      </w:r>
    </w:p>
    <w:p>
      <w:pPr>
        <w:spacing w:after="0" w:line="86"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Other intangible assets were comprised of the following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42810"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354">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240"/>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Gross</w:t>
            </w:r>
          </w:p>
        </w:tc>
        <w:tc>
          <w:tcPr>
            <w:tcW w:w="15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Net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Gross</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Accumulated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40"/>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0" w:type="dxa"/>
            <w:vAlign w:val="bottom"/>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amount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amount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amount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w:t>
            </w:r>
          </w:p>
        </w:tc>
        <w:tc>
          <w:tcPr>
            <w:tcW w:w="0" w:type="dxa"/>
            <w:vAlign w:val="bottom"/>
          </w:tcPr>
          <w:p>
            <w:pPr>
              <w:spacing w:after="0"/>
              <w:rPr>
                <w:sz w:val="1"/>
                <w:szCs w:val="1"/>
                <w:color w:val="auto"/>
              </w:rPr>
            </w:pPr>
          </w:p>
        </w:tc>
      </w:tr>
      <w:tr>
        <w:trPr>
          <w:trHeight w:val="207"/>
        </w:trPr>
        <w:tc>
          <w:tcPr>
            <w:tcW w:w="338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80" w:type="dxa"/>
            <w:vAlign w:val="bottom"/>
            <w:shd w:val="clear" w:color="auto" w:fill="D5EFF4"/>
          </w:tcPr>
          <w:p>
            <w:pPr>
              <w:spacing w:after="0"/>
              <w:rPr>
                <w:sz w:val="17"/>
                <w:szCs w:val="17"/>
                <w:color w:val="auto"/>
              </w:rPr>
            </w:pPr>
          </w:p>
        </w:tc>
        <w:tc>
          <w:tcPr>
            <w:tcW w:w="92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20" w:type="dxa"/>
            <w:vAlign w:val="bottom"/>
            <w:shd w:val="clear" w:color="auto" w:fill="D5EFF4"/>
          </w:tcPr>
          <w:p>
            <w:pPr>
              <w:spacing w:after="0"/>
              <w:rPr>
                <w:sz w:val="17"/>
                <w:szCs w:val="17"/>
                <w:color w:val="auto"/>
              </w:rPr>
            </w:pPr>
          </w:p>
        </w:tc>
        <w:tc>
          <w:tcPr>
            <w:tcW w:w="122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40" w:type="dxa"/>
            <w:vAlign w:val="bottom"/>
            <w:shd w:val="clear" w:color="auto" w:fill="D5EFF4"/>
          </w:tcPr>
          <w:p>
            <w:pPr>
              <w:spacing w:after="0"/>
              <w:rPr>
                <w:sz w:val="17"/>
                <w:szCs w:val="17"/>
                <w:color w:val="auto"/>
              </w:rPr>
            </w:pPr>
          </w:p>
        </w:tc>
        <w:tc>
          <w:tcPr>
            <w:tcW w:w="90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020" w:type="dxa"/>
            <w:vAlign w:val="bottom"/>
            <w:shd w:val="clear" w:color="auto" w:fill="D5EFF4"/>
          </w:tcPr>
          <w:p>
            <w:pPr>
              <w:spacing w:after="0"/>
              <w:rPr>
                <w:sz w:val="17"/>
                <w:szCs w:val="17"/>
                <w:color w:val="auto"/>
              </w:rPr>
            </w:pPr>
          </w:p>
        </w:tc>
        <w:tc>
          <w:tcPr>
            <w:tcW w:w="6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00" w:type="dxa"/>
            <w:vAlign w:val="bottom"/>
            <w:shd w:val="clear" w:color="auto" w:fill="D5EFF4"/>
          </w:tcPr>
          <w:p>
            <w:pPr>
              <w:spacing w:after="0"/>
              <w:rPr>
                <w:sz w:val="17"/>
                <w:szCs w:val="17"/>
                <w:color w:val="auto"/>
              </w:rPr>
            </w:pPr>
          </w:p>
        </w:tc>
        <w:tc>
          <w:tcPr>
            <w:tcW w:w="1160" w:type="dxa"/>
            <w:vAlign w:val="bottom"/>
            <w:shd w:val="clear" w:color="auto" w:fill="D5EFF4"/>
          </w:tcPr>
          <w:p>
            <w:pPr>
              <w:spacing w:after="0"/>
              <w:rPr>
                <w:sz w:val="17"/>
                <w:szCs w:val="17"/>
                <w:color w:val="auto"/>
              </w:rPr>
            </w:pPr>
          </w:p>
        </w:tc>
        <w:tc>
          <w:tcPr>
            <w:tcW w:w="280" w:type="dxa"/>
            <w:vAlign w:val="bottom"/>
            <w:shd w:val="clear" w:color="auto" w:fill="D5EFF4"/>
          </w:tcPr>
          <w:p>
            <w:pPr>
              <w:spacing w:after="0"/>
              <w:rPr>
                <w:sz w:val="17"/>
                <w:szCs w:val="17"/>
                <w:color w:val="auto"/>
              </w:rPr>
            </w:pPr>
          </w:p>
        </w:tc>
        <w:tc>
          <w:tcPr>
            <w:tcW w:w="120" w:type="dxa"/>
            <w:vAlign w:val="bottom"/>
            <w:shd w:val="clear" w:color="auto" w:fill="D5EFF4"/>
          </w:tcPr>
          <w:p>
            <w:pPr>
              <w:spacing w:after="0"/>
              <w:rPr>
                <w:sz w:val="17"/>
                <w:szCs w:val="17"/>
                <w:color w:val="auto"/>
              </w:rPr>
            </w:pPr>
          </w:p>
        </w:tc>
        <w:tc>
          <w:tcPr>
            <w:tcW w:w="860" w:type="dxa"/>
            <w:vAlign w:val="bottom"/>
            <w:shd w:val="clear" w:color="auto" w:fill="D5EF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8"/>
                <w:szCs w:val="18"/>
                <w:color w:val="auto"/>
              </w:rPr>
              <w:t>Trademarks and trade names</w:t>
            </w:r>
            <w:r>
              <w:rPr>
                <w:rFonts w:ascii="Times New Roman" w:cs="Times New Roman" w:eastAsia="Times New Roman" w:hAnsi="Times New Roman"/>
                <w:sz w:val="23"/>
                <w:szCs w:val="23"/>
                <w:color w:val="auto"/>
                <w:vertAlign w:val="superscript"/>
              </w:rPr>
              <w:t>(a)</w:t>
            </w:r>
          </w:p>
        </w:tc>
        <w:tc>
          <w:tcPr>
            <w:tcW w:w="80" w:type="dxa"/>
            <w:vAlign w:val="bottom"/>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7"/>
        </w:trPr>
        <w:tc>
          <w:tcPr>
            <w:tcW w:w="3380" w:type="dxa"/>
            <w:vAlign w:val="bottom"/>
            <w:gridSpan w:val="3"/>
            <w:shd w:val="clear" w:color="auto" w:fill="D5EFF4"/>
          </w:tcPr>
          <w:p>
            <w:pPr>
              <w:ind w:left="200"/>
              <w:spacing w:after="0" w:line="207" w:lineRule="exact"/>
              <w:rPr>
                <w:sz w:val="20"/>
                <w:szCs w:val="20"/>
                <w:color w:val="auto"/>
              </w:rPr>
            </w:pPr>
            <w:r>
              <w:rPr>
                <w:rFonts w:ascii="Times New Roman" w:cs="Times New Roman" w:eastAsia="Times New Roman" w:hAnsi="Times New Roman"/>
                <w:sz w:val="18"/>
                <w:szCs w:val="18"/>
                <w:color w:val="auto"/>
              </w:rPr>
              <w:t>Intellectual property</w:t>
            </w:r>
            <w:r>
              <w:rPr>
                <w:rFonts w:ascii="Times New Roman" w:cs="Times New Roman" w:eastAsia="Times New Roman" w:hAnsi="Times New Roman"/>
                <w:sz w:val="23"/>
                <w:szCs w:val="23"/>
                <w:color w:val="auto"/>
                <w:vertAlign w:val="superscript"/>
              </w:rPr>
              <w:t>(b)</w:t>
            </w:r>
          </w:p>
        </w:tc>
        <w:tc>
          <w:tcPr>
            <w:tcW w:w="80" w:type="dxa"/>
            <w:vAlign w:val="bottom"/>
            <w:shd w:val="clear" w:color="auto" w:fill="D5EFF4"/>
          </w:tcPr>
          <w:p>
            <w:pPr>
              <w:spacing w:after="0"/>
              <w:rPr>
                <w:sz w:val="17"/>
                <w:szCs w:val="17"/>
                <w:color w:val="auto"/>
              </w:rPr>
            </w:pPr>
          </w:p>
        </w:tc>
        <w:tc>
          <w:tcPr>
            <w:tcW w:w="920" w:type="dxa"/>
            <w:vAlign w:val="bottom"/>
            <w:shd w:val="clear" w:color="auto" w:fill="D5EFF4"/>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shd w:val="clear" w:color="auto" w:fill="D5EFF4"/>
          </w:tcPr>
          <w:p>
            <w:pPr>
              <w:spacing w:after="0"/>
              <w:rPr>
                <w:sz w:val="17"/>
                <w:szCs w:val="17"/>
                <w:color w:val="auto"/>
              </w:rPr>
            </w:pPr>
          </w:p>
        </w:tc>
        <w:tc>
          <w:tcPr>
            <w:tcW w:w="120" w:type="dxa"/>
            <w:vAlign w:val="bottom"/>
            <w:shd w:val="clear" w:color="auto" w:fill="D5EFF4"/>
          </w:tcPr>
          <w:p>
            <w:pPr>
              <w:spacing w:after="0"/>
              <w:rPr>
                <w:sz w:val="17"/>
                <w:szCs w:val="17"/>
                <w:color w:val="auto"/>
              </w:rPr>
            </w:pPr>
          </w:p>
        </w:tc>
        <w:tc>
          <w:tcPr>
            <w:tcW w:w="12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shd w:val="clear" w:color="auto" w:fill="D5EFF4"/>
          </w:tcPr>
          <w:p>
            <w:pPr>
              <w:spacing w:after="0"/>
              <w:rPr>
                <w:sz w:val="17"/>
                <w:szCs w:val="17"/>
                <w:color w:val="auto"/>
              </w:rPr>
            </w:pPr>
          </w:p>
        </w:tc>
        <w:tc>
          <w:tcPr>
            <w:tcW w:w="140" w:type="dxa"/>
            <w:vAlign w:val="bottom"/>
            <w:shd w:val="clear" w:color="auto" w:fill="D5EFF4"/>
          </w:tcPr>
          <w:p>
            <w:pPr>
              <w:spacing w:after="0"/>
              <w:rPr>
                <w:sz w:val="17"/>
                <w:szCs w:val="17"/>
                <w:color w:val="auto"/>
              </w:rPr>
            </w:pPr>
          </w:p>
        </w:tc>
        <w:tc>
          <w:tcPr>
            <w:tcW w:w="900" w:type="dxa"/>
            <w:vAlign w:val="bottom"/>
            <w:shd w:val="clear" w:color="auto" w:fill="D5EFF4"/>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02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6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00" w:type="dxa"/>
            <w:vAlign w:val="bottom"/>
            <w:shd w:val="clear" w:color="auto" w:fill="D5EFF4"/>
          </w:tcPr>
          <w:p>
            <w:pPr>
              <w:spacing w:after="0"/>
              <w:rPr>
                <w:sz w:val="17"/>
                <w:szCs w:val="17"/>
                <w:color w:val="auto"/>
              </w:rPr>
            </w:pPr>
          </w:p>
        </w:tc>
        <w:tc>
          <w:tcPr>
            <w:tcW w:w="11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80" w:type="dxa"/>
            <w:vAlign w:val="bottom"/>
            <w:shd w:val="clear" w:color="auto" w:fill="D5EFF4"/>
          </w:tcPr>
          <w:p>
            <w:pPr>
              <w:spacing w:after="0"/>
              <w:rPr>
                <w:sz w:val="17"/>
                <w:szCs w:val="17"/>
                <w:color w:val="auto"/>
              </w:rPr>
            </w:pPr>
          </w:p>
        </w:tc>
        <w:tc>
          <w:tcPr>
            <w:tcW w:w="120" w:type="dxa"/>
            <w:vAlign w:val="bottom"/>
            <w:shd w:val="clear" w:color="auto" w:fill="D5EFF4"/>
          </w:tcPr>
          <w:p>
            <w:pPr>
              <w:spacing w:after="0"/>
              <w:rPr>
                <w:sz w:val="17"/>
                <w:szCs w:val="17"/>
                <w:color w:val="auto"/>
              </w:rPr>
            </w:pPr>
          </w:p>
        </w:tc>
        <w:tc>
          <w:tcPr>
            <w:tcW w:w="8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7"/>
        </w:trPr>
        <w:tc>
          <w:tcPr>
            <w:tcW w:w="3380" w:type="dxa"/>
            <w:vAlign w:val="bottom"/>
            <w:tcBorders>
              <w:bottom w:val="single" w:sz="8" w:color="D5EFF4"/>
            </w:tcBorders>
            <w:gridSpan w:val="3"/>
          </w:tcPr>
          <w:p>
            <w:pPr>
              <w:ind w:left="200"/>
              <w:spacing w:after="0" w:line="207" w:lineRule="exact"/>
              <w:rPr>
                <w:sz w:val="20"/>
                <w:szCs w:val="20"/>
                <w:color w:val="auto"/>
              </w:rPr>
            </w:pPr>
            <w:r>
              <w:rPr>
                <w:rFonts w:ascii="Times New Roman" w:cs="Times New Roman" w:eastAsia="Times New Roman" w:hAnsi="Times New Roman"/>
                <w:sz w:val="18"/>
                <w:szCs w:val="18"/>
                <w:color w:val="auto"/>
              </w:rPr>
              <w:t>Customer and supplier relationships</w:t>
            </w:r>
            <w:r>
              <w:rPr>
                <w:rFonts w:ascii="Times New Roman" w:cs="Times New Roman" w:eastAsia="Times New Roman" w:hAnsi="Times New Roman"/>
                <w:sz w:val="23"/>
                <w:szCs w:val="23"/>
                <w:color w:val="auto"/>
                <w:vertAlign w:val="superscript"/>
              </w:rPr>
              <w:t>(c)</w:t>
            </w: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Borders>
              <w:bottom w:val="single" w:sz="8" w:color="D5EF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Borders>
              <w:bottom w:val="single" w:sz="8" w:color="D5EF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Borders>
              <w:bottom w:val="single" w:sz="8" w:color="D5EFF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D5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tcBorders>
              <w:bottom w:val="single" w:sz="8" w:color="D5EF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2"/>
        </w:trPr>
        <w:tc>
          <w:tcPr>
            <w:tcW w:w="3380" w:type="dxa"/>
            <w:vAlign w:val="bottom"/>
            <w:gridSpan w:val="3"/>
            <w:shd w:val="clear" w:color="auto" w:fill="D5EFF4"/>
          </w:tcPr>
          <w:p>
            <w:pPr>
              <w:spacing w:after="0" w:line="202" w:lineRule="exact"/>
              <w:rPr>
                <w:sz w:val="20"/>
                <w:szCs w:val="20"/>
                <w:color w:val="auto"/>
              </w:rPr>
            </w:pPr>
            <w:r>
              <w:rPr>
                <w:rFonts w:ascii="Times New Roman" w:cs="Times New Roman" w:eastAsia="Times New Roman" w:hAnsi="Times New Roman"/>
                <w:sz w:val="18"/>
                <w:szCs w:val="18"/>
                <w:color w:val="auto"/>
              </w:rPr>
              <w:t>Total definite-lived intangible assets</w:t>
            </w:r>
          </w:p>
        </w:tc>
        <w:tc>
          <w:tcPr>
            <w:tcW w:w="80" w:type="dxa"/>
            <w:vAlign w:val="bottom"/>
            <w:shd w:val="clear" w:color="auto" w:fill="D5EFF4"/>
          </w:tcPr>
          <w:p>
            <w:pPr>
              <w:spacing w:after="0"/>
              <w:rPr>
                <w:sz w:val="17"/>
                <w:szCs w:val="17"/>
                <w:color w:val="auto"/>
              </w:rPr>
            </w:pPr>
          </w:p>
        </w:tc>
        <w:tc>
          <w:tcPr>
            <w:tcW w:w="920" w:type="dxa"/>
            <w:vAlign w:val="bottom"/>
            <w:shd w:val="clear" w:color="auto" w:fill="D5EFF4"/>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1,372</w:t>
            </w:r>
          </w:p>
        </w:tc>
        <w:tc>
          <w:tcPr>
            <w:tcW w:w="200" w:type="dxa"/>
            <w:vAlign w:val="bottom"/>
            <w:shd w:val="clear" w:color="auto" w:fill="D5EFF4"/>
          </w:tcPr>
          <w:p>
            <w:pPr>
              <w:spacing w:after="0"/>
              <w:rPr>
                <w:sz w:val="17"/>
                <w:szCs w:val="17"/>
                <w:color w:val="auto"/>
              </w:rPr>
            </w:pPr>
          </w:p>
        </w:tc>
        <w:tc>
          <w:tcPr>
            <w:tcW w:w="120" w:type="dxa"/>
            <w:vAlign w:val="bottom"/>
            <w:shd w:val="clear" w:color="auto" w:fill="D5EFF4"/>
          </w:tcPr>
          <w:p>
            <w:pPr>
              <w:spacing w:after="0"/>
              <w:rPr>
                <w:sz w:val="17"/>
                <w:szCs w:val="17"/>
                <w:color w:val="auto"/>
              </w:rPr>
            </w:pPr>
          </w:p>
        </w:tc>
        <w:tc>
          <w:tcPr>
            <w:tcW w:w="1220" w:type="dxa"/>
            <w:vAlign w:val="bottom"/>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rPr>
              <w:t>(1,087)</w:t>
            </w:r>
          </w:p>
        </w:tc>
        <w:tc>
          <w:tcPr>
            <w:tcW w:w="200" w:type="dxa"/>
            <w:vAlign w:val="bottom"/>
            <w:shd w:val="clear" w:color="auto" w:fill="D5EFF4"/>
          </w:tcPr>
          <w:p>
            <w:pPr>
              <w:spacing w:after="0"/>
              <w:rPr>
                <w:sz w:val="17"/>
                <w:szCs w:val="17"/>
                <w:color w:val="auto"/>
              </w:rPr>
            </w:pPr>
          </w:p>
        </w:tc>
        <w:tc>
          <w:tcPr>
            <w:tcW w:w="140" w:type="dxa"/>
            <w:vAlign w:val="bottom"/>
            <w:shd w:val="clear" w:color="auto" w:fill="D5EFF4"/>
          </w:tcPr>
          <w:p>
            <w:pPr>
              <w:spacing w:after="0"/>
              <w:rPr>
                <w:sz w:val="17"/>
                <w:szCs w:val="17"/>
                <w:color w:val="auto"/>
              </w:rPr>
            </w:pPr>
          </w:p>
        </w:tc>
        <w:tc>
          <w:tcPr>
            <w:tcW w:w="900" w:type="dxa"/>
            <w:vAlign w:val="bottom"/>
            <w:shd w:val="clear" w:color="auto" w:fill="D5EFF4"/>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020" w:type="dxa"/>
            <w:vAlign w:val="bottom"/>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rPr>
              <w:t>1,561</w:t>
            </w:r>
          </w:p>
        </w:tc>
        <w:tc>
          <w:tcPr>
            <w:tcW w:w="6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00" w:type="dxa"/>
            <w:vAlign w:val="bottom"/>
            <w:shd w:val="clear" w:color="auto" w:fill="D5EFF4"/>
          </w:tcPr>
          <w:p>
            <w:pPr>
              <w:spacing w:after="0"/>
              <w:rPr>
                <w:sz w:val="17"/>
                <w:szCs w:val="17"/>
                <w:color w:val="auto"/>
              </w:rPr>
            </w:pPr>
          </w:p>
        </w:tc>
        <w:tc>
          <w:tcPr>
            <w:tcW w:w="1160" w:type="dxa"/>
            <w:vAlign w:val="bottom"/>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rPr>
              <w:t>(1,088)</w:t>
            </w:r>
          </w:p>
        </w:tc>
        <w:tc>
          <w:tcPr>
            <w:tcW w:w="280" w:type="dxa"/>
            <w:vAlign w:val="bottom"/>
            <w:shd w:val="clear" w:color="auto" w:fill="D5EFF4"/>
          </w:tcPr>
          <w:p>
            <w:pPr>
              <w:spacing w:after="0"/>
              <w:rPr>
                <w:sz w:val="17"/>
                <w:szCs w:val="17"/>
                <w:color w:val="auto"/>
              </w:rPr>
            </w:pPr>
          </w:p>
        </w:tc>
        <w:tc>
          <w:tcPr>
            <w:tcW w:w="120" w:type="dxa"/>
            <w:vAlign w:val="bottom"/>
            <w:shd w:val="clear" w:color="auto" w:fill="D5EFF4"/>
          </w:tcPr>
          <w:p>
            <w:pPr>
              <w:spacing w:after="0"/>
              <w:rPr>
                <w:sz w:val="17"/>
                <w:szCs w:val="17"/>
                <w:color w:val="auto"/>
              </w:rPr>
            </w:pPr>
          </w:p>
        </w:tc>
        <w:tc>
          <w:tcPr>
            <w:tcW w:w="860" w:type="dxa"/>
            <w:vAlign w:val="bottom"/>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2"/>
        </w:trPr>
        <w:tc>
          <w:tcPr>
            <w:tcW w:w="3340" w:type="dxa"/>
            <w:vAlign w:val="bottom"/>
            <w:tcBorders>
              <w:top w:val="single" w:sz="8" w:color="D5EFF4"/>
            </w:tcBorders>
          </w:tcPr>
          <w:p>
            <w:pPr>
              <w:spacing w:after="0"/>
              <w:rPr>
                <w:sz w:val="17"/>
                <w:szCs w:val="17"/>
                <w:color w:val="auto"/>
              </w:rPr>
            </w:pPr>
          </w:p>
        </w:tc>
        <w:tc>
          <w:tcPr>
            <w:tcW w:w="20" w:type="dxa"/>
            <w:vAlign w:val="bottom"/>
            <w:tcBorders>
              <w:top w:val="single" w:sz="8" w:color="D5EFF4"/>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D5EFF4"/>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D5EFF4"/>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D5EFF4"/>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D5EFF4"/>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Borders>
              <w:top w:val="single" w:sz="8" w:color="D5EFF4"/>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gridSpan w:val="3"/>
            <w:shd w:val="clear" w:color="auto" w:fill="D5EFF4"/>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80" w:type="dxa"/>
            <w:vAlign w:val="bottom"/>
            <w:shd w:val="clear" w:color="auto" w:fill="D5EFF4"/>
          </w:tcPr>
          <w:p>
            <w:pPr>
              <w:spacing w:after="0"/>
              <w:rPr>
                <w:sz w:val="17"/>
                <w:szCs w:val="17"/>
                <w:color w:val="auto"/>
              </w:rPr>
            </w:pPr>
          </w:p>
        </w:tc>
        <w:tc>
          <w:tcPr>
            <w:tcW w:w="92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20" w:type="dxa"/>
            <w:vAlign w:val="bottom"/>
            <w:shd w:val="clear" w:color="auto" w:fill="D5EFF4"/>
          </w:tcPr>
          <w:p>
            <w:pPr>
              <w:spacing w:after="0"/>
              <w:rPr>
                <w:sz w:val="17"/>
                <w:szCs w:val="17"/>
                <w:color w:val="auto"/>
              </w:rPr>
            </w:pPr>
          </w:p>
        </w:tc>
        <w:tc>
          <w:tcPr>
            <w:tcW w:w="122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40" w:type="dxa"/>
            <w:vAlign w:val="bottom"/>
            <w:shd w:val="clear" w:color="auto" w:fill="D5EFF4"/>
          </w:tcPr>
          <w:p>
            <w:pPr>
              <w:spacing w:after="0"/>
              <w:rPr>
                <w:sz w:val="17"/>
                <w:szCs w:val="17"/>
                <w:color w:val="auto"/>
              </w:rPr>
            </w:pPr>
          </w:p>
        </w:tc>
        <w:tc>
          <w:tcPr>
            <w:tcW w:w="90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020" w:type="dxa"/>
            <w:vAlign w:val="bottom"/>
            <w:shd w:val="clear" w:color="auto" w:fill="D5EFF4"/>
          </w:tcPr>
          <w:p>
            <w:pPr>
              <w:spacing w:after="0"/>
              <w:rPr>
                <w:sz w:val="17"/>
                <w:szCs w:val="17"/>
                <w:color w:val="auto"/>
              </w:rPr>
            </w:pPr>
          </w:p>
        </w:tc>
        <w:tc>
          <w:tcPr>
            <w:tcW w:w="60" w:type="dxa"/>
            <w:vAlign w:val="bottom"/>
            <w:shd w:val="clear" w:color="auto" w:fill="D5EFF4"/>
          </w:tcPr>
          <w:p>
            <w:pPr>
              <w:spacing w:after="0"/>
              <w:rPr>
                <w:sz w:val="17"/>
                <w:szCs w:val="17"/>
                <w:color w:val="auto"/>
              </w:rPr>
            </w:pPr>
          </w:p>
        </w:tc>
        <w:tc>
          <w:tcPr>
            <w:tcW w:w="200" w:type="dxa"/>
            <w:vAlign w:val="bottom"/>
            <w:shd w:val="clear" w:color="auto" w:fill="D5EFF4"/>
          </w:tcPr>
          <w:p>
            <w:pPr>
              <w:spacing w:after="0"/>
              <w:rPr>
                <w:sz w:val="17"/>
                <w:szCs w:val="17"/>
                <w:color w:val="auto"/>
              </w:rPr>
            </w:pPr>
          </w:p>
        </w:tc>
        <w:tc>
          <w:tcPr>
            <w:tcW w:w="100" w:type="dxa"/>
            <w:vAlign w:val="bottom"/>
            <w:shd w:val="clear" w:color="auto" w:fill="D5EFF4"/>
          </w:tcPr>
          <w:p>
            <w:pPr>
              <w:spacing w:after="0"/>
              <w:rPr>
                <w:sz w:val="17"/>
                <w:szCs w:val="17"/>
                <w:color w:val="auto"/>
              </w:rPr>
            </w:pPr>
          </w:p>
        </w:tc>
        <w:tc>
          <w:tcPr>
            <w:tcW w:w="1160" w:type="dxa"/>
            <w:vAlign w:val="bottom"/>
            <w:shd w:val="clear" w:color="auto" w:fill="D5EFF4"/>
          </w:tcPr>
          <w:p>
            <w:pPr>
              <w:spacing w:after="0"/>
              <w:rPr>
                <w:sz w:val="17"/>
                <w:szCs w:val="17"/>
                <w:color w:val="auto"/>
              </w:rPr>
            </w:pPr>
          </w:p>
        </w:tc>
        <w:tc>
          <w:tcPr>
            <w:tcW w:w="280" w:type="dxa"/>
            <w:vAlign w:val="bottom"/>
            <w:shd w:val="clear" w:color="auto" w:fill="D5EFF4"/>
          </w:tcPr>
          <w:p>
            <w:pPr>
              <w:spacing w:after="0"/>
              <w:rPr>
                <w:sz w:val="17"/>
                <w:szCs w:val="17"/>
                <w:color w:val="auto"/>
              </w:rPr>
            </w:pPr>
          </w:p>
        </w:tc>
        <w:tc>
          <w:tcPr>
            <w:tcW w:w="120" w:type="dxa"/>
            <w:vAlign w:val="bottom"/>
            <w:shd w:val="clear" w:color="auto" w:fill="D5EFF4"/>
          </w:tcPr>
          <w:p>
            <w:pPr>
              <w:spacing w:after="0"/>
              <w:rPr>
                <w:sz w:val="17"/>
                <w:szCs w:val="17"/>
                <w:color w:val="auto"/>
              </w:rPr>
            </w:pPr>
          </w:p>
        </w:tc>
        <w:tc>
          <w:tcPr>
            <w:tcW w:w="860" w:type="dxa"/>
            <w:vAlign w:val="bottom"/>
            <w:shd w:val="clear" w:color="auto" w:fill="D5EF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8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2"/>
        </w:trPr>
        <w:tc>
          <w:tcPr>
            <w:tcW w:w="3360" w:type="dxa"/>
            <w:vAlign w:val="bottom"/>
            <w:tcBorders>
              <w:top w:val="single" w:sz="8" w:color="D5EFF4"/>
            </w:tcBorders>
            <w:gridSpan w:val="2"/>
            <w:shd w:val="clear" w:color="auto" w:fill="D5EFF4"/>
          </w:tcPr>
          <w:p>
            <w:pPr>
              <w:spacing w:after="0" w:line="202" w:lineRule="exact"/>
              <w:rPr>
                <w:sz w:val="20"/>
                <w:szCs w:val="20"/>
                <w:color w:val="auto"/>
              </w:rPr>
            </w:pPr>
            <w:r>
              <w:rPr>
                <w:rFonts w:ascii="Times New Roman" w:cs="Times New Roman" w:eastAsia="Times New Roman" w:hAnsi="Times New Roman"/>
                <w:sz w:val="18"/>
                <w:szCs w:val="18"/>
                <w:color w:val="auto"/>
              </w:rPr>
              <w:t>Total intangible assets</w:t>
            </w:r>
          </w:p>
        </w:tc>
        <w:tc>
          <w:tcPr>
            <w:tcW w:w="20" w:type="dxa"/>
            <w:vAlign w:val="bottom"/>
            <w:tcBorders>
              <w:top w:val="single" w:sz="8" w:color="auto"/>
            </w:tcBorders>
            <w:shd w:val="clear" w:color="auto" w:fill="D5EFF4"/>
          </w:tcPr>
          <w:p>
            <w:pPr>
              <w:spacing w:after="0"/>
              <w:rPr>
                <w:sz w:val="19"/>
                <w:szCs w:val="19"/>
                <w:color w:val="auto"/>
              </w:rPr>
            </w:pPr>
          </w:p>
        </w:tc>
        <w:tc>
          <w:tcPr>
            <w:tcW w:w="80" w:type="dxa"/>
            <w:vAlign w:val="bottom"/>
            <w:tcBorders>
              <w:top w:val="single" w:sz="8" w:color="auto"/>
            </w:tcBorders>
            <w:shd w:val="clear" w:color="auto" w:fill="D5EFF4"/>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top w:val="single" w:sz="8" w:color="auto"/>
            </w:tcBorders>
            <w:shd w:val="clear" w:color="auto" w:fill="D5EFF4"/>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1,650</w:t>
            </w:r>
          </w:p>
        </w:tc>
        <w:tc>
          <w:tcPr>
            <w:tcW w:w="200" w:type="dxa"/>
            <w:vAlign w:val="bottom"/>
            <w:tcBorders>
              <w:top w:val="single" w:sz="8" w:color="D5EFF4"/>
            </w:tcBorders>
            <w:shd w:val="clear" w:color="auto" w:fill="D5EFF4"/>
          </w:tcPr>
          <w:p>
            <w:pPr>
              <w:spacing w:after="0"/>
              <w:rPr>
                <w:sz w:val="19"/>
                <w:szCs w:val="19"/>
                <w:color w:val="auto"/>
              </w:rPr>
            </w:pPr>
          </w:p>
        </w:tc>
        <w:tc>
          <w:tcPr>
            <w:tcW w:w="120" w:type="dxa"/>
            <w:vAlign w:val="bottom"/>
            <w:tcBorders>
              <w:top w:val="single" w:sz="8" w:color="auto"/>
            </w:tcBorders>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rPr>
              <w:t>(1,087)</w:t>
            </w:r>
          </w:p>
        </w:tc>
        <w:tc>
          <w:tcPr>
            <w:tcW w:w="200" w:type="dxa"/>
            <w:vAlign w:val="bottom"/>
            <w:tcBorders>
              <w:top w:val="single" w:sz="8" w:color="D5EFF4"/>
            </w:tcBorders>
            <w:shd w:val="clear" w:color="auto" w:fill="D5EFF4"/>
          </w:tcPr>
          <w:p>
            <w:pPr>
              <w:spacing w:after="0"/>
              <w:rPr>
                <w:sz w:val="19"/>
                <w:szCs w:val="19"/>
                <w:color w:val="auto"/>
              </w:rPr>
            </w:pPr>
          </w:p>
        </w:tc>
        <w:tc>
          <w:tcPr>
            <w:tcW w:w="140" w:type="dxa"/>
            <w:vAlign w:val="bottom"/>
            <w:tcBorders>
              <w:top w:val="single" w:sz="8" w:color="auto"/>
            </w:tcBorders>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D5EFF4"/>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563</w:t>
            </w:r>
          </w:p>
        </w:tc>
        <w:tc>
          <w:tcPr>
            <w:tcW w:w="200" w:type="dxa"/>
            <w:vAlign w:val="bottom"/>
            <w:tcBorders>
              <w:top w:val="single" w:sz="8" w:color="D5EFF4"/>
            </w:tcBorders>
            <w:shd w:val="clear" w:color="auto" w:fill="D5EFF4"/>
          </w:tcPr>
          <w:p>
            <w:pPr>
              <w:spacing w:after="0"/>
              <w:rPr>
                <w:sz w:val="19"/>
                <w:szCs w:val="19"/>
                <w:color w:val="auto"/>
              </w:rPr>
            </w:pPr>
          </w:p>
        </w:tc>
        <w:tc>
          <w:tcPr>
            <w:tcW w:w="200" w:type="dxa"/>
            <w:vAlign w:val="bottom"/>
            <w:tcBorders>
              <w:top w:val="single" w:sz="8" w:color="auto"/>
            </w:tcBorders>
            <w:shd w:val="clear" w:color="auto" w:fill="D5EFF4"/>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rPr>
              <w:t>1,839</w:t>
            </w:r>
          </w:p>
        </w:tc>
        <w:tc>
          <w:tcPr>
            <w:tcW w:w="60" w:type="dxa"/>
            <w:vAlign w:val="bottom"/>
            <w:tcBorders>
              <w:top w:val="single" w:sz="8" w:color="auto"/>
            </w:tcBorders>
            <w:shd w:val="clear" w:color="auto" w:fill="D5EFF4"/>
          </w:tcPr>
          <w:p>
            <w:pPr>
              <w:spacing w:after="0"/>
              <w:rPr>
                <w:sz w:val="19"/>
                <w:szCs w:val="19"/>
                <w:color w:val="auto"/>
              </w:rPr>
            </w:pPr>
          </w:p>
        </w:tc>
        <w:tc>
          <w:tcPr>
            <w:tcW w:w="200" w:type="dxa"/>
            <w:vAlign w:val="bottom"/>
            <w:tcBorders>
              <w:top w:val="single" w:sz="8" w:color="D5EFF4"/>
            </w:tcBorders>
            <w:shd w:val="clear" w:color="auto" w:fill="D5EFF4"/>
          </w:tcPr>
          <w:p>
            <w:pPr>
              <w:spacing w:after="0"/>
              <w:rPr>
                <w:sz w:val="19"/>
                <w:szCs w:val="19"/>
                <w:color w:val="auto"/>
              </w:rPr>
            </w:pPr>
          </w:p>
        </w:tc>
        <w:tc>
          <w:tcPr>
            <w:tcW w:w="100" w:type="dxa"/>
            <w:vAlign w:val="bottom"/>
            <w:tcBorders>
              <w:top w:val="single" w:sz="8" w:color="auto"/>
            </w:tcBorders>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rPr>
              <w:t>(1,088)</w:t>
            </w:r>
          </w:p>
        </w:tc>
        <w:tc>
          <w:tcPr>
            <w:tcW w:w="280" w:type="dxa"/>
            <w:vAlign w:val="bottom"/>
            <w:tcBorders>
              <w:top w:val="single" w:sz="8" w:color="D5EFF4"/>
            </w:tcBorders>
            <w:shd w:val="clear" w:color="auto" w:fill="D5EFF4"/>
          </w:tcPr>
          <w:p>
            <w:pPr>
              <w:spacing w:after="0"/>
              <w:rPr>
                <w:sz w:val="19"/>
                <w:szCs w:val="19"/>
                <w:color w:val="auto"/>
              </w:rPr>
            </w:pPr>
          </w:p>
        </w:tc>
        <w:tc>
          <w:tcPr>
            <w:tcW w:w="120" w:type="dxa"/>
            <w:vAlign w:val="bottom"/>
            <w:tcBorders>
              <w:top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D5EFF4"/>
          </w:tcPr>
          <w:p>
            <w:pPr>
              <w:jc w:val="right"/>
              <w:spacing w:after="0" w:line="202" w:lineRule="exact"/>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0"/>
        </w:trPr>
        <w:tc>
          <w:tcPr>
            <w:tcW w:w="3340" w:type="dxa"/>
            <w:vAlign w:val="bottom"/>
            <w:tcBorders>
              <w:top w:val="single" w:sz="8" w:color="D5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EFF4"/>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EFF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EFF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EFF4"/>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5EFF4"/>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-1666240</wp:posOffset>
            </wp:positionV>
            <wp:extent cx="5116830"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355">
                      <a:extLst>
                        <a:ext uri="{28A0092B-C50C-407E-A947-70E740481C1C}"/>
                      </a:extLst>
                    </a:blip>
                    <a:srcRect/>
                    <a:stretch>
                      <a:fillRect/>
                    </a:stretch>
                  </pic:blipFill>
                  <pic:spPr bwMode="auto">
                    <a:xfrm>
                      <a:off x="0" y="0"/>
                      <a:ext cx="511683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-1263015</wp:posOffset>
            </wp:positionV>
            <wp:extent cx="7242810"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356">
                      <a:extLst>
                        <a:ext uri="{28A0092B-C50C-407E-A947-70E740481C1C}"/>
                      </a:extLst>
                    </a:blip>
                    <a:srcRect/>
                    <a:stretch>
                      <a:fillRect/>
                    </a:stretch>
                  </pic:blipFill>
                  <pic:spPr bwMode="auto">
                    <a:xfrm>
                      <a:off x="0" y="0"/>
                      <a:ext cx="724281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116840</wp:posOffset>
            </wp:positionV>
            <wp:extent cx="7242810"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357">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227" w:lineRule="exact"/>
        <w:rPr>
          <w:sz w:val="20"/>
          <w:szCs w:val="20"/>
          <w:color w:val="auto"/>
        </w:rPr>
      </w:pPr>
    </w:p>
    <w:p>
      <w:pPr>
        <w:ind w:left="568" w:hanging="568"/>
        <w:spacing w:after="0"/>
        <w:tabs>
          <w:tab w:leader="none" w:pos="568"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Ashland allocated $7 million to the Avoca business during 2025 and $7 million to the Nutraceuticals business during 2024. See Note B for additional details.</w:t>
      </w:r>
    </w:p>
    <w:p>
      <w:pPr>
        <w:spacing w:after="0" w:line="76"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Ashland allocated $29 million to the Avoca business during 2025 and $17 million to the Nutraceuticals business during 2024. See Note B for additional details.</w:t>
      </w:r>
    </w:p>
    <w:p>
      <w:pPr>
        <w:spacing w:after="0" w:line="76"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Ashland allocated $98 million to the Avoca business during 2025 and $45 million to the Nutraceuticals business during 2024. See Note B for additional details.</w:t>
      </w:r>
    </w:p>
    <w:p>
      <w:pPr>
        <w:spacing w:after="0" w:line="152" w:lineRule="exact"/>
        <w:rPr>
          <w:sz w:val="20"/>
          <w:szCs w:val="20"/>
          <w:color w:val="auto"/>
        </w:rPr>
      </w:pPr>
    </w:p>
    <w:p>
      <w:pPr>
        <w:jc w:val="both"/>
        <w:ind w:left="8" w:firstLine="360"/>
        <w:spacing w:after="0" w:line="294" w:lineRule="auto"/>
        <w:rPr>
          <w:sz w:val="20"/>
          <w:szCs w:val="20"/>
          <w:color w:val="auto"/>
        </w:rPr>
      </w:pPr>
      <w:r>
        <w:rPr>
          <w:rFonts w:ascii="Times New Roman" w:cs="Times New Roman" w:eastAsia="Times New Roman" w:hAnsi="Times New Roman"/>
          <w:sz w:val="20"/>
          <w:szCs w:val="20"/>
          <w:color w:val="auto"/>
        </w:rPr>
        <w:t>Amortization expense recognized on other intangible assets was $63 million for 2025, $76 million for 2024 and $93 million for 2023, and is included in the intangibles amortization expense caption of the Statements of Consolidated Comprehensive Income (Loss). As of September 30, 2025, all of Ashland’s intangible assets that had a carrying value were being amortized except for certain trademarks and trade names that have been determined to have indefinite lives. Estimated amortization expense for future periods is $58 million in 2026, $37 million in 2027, $34 million in 2028, $27 million in 2029 and $19 million in 2030.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1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F-27</w:t>
      </w:r>
    </w:p>
    <w:p>
      <w:pPr>
        <w:sectPr>
          <w:pgSz w:w="12240" w:h="15840" w:orient="portrait"/>
          <w:cols w:equalWidth="0" w:num="1">
            <w:col w:w="11368"/>
          </w:cols>
          <w:pgMar w:left="432" w:top="930" w:right="440" w:bottom="175" w:gutter="0" w:footer="0" w:header="0"/>
        </w:sectPr>
      </w:pPr>
    </w:p>
    <w:bookmarkStart w:id="129" w:name="page130"/>
    <w:bookmarkEnd w:id="129"/>
    <w:p>
      <w:pPr>
        <w:ind w:left="8"/>
        <w:spacing w:after="0"/>
        <w:rPr>
          <w:sz w:val="20"/>
          <w:szCs w:val="20"/>
          <w:color w:val="auto"/>
        </w:rPr>
      </w:pPr>
      <w:r>
        <w:rPr>
          <w:rFonts w:ascii="Times New Roman" w:cs="Times New Roman" w:eastAsia="Times New Roman" w:hAnsi="Times New Roman"/>
          <w:sz w:val="20"/>
          <w:szCs w:val="20"/>
          <w:i w:val="1"/>
          <w:iCs w:val="1"/>
          <w:color w:val="auto"/>
        </w:rPr>
        <w:t>Goodwill and other intangible assets</w:t>
      </w:r>
    </w:p>
    <w:p>
      <w:pPr>
        <w:spacing w:after="0" w:line="164" w:lineRule="exact"/>
        <w:rPr>
          <w:sz w:val="20"/>
          <w:szCs w:val="20"/>
          <w:color w:val="auto"/>
        </w:rPr>
      </w:pPr>
    </w:p>
    <w:p>
      <w:pPr>
        <w:jc w:val="both"/>
        <w:ind w:left="8" w:firstLine="360"/>
        <w:spacing w:after="0" w:line="297" w:lineRule="auto"/>
        <w:rPr>
          <w:sz w:val="20"/>
          <w:szCs w:val="20"/>
          <w:color w:val="auto"/>
        </w:rPr>
      </w:pPr>
      <w:r>
        <w:rPr>
          <w:rFonts w:ascii="Times New Roman" w:cs="Times New Roman" w:eastAsia="Times New Roman" w:hAnsi="Times New Roman"/>
          <w:sz w:val="20"/>
          <w:szCs w:val="20"/>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results,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73" w:lineRule="exact"/>
        <w:rPr>
          <w:sz w:val="20"/>
          <w:szCs w:val="20"/>
          <w:color w:val="auto"/>
        </w:rPr>
      </w:pPr>
    </w:p>
    <w:tbl>
      <w:tblPr>
        <w:tblLayout w:type="fixed"/>
        <w:tblInd w:w="8" w:type="dxa"/>
        <w:tblCellMar>
          <w:top w:w="0" w:type="dxa"/>
          <w:left w:w="0" w:type="dxa"/>
          <w:bottom w:w="0" w:type="dxa"/>
          <w:right w:w="0" w:type="dxa"/>
        </w:tblCellMar>
      </w:tblPr>
      <w:tr>
        <w:trPr>
          <w:trHeight w:val="274"/>
        </w:trPr>
        <w:tc>
          <w:tcPr>
            <w:tcW w:w="7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H – DEBT</w:t>
            </w:r>
          </w:p>
        </w:tc>
        <w:tc>
          <w:tcPr>
            <w:tcW w:w="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7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The following table summarizes Ashland’s current and long-term debt at September 30:</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60" w:type="dxa"/>
            <w:vAlign w:val="bottom"/>
          </w:tcPr>
          <w:p>
            <w:pPr>
              <w:spacing w:after="0"/>
              <w:rPr>
                <w:sz w:val="12"/>
                <w:szCs w:val="12"/>
                <w:color w:val="auto"/>
              </w:rPr>
            </w:pPr>
          </w:p>
        </w:tc>
        <w:tc>
          <w:tcPr>
            <w:tcW w:w="1380" w:type="dxa"/>
            <w:vAlign w:val="bottom"/>
            <w:vMerge w:val="restart"/>
          </w:tcPr>
          <w:p>
            <w:pPr>
              <w:jc w:val="right"/>
              <w:ind w:right="62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vMerge w:val="restart"/>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77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3.375% Senior Notes, due 2031</w:t>
            </w:r>
          </w:p>
        </w:tc>
        <w:tc>
          <w:tcPr>
            <w:tcW w:w="360" w:type="dxa"/>
            <w:vAlign w:val="bottom"/>
            <w:shd w:val="clear" w:color="auto" w:fill="D5EFF4"/>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450</w:t>
            </w:r>
          </w:p>
        </w:tc>
        <w:tc>
          <w:tcPr>
            <w:tcW w:w="520" w:type="dxa"/>
            <w:vAlign w:val="bottom"/>
            <w:gridSpan w:val="2"/>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8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2.00% Senior Notes, due 2028 (Euro 500 million principal)</w:t>
            </w:r>
          </w:p>
        </w:tc>
        <w:tc>
          <w:tcPr>
            <w:tcW w:w="3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586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6.875% notes, due 2043</w:t>
            </w:r>
          </w:p>
        </w:tc>
        <w:tc>
          <w:tcPr>
            <w:tcW w:w="360" w:type="dxa"/>
            <w:vAlign w:val="bottom"/>
            <w:shd w:val="clear" w:color="auto" w:fill="D5EFF4"/>
          </w:tcPr>
          <w:p>
            <w:pPr>
              <w:spacing w:after="0"/>
              <w:rPr>
                <w:sz w:val="21"/>
                <w:szCs w:val="21"/>
                <w:color w:val="auto"/>
              </w:rPr>
            </w:pPr>
          </w:p>
        </w:tc>
        <w:tc>
          <w:tcPr>
            <w:tcW w:w="13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282</w:t>
            </w:r>
          </w:p>
        </w:tc>
        <w:tc>
          <w:tcPr>
            <w:tcW w:w="180" w:type="dxa"/>
            <w:vAlign w:val="bottom"/>
            <w:shd w:val="clear" w:color="auto" w:fill="D5EFF4"/>
          </w:tcPr>
          <w:p>
            <w:pPr>
              <w:spacing w:after="0"/>
              <w:rPr>
                <w:sz w:val="21"/>
                <w:szCs w:val="21"/>
                <w:color w:val="auto"/>
              </w:rPr>
            </w:pPr>
          </w:p>
        </w:tc>
        <w:tc>
          <w:tcPr>
            <w:tcW w:w="340" w:type="dxa"/>
            <w:vAlign w:val="bottom"/>
            <w:shd w:val="clear" w:color="auto" w:fill="D5EFF4"/>
          </w:tcPr>
          <w:p>
            <w:pPr>
              <w:spacing w:after="0"/>
              <w:rPr>
                <w:sz w:val="21"/>
                <w:szCs w:val="21"/>
                <w:color w:val="auto"/>
              </w:rPr>
            </w:pPr>
          </w:p>
        </w:tc>
        <w:tc>
          <w:tcPr>
            <w:tcW w:w="12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80" w:type="dxa"/>
            <w:vAlign w:val="bottom"/>
            <w:shd w:val="clear" w:color="auto" w:fill="D5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6.50% junior subordinated notes, due 2029</w:t>
            </w:r>
          </w:p>
        </w:tc>
        <w:tc>
          <w:tcPr>
            <w:tcW w:w="3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D5EFF4"/>
            </w:tcBorders>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5"/>
                <w:szCs w:val="25"/>
                <w:color w:val="auto"/>
                <w:vertAlign w:val="superscript"/>
              </w:rPr>
              <w:t>(a)</w:t>
            </w:r>
          </w:p>
        </w:tc>
        <w:tc>
          <w:tcPr>
            <w:tcW w:w="360" w:type="dxa"/>
            <w:vAlign w:val="bottom"/>
            <w:tcBorders>
              <w:bottom w:val="single" w:sz="8" w:color="auto"/>
            </w:tcBorders>
            <w:shd w:val="clear" w:color="auto" w:fill="D5EFF4"/>
          </w:tcPr>
          <w:p>
            <w:pPr>
              <w:spacing w:after="0"/>
              <w:rPr>
                <w:sz w:val="22"/>
                <w:szCs w:val="22"/>
                <w:color w:val="auto"/>
              </w:rPr>
            </w:pPr>
          </w:p>
        </w:tc>
        <w:tc>
          <w:tcPr>
            <w:tcW w:w="13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80" w:type="dxa"/>
            <w:vAlign w:val="bottom"/>
            <w:tcBorders>
              <w:bottom w:val="single" w:sz="8" w:color="D5EFF4"/>
            </w:tcBorders>
            <w:shd w:val="clear" w:color="auto" w:fill="D5EFF4"/>
          </w:tcPr>
          <w:p>
            <w:pPr>
              <w:spacing w:after="0"/>
              <w:rPr>
                <w:sz w:val="22"/>
                <w:szCs w:val="22"/>
                <w:color w:val="auto"/>
              </w:rPr>
            </w:pPr>
          </w:p>
        </w:tc>
        <w:tc>
          <w:tcPr>
            <w:tcW w:w="340" w:type="dxa"/>
            <w:vAlign w:val="bottom"/>
            <w:tcBorders>
              <w:bottom w:val="single" w:sz="8" w:color="auto"/>
            </w:tcBorders>
            <w:shd w:val="clear" w:color="auto" w:fill="D5EFF4"/>
          </w:tcPr>
          <w:p>
            <w:pPr>
              <w:spacing w:after="0"/>
              <w:rPr>
                <w:sz w:val="22"/>
                <w:szCs w:val="22"/>
                <w:color w:val="auto"/>
              </w:rPr>
            </w:pPr>
          </w:p>
        </w:tc>
        <w:tc>
          <w:tcPr>
            <w:tcW w:w="134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19"/>
        </w:trPr>
        <w:tc>
          <w:tcPr>
            <w:tcW w:w="77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Long-term debt (less debt issuance costs)</w:t>
            </w:r>
          </w:p>
        </w:tc>
        <w:tc>
          <w:tcPr>
            <w:tcW w:w="360" w:type="dxa"/>
            <w:vAlign w:val="bottom"/>
            <w:tcBorders>
              <w:bottom w:val="single" w:sz="8" w:color="auto"/>
            </w:tcBorders>
          </w:tcPr>
          <w:p>
            <w:pPr>
              <w:jc w:val="right"/>
              <w:ind w:right="1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1,384</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1,349</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7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-1217295</wp:posOffset>
            </wp:positionV>
            <wp:extent cx="7207250"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358">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-1053465</wp:posOffset>
            </wp:positionV>
            <wp:extent cx="7207250"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359">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07250"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360">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5" w:lineRule="exact"/>
        <w:rPr>
          <w:sz w:val="20"/>
          <w:szCs w:val="20"/>
          <w:color w:val="auto"/>
        </w:rPr>
      </w:pPr>
    </w:p>
    <w:p>
      <w:pPr>
        <w:ind w:left="568" w:right="20" w:hanging="568"/>
        <w:spacing w:after="0" w:line="325" w:lineRule="auto"/>
        <w:tabs>
          <w:tab w:leader="none" w:pos="56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$10 million and $12 million of debt issuance costs as of September 30, 2025 and 2024, respectively. The current portion of the long-term debt was zero for both September 30, 2025 and 2024.</w:t>
      </w:r>
    </w:p>
    <w:p>
      <w:pPr>
        <w:spacing w:after="0" w:line="59" w:lineRule="exact"/>
        <w:rPr>
          <w:sz w:val="20"/>
          <w:szCs w:val="20"/>
          <w:color w:val="auto"/>
        </w:rPr>
      </w:pPr>
    </w:p>
    <w:p>
      <w:pPr>
        <w:jc w:val="both"/>
        <w:ind w:left="8" w:right="20" w:firstLine="360"/>
        <w:spacing w:after="0" w:line="306" w:lineRule="auto"/>
        <w:rPr>
          <w:sz w:val="20"/>
          <w:szCs w:val="20"/>
          <w:color w:val="auto"/>
        </w:rPr>
      </w:pPr>
      <w:r>
        <w:rPr>
          <w:rFonts w:ascii="Times New Roman" w:cs="Times New Roman" w:eastAsia="Times New Roman" w:hAnsi="Times New Roman"/>
          <w:sz w:val="20"/>
          <w:szCs w:val="20"/>
          <w:color w:val="auto"/>
        </w:rPr>
        <w:t>At September 30, 2025, Ashland’s total debt had an outstanding principal balance of $1,419 million, discounts of $25 million and debt issuance costs of $10 million. As of September 30, 2025, Ashland had no long-term debt (excluding debt issuance costs) maturing in 2026, $4 million due in fiscal 2027, $586 million in 2028, $97 million in 2029, and zero in 2030.</w:t>
      </w:r>
    </w:p>
    <w:p>
      <w:pPr>
        <w:spacing w:after="0" w:line="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Credit Agreements and Refinancing</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2022 Credit Agreement</w:t>
      </w:r>
    </w:p>
    <w:p>
      <w:pPr>
        <w:spacing w:after="0" w:line="164" w:lineRule="exact"/>
        <w:rPr>
          <w:sz w:val="20"/>
          <w:szCs w:val="20"/>
          <w:color w:val="auto"/>
        </w:rPr>
      </w:pPr>
    </w:p>
    <w:p>
      <w:pPr>
        <w:jc w:val="both"/>
        <w:ind w:left="8" w:right="20" w:firstLine="360"/>
        <w:spacing w:after="0" w:line="297" w:lineRule="auto"/>
        <w:rPr>
          <w:sz w:val="20"/>
          <w:szCs w:val="20"/>
          <w:color w:val="auto"/>
        </w:rPr>
      </w:pPr>
      <w:r>
        <w:rPr>
          <w:rFonts w:ascii="Times New Roman" w:cs="Times New Roman" w:eastAsia="Times New Roman" w:hAnsi="Times New Roman"/>
          <w:sz w:val="20"/>
          <w:szCs w:val="20"/>
          <w:color w:val="auto"/>
        </w:rPr>
        <w:t>During July 2022, Ashland, through two of its subsidiaries, enacted an amendment to the 2020 credit agreement. The amended credit agreement (the 2022 Credit Agreement) provides for a $600 million five-year revolving credit facility (the 2022 Revolving Credit Facility). The 2022 Credit Agreement and the obligations of Ashland Services B.V. under the 2022 Revolving Credit Facility are guaranteed by Ashland. The borrowing capacity remaining under the 2022 Credit Agreement was $596 million, which reflects the full $600 million 2022 Revolving Credit Facility less a reduction of $4 million for letters of credit outstanding at September 30, 2025.</w:t>
      </w:r>
    </w:p>
    <w:p>
      <w:pPr>
        <w:spacing w:after="0" w:line="77" w:lineRule="exact"/>
        <w:rPr>
          <w:sz w:val="20"/>
          <w:szCs w:val="20"/>
          <w:color w:val="auto"/>
        </w:rPr>
      </w:pPr>
    </w:p>
    <w:p>
      <w:pPr>
        <w:jc w:val="both"/>
        <w:ind w:left="8" w:right="20" w:firstLine="360"/>
        <w:spacing w:after="0" w:line="291" w:lineRule="auto"/>
        <w:rPr>
          <w:sz w:val="20"/>
          <w:szCs w:val="20"/>
          <w:color w:val="auto"/>
        </w:rPr>
      </w:pPr>
      <w:r>
        <w:rPr>
          <w:rFonts w:ascii="Times New Roman" w:cs="Times New Roman" w:eastAsia="Times New Roman" w:hAnsi="Times New Roman"/>
          <w:sz w:val="20"/>
          <w:szCs w:val="20"/>
          <w:color w:val="auto"/>
        </w:rPr>
        <w:t>At Ashland’s option, loans issued under the 2022 Credit Agreement bears interest at (a) in the case of loans denominated in U.S. dollars, either Term SOFR or an alternate base rate and (b) in the case of loans denominated in Euros, EURIBOR, in each case plus the applicable interest rate margin. Loans will initially bear interest at Term SOFR or EURIBOR plus 1.250% per annum, in the case of Term SOFR borrowings or EURIBOR borrowings, respectively, or at the alternate base rate plus 0.250% per annum, in the case of alternate base rate borrowings, through and including the date of delivery of a quarterly compliance certificate and thereafter the interest rate will fluctuate between Term SOFR or EURIBOR plus 1.250% per annum and Term SOFR or EURIBOR plus 1.750% per annum (or between the alternate base rate plus 0.250% per annum and the alternate base rate plus 0.750% per annum), based upon the Consolidated Net Leverage Ratio (as defined in the 2022 Credit Agreement) at such time. Term SOFR borrowings are subject to a credit spread adjustment of 0.10% per annum. In addition, the Company is required to pay fees of 0.125% per annum on the daily unused amount of the 2022 Revolving Credit Facility through and including the date of delivery of a quarterly compliance certificate, and thereafter the fee rate fluctuates between 0.125% and 0.275% per annum, based upon the Consolidated Net Leverage Ratio. Borrowings under the 2022 Credit Agreement may be prepaid at any time without premiums.</w:t>
      </w:r>
    </w:p>
    <w:p>
      <w:pPr>
        <w:spacing w:after="0" w:line="86" w:lineRule="exact"/>
        <w:rPr>
          <w:sz w:val="20"/>
          <w:szCs w:val="20"/>
          <w:color w:val="auto"/>
        </w:rPr>
      </w:pPr>
    </w:p>
    <w:p>
      <w:pPr>
        <w:jc w:val="both"/>
        <w:ind w:left="8" w:right="20" w:firstLine="360"/>
        <w:spacing w:after="0" w:line="300" w:lineRule="auto"/>
        <w:rPr>
          <w:sz w:val="20"/>
          <w:szCs w:val="20"/>
          <w:color w:val="auto"/>
        </w:rPr>
      </w:pPr>
      <w:r>
        <w:rPr>
          <w:rFonts w:ascii="Times New Roman" w:cs="Times New Roman" w:eastAsia="Times New Roman" w:hAnsi="Times New Roman"/>
          <w:sz w:val="20"/>
          <w:szCs w:val="20"/>
          <w:color w:val="auto"/>
        </w:rPr>
        <w:t>The 2022 Credit Agreement contains financial covenants for leverage and interest coverage ratios. The 2022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ectPr>
          <w:pgSz w:w="12240" w:h="15840" w:orient="portrait"/>
          <w:cols w:equalWidth="0" w:num="1">
            <w:col w:w="11388"/>
          </w:cols>
          <w:pgMar w:left="432" w:top="932" w:right="4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1388"/>
          </w:cols>
          <w:pgMar w:left="432" w:top="932" w:right="420" w:bottom="186"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Debt repayments and repurchases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repatriation</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During 2025 and 2024, Ashland repatriated $403 million and $305 million, respectively, in 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facilities and off-balance sheet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Accounts Receivable Sales Program</w:t>
      </w:r>
    </w:p>
    <w:p>
      <w:pPr>
        <w:spacing w:after="0" w:line="164" w:lineRule="exact"/>
        <w:rPr>
          <w:sz w:val="20"/>
          <w:szCs w:val="20"/>
          <w:color w:val="auto"/>
        </w:rPr>
      </w:pPr>
    </w:p>
    <w:p>
      <w:pPr>
        <w:jc w:val="both"/>
        <w:ind w:right="20" w:firstLine="360"/>
        <w:spacing w:after="0" w:line="295" w:lineRule="auto"/>
        <w:rPr>
          <w:sz w:val="20"/>
          <w:szCs w:val="20"/>
          <w:color w:val="auto"/>
        </w:rPr>
      </w:pPr>
      <w:r>
        <w:rPr>
          <w:rFonts w:ascii="Times New Roman" w:cs="Times New Roman" w:eastAsia="Times New Roman" w:hAnsi="Times New Roman"/>
          <w:sz w:val="20"/>
          <w:szCs w:val="20"/>
          <w:color w:val="auto"/>
        </w:rPr>
        <w:t>On March 17, 2021, a wholly-owned, bankruptcy-remote special purpose entity and consolidated Ashland subsidiary ("SPE") entered into an agreement with a group of entities (buyers) to sell certain trade receivables, without recourse beyond the pledged receivables, of two other U.S. based Ashland subsidiaries. Under the agreement, Ashland can transfer whole accounts receivable up to a limit established by the buyer, which was set at $125 million between February and October of each year and up to $100 million all other times (a level 1 fair value measurement). Ashland’s continuing involvement is limited to servicing the accounts receivable, including billing, collections and remittance of payments to the buyers as well as a limited guarantee on over-collateralization. The arrangement was set to terminate on May 31, 2023.</w:t>
      </w:r>
    </w:p>
    <w:p>
      <w:pPr>
        <w:spacing w:after="0" w:line="80"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On April 14, 2023, Ashland entered into a Second and Third Amendments associated with this current program. As part of this amendment the buyer's limit was reduced to $115 million between April and October of each year, and up to $100 million at all other times. Additionally, the scheduled termination date was extended from May 31, 2023 to April 14, 2025.</w:t>
      </w:r>
    </w:p>
    <w:p>
      <w:pPr>
        <w:spacing w:after="0" w:line="68" w:lineRule="exact"/>
        <w:rPr>
          <w:sz w:val="20"/>
          <w:szCs w:val="20"/>
          <w:color w:val="auto"/>
        </w:rPr>
      </w:pPr>
    </w:p>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On September 13, 2024, Ashland entered into a Fourth Amendment associated with this current program. As part of this amendment the buyer's limits were reduced to $80 million between September 13, 2024 to (and including) December 31, 2024 and up to $70 million from January 1, 2025 through the termination date of the agreement. Additionally, the scheduled termination date was extended from April 14, 2025 to September 11, 2026.</w:t>
      </w:r>
    </w:p>
    <w:p>
      <w:pPr>
        <w:spacing w:after="0" w:line="74"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Ashland determined that any accounts receivable transferred under this agreement are put presumptively beyond the reach of Ashland and its creditors, even in bankruptcy or other receivership. Ashland received a true sale at law and non-consolidation opinions to support the legal isolation of these accounts receivable. Ashland accounts for the accounts receivable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Consolidated Cash Flows. Losses on sale of assets, including related transaction expenses are recorded within the net interest and other expense (income)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accounts receivable that serves as over-collateralization as a restricted asset.</w:t>
      </w:r>
    </w:p>
    <w:p>
      <w:pPr>
        <w:spacing w:after="0" w:line="82" w:lineRule="exact"/>
        <w:rPr>
          <w:sz w:val="20"/>
          <w:szCs w:val="20"/>
          <w:color w:val="auto"/>
        </w:rPr>
      </w:pPr>
    </w:p>
    <w:p>
      <w:pPr>
        <w:jc w:val="both"/>
        <w:ind w:right="20" w:firstLine="360"/>
        <w:spacing w:after="0" w:line="295" w:lineRule="auto"/>
        <w:rPr>
          <w:sz w:val="20"/>
          <w:szCs w:val="20"/>
          <w:color w:val="auto"/>
        </w:rPr>
      </w:pPr>
      <w:r>
        <w:rPr>
          <w:rFonts w:ascii="Times New Roman" w:cs="Times New Roman" w:eastAsia="Times New Roman" w:hAnsi="Times New Roman"/>
          <w:sz w:val="20"/>
          <w:szCs w:val="20"/>
          <w:color w:val="auto"/>
        </w:rPr>
        <w:t>Ashland recognized a loss of $3 million within the Statements of Consolidated Comprehensive Income (Loss) for 2025, 2024 and 2023 within the net interest and other expense (income) caption associated with sales under the program. Ashland has recorded $59 million of sales against the buyer’s limit, which was $59 million at September 30, 2025, compared to $71 million of sales against the buyer's limit, which was $71 million at September 30, 2024. Ashland transferred $75 million and $85 million in accounts receivable to the SPE as of September 30, 2025 and 2024, respectively. Ashland recorded liabilities related to its service obligations and limited guarantee as of September 30, 2025 and 2024 of less than $1 million.</w:t>
      </w:r>
    </w:p>
    <w:p>
      <w:pPr>
        <w:spacing w:after="0" w:line="80" w:lineRule="exact"/>
        <w:rPr>
          <w:sz w:val="20"/>
          <w:szCs w:val="20"/>
          <w:color w:val="auto"/>
        </w:rPr>
      </w:pPr>
    </w:p>
    <w:p>
      <w:pPr>
        <w:jc w:val="both"/>
        <w:ind w:right="20" w:firstLine="360"/>
        <w:spacing w:after="0" w:line="295" w:lineRule="auto"/>
        <w:rPr>
          <w:sz w:val="20"/>
          <w:szCs w:val="20"/>
          <w:color w:val="auto"/>
        </w:rPr>
      </w:pPr>
      <w:r>
        <w:rPr>
          <w:rFonts w:ascii="Times New Roman" w:cs="Times New Roman" w:eastAsia="Times New Roman" w:hAnsi="Times New Roman"/>
          <w:sz w:val="20"/>
          <w:szCs w:val="20"/>
          <w:color w:val="auto"/>
        </w:rPr>
        <w:t>For the years ended September 30, 2025, 2024, and 2023, the gross cash proceeds received for accounts receivable transferred and derecognized were $388 million, $323 million, and $217 million, respectively, of which $400 million, $322 million, $241 million, were collected by Ashland in our capacity as a servicer of the accounts receivable and remitted to the buyer. The difference between accounts receivable transferred and derecognized versus collected of $12 million, $1 million and $24 million for the years ended September 30, 2025, 2024, and 2023, respectively, represents the impact of a net reduction in account receivable sales volume during 2025, a net increase in 2024, and a net decrease during 2023.</w:t>
      </w:r>
    </w:p>
    <w:p>
      <w:pPr>
        <w:sectPr>
          <w:pgSz w:w="12240" w:h="15840" w:orient="portrait"/>
          <w:cols w:equalWidth="0" w:num="1">
            <w:col w:w="11380"/>
          </w:cols>
          <w:pgMar w:left="440" w:top="926" w:right="4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1380"/>
          </w:cols>
          <w:pgMar w:left="440" w:top="926" w:right="420" w:bottom="186"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i w:val="1"/>
          <w:iCs w:val="1"/>
          <w:color w:val="auto"/>
        </w:rPr>
        <w:t>Foreign Accounts Receivable Sales Program</w:t>
      </w:r>
    </w:p>
    <w:p>
      <w:pPr>
        <w:spacing w:after="0" w:line="164"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On October 19, 2023, Ashland entered, through an Ireland based, wholly-owned, bankruptcy-remote consolidated special purpose entity (the "SPE"), into a three-year agreement with a group of entities (buyers) to sell certain accounts receivable, without recourse beyond the pledged receivables, of certain wholly-owned Ashland subsidiaries (Foreign Accounts Receivable Sales Program) primarily in Europe. Under the agreement, Ashland can transfer whole accounts receivable up to a limit established by the buyer, which is currently set at €125 million (a level 1 fair value measurement). Ashland’s continuing involvement is limited to servicing the accounts receivable, including billing, collections and remittance of payments to the buyers as well as a limited guarantee on over-collateralization.</w:t>
      </w:r>
    </w:p>
    <w:p>
      <w:pPr>
        <w:spacing w:after="0" w:line="8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 determined that any accounts receivable transferred under this agreement are put presumptively beyond the reach of Ashland and its creditors, even in bankruptcy or other receivership. Ashland received true sale at law and non-consolidation opinions from independent qualified legal advisors in the jurisdiction of each originating subsidiary to support the legal isolation of these accounts receivable. Consequently, Ashland accounts for accounts receivable transferred to buyers as part of this agreement as sales.</w:t>
      </w:r>
    </w:p>
    <w:p>
      <w:pPr>
        <w:spacing w:after="0" w:line="74"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Ashland recognized a loss of $5 million and $3 million within the Statements of Consolidated Comprehensive Income (Loss) for 2025 and 2024, respectively, within the net interest and other expense (income) caption associated with sales under the program. Ashland has recorded $103 million of sales against the buyer’s limit, which was $103 million at September 30, 2025, compared to $104 million of sales against the buyer's limit, which was $104 million at September 30, 2024. Ashland transferred $142 million and $155 million in accounts receivable to the SPE as of September 30, 2025 and 2024, respectively. Ashland recorded liabilities related to its service obligations and limited guarantee as of September 30, 2025 and 2024 of less than $1 million.</w:t>
      </w:r>
    </w:p>
    <w:p>
      <w:pPr>
        <w:spacing w:after="0" w:line="8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For the years ended September 30, 2025 and 2024, the gross cash proceeds received for accounts receivable transferred and derecognized were $528 million and $104 million, respectively, of which $534 million and zero were collected by Ashland in our capacity as a servicer of the accounts receivable and remitted to the buyer. The difference between accounts receivable transferred and derecognized versus collected of $6 million and $104 million for the periods ended September 30, 2025 and 2024, respectively, represents the impact of a net reduction and a net increase in accounts receivable sales volume during each period,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Supply Chain Finance Program</w:t>
      </w:r>
    </w:p>
    <w:p>
      <w:pPr>
        <w:spacing w:after="0" w:line="164"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As of September 30, 2025, participation in the program was not significant. There were less than $1 million of confirmed invoices under this program for the year ended September 30,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debt</w:t>
      </w:r>
    </w:p>
    <w:p>
      <w:pPr>
        <w:spacing w:after="0" w:line="170"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At September 30, 2025 and 2024, Ashland held other debt totaling $76 million and $71 million, respectively, comprised primarily of the 6.50% notes due 2029 and other notes.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Covenants related to current Ashland debt agreements</w:t>
      </w:r>
    </w:p>
    <w:p>
      <w:pPr>
        <w:spacing w:after="0" w:line="17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2025, Ashland was in compliance with all debt agreement covenant restrictions.</w:t>
      </w:r>
    </w:p>
    <w:p>
      <w:pPr>
        <w:spacing w:after="0" w:line="74"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Ashland’s most recent credit agreement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(loss) plus consolidated interest charges, taxes, depreciation and amortization expense, fees and expenses related to capital market transactions and proposed or actual acquisitions and divestitures, restructuring and integration charges, certain environmental charges, non-cash stock and equity compensation expense, and any other nonrecurring expenses or losses that do not represent a cash item in such period or any future period; less any non-cash gains or other items increasing net income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F-30</w:t>
      </w:r>
    </w:p>
    <w:p>
      <w:pPr>
        <w:sectPr>
          <w:pgSz w:w="12240" w:h="15840" w:orient="portrait"/>
          <w:cols w:equalWidth="0" w:num="1">
            <w:col w:w="11360"/>
          </w:cols>
          <w:pgMar w:left="440" w:top="932" w:right="440" w:bottom="175" w:gutter="0" w:footer="0" w:header="0"/>
        </w:sectPr>
      </w:pPr>
    </w:p>
    <w:bookmarkStart w:id="132" w:name="page133"/>
    <w:bookmarkEnd w:id="132"/>
    <w:p>
      <w:pPr>
        <w:jc w:val="both"/>
        <w:ind w:left="8"/>
        <w:spacing w:after="0" w:line="306" w:lineRule="auto"/>
        <w:rPr>
          <w:sz w:val="20"/>
          <w:szCs w:val="20"/>
          <w:color w:val="auto"/>
        </w:rPr>
      </w:pPr>
      <w:r>
        <w:rPr>
          <w:rFonts w:ascii="Times New Roman" w:cs="Times New Roman" w:eastAsia="Times New Roman" w:hAnsi="Times New Roman"/>
          <w:sz w:val="20"/>
          <w:szCs w:val="20"/>
          <w:color w:val="auto"/>
        </w:rPr>
        <w:t>(loss). In general, consolidated indebtedness includes debt plus all purchase money indebtedness, banker’s acceptances and bank guaranties, deferred purchase price of property or services, attributable indebtedness and guarantees. At September 30, 2025, Ashland’s calculation of the consolidated net leverage ratio was 2.8.</w:t>
      </w:r>
    </w:p>
    <w:p>
      <w:pPr>
        <w:spacing w:after="0" w:line="68"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September 30, 2025, Ashland’s calculation of the consolidated interest coverage ratio was 6.5.</w:t>
      </w:r>
    </w:p>
    <w:p>
      <w:pPr>
        <w:spacing w:after="0" w:line="64" w:lineRule="exact"/>
        <w:rPr>
          <w:sz w:val="20"/>
          <w:szCs w:val="20"/>
          <w:color w:val="auto"/>
        </w:rPr>
      </w:pPr>
    </w:p>
    <w:tbl>
      <w:tblPr>
        <w:tblLayout w:type="fixed"/>
        <w:tblInd w:w="8" w:type="dxa"/>
        <w:tblCellMar>
          <w:top w:w="0" w:type="dxa"/>
          <w:left w:w="0" w:type="dxa"/>
          <w:bottom w:w="0" w:type="dxa"/>
          <w:right w:w="0" w:type="dxa"/>
        </w:tblCellMar>
      </w:tblPr>
      <w:tr>
        <w:trPr>
          <w:trHeight w:val="274"/>
        </w:trPr>
        <w:tc>
          <w:tcPr>
            <w:tcW w:w="6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interest and other expense (income)</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48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6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Interest expense</w:t>
            </w:r>
          </w:p>
        </w:tc>
        <w:tc>
          <w:tcPr>
            <w:tcW w:w="300" w:type="dxa"/>
            <w:vAlign w:val="bottom"/>
            <w:gridSpan w:val="2"/>
            <w:shd w:val="clear" w:color="auto" w:fill="D5EFF4"/>
          </w:tcPr>
          <w:p>
            <w:pPr>
              <w:jc w:val="right"/>
              <w:ind w:right="115"/>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61</w:t>
            </w:r>
          </w:p>
        </w:tc>
        <w:tc>
          <w:tcPr>
            <w:tcW w:w="440" w:type="dxa"/>
            <w:vAlign w:val="bottom"/>
            <w:gridSpan w:val="2"/>
            <w:shd w:val="clear" w:color="auto" w:fill="D5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53</w:t>
            </w:r>
          </w:p>
        </w:tc>
        <w:tc>
          <w:tcPr>
            <w:tcW w:w="440" w:type="dxa"/>
            <w:vAlign w:val="bottom"/>
            <w:gridSpan w:val="2"/>
            <w:shd w:val="clear" w:color="auto" w:fill="D5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54</w:t>
            </w:r>
          </w:p>
        </w:tc>
        <w:tc>
          <w:tcPr>
            <w:tcW w:w="80" w:type="dxa"/>
            <w:vAlign w:val="bottom"/>
            <w:shd w:val="clear" w:color="auto" w:fill="D5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30"/>
        </w:trPr>
        <w:tc>
          <w:tcPr>
            <w:tcW w:w="66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Loss on the accounts receivable sale programs</w:t>
            </w:r>
          </w:p>
        </w:tc>
        <w:tc>
          <w:tcPr>
            <w:tcW w:w="2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11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6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11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shd w:val="clear" w:color="auto" w:fill="D5EFF4"/>
          </w:tcPr>
          <w:p>
            <w:pPr>
              <w:spacing w:after="0"/>
              <w:rPr>
                <w:sz w:val="20"/>
                <w:szCs w:val="20"/>
                <w:color w:val="auto"/>
              </w:rPr>
            </w:pPr>
          </w:p>
        </w:tc>
        <w:tc>
          <w:tcPr>
            <w:tcW w:w="300" w:type="dxa"/>
            <w:vAlign w:val="bottom"/>
            <w:shd w:val="clear" w:color="auto" w:fill="D5EFF4"/>
          </w:tcPr>
          <w:p>
            <w:pPr>
              <w:spacing w:after="0"/>
              <w:rPr>
                <w:sz w:val="20"/>
                <w:szCs w:val="20"/>
                <w:color w:val="auto"/>
              </w:rPr>
            </w:pPr>
          </w:p>
        </w:tc>
        <w:tc>
          <w:tcPr>
            <w:tcW w:w="10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Investment securities income</w:t>
            </w:r>
            <w:r>
              <w:rPr>
                <w:rFonts w:ascii="Times New Roman" w:cs="Times New Roman" w:eastAsia="Times New Roman" w:hAnsi="Times New Roman"/>
                <w:sz w:val="25"/>
                <w:szCs w:val="25"/>
                <w:color w:val="auto"/>
                <w:vertAlign w:val="superscript"/>
              </w:rPr>
              <w:t>(a)</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Other financing costs</w:t>
            </w:r>
          </w:p>
        </w:tc>
        <w:tc>
          <w:tcPr>
            <w:tcW w:w="20" w:type="dxa"/>
            <w:vAlign w:val="bottom"/>
            <w:tcBorders>
              <w:bottom w:val="single" w:sz="8" w:color="D5EFF4"/>
            </w:tcBorders>
            <w:shd w:val="clear" w:color="auto" w:fill="D5EFF4"/>
          </w:tcPr>
          <w:p>
            <w:pPr>
              <w:spacing w:after="0"/>
              <w:rPr>
                <w:sz w:val="21"/>
                <w:szCs w:val="21"/>
                <w:color w:val="auto"/>
              </w:rPr>
            </w:pPr>
          </w:p>
        </w:tc>
        <w:tc>
          <w:tcPr>
            <w:tcW w:w="280" w:type="dxa"/>
            <w:vAlign w:val="bottom"/>
            <w:tcBorders>
              <w:bottom w:val="single" w:sz="8" w:color="D5EFF4"/>
            </w:tcBorders>
            <w:shd w:val="clear" w:color="auto" w:fill="D5EFF4"/>
          </w:tcPr>
          <w:p>
            <w:pPr>
              <w:spacing w:after="0"/>
              <w:rPr>
                <w:sz w:val="21"/>
                <w:szCs w:val="21"/>
                <w:color w:val="auto"/>
              </w:rPr>
            </w:pPr>
          </w:p>
        </w:tc>
        <w:tc>
          <w:tcPr>
            <w:tcW w:w="1180" w:type="dxa"/>
            <w:vAlign w:val="bottom"/>
            <w:tcBorders>
              <w:bottom w:val="single" w:sz="8" w:color="D5EFF4"/>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Borders>
              <w:bottom w:val="single" w:sz="8" w:color="D5EFF4"/>
            </w:tcBorders>
            <w:shd w:val="clear" w:color="auto" w:fill="D5EFF4"/>
          </w:tcPr>
          <w:p>
            <w:pPr>
              <w:spacing w:after="0"/>
              <w:rPr>
                <w:sz w:val="21"/>
                <w:szCs w:val="21"/>
                <w:color w:val="auto"/>
              </w:rPr>
            </w:pPr>
          </w:p>
        </w:tc>
        <w:tc>
          <w:tcPr>
            <w:tcW w:w="280" w:type="dxa"/>
            <w:vAlign w:val="bottom"/>
            <w:tcBorders>
              <w:bottom w:val="single" w:sz="8" w:color="D5EFF4"/>
            </w:tcBorders>
            <w:shd w:val="clear" w:color="auto" w:fill="D5EFF4"/>
          </w:tcPr>
          <w:p>
            <w:pPr>
              <w:spacing w:after="0"/>
              <w:rPr>
                <w:sz w:val="21"/>
                <w:szCs w:val="21"/>
                <w:color w:val="auto"/>
              </w:rPr>
            </w:pPr>
          </w:p>
        </w:tc>
        <w:tc>
          <w:tcPr>
            <w:tcW w:w="1180" w:type="dxa"/>
            <w:vAlign w:val="bottom"/>
            <w:tcBorders>
              <w:bottom w:val="single" w:sz="8" w:color="D5EFF4"/>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Borders>
              <w:bottom w:val="single" w:sz="8" w:color="D5EFF4"/>
            </w:tcBorders>
            <w:shd w:val="clear" w:color="auto" w:fill="D5EFF4"/>
          </w:tcPr>
          <w:p>
            <w:pPr>
              <w:spacing w:after="0"/>
              <w:rPr>
                <w:sz w:val="21"/>
                <w:szCs w:val="21"/>
                <w:color w:val="auto"/>
              </w:rPr>
            </w:pPr>
          </w:p>
        </w:tc>
        <w:tc>
          <w:tcPr>
            <w:tcW w:w="300" w:type="dxa"/>
            <w:vAlign w:val="bottom"/>
            <w:tcBorders>
              <w:bottom w:val="single" w:sz="8" w:color="auto"/>
            </w:tcBorders>
            <w:shd w:val="clear" w:color="auto" w:fill="D5EFF4"/>
          </w:tcPr>
          <w:p>
            <w:pPr>
              <w:spacing w:after="0"/>
              <w:rPr>
                <w:sz w:val="21"/>
                <w:szCs w:val="21"/>
                <w:color w:val="auto"/>
              </w:rPr>
            </w:pPr>
          </w:p>
        </w:tc>
        <w:tc>
          <w:tcPr>
            <w:tcW w:w="10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auto"/>
            </w:tcBorders>
            <w:shd w:val="clear" w:color="auto" w:fill="D5EFF4"/>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6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(24)</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0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66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-1146175</wp:posOffset>
            </wp:positionV>
            <wp:extent cx="7202170"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361">
                      <a:extLst>
                        <a:ext uri="{28A0092B-C50C-407E-A947-70E740481C1C}"/>
                      </a:extLst>
                    </a:blip>
                    <a:srcRect/>
                    <a:stretch>
                      <a:fillRect/>
                    </a:stretch>
                  </pic:blipFill>
                  <pic:spPr bwMode="auto">
                    <a:xfrm>
                      <a:off x="0" y="0"/>
                      <a:ext cx="720217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-990600</wp:posOffset>
            </wp:positionV>
            <wp:extent cx="7202170"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362">
                      <a:extLst>
                        <a:ext uri="{28A0092B-C50C-407E-A947-70E740481C1C}"/>
                      </a:extLst>
                    </a:blip>
                    <a:srcRect/>
                    <a:stretch>
                      <a:fillRect/>
                    </a:stretch>
                  </pic:blipFill>
                  <pic:spPr bwMode="auto">
                    <a:xfrm>
                      <a:off x="0" y="0"/>
                      <a:ext cx="720217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02170"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363">
                      <a:extLst>
                        <a:ext uri="{28A0092B-C50C-407E-A947-70E740481C1C}"/>
                      </a:extLst>
                    </a:blip>
                    <a:srcRect/>
                    <a:stretch>
                      <a:fillRect/>
                    </a:stretch>
                  </pic:blipFill>
                  <pic:spPr bwMode="auto">
                    <a:xfrm>
                      <a:off x="0" y="0"/>
                      <a:ext cx="7202170" cy="3810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investment income related to the restricted investments discussed in Note E.</w:t>
      </w:r>
    </w:p>
    <w:p>
      <w:pPr>
        <w:spacing w:after="0" w:line="116"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details the debt issuance cost and original issue discount amortization included in interest expense during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42810"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364">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8" w:lineRule="exact"/>
        <w:rPr>
          <w:sz w:val="20"/>
          <w:szCs w:val="20"/>
          <w:color w:val="auto"/>
        </w:rPr>
      </w:pPr>
    </w:p>
    <w:tbl>
      <w:tblPr>
        <w:tblLayout w:type="fixed"/>
        <w:tblInd w:w="8" w:type="dxa"/>
        <w:tblCellMar>
          <w:top w:w="0" w:type="dxa"/>
          <w:left w:w="0" w:type="dxa"/>
          <w:bottom w:w="0" w:type="dxa"/>
          <w:right w:w="0" w:type="dxa"/>
        </w:tblCellMar>
      </w:tblPr>
      <w:tr>
        <w:trPr>
          <w:trHeight w:val="249"/>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2025</w:t>
            </w:r>
          </w:p>
        </w:tc>
        <w:tc>
          <w:tcPr>
            <w:tcW w:w="420" w:type="dxa"/>
            <w:vAlign w:val="bottom"/>
          </w:tcPr>
          <w:p>
            <w:pPr>
              <w:spacing w:after="0"/>
              <w:rPr>
                <w:sz w:val="21"/>
                <w:szCs w:val="21"/>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2024</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bottom w:val="single" w:sz="8" w:color="auto"/>
            </w:tcBorders>
          </w:tcPr>
          <w:p>
            <w:pPr>
              <w:spacing w:after="0"/>
              <w:rPr>
                <w:sz w:val="21"/>
                <w:szCs w:val="21"/>
                <w:color w:val="auto"/>
              </w:rPr>
            </w:pPr>
          </w:p>
        </w:tc>
      </w:tr>
      <w:tr>
        <w:trPr>
          <w:trHeight w:val="239"/>
        </w:trPr>
        <w:tc>
          <w:tcPr>
            <w:tcW w:w="41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Normal amortization</w:t>
            </w:r>
          </w:p>
        </w:tc>
        <w:tc>
          <w:tcPr>
            <w:tcW w:w="3560" w:type="dxa"/>
            <w:vAlign w:val="bottom"/>
            <w:shd w:val="clear" w:color="auto" w:fill="D5EFF4"/>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c>
          <w:tcPr>
            <w:tcW w:w="1220" w:type="dxa"/>
            <w:vAlign w:val="bottom"/>
            <w:shd w:val="clear" w:color="auto" w:fill="D5EFF4"/>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c>
          <w:tcPr>
            <w:tcW w:w="440" w:type="dxa"/>
            <w:vAlign w:val="bottom"/>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shd w:val="clear" w:color="auto" w:fill="D5EFF4"/>
          </w:tcPr>
          <w:p>
            <w:pPr>
              <w:spacing w:after="0"/>
              <w:rPr>
                <w:sz w:val="20"/>
                <w:szCs w:val="20"/>
                <w:color w:val="auto"/>
              </w:rPr>
            </w:pPr>
          </w:p>
        </w:tc>
      </w:tr>
      <w:tr>
        <w:trPr>
          <w:trHeight w:val="83"/>
        </w:trPr>
        <w:tc>
          <w:tcPr>
            <w:tcW w:w="4160" w:type="dxa"/>
            <w:vAlign w:val="bottom"/>
          </w:tcPr>
          <w:p>
            <w:pPr>
              <w:spacing w:after="0"/>
              <w:rPr>
                <w:sz w:val="7"/>
                <w:szCs w:val="7"/>
                <w:color w:val="auto"/>
              </w:rPr>
            </w:pPr>
          </w:p>
        </w:tc>
        <w:tc>
          <w:tcPr>
            <w:tcW w:w="3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-240030</wp:posOffset>
            </wp:positionV>
            <wp:extent cx="7221220"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365">
                      <a:extLst>
                        <a:ext uri="{28A0092B-C50C-407E-A947-70E740481C1C}"/>
                      </a:extLst>
                    </a:blip>
                    <a:srcRect/>
                    <a:stretch>
                      <a:fillRect/>
                    </a:stretch>
                  </pic:blipFill>
                  <pic:spPr bwMode="auto">
                    <a:xfrm>
                      <a:off x="0" y="0"/>
                      <a:ext cx="722122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21220"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366">
                      <a:extLst>
                        <a:ext uri="{28A0092B-C50C-407E-A947-70E740481C1C}"/>
                      </a:extLst>
                    </a:blip>
                    <a:srcRect/>
                    <a:stretch>
                      <a:fillRect/>
                    </a:stretch>
                  </pic:blipFill>
                  <pic:spPr bwMode="auto">
                    <a:xfrm>
                      <a:off x="0" y="0"/>
                      <a:ext cx="7221220" cy="38100"/>
                    </a:xfrm>
                    <a:prstGeom prst="rect">
                      <a:avLst/>
                    </a:prstGeom>
                    <a:noFill/>
                  </pic:spPr>
                </pic:pic>
              </a:graphicData>
            </a:graphic>
          </wp:anchor>
        </w:drawing>
      </w:r>
    </w:p>
    <w:p>
      <w:pPr>
        <w:spacing w:after="0" w:line="3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NOTE I – OTHER NONCURRENT ASSETS AND LIABILITIES</w:t>
      </w:r>
    </w:p>
    <w:p>
      <w:pPr>
        <w:spacing w:after="0" w:line="121"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The following table summarizes the components of other noncurrent assets 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19137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36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Borders>
              <w:top w:val="single" w:sz="8" w:color="auto"/>
              <w:bottom w:val="single" w:sz="8" w:color="auto"/>
            </w:tcBorders>
          </w:tcPr>
          <w:p>
            <w:pPr>
              <w:spacing w:after="0"/>
              <w:rPr>
                <w:sz w:val="21"/>
                <w:szCs w:val="21"/>
                <w:color w:val="auto"/>
              </w:rPr>
            </w:pPr>
          </w:p>
        </w:tc>
      </w:tr>
      <w:tr>
        <w:trPr>
          <w:trHeight w:val="225"/>
        </w:trPr>
        <w:tc>
          <w:tcPr>
            <w:tcW w:w="570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Deferred compensation investments</w:t>
            </w:r>
          </w:p>
        </w:tc>
        <w:tc>
          <w:tcPr>
            <w:tcW w:w="2460" w:type="dxa"/>
            <w:vAlign w:val="bottom"/>
            <w:gridSpan w:val="2"/>
            <w:shd w:val="clear" w:color="auto" w:fill="D5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94</w:t>
            </w:r>
          </w:p>
        </w:tc>
        <w:tc>
          <w:tcPr>
            <w:tcW w:w="520" w:type="dxa"/>
            <w:vAlign w:val="bottom"/>
            <w:gridSpan w:val="2"/>
            <w:shd w:val="clear" w:color="auto" w:fill="D5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95</w:t>
            </w:r>
          </w:p>
        </w:tc>
        <w:tc>
          <w:tcPr>
            <w:tcW w:w="100" w:type="dxa"/>
            <w:vAlign w:val="bottom"/>
            <w:shd w:val="clear" w:color="auto" w:fill="D5EFF4"/>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Tax and tax indemnity receivables</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0"/>
                <w:szCs w:val="20"/>
                <w:color w:val="auto"/>
              </w:rPr>
            </w:pPr>
          </w:p>
        </w:tc>
      </w:tr>
      <w:tr>
        <w:trPr>
          <w:trHeight w:val="230"/>
        </w:trPr>
        <w:tc>
          <w:tcPr>
            <w:tcW w:w="570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Life insurance policies</w:t>
            </w:r>
          </w:p>
        </w:tc>
        <w:tc>
          <w:tcPr>
            <w:tcW w:w="2100" w:type="dxa"/>
            <w:vAlign w:val="bottom"/>
            <w:shd w:val="clear" w:color="auto" w:fill="D5EFF4"/>
          </w:tcPr>
          <w:p>
            <w:pPr>
              <w:spacing w:after="0"/>
              <w:rPr>
                <w:sz w:val="20"/>
                <w:szCs w:val="20"/>
                <w:color w:val="auto"/>
              </w:rPr>
            </w:pPr>
          </w:p>
        </w:tc>
        <w:tc>
          <w:tcPr>
            <w:tcW w:w="360" w:type="dxa"/>
            <w:vAlign w:val="bottom"/>
            <w:shd w:val="clear" w:color="auto" w:fill="D5EFF4"/>
          </w:tcPr>
          <w:p>
            <w:pPr>
              <w:spacing w:after="0"/>
              <w:rPr>
                <w:sz w:val="20"/>
                <w:szCs w:val="20"/>
                <w:color w:val="auto"/>
              </w:rPr>
            </w:pPr>
          </w:p>
        </w:tc>
        <w:tc>
          <w:tcPr>
            <w:tcW w:w="13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shd w:val="clear" w:color="auto" w:fill="D5EFF4"/>
          </w:tcPr>
          <w:p>
            <w:pPr>
              <w:spacing w:after="0"/>
              <w:rPr>
                <w:sz w:val="20"/>
                <w:szCs w:val="20"/>
                <w:color w:val="auto"/>
              </w:rPr>
            </w:pPr>
          </w:p>
        </w:tc>
        <w:tc>
          <w:tcPr>
            <w:tcW w:w="340" w:type="dxa"/>
            <w:vAlign w:val="bottom"/>
            <w:shd w:val="clear" w:color="auto" w:fill="D5EFF4"/>
          </w:tcPr>
          <w:p>
            <w:pPr>
              <w:spacing w:after="0"/>
              <w:rPr>
                <w:sz w:val="20"/>
                <w:szCs w:val="20"/>
                <w:color w:val="auto"/>
              </w:rPr>
            </w:pPr>
          </w:p>
        </w:tc>
        <w:tc>
          <w:tcPr>
            <w:tcW w:w="12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00" w:type="dxa"/>
            <w:vAlign w:val="bottom"/>
            <w:shd w:val="clear" w:color="auto" w:fill="D5EFF4"/>
          </w:tcPr>
          <w:p>
            <w:pPr>
              <w:spacing w:after="0"/>
              <w:rPr>
                <w:sz w:val="20"/>
                <w:szCs w:val="20"/>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Manufacturing catalyst supplies</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00" w:type="dxa"/>
            <w:vAlign w:val="bottom"/>
          </w:tcPr>
          <w:p>
            <w:pPr>
              <w:spacing w:after="0"/>
              <w:rPr>
                <w:sz w:val="20"/>
                <w:szCs w:val="20"/>
                <w:color w:val="auto"/>
              </w:rPr>
            </w:pPr>
          </w:p>
        </w:tc>
      </w:tr>
      <w:tr>
        <w:trPr>
          <w:trHeight w:val="230"/>
        </w:trPr>
        <w:tc>
          <w:tcPr>
            <w:tcW w:w="570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Defined benefit plan assets</w:t>
            </w:r>
          </w:p>
        </w:tc>
        <w:tc>
          <w:tcPr>
            <w:tcW w:w="2100" w:type="dxa"/>
            <w:vAlign w:val="bottom"/>
            <w:shd w:val="clear" w:color="auto" w:fill="D5EFF4"/>
          </w:tcPr>
          <w:p>
            <w:pPr>
              <w:spacing w:after="0"/>
              <w:rPr>
                <w:sz w:val="20"/>
                <w:szCs w:val="20"/>
                <w:color w:val="auto"/>
              </w:rPr>
            </w:pPr>
          </w:p>
        </w:tc>
        <w:tc>
          <w:tcPr>
            <w:tcW w:w="360" w:type="dxa"/>
            <w:vAlign w:val="bottom"/>
            <w:shd w:val="clear" w:color="auto" w:fill="D5EFF4"/>
          </w:tcPr>
          <w:p>
            <w:pPr>
              <w:spacing w:after="0"/>
              <w:rPr>
                <w:sz w:val="20"/>
                <w:szCs w:val="20"/>
                <w:color w:val="auto"/>
              </w:rPr>
            </w:pPr>
          </w:p>
        </w:tc>
        <w:tc>
          <w:tcPr>
            <w:tcW w:w="13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shd w:val="clear" w:color="auto" w:fill="D5EFF4"/>
          </w:tcPr>
          <w:p>
            <w:pPr>
              <w:spacing w:after="0"/>
              <w:rPr>
                <w:sz w:val="20"/>
                <w:szCs w:val="20"/>
                <w:color w:val="auto"/>
              </w:rPr>
            </w:pPr>
          </w:p>
        </w:tc>
        <w:tc>
          <w:tcPr>
            <w:tcW w:w="340" w:type="dxa"/>
            <w:vAlign w:val="bottom"/>
            <w:shd w:val="clear" w:color="auto" w:fill="D5EFF4"/>
          </w:tcPr>
          <w:p>
            <w:pPr>
              <w:spacing w:after="0"/>
              <w:rPr>
                <w:sz w:val="20"/>
                <w:szCs w:val="20"/>
                <w:color w:val="auto"/>
              </w:rPr>
            </w:pPr>
          </w:p>
        </w:tc>
        <w:tc>
          <w:tcPr>
            <w:tcW w:w="12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shd w:val="clear" w:color="auto" w:fill="D5EFF4"/>
          </w:tcPr>
          <w:p>
            <w:pPr>
              <w:spacing w:after="0"/>
              <w:rPr>
                <w:sz w:val="20"/>
                <w:szCs w:val="20"/>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Equity and other unconsolidated investments</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0"/>
                <w:szCs w:val="20"/>
                <w:color w:val="auto"/>
              </w:rPr>
            </w:pPr>
          </w:p>
        </w:tc>
      </w:tr>
      <w:tr>
        <w:trPr>
          <w:trHeight w:val="230"/>
        </w:trPr>
        <w:tc>
          <w:tcPr>
            <w:tcW w:w="570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Land use rights</w:t>
            </w:r>
          </w:p>
        </w:tc>
        <w:tc>
          <w:tcPr>
            <w:tcW w:w="2100" w:type="dxa"/>
            <w:vAlign w:val="bottom"/>
            <w:shd w:val="clear" w:color="auto" w:fill="D5EFF4"/>
          </w:tcPr>
          <w:p>
            <w:pPr>
              <w:spacing w:after="0"/>
              <w:rPr>
                <w:sz w:val="20"/>
                <w:szCs w:val="20"/>
                <w:color w:val="auto"/>
              </w:rPr>
            </w:pPr>
          </w:p>
        </w:tc>
        <w:tc>
          <w:tcPr>
            <w:tcW w:w="360" w:type="dxa"/>
            <w:vAlign w:val="bottom"/>
            <w:shd w:val="clear" w:color="auto" w:fill="D5EFF4"/>
          </w:tcPr>
          <w:p>
            <w:pPr>
              <w:spacing w:after="0"/>
              <w:rPr>
                <w:sz w:val="20"/>
                <w:szCs w:val="20"/>
                <w:color w:val="auto"/>
              </w:rPr>
            </w:pPr>
          </w:p>
        </w:tc>
        <w:tc>
          <w:tcPr>
            <w:tcW w:w="13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shd w:val="clear" w:color="auto" w:fill="D5EFF4"/>
          </w:tcPr>
          <w:p>
            <w:pPr>
              <w:spacing w:after="0"/>
              <w:rPr>
                <w:sz w:val="20"/>
                <w:szCs w:val="20"/>
                <w:color w:val="auto"/>
              </w:rPr>
            </w:pPr>
          </w:p>
        </w:tc>
        <w:tc>
          <w:tcPr>
            <w:tcW w:w="340" w:type="dxa"/>
            <w:vAlign w:val="bottom"/>
            <w:shd w:val="clear" w:color="auto" w:fill="D5EFF4"/>
          </w:tcPr>
          <w:p>
            <w:pPr>
              <w:spacing w:after="0"/>
              <w:rPr>
                <w:sz w:val="20"/>
                <w:szCs w:val="20"/>
                <w:color w:val="auto"/>
              </w:rPr>
            </w:pPr>
          </w:p>
        </w:tc>
        <w:tc>
          <w:tcPr>
            <w:tcW w:w="12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shd w:val="clear" w:color="auto" w:fill="D5EFF4"/>
          </w:tcPr>
          <w:p>
            <w:pPr>
              <w:spacing w:after="0"/>
              <w:rPr>
                <w:sz w:val="20"/>
                <w:szCs w:val="20"/>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Environmental insurance receivables</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0"/>
                <w:szCs w:val="20"/>
                <w:color w:val="auto"/>
              </w:rPr>
            </w:pPr>
          </w:p>
        </w:tc>
      </w:tr>
      <w:tr>
        <w:trPr>
          <w:trHeight w:val="230"/>
        </w:trPr>
        <w:tc>
          <w:tcPr>
            <w:tcW w:w="570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Debt issuance costs</w:t>
            </w:r>
          </w:p>
        </w:tc>
        <w:tc>
          <w:tcPr>
            <w:tcW w:w="2100" w:type="dxa"/>
            <w:vAlign w:val="bottom"/>
            <w:shd w:val="clear" w:color="auto" w:fill="D5EFF4"/>
          </w:tcPr>
          <w:p>
            <w:pPr>
              <w:spacing w:after="0"/>
              <w:rPr>
                <w:sz w:val="20"/>
                <w:szCs w:val="20"/>
                <w:color w:val="auto"/>
              </w:rPr>
            </w:pPr>
          </w:p>
        </w:tc>
        <w:tc>
          <w:tcPr>
            <w:tcW w:w="360" w:type="dxa"/>
            <w:vAlign w:val="bottom"/>
            <w:shd w:val="clear" w:color="auto" w:fill="D5EFF4"/>
          </w:tcPr>
          <w:p>
            <w:pPr>
              <w:spacing w:after="0"/>
              <w:rPr>
                <w:sz w:val="20"/>
                <w:szCs w:val="20"/>
                <w:color w:val="auto"/>
              </w:rPr>
            </w:pPr>
          </w:p>
        </w:tc>
        <w:tc>
          <w:tcPr>
            <w:tcW w:w="13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shd w:val="clear" w:color="auto" w:fill="D5EFF4"/>
          </w:tcPr>
          <w:p>
            <w:pPr>
              <w:spacing w:after="0"/>
              <w:rPr>
                <w:sz w:val="20"/>
                <w:szCs w:val="20"/>
                <w:color w:val="auto"/>
              </w:rPr>
            </w:pPr>
          </w:p>
        </w:tc>
        <w:tc>
          <w:tcPr>
            <w:tcW w:w="340" w:type="dxa"/>
            <w:vAlign w:val="bottom"/>
            <w:shd w:val="clear" w:color="auto" w:fill="D5EFF4"/>
          </w:tcPr>
          <w:p>
            <w:pPr>
              <w:spacing w:after="0"/>
              <w:rPr>
                <w:sz w:val="20"/>
                <w:szCs w:val="20"/>
                <w:color w:val="auto"/>
              </w:rPr>
            </w:pPr>
          </w:p>
        </w:tc>
        <w:tc>
          <w:tcPr>
            <w:tcW w:w="124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D5EFF4"/>
          </w:tcPr>
          <w:p>
            <w:pPr>
              <w:spacing w:after="0"/>
              <w:rPr>
                <w:sz w:val="20"/>
                <w:szCs w:val="20"/>
                <w:color w:val="auto"/>
              </w:rPr>
            </w:pPr>
          </w:p>
        </w:tc>
      </w:tr>
      <w:tr>
        <w:trPr>
          <w:trHeight w:val="230"/>
        </w:trPr>
        <w:tc>
          <w:tcPr>
            <w:tcW w:w="5700" w:type="dxa"/>
            <w:vAlign w:val="bottom"/>
            <w:tcBorders>
              <w:bottom w:val="single" w:sz="8" w:color="D5EFF4"/>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2100" w:type="dxa"/>
            <w:vAlign w:val="bottom"/>
            <w:tcBorders>
              <w:bottom w:val="single" w:sz="8" w:color="D5EFF4"/>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Borders>
              <w:bottom w:val="single" w:sz="8" w:color="D5EFF4"/>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00" w:type="dxa"/>
            <w:vAlign w:val="bottom"/>
            <w:tcBorders>
              <w:bottom w:val="single" w:sz="8" w:color="auto"/>
            </w:tcBorders>
          </w:tcPr>
          <w:p>
            <w:pPr>
              <w:spacing w:after="0"/>
              <w:rPr>
                <w:sz w:val="19"/>
                <w:szCs w:val="19"/>
                <w:color w:val="auto"/>
              </w:rPr>
            </w:pPr>
          </w:p>
        </w:tc>
      </w:tr>
      <w:tr>
        <w:trPr>
          <w:trHeight w:val="245"/>
        </w:trPr>
        <w:tc>
          <w:tcPr>
            <w:tcW w:w="5700" w:type="dxa"/>
            <w:vAlign w:val="bottom"/>
            <w:tcBorders>
              <w:bottom w:val="single" w:sz="8" w:color="D5EFF4"/>
            </w:tcBorders>
            <w:shd w:val="clear" w:color="auto" w:fill="D5EFF4"/>
          </w:tcPr>
          <w:p>
            <w:pPr>
              <w:spacing w:after="0"/>
              <w:rPr>
                <w:sz w:val="21"/>
                <w:szCs w:val="21"/>
                <w:color w:val="auto"/>
              </w:rPr>
            </w:pPr>
          </w:p>
        </w:tc>
        <w:tc>
          <w:tcPr>
            <w:tcW w:w="2100" w:type="dxa"/>
            <w:vAlign w:val="bottom"/>
            <w:tcBorders>
              <w:bottom w:val="single" w:sz="8" w:color="D5EFF4"/>
            </w:tcBorders>
            <w:shd w:val="clear" w:color="auto" w:fill="D5EFF4"/>
          </w:tcPr>
          <w:p>
            <w:pPr>
              <w:spacing w:after="0"/>
              <w:rPr>
                <w:sz w:val="21"/>
                <w:szCs w:val="21"/>
                <w:color w:val="auto"/>
              </w:rPr>
            </w:pPr>
          </w:p>
        </w:tc>
        <w:tc>
          <w:tcPr>
            <w:tcW w:w="360" w:type="dxa"/>
            <w:vAlign w:val="bottom"/>
            <w:tcBorders>
              <w:bottom w:val="single" w:sz="8" w:color="auto"/>
            </w:tcBorders>
            <w:shd w:val="clear" w:color="auto" w:fill="D5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253</w:t>
            </w:r>
          </w:p>
        </w:tc>
        <w:tc>
          <w:tcPr>
            <w:tcW w:w="180" w:type="dxa"/>
            <w:vAlign w:val="bottom"/>
            <w:tcBorders>
              <w:bottom w:val="single" w:sz="8" w:color="D5EFF4"/>
            </w:tcBorders>
            <w:shd w:val="clear" w:color="auto" w:fill="D5EFF4"/>
          </w:tcPr>
          <w:p>
            <w:pPr>
              <w:spacing w:after="0"/>
              <w:rPr>
                <w:sz w:val="21"/>
                <w:szCs w:val="21"/>
                <w:color w:val="auto"/>
              </w:rPr>
            </w:pPr>
          </w:p>
        </w:tc>
        <w:tc>
          <w:tcPr>
            <w:tcW w:w="340" w:type="dxa"/>
            <w:vAlign w:val="bottom"/>
            <w:tcBorders>
              <w:bottom w:val="single" w:sz="8" w:color="auto"/>
            </w:tcBorders>
            <w:shd w:val="clear" w:color="auto" w:fill="D5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264</w:t>
            </w:r>
          </w:p>
        </w:tc>
        <w:tc>
          <w:tcPr>
            <w:tcW w:w="100" w:type="dxa"/>
            <w:vAlign w:val="bottom"/>
            <w:tcBorders>
              <w:bottom w:val="single" w:sz="8" w:color="auto"/>
            </w:tcBorders>
            <w:shd w:val="clear" w:color="auto" w:fill="D5EFF4"/>
          </w:tcPr>
          <w:p>
            <w:pPr>
              <w:spacing w:after="0"/>
              <w:rPr>
                <w:sz w:val="21"/>
                <w:szCs w:val="21"/>
                <w:color w:val="auto"/>
              </w:rPr>
            </w:pPr>
          </w:p>
        </w:tc>
      </w:tr>
      <w:tr>
        <w:trPr>
          <w:trHeight w:val="20"/>
        </w:trPr>
        <w:tc>
          <w:tcPr>
            <w:tcW w:w="5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4"/>
        </w:trPr>
        <w:tc>
          <w:tcPr>
            <w:tcW w:w="5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-1720850</wp:posOffset>
            </wp:positionV>
            <wp:extent cx="719137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368">
                      <a:extLst>
                        <a:ext uri="{28A0092B-C50C-407E-A947-70E740481C1C}"/>
                      </a:extLst>
                    </a:blip>
                    <a:srcRect/>
                    <a:stretch>
                      <a:fillRect/>
                    </a:stretch>
                  </pic:blipFill>
                  <pic:spPr bwMode="auto">
                    <a:xfrm>
                      <a:off x="0" y="0"/>
                      <a:ext cx="719137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19137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36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Deferred compensation investments</w:t>
      </w:r>
    </w:p>
    <w:p>
      <w:pPr>
        <w:spacing w:after="0" w:line="164" w:lineRule="exact"/>
        <w:rPr>
          <w:sz w:val="20"/>
          <w:szCs w:val="20"/>
          <w:color w:val="auto"/>
        </w:rPr>
      </w:pPr>
    </w:p>
    <w:p>
      <w:pPr>
        <w:jc w:val="both"/>
        <w:ind w:left="8" w:firstLine="360"/>
        <w:spacing w:after="0" w:line="297" w:lineRule="auto"/>
        <w:rPr>
          <w:sz w:val="20"/>
          <w:szCs w:val="20"/>
          <w:color w:val="auto"/>
        </w:rPr>
      </w:pPr>
      <w:r>
        <w:rPr>
          <w:rFonts w:ascii="Times New Roman" w:cs="Times New Roman" w:eastAsia="Times New Roman" w:hAnsi="Times New Roman"/>
          <w:sz w:val="20"/>
          <w:szCs w:val="20"/>
          <w:color w:val="auto"/>
        </w:rPr>
        <w:t>Deferred compensation investments consist of insurance policies valued at cash surrender value. Gains and losses related to deferred compensation investments are immediately recognized within the selling, general and administrative expense caption on the Statements of Consolidated Comprehensive Income (Loss). These investments had gains of $5 million, $8 million, and $5 million during 2025, 2024 and 2023, respectively. These cash inflows exclude company-owned life insurance death benefits of $12 million, $1 million and $6 million for 2025, 2024 and 2023, respectively.</w:t>
      </w:r>
    </w:p>
    <w:p>
      <w:pPr>
        <w:sectPr>
          <w:pgSz w:w="12240" w:h="15840" w:orient="portrait"/>
          <w:cols w:equalWidth="0" w:num="1">
            <w:col w:w="11368"/>
          </w:cols>
          <w:pgMar w:left="432"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1368"/>
          </w:cols>
          <w:pgMar w:left="432" w:top="930" w:right="440" w:bottom="186" w:gutter="0" w:footer="0" w:header="0"/>
          <w:type w:val="continuous"/>
        </w:sectPr>
      </w:pPr>
    </w:p>
    <w:bookmarkStart w:id="133" w:name="page134"/>
    <w:bookmarkEnd w:id="133"/>
    <w:p>
      <w:pPr>
        <w:ind w:left="368"/>
        <w:spacing w:after="0"/>
        <w:rPr>
          <w:sz w:val="20"/>
          <w:szCs w:val="20"/>
          <w:color w:val="auto"/>
        </w:rPr>
      </w:pPr>
      <w:r>
        <w:rPr>
          <w:rFonts w:ascii="Times New Roman" w:cs="Times New Roman" w:eastAsia="Times New Roman" w:hAnsi="Times New Roman"/>
          <w:sz w:val="20"/>
          <w:szCs w:val="20"/>
          <w:color w:val="auto"/>
        </w:rPr>
        <w:t>The following table provides the components of other noncurrent liabilities 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2058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370">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top w:val="single" w:sz="8" w:color="auto"/>
              <w:bottom w:val="single" w:sz="8" w:color="auto"/>
            </w:tcBorders>
          </w:tcPr>
          <w:p>
            <w:pPr>
              <w:spacing w:after="0"/>
              <w:rPr>
                <w:sz w:val="21"/>
                <w:szCs w:val="21"/>
                <w:color w:val="auto"/>
              </w:rPr>
            </w:pPr>
          </w:p>
        </w:tc>
      </w:tr>
      <w:tr>
        <w:trPr>
          <w:trHeight w:val="225"/>
        </w:trPr>
        <w:tc>
          <w:tcPr>
            <w:tcW w:w="532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Tax liabilities</w:t>
            </w:r>
          </w:p>
        </w:tc>
        <w:tc>
          <w:tcPr>
            <w:tcW w:w="2800" w:type="dxa"/>
            <w:vAlign w:val="bottom"/>
            <w:gridSpan w:val="2"/>
            <w:shd w:val="clear" w:color="auto" w:fill="D4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73</w:t>
            </w:r>
          </w:p>
        </w:tc>
        <w:tc>
          <w:tcPr>
            <w:tcW w:w="540" w:type="dxa"/>
            <w:vAlign w:val="bottom"/>
            <w:gridSpan w:val="2"/>
            <w:shd w:val="clear" w:color="auto" w:fill="D4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69</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Environmental remediation reserves</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164</w:t>
            </w:r>
          </w:p>
        </w:tc>
      </w:tr>
      <w:tr>
        <w:trPr>
          <w:trHeight w:val="230"/>
        </w:trPr>
        <w:tc>
          <w:tcPr>
            <w:tcW w:w="53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Deferred compensation</w:t>
            </w:r>
          </w:p>
        </w:tc>
        <w:tc>
          <w:tcPr>
            <w:tcW w:w="244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13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8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132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53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2440" w:type="dxa"/>
            <w:vAlign w:val="bottom"/>
            <w:tcBorders>
              <w:bottom w:val="single" w:sz="8" w:color="D4EFF4"/>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Borders>
              <w:bottom w:val="single" w:sz="8" w:color="D4EFF4"/>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w:t>
            </w:r>
          </w:p>
        </w:tc>
      </w:tr>
      <w:tr>
        <w:trPr>
          <w:trHeight w:val="245"/>
        </w:trPr>
        <w:tc>
          <w:tcPr>
            <w:tcW w:w="5320" w:type="dxa"/>
            <w:vAlign w:val="bottom"/>
            <w:tcBorders>
              <w:bottom w:val="single" w:sz="8" w:color="D4EFF4"/>
            </w:tcBorders>
            <w:shd w:val="clear" w:color="auto" w:fill="D4EFF4"/>
          </w:tcPr>
          <w:p>
            <w:pPr>
              <w:spacing w:after="0"/>
              <w:rPr>
                <w:sz w:val="21"/>
                <w:szCs w:val="21"/>
                <w:color w:val="auto"/>
              </w:rPr>
            </w:pPr>
          </w:p>
        </w:tc>
        <w:tc>
          <w:tcPr>
            <w:tcW w:w="2440" w:type="dxa"/>
            <w:vAlign w:val="bottom"/>
            <w:tcBorders>
              <w:bottom w:val="single" w:sz="8" w:color="D4EFF4"/>
            </w:tcBorders>
            <w:shd w:val="clear" w:color="auto" w:fill="D4EFF4"/>
          </w:tcPr>
          <w:p>
            <w:pPr>
              <w:spacing w:after="0"/>
              <w:rPr>
                <w:sz w:val="21"/>
                <w:szCs w:val="21"/>
                <w:color w:val="auto"/>
              </w:rPr>
            </w:pPr>
          </w:p>
        </w:tc>
        <w:tc>
          <w:tcPr>
            <w:tcW w:w="360" w:type="dxa"/>
            <w:vAlign w:val="bottom"/>
            <w:tcBorders>
              <w:bottom w:val="single" w:sz="8" w:color="auto"/>
            </w:tcBorders>
            <w:shd w:val="clear" w:color="auto" w:fill="D4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299</w:t>
            </w:r>
          </w:p>
        </w:tc>
        <w:tc>
          <w:tcPr>
            <w:tcW w:w="180" w:type="dxa"/>
            <w:vAlign w:val="bottom"/>
            <w:tcBorders>
              <w:bottom w:val="single" w:sz="8" w:color="D4EFF4"/>
            </w:tcBorders>
            <w:shd w:val="clear" w:color="auto" w:fill="D4EFF4"/>
          </w:tcPr>
          <w:p>
            <w:pPr>
              <w:spacing w:after="0"/>
              <w:rPr>
                <w:sz w:val="21"/>
                <w:szCs w:val="21"/>
                <w:color w:val="auto"/>
              </w:rPr>
            </w:pPr>
          </w:p>
        </w:tc>
        <w:tc>
          <w:tcPr>
            <w:tcW w:w="360" w:type="dxa"/>
            <w:vAlign w:val="bottom"/>
            <w:tcBorders>
              <w:bottom w:val="single" w:sz="8" w:color="auto"/>
            </w:tcBorders>
            <w:shd w:val="clear" w:color="auto" w:fill="D4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286</w:t>
            </w:r>
          </w:p>
        </w:tc>
      </w:tr>
      <w:tr>
        <w:trPr>
          <w:trHeight w:val="20"/>
        </w:trPr>
        <w:tc>
          <w:tcPr>
            <w:tcW w:w="5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4"/>
        </w:trPr>
        <w:tc>
          <w:tcPr>
            <w:tcW w:w="5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-844550</wp:posOffset>
            </wp:positionV>
            <wp:extent cx="722058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371">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2058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372">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2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NOTE J – LEASING ARRANGEMENTS</w:t>
      </w:r>
    </w:p>
    <w:p>
      <w:pPr>
        <w:spacing w:after="0" w:line="121" w:lineRule="exact"/>
        <w:rPr>
          <w:sz w:val="20"/>
          <w:szCs w:val="20"/>
          <w:color w:val="auto"/>
        </w:rPr>
      </w:pPr>
    </w:p>
    <w:p>
      <w:pPr>
        <w:jc w:val="both"/>
        <w:ind w:left="8" w:right="20" w:firstLine="360"/>
        <w:spacing w:after="0" w:line="306" w:lineRule="auto"/>
        <w:rPr>
          <w:sz w:val="20"/>
          <w:szCs w:val="20"/>
          <w:color w:val="auto"/>
        </w:rPr>
      </w:pPr>
      <w:r>
        <w:rPr>
          <w:rFonts w:ascii="Times New Roman" w:cs="Times New Roman" w:eastAsia="Times New Roman" w:hAnsi="Times New Roman"/>
          <w:sz w:val="20"/>
          <w:szCs w:val="20"/>
          <w:color w:val="auto"/>
        </w:rPr>
        <w:t>Ashland leases certain office buildings, transportation equipment, warehouses and storage facilities, and equipment. Substantially all of Ashland’s leases are operating leases or short-term leases. Real estate leases represented over 85% of the total lease liability at both September 30, 2025 and 2024. See Note A for additional information related to Ashland’s leasing arrangements.</w:t>
      </w:r>
    </w:p>
    <w:p>
      <w:pPr>
        <w:spacing w:after="0" w:line="6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The components of lease cost recognized within the Statements of Consolidated Comprehensive Income (Loss) for the years ended</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September 30,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132715</wp:posOffset>
            </wp:positionV>
            <wp:extent cx="722058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373">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191"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68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Location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2025</w:t>
            </w:r>
          </w:p>
        </w:tc>
        <w:tc>
          <w:tcPr>
            <w:tcW w:w="42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36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Lease cost:</w:t>
            </w:r>
          </w:p>
        </w:tc>
        <w:tc>
          <w:tcPr>
            <w:tcW w:w="368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360" w:type="dxa"/>
            <w:vAlign w:val="bottom"/>
            <w:shd w:val="clear" w:color="auto" w:fill="D4EFF4"/>
          </w:tcPr>
          <w:p>
            <w:pPr>
              <w:spacing w:after="0"/>
              <w:rPr>
                <w:sz w:val="19"/>
                <w:szCs w:val="19"/>
                <w:color w:val="auto"/>
              </w:rPr>
            </w:pPr>
          </w:p>
        </w:tc>
        <w:tc>
          <w:tcPr>
            <w:tcW w:w="4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18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34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240" w:type="dxa"/>
            <w:vAlign w:val="bottom"/>
            <w:shd w:val="clear" w:color="auto" w:fill="D4EFF4"/>
          </w:tcPr>
          <w:p>
            <w:pPr>
              <w:spacing w:after="0"/>
              <w:rPr>
                <w:sz w:val="19"/>
                <w:szCs w:val="19"/>
                <w:color w:val="auto"/>
              </w:rPr>
            </w:pPr>
          </w:p>
        </w:tc>
        <w:tc>
          <w:tcPr>
            <w:tcW w:w="6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Selling, General &amp; Administrative</w:t>
            </w:r>
          </w:p>
        </w:tc>
        <w:tc>
          <w:tcPr>
            <w:tcW w:w="1020" w:type="dxa"/>
            <w:vAlign w:val="bottom"/>
          </w:tcPr>
          <w:p>
            <w:pPr>
              <w:jc w:val="right"/>
              <w:ind w:right="82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320" w:type="dxa"/>
            <w:vAlign w:val="bottom"/>
            <w:gridSpan w:val="2"/>
          </w:tcPr>
          <w:p>
            <w:pPr>
              <w:jc w:val="center"/>
              <w:ind w:right="840"/>
              <w:spacing w:after="0"/>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3680" w:type="dxa"/>
            <w:vAlign w:val="bottom"/>
            <w:shd w:val="clear" w:color="auto" w:fill="D4EFF4"/>
          </w:tcPr>
          <w:p>
            <w:pPr>
              <w:ind w:left="240"/>
              <w:spacing w:after="0"/>
              <w:rPr>
                <w:sz w:val="20"/>
                <w:szCs w:val="20"/>
                <w:color w:val="auto"/>
              </w:rPr>
            </w:pPr>
            <w:r>
              <w:rPr>
                <w:rFonts w:ascii="Times New Roman" w:cs="Times New Roman" w:eastAsia="Times New Roman" w:hAnsi="Times New Roman"/>
                <w:sz w:val="20"/>
                <w:szCs w:val="20"/>
                <w:color w:val="auto"/>
              </w:rPr>
              <w:t>Cost of Sales</w:t>
            </w:r>
          </w:p>
        </w:tc>
        <w:tc>
          <w:tcPr>
            <w:tcW w:w="102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4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40" w:type="dxa"/>
            <w:vAlign w:val="bottom"/>
            <w:shd w:val="clear" w:color="auto" w:fill="D4EFF4"/>
          </w:tcPr>
          <w:p>
            <w:pPr>
              <w:spacing w:after="0"/>
              <w:rPr>
                <w:sz w:val="20"/>
                <w:szCs w:val="20"/>
                <w:color w:val="auto"/>
              </w:rPr>
            </w:pPr>
          </w:p>
        </w:tc>
        <w:tc>
          <w:tcPr>
            <w:tcW w:w="118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4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Selling, General &amp; Administrative</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3680" w:type="dxa"/>
            <w:vAlign w:val="bottom"/>
            <w:shd w:val="clear" w:color="auto" w:fill="D4EFF4"/>
          </w:tcPr>
          <w:p>
            <w:pPr>
              <w:ind w:left="240"/>
              <w:spacing w:after="0"/>
              <w:rPr>
                <w:sz w:val="20"/>
                <w:szCs w:val="20"/>
                <w:color w:val="auto"/>
              </w:rPr>
            </w:pPr>
            <w:r>
              <w:rPr>
                <w:rFonts w:ascii="Times New Roman" w:cs="Times New Roman" w:eastAsia="Times New Roman" w:hAnsi="Times New Roman"/>
                <w:sz w:val="20"/>
                <w:szCs w:val="20"/>
                <w:color w:val="auto"/>
              </w:rPr>
              <w:t>Cost of Sales</w:t>
            </w:r>
          </w:p>
        </w:tc>
        <w:tc>
          <w:tcPr>
            <w:tcW w:w="102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4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shd w:val="clear" w:color="auto" w:fill="D4EFF4"/>
          </w:tcPr>
          <w:p>
            <w:pPr>
              <w:spacing w:after="0"/>
              <w:rPr>
                <w:sz w:val="20"/>
                <w:szCs w:val="20"/>
                <w:color w:val="auto"/>
              </w:rPr>
            </w:pPr>
          </w:p>
        </w:tc>
        <w:tc>
          <w:tcPr>
            <w:tcW w:w="118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Short-term leases</w:t>
            </w:r>
          </w:p>
        </w:tc>
        <w:tc>
          <w:tcPr>
            <w:tcW w:w="3680" w:type="dxa"/>
            <w:vAlign w:val="bottom"/>
            <w:tcBorders>
              <w:bottom w:val="single" w:sz="8" w:color="D4EFF4"/>
            </w:tcBorders>
          </w:tcPr>
          <w:p>
            <w:pPr>
              <w:ind w:left="240"/>
              <w:spacing w:after="0"/>
              <w:rPr>
                <w:sz w:val="20"/>
                <w:szCs w:val="20"/>
                <w:color w:val="auto"/>
              </w:rPr>
            </w:pPr>
            <w:r>
              <w:rPr>
                <w:rFonts w:ascii="Times New Roman" w:cs="Times New Roman" w:eastAsia="Times New Roman" w:hAnsi="Times New Roman"/>
                <w:sz w:val="20"/>
                <w:szCs w:val="20"/>
                <w:color w:val="auto"/>
              </w:rPr>
              <w:t>Cost of Sales</w:t>
            </w: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Borders>
              <w:bottom w:val="single" w:sz="8" w:color="D4EFF4"/>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Borders>
              <w:bottom w:val="single" w:sz="8" w:color="D4EF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36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Total lease cost</w:t>
            </w:r>
          </w:p>
        </w:tc>
        <w:tc>
          <w:tcPr>
            <w:tcW w:w="3680" w:type="dxa"/>
            <w:vAlign w:val="bottom"/>
            <w:tcBorders>
              <w:bottom w:val="single" w:sz="8" w:color="D4EFF4"/>
            </w:tcBorders>
            <w:shd w:val="clear" w:color="auto" w:fill="D4EFF4"/>
          </w:tcPr>
          <w:p>
            <w:pPr>
              <w:spacing w:after="0"/>
              <w:rPr>
                <w:sz w:val="24"/>
                <w:szCs w:val="24"/>
                <w:color w:val="auto"/>
              </w:rPr>
            </w:pPr>
          </w:p>
        </w:tc>
        <w:tc>
          <w:tcPr>
            <w:tcW w:w="1020" w:type="dxa"/>
            <w:vAlign w:val="bottom"/>
            <w:tcBorders>
              <w:bottom w:val="single" w:sz="8" w:color="auto"/>
            </w:tcBorders>
            <w:shd w:val="clear" w:color="auto" w:fill="D4EFF4"/>
          </w:tcPr>
          <w:p>
            <w:pPr>
              <w:jc w:val="right"/>
              <w:ind w:right="82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Borders>
              <w:bottom w:val="single" w:sz="8" w:color="auto"/>
            </w:tcBorders>
            <w:shd w:val="clear" w:color="auto" w:fill="D4EFF4"/>
          </w:tcPr>
          <w:p>
            <w:pPr>
              <w:spacing w:after="0"/>
              <w:rPr>
                <w:sz w:val="24"/>
                <w:szCs w:val="24"/>
                <w:color w:val="auto"/>
              </w:rPr>
            </w:pPr>
          </w:p>
        </w:tc>
        <w:tc>
          <w:tcPr>
            <w:tcW w:w="4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Borders>
              <w:bottom w:val="single" w:sz="8" w:color="D4EFF4"/>
            </w:tcBorders>
            <w:shd w:val="clear" w:color="auto" w:fill="D4EFF4"/>
          </w:tcPr>
          <w:p>
            <w:pPr>
              <w:spacing w:after="0"/>
              <w:rPr>
                <w:sz w:val="24"/>
                <w:szCs w:val="24"/>
                <w:color w:val="auto"/>
              </w:rPr>
            </w:pPr>
          </w:p>
        </w:tc>
        <w:tc>
          <w:tcPr>
            <w:tcW w:w="1180" w:type="dxa"/>
            <w:vAlign w:val="bottom"/>
            <w:tcBorders>
              <w:bottom w:val="single" w:sz="8" w:color="auto"/>
            </w:tcBorders>
            <w:shd w:val="clear" w:color="auto" w:fill="D4EFF4"/>
          </w:tcPr>
          <w:p>
            <w:pPr>
              <w:jc w:val="center"/>
              <w:ind w:right="980"/>
              <w:spacing w:after="0"/>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Borders>
              <w:bottom w:val="single" w:sz="8" w:color="auto"/>
            </w:tcBorders>
            <w:shd w:val="clear" w:color="auto" w:fill="D4EFF4"/>
          </w:tcPr>
          <w:p>
            <w:pPr>
              <w:spacing w:after="0"/>
              <w:rPr>
                <w:sz w:val="24"/>
                <w:szCs w:val="24"/>
                <w:color w:val="auto"/>
              </w:rPr>
            </w:pPr>
          </w:p>
        </w:tc>
        <w:tc>
          <w:tcPr>
            <w:tcW w:w="120" w:type="dxa"/>
            <w:vAlign w:val="bottom"/>
            <w:tcBorders>
              <w:bottom w:val="single" w:sz="8" w:color="auto"/>
            </w:tcBorders>
            <w:shd w:val="clear" w:color="auto" w:fill="D4EFF4"/>
          </w:tcPr>
          <w:p>
            <w:pPr>
              <w:spacing w:after="0"/>
              <w:rPr>
                <w:sz w:val="24"/>
                <w:szCs w:val="24"/>
                <w:color w:val="auto"/>
              </w:rPr>
            </w:pPr>
          </w:p>
        </w:tc>
        <w:tc>
          <w:tcPr>
            <w:tcW w:w="3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Borders>
              <w:bottom w:val="single" w:sz="8" w:color="D4EFF4"/>
            </w:tcBorders>
            <w:shd w:val="clear" w:color="auto" w:fill="D4EFF4"/>
          </w:tcPr>
          <w:p>
            <w:pPr>
              <w:spacing w:after="0"/>
              <w:rPr>
                <w:sz w:val="24"/>
                <w:szCs w:val="24"/>
                <w:color w:val="auto"/>
              </w:rPr>
            </w:pPr>
          </w:p>
        </w:tc>
        <w:tc>
          <w:tcPr>
            <w:tcW w:w="1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Borders>
              <w:bottom w:val="single" w:sz="8" w:color="auto"/>
            </w:tcBorders>
            <w:shd w:val="clear" w:color="auto" w:fill="D4EFF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7420" w:type="dxa"/>
            <w:vAlign w:val="bottom"/>
            <w:gridSpan w:val="4"/>
            <w:vMerge w:val="restart"/>
          </w:tcPr>
          <w:p>
            <w:pPr>
              <w:ind w:left="360"/>
              <w:spacing w:after="0"/>
              <w:rPr>
                <w:sz w:val="20"/>
                <w:szCs w:val="20"/>
                <w:color w:val="auto"/>
              </w:rPr>
            </w:pPr>
            <w:r>
              <w:rPr>
                <w:rFonts w:ascii="Times New Roman" w:cs="Times New Roman" w:eastAsia="Times New Roman" w:hAnsi="Times New Roman"/>
                <w:sz w:val="20"/>
                <w:szCs w:val="20"/>
                <w:color w:val="auto"/>
              </w:rPr>
              <w:t>The following table summarizes Ashland’s lease assets and liabilities at September 30:</w:t>
            </w: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742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20"/>
                <w:szCs w:val="20"/>
                <w:color w:val="auto"/>
                <w:w w:val="99"/>
              </w:rPr>
              <w:t>2025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restart"/>
          </w:tcPr>
          <w:p>
            <w:pPr>
              <w:jc w:val="right"/>
              <w:ind w:right="7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360" w:type="dxa"/>
            <w:vAlign w:val="bottom"/>
            <w:vMerge w:val="continue"/>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68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42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18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34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240" w:type="dxa"/>
            <w:vAlign w:val="bottom"/>
            <w:shd w:val="clear" w:color="auto" w:fill="D4EFF4"/>
          </w:tcPr>
          <w:p>
            <w:pPr>
              <w:spacing w:after="0"/>
              <w:rPr>
                <w:sz w:val="20"/>
                <w:szCs w:val="20"/>
                <w:color w:val="auto"/>
              </w:rPr>
            </w:pPr>
          </w:p>
        </w:tc>
        <w:tc>
          <w:tcPr>
            <w:tcW w:w="6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36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Finance lease assets</w:t>
            </w:r>
            <w:r>
              <w:rPr>
                <w:rFonts w:ascii="Times New Roman" w:cs="Times New Roman" w:eastAsia="Times New Roman" w:hAnsi="Times New Roman"/>
                <w:sz w:val="25"/>
                <w:szCs w:val="25"/>
                <w:color w:val="auto"/>
                <w:vertAlign w:val="superscript"/>
              </w:rPr>
              <w:t>(a)</w:t>
            </w:r>
          </w:p>
        </w:tc>
        <w:tc>
          <w:tcPr>
            <w:tcW w:w="36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Operating lease assets, net</w:t>
            </w:r>
          </w:p>
        </w:tc>
        <w:tc>
          <w:tcPr>
            <w:tcW w:w="3680" w:type="dxa"/>
            <w:vAlign w:val="bottom"/>
            <w:tcBorders>
              <w:bottom w:val="single" w:sz="8" w:color="D4EFF4"/>
            </w:tcBorders>
            <w:shd w:val="clear" w:color="auto" w:fill="D4EFF4"/>
          </w:tcPr>
          <w:p>
            <w:pPr>
              <w:spacing w:after="0"/>
              <w:rPr>
                <w:sz w:val="22"/>
                <w:szCs w:val="22"/>
                <w:color w:val="auto"/>
              </w:rPr>
            </w:pPr>
          </w:p>
        </w:tc>
        <w:tc>
          <w:tcPr>
            <w:tcW w:w="1020" w:type="dxa"/>
            <w:vAlign w:val="bottom"/>
            <w:tcBorders>
              <w:bottom w:val="single" w:sz="8" w:color="D4EFF4"/>
            </w:tcBorders>
            <w:shd w:val="clear" w:color="auto" w:fill="D4EFF4"/>
          </w:tcPr>
          <w:p>
            <w:pPr>
              <w:spacing w:after="0"/>
              <w:rPr>
                <w:sz w:val="22"/>
                <w:szCs w:val="22"/>
                <w:color w:val="auto"/>
              </w:rPr>
            </w:pPr>
          </w:p>
        </w:tc>
        <w:tc>
          <w:tcPr>
            <w:tcW w:w="360" w:type="dxa"/>
            <w:vAlign w:val="bottom"/>
            <w:tcBorders>
              <w:bottom w:val="single" w:sz="8" w:color="auto"/>
            </w:tcBorders>
            <w:shd w:val="clear" w:color="auto" w:fill="D4EFF4"/>
          </w:tcPr>
          <w:p>
            <w:pPr>
              <w:spacing w:after="0"/>
              <w:rPr>
                <w:sz w:val="22"/>
                <w:szCs w:val="22"/>
                <w:color w:val="auto"/>
              </w:rPr>
            </w:pPr>
          </w:p>
        </w:tc>
        <w:tc>
          <w:tcPr>
            <w:tcW w:w="420" w:type="dxa"/>
            <w:vAlign w:val="bottom"/>
            <w:tcBorders>
              <w:bottom w:val="single" w:sz="8" w:color="auto"/>
            </w:tcBorders>
            <w:shd w:val="clear" w:color="auto" w:fill="D4EFF4"/>
          </w:tcPr>
          <w:p>
            <w:pPr>
              <w:spacing w:after="0"/>
              <w:rPr>
                <w:sz w:val="22"/>
                <w:szCs w:val="22"/>
                <w:color w:val="auto"/>
              </w:rPr>
            </w:pPr>
          </w:p>
        </w:tc>
        <w:tc>
          <w:tcPr>
            <w:tcW w:w="132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103</w:t>
            </w:r>
          </w:p>
        </w:tc>
        <w:tc>
          <w:tcPr>
            <w:tcW w:w="16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spacing w:after="0"/>
              <w:rPr>
                <w:sz w:val="22"/>
                <w:szCs w:val="22"/>
                <w:color w:val="auto"/>
              </w:rPr>
            </w:pPr>
          </w:p>
        </w:tc>
        <w:tc>
          <w:tcPr>
            <w:tcW w:w="340" w:type="dxa"/>
            <w:vAlign w:val="bottom"/>
            <w:tcBorders>
              <w:bottom w:val="single" w:sz="8" w:color="auto"/>
            </w:tcBorders>
            <w:shd w:val="clear" w:color="auto" w:fill="D4EFF4"/>
          </w:tcPr>
          <w:p>
            <w:pPr>
              <w:spacing w:after="0"/>
              <w:rPr>
                <w:sz w:val="22"/>
                <w:szCs w:val="22"/>
                <w:color w:val="auto"/>
              </w:rPr>
            </w:pPr>
          </w:p>
        </w:tc>
        <w:tc>
          <w:tcPr>
            <w:tcW w:w="140" w:type="dxa"/>
            <w:vAlign w:val="bottom"/>
            <w:tcBorders>
              <w:bottom w:val="single" w:sz="8" w:color="auto"/>
            </w:tcBorders>
            <w:shd w:val="clear" w:color="auto" w:fill="D4EFF4"/>
          </w:tcPr>
          <w:p>
            <w:pPr>
              <w:spacing w:after="0"/>
              <w:rPr>
                <w:sz w:val="22"/>
                <w:szCs w:val="22"/>
                <w:color w:val="auto"/>
              </w:rPr>
            </w:pPr>
          </w:p>
        </w:tc>
        <w:tc>
          <w:tcPr>
            <w:tcW w:w="140" w:type="dxa"/>
            <w:vAlign w:val="bottom"/>
            <w:tcBorders>
              <w:bottom w:val="single" w:sz="8" w:color="auto"/>
            </w:tcBorders>
            <w:shd w:val="clear" w:color="auto" w:fill="D4EFF4"/>
          </w:tcPr>
          <w:p>
            <w:pPr>
              <w:spacing w:after="0"/>
              <w:rPr>
                <w:sz w:val="22"/>
                <w:szCs w:val="22"/>
                <w:color w:val="auto"/>
              </w:rPr>
            </w:pP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Borders>
              <w:bottom w:val="single" w:sz="8" w:color="auto"/>
            </w:tcBorders>
            <w:shd w:val="clear" w:color="auto" w:fill="D4EFF4"/>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360" w:type="dxa"/>
            <w:vAlign w:val="bottom"/>
            <w:tcBorders>
              <w:bottom w:val="single" w:sz="8" w:color="D4EFF4"/>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Total lease assets</w:t>
            </w:r>
          </w:p>
        </w:tc>
        <w:tc>
          <w:tcPr>
            <w:tcW w:w="3680" w:type="dxa"/>
            <w:vAlign w:val="bottom"/>
            <w:tcBorders>
              <w:bottom w:val="single" w:sz="8" w:color="D4EFF4"/>
            </w:tcBorders>
          </w:tcPr>
          <w:p>
            <w:pPr>
              <w:spacing w:after="0"/>
              <w:rPr>
                <w:sz w:val="22"/>
                <w:szCs w:val="22"/>
                <w:color w:val="auto"/>
              </w:rPr>
            </w:pPr>
          </w:p>
        </w:tc>
        <w:tc>
          <w:tcPr>
            <w:tcW w:w="1020" w:type="dxa"/>
            <w:vAlign w:val="bottom"/>
            <w:tcBorders>
              <w:bottom w:val="single" w:sz="8" w:color="D4EFF4"/>
            </w:tcBorders>
          </w:tcPr>
          <w:p>
            <w:pPr>
              <w:spacing w:after="0"/>
              <w:rPr>
                <w:sz w:val="22"/>
                <w:szCs w:val="22"/>
                <w:color w:val="auto"/>
              </w:rPr>
            </w:pPr>
          </w:p>
        </w:tc>
        <w:tc>
          <w:tcPr>
            <w:tcW w:w="360" w:type="dxa"/>
            <w:vAlign w:val="bottom"/>
            <w:tcBorders>
              <w:bottom w:val="single" w:sz="8" w:color="auto"/>
            </w:tcBorders>
          </w:tcPr>
          <w:p>
            <w:pPr>
              <w:jc w:val="right"/>
              <w:ind w:right="1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113</w:t>
            </w:r>
          </w:p>
        </w:tc>
        <w:tc>
          <w:tcPr>
            <w:tcW w:w="16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3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124</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D4EFF4"/>
          </w:tcPr>
          <w:p>
            <w:pPr>
              <w:spacing w:after="0"/>
              <w:rPr>
                <w:sz w:val="19"/>
                <w:szCs w:val="19"/>
                <w:color w:val="auto"/>
              </w:rPr>
            </w:pPr>
          </w:p>
        </w:tc>
        <w:tc>
          <w:tcPr>
            <w:tcW w:w="368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360" w:type="dxa"/>
            <w:vAlign w:val="bottom"/>
            <w:shd w:val="clear" w:color="auto" w:fill="D4EFF4"/>
          </w:tcPr>
          <w:p>
            <w:pPr>
              <w:spacing w:after="0"/>
              <w:rPr>
                <w:sz w:val="19"/>
                <w:szCs w:val="19"/>
                <w:color w:val="auto"/>
              </w:rPr>
            </w:pPr>
          </w:p>
        </w:tc>
        <w:tc>
          <w:tcPr>
            <w:tcW w:w="4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18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34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240" w:type="dxa"/>
            <w:vAlign w:val="bottom"/>
            <w:shd w:val="clear" w:color="auto" w:fill="D4EFF4"/>
          </w:tcPr>
          <w:p>
            <w:pPr>
              <w:spacing w:after="0"/>
              <w:rPr>
                <w:sz w:val="19"/>
                <w:szCs w:val="19"/>
                <w:color w:val="auto"/>
              </w:rPr>
            </w:pPr>
          </w:p>
        </w:tc>
        <w:tc>
          <w:tcPr>
            <w:tcW w:w="6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4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Current operating lease obligations</w:t>
            </w:r>
          </w:p>
        </w:tc>
        <w:tc>
          <w:tcPr>
            <w:tcW w:w="1380" w:type="dxa"/>
            <w:vAlign w:val="bottom"/>
            <w:gridSpan w:val="2"/>
            <w:shd w:val="clear" w:color="auto" w:fill="D4EFF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D4EFF4"/>
          </w:tcPr>
          <w:p>
            <w:pPr>
              <w:spacing w:after="0"/>
              <w:rPr>
                <w:sz w:val="21"/>
                <w:szCs w:val="21"/>
                <w:color w:val="auto"/>
              </w:rPr>
            </w:pPr>
          </w:p>
        </w:tc>
        <w:tc>
          <w:tcPr>
            <w:tcW w:w="132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28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D4EFF4"/>
            </w:tcBorders>
            <w:gridSpan w:val="2"/>
          </w:tcPr>
          <w:p>
            <w:pPr>
              <w:spacing w:after="0"/>
              <w:rPr>
                <w:sz w:val="20"/>
                <w:szCs w:val="20"/>
                <w:color w:val="auto"/>
              </w:rPr>
            </w:pPr>
            <w:r>
              <w:rPr>
                <w:rFonts w:ascii="Times New Roman" w:cs="Times New Roman" w:eastAsia="Times New Roman" w:hAnsi="Times New Roman"/>
                <w:sz w:val="20"/>
                <w:szCs w:val="20"/>
                <w:color w:val="auto"/>
              </w:rPr>
              <w:t>Non-current operating lease obligations</w:t>
            </w:r>
          </w:p>
        </w:tc>
        <w:tc>
          <w:tcPr>
            <w:tcW w:w="1020" w:type="dxa"/>
            <w:vAlign w:val="bottom"/>
            <w:tcBorders>
              <w:bottom w:val="single" w:sz="8" w:color="D4EFF4"/>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85</w:t>
            </w:r>
          </w:p>
        </w:tc>
        <w:tc>
          <w:tcPr>
            <w:tcW w:w="16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36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Total lease liabilities</w:t>
            </w:r>
          </w:p>
        </w:tc>
        <w:tc>
          <w:tcPr>
            <w:tcW w:w="3680" w:type="dxa"/>
            <w:vAlign w:val="bottom"/>
            <w:tcBorders>
              <w:bottom w:val="single" w:sz="8" w:color="D4EFF4"/>
            </w:tcBorders>
            <w:shd w:val="clear" w:color="auto" w:fill="D4EFF4"/>
          </w:tcPr>
          <w:p>
            <w:pPr>
              <w:spacing w:after="0"/>
              <w:rPr>
                <w:sz w:val="22"/>
                <w:szCs w:val="22"/>
                <w:color w:val="auto"/>
              </w:rPr>
            </w:pPr>
          </w:p>
        </w:tc>
        <w:tc>
          <w:tcPr>
            <w:tcW w:w="1020" w:type="dxa"/>
            <w:vAlign w:val="bottom"/>
            <w:tcBorders>
              <w:bottom w:val="single" w:sz="8" w:color="D4EFF4"/>
            </w:tcBorders>
            <w:shd w:val="clear" w:color="auto" w:fill="D4EFF4"/>
          </w:tcPr>
          <w:p>
            <w:pPr>
              <w:spacing w:after="0"/>
              <w:rPr>
                <w:sz w:val="22"/>
                <w:szCs w:val="22"/>
                <w:color w:val="auto"/>
              </w:rPr>
            </w:pPr>
          </w:p>
        </w:tc>
        <w:tc>
          <w:tcPr>
            <w:tcW w:w="360" w:type="dxa"/>
            <w:vAlign w:val="bottom"/>
            <w:tcBorders>
              <w:bottom w:val="single" w:sz="8" w:color="auto"/>
            </w:tcBorders>
            <w:shd w:val="clear" w:color="auto" w:fill="D4EFF4"/>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shd w:val="clear" w:color="auto" w:fill="D4EFF4"/>
          </w:tcPr>
          <w:p>
            <w:pPr>
              <w:spacing w:after="0"/>
              <w:rPr>
                <w:sz w:val="22"/>
                <w:szCs w:val="22"/>
                <w:color w:val="auto"/>
              </w:rPr>
            </w:pPr>
          </w:p>
        </w:tc>
        <w:tc>
          <w:tcPr>
            <w:tcW w:w="132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106</w:t>
            </w:r>
          </w:p>
        </w:tc>
        <w:tc>
          <w:tcPr>
            <w:tcW w:w="16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340" w:type="dxa"/>
            <w:vAlign w:val="bottom"/>
            <w:tcBorders>
              <w:bottom w:val="single" w:sz="8" w:color="auto"/>
            </w:tcBorders>
            <w:shd w:val="clear" w:color="auto" w:fill="D4EFF4"/>
          </w:tcPr>
          <w:p>
            <w:pPr>
              <w:spacing w:after="0"/>
              <w:rPr>
                <w:sz w:val="22"/>
                <w:szCs w:val="22"/>
                <w:color w:val="auto"/>
              </w:rPr>
            </w:pPr>
          </w:p>
        </w:tc>
        <w:tc>
          <w:tcPr>
            <w:tcW w:w="140" w:type="dxa"/>
            <w:vAlign w:val="bottom"/>
            <w:tcBorders>
              <w:bottom w:val="single" w:sz="8" w:color="auto"/>
            </w:tcBorders>
            <w:shd w:val="clear" w:color="auto" w:fill="D4EFF4"/>
          </w:tcPr>
          <w:p>
            <w:pPr>
              <w:spacing w:after="0"/>
              <w:rPr>
                <w:sz w:val="22"/>
                <w:szCs w:val="22"/>
                <w:color w:val="auto"/>
              </w:rPr>
            </w:pPr>
          </w:p>
        </w:tc>
        <w:tc>
          <w:tcPr>
            <w:tcW w:w="140" w:type="dxa"/>
            <w:vAlign w:val="bottom"/>
            <w:tcBorders>
              <w:bottom w:val="single" w:sz="8" w:color="auto"/>
            </w:tcBorders>
            <w:shd w:val="clear" w:color="auto" w:fill="D4EFF4"/>
          </w:tcPr>
          <w:p>
            <w:pPr>
              <w:spacing w:after="0"/>
              <w:rPr>
                <w:sz w:val="22"/>
                <w:szCs w:val="22"/>
                <w:color w:val="auto"/>
              </w:rPr>
            </w:pP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Borders>
              <w:bottom w:val="single" w:sz="8" w:color="auto"/>
            </w:tcBorders>
            <w:shd w:val="clear" w:color="auto" w:fill="D4EF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3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-3225165</wp:posOffset>
            </wp:positionV>
            <wp:extent cx="722058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374">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-2086610</wp:posOffset>
            </wp:positionV>
            <wp:extent cx="722058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375">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-1720215</wp:posOffset>
            </wp:positionV>
            <wp:extent cx="7221220"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376">
                      <a:extLst>
                        <a:ext uri="{28A0092B-C50C-407E-A947-70E740481C1C}"/>
                      </a:extLst>
                    </a:blip>
                    <a:srcRect/>
                    <a:stretch>
                      <a:fillRect/>
                    </a:stretch>
                  </pic:blipFill>
                  <pic:spPr bwMode="auto">
                    <a:xfrm>
                      <a:off x="0" y="0"/>
                      <a:ext cx="722122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-1555750</wp:posOffset>
            </wp:positionV>
            <wp:extent cx="7221220"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377">
                      <a:extLst>
                        <a:ext uri="{28A0092B-C50C-407E-A947-70E740481C1C}"/>
                      </a:extLst>
                    </a:blip>
                    <a:srcRect/>
                    <a:stretch>
                      <a:fillRect/>
                    </a:stretch>
                  </pic:blipFill>
                  <pic:spPr bwMode="auto">
                    <a:xfrm>
                      <a:off x="0" y="0"/>
                      <a:ext cx="722122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21220"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378">
                      <a:extLst>
                        <a:ext uri="{28A0092B-C50C-407E-A947-70E740481C1C}"/>
                      </a:extLst>
                    </a:blip>
                    <a:srcRect/>
                    <a:stretch>
                      <a:fillRect/>
                    </a:stretch>
                  </pic:blipFill>
                  <pic:spPr bwMode="auto">
                    <a:xfrm>
                      <a:off x="0" y="0"/>
                      <a:ext cx="7221220" cy="3810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property, plant and equipment. See Note F.</w:t>
      </w:r>
    </w:p>
    <w:p>
      <w:pPr>
        <w:spacing w:after="0" w:line="134" w:lineRule="exact"/>
        <w:rPr>
          <w:sz w:val="20"/>
          <w:szCs w:val="20"/>
          <w:color w:val="auto"/>
        </w:rPr>
      </w:pPr>
    </w:p>
    <w:p>
      <w:pPr>
        <w:ind w:left="8" w:right="20" w:firstLine="360"/>
        <w:spacing w:after="0" w:line="325" w:lineRule="auto"/>
        <w:rPr>
          <w:sz w:val="20"/>
          <w:szCs w:val="20"/>
          <w:color w:val="auto"/>
        </w:rPr>
      </w:pPr>
      <w:r>
        <w:rPr>
          <w:rFonts w:ascii="Times New Roman" w:cs="Times New Roman" w:eastAsia="Times New Roman" w:hAnsi="Times New Roman"/>
          <w:sz w:val="20"/>
          <w:szCs w:val="20"/>
          <w:color w:val="auto"/>
        </w:rPr>
        <w:t>The weighted average remaining lease term for operating leases as of September 30, 2025 and 2024 was approximately 10 years and 19 years, respectively. The sale of the Avoca business in fiscal 2025 was the driver for the reduction of the average.</w:t>
      </w:r>
    </w:p>
    <w:p>
      <w:pPr>
        <w:spacing w:after="0" w:line="49" w:lineRule="exact"/>
        <w:rPr>
          <w:sz w:val="20"/>
          <w:szCs w:val="20"/>
          <w:color w:val="auto"/>
        </w:rPr>
      </w:pPr>
    </w:p>
    <w:p>
      <w:pPr>
        <w:ind w:left="8" w:right="20" w:firstLine="360"/>
        <w:spacing w:after="0" w:line="325" w:lineRule="auto"/>
        <w:rPr>
          <w:sz w:val="20"/>
          <w:szCs w:val="20"/>
          <w:color w:val="auto"/>
        </w:rPr>
      </w:pPr>
      <w:r>
        <w:rPr>
          <w:rFonts w:ascii="Times New Roman" w:cs="Times New Roman" w:eastAsia="Times New Roman" w:hAnsi="Times New Roman"/>
          <w:sz w:val="20"/>
          <w:szCs w:val="20"/>
          <w:color w:val="auto"/>
        </w:rPr>
        <w:t>The weighted average discount rate used to measure operating lease liabilities as of both September 30, 2025 and 2024 was 3.8%. There are no leases that have not yet commenced but that create significant rights and obligations for Ashland.</w:t>
      </w:r>
    </w:p>
    <w:p>
      <w:pPr>
        <w:sectPr>
          <w:pgSz w:w="12240" w:h="15840" w:orient="portrait"/>
          <w:cols w:equalWidth="0" w:num="1">
            <w:col w:w="11388"/>
          </w:cols>
          <w:pgMar w:left="432" w:top="930" w:right="4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11388"/>
          </w:cols>
          <w:pgMar w:left="432" w:top="930" w:right="420" w:bottom="186" w:gutter="0" w:footer="0" w:header="0"/>
          <w:type w:val="continuous"/>
        </w:sectPr>
      </w:pPr>
    </w:p>
    <w:bookmarkStart w:id="134" w:name="page135"/>
    <w:bookmarkEnd w:id="134"/>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Right-of-use assets exchanged for new operating lease obligations was $7 million and $6 million for the years ended September 30, 2025 and 2024, respectively. During the second quarter of fiscal 2024, Ashland acquired a favorable lease asset for $10 million, which was recorded in the property, plant and equipment caption of the Consolidated Balance Sheet at September 30, 2024.</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provides cash paid for amounts included in the measurement of operating lease liabilities for the years ended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103505</wp:posOffset>
            </wp:positionV>
            <wp:extent cx="722058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379">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360" w:type="dxa"/>
            <w:vAlign w:val="bottom"/>
          </w:tcPr>
          <w:p>
            <w:pPr>
              <w:spacing w:after="0"/>
              <w:rPr>
                <w:sz w:val="21"/>
                <w:szCs w:val="21"/>
                <w:color w:val="auto"/>
              </w:rPr>
            </w:pPr>
          </w:p>
        </w:tc>
        <w:tc>
          <w:tcPr>
            <w:tcW w:w="144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rPr>
              <w:t>2025</w:t>
            </w:r>
          </w:p>
        </w:tc>
        <w:tc>
          <w:tcPr>
            <w:tcW w:w="560" w:type="dxa"/>
            <w:vAlign w:val="bottom"/>
          </w:tcPr>
          <w:p>
            <w:pPr>
              <w:spacing w:after="0"/>
              <w:rPr>
                <w:sz w:val="21"/>
                <w:szCs w:val="21"/>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auto"/>
              </w:rPr>
              <w:t>2024</w:t>
            </w:r>
          </w:p>
        </w:tc>
        <w:tc>
          <w:tcPr>
            <w:tcW w:w="420" w:type="dxa"/>
            <w:vAlign w:val="bottom"/>
          </w:tcPr>
          <w:p>
            <w:pPr>
              <w:spacing w:after="0"/>
              <w:rPr>
                <w:sz w:val="21"/>
                <w:szCs w:val="21"/>
                <w:color w:val="auto"/>
              </w:rPr>
            </w:pPr>
          </w:p>
        </w:tc>
        <w:tc>
          <w:tcPr>
            <w:tcW w:w="10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60" w:type="dxa"/>
            <w:vAlign w:val="bottom"/>
            <w:gridSpan w:val="2"/>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360" w:type="dxa"/>
            <w:vAlign w:val="bottom"/>
            <w:shd w:val="clear" w:color="auto" w:fill="D5EFF4"/>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26</w:t>
            </w:r>
          </w:p>
        </w:tc>
        <w:tc>
          <w:tcPr>
            <w:tcW w:w="560" w:type="dxa"/>
            <w:vAlign w:val="bottom"/>
            <w:shd w:val="clear" w:color="auto" w:fill="D5EFF4"/>
          </w:tcPr>
          <w:p>
            <w:pPr>
              <w:jc w:val="right"/>
              <w:ind w:right="2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27</w:t>
            </w:r>
          </w:p>
        </w:tc>
        <w:tc>
          <w:tcPr>
            <w:tcW w:w="420" w:type="dxa"/>
            <w:vAlign w:val="bottom"/>
            <w:shd w:val="clear" w:color="auto" w:fill="D5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shd w:val="clear" w:color="auto" w:fill="D5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66"/>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Investing cash flows from finance lease</w:t>
            </w:r>
          </w:p>
        </w:tc>
        <w:tc>
          <w:tcPr>
            <w:tcW w:w="136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spacing w:after="0"/>
              <w:rPr>
                <w:sz w:val="23"/>
                <w:szCs w:val="23"/>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42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The following table summarizes Ashland's maturities of lease liabilities as of September 30, 2025:</w:t>
            </w: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840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40" w:type="dxa"/>
            <w:vAlign w:val="bottom"/>
            <w:tcBorders>
              <w:bottom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(In millions)</w:t>
            </w:r>
          </w:p>
        </w:tc>
        <w:tc>
          <w:tcPr>
            <w:tcW w:w="1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4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2026</w:t>
            </w:r>
          </w:p>
        </w:tc>
        <w:tc>
          <w:tcPr>
            <w:tcW w:w="1360" w:type="dxa"/>
            <w:vAlign w:val="bottom"/>
            <w:shd w:val="clear" w:color="auto" w:fill="D5EFF4"/>
          </w:tcPr>
          <w:p>
            <w:pPr>
              <w:spacing w:after="0"/>
              <w:rPr>
                <w:sz w:val="19"/>
                <w:szCs w:val="19"/>
                <w:color w:val="auto"/>
              </w:rPr>
            </w:pPr>
          </w:p>
        </w:tc>
        <w:tc>
          <w:tcPr>
            <w:tcW w:w="1440" w:type="dxa"/>
            <w:vAlign w:val="bottom"/>
            <w:shd w:val="clear" w:color="auto" w:fill="D5EFF4"/>
          </w:tcPr>
          <w:p>
            <w:pPr>
              <w:spacing w:after="0"/>
              <w:rPr>
                <w:sz w:val="19"/>
                <w:szCs w:val="19"/>
                <w:color w:val="auto"/>
              </w:rPr>
            </w:pPr>
          </w:p>
        </w:tc>
        <w:tc>
          <w:tcPr>
            <w:tcW w:w="560" w:type="dxa"/>
            <w:vAlign w:val="bottom"/>
            <w:shd w:val="clear" w:color="auto" w:fill="D5EFF4"/>
          </w:tcPr>
          <w:p>
            <w:pPr>
              <w:spacing w:after="0"/>
              <w:rPr>
                <w:sz w:val="19"/>
                <w:szCs w:val="19"/>
                <w:color w:val="auto"/>
              </w:rPr>
            </w:pPr>
          </w:p>
        </w:tc>
        <w:tc>
          <w:tcPr>
            <w:tcW w:w="1380" w:type="dxa"/>
            <w:vAlign w:val="bottom"/>
            <w:gridSpan w:val="2"/>
            <w:shd w:val="clear" w:color="auto" w:fill="D5EFF4"/>
          </w:tcPr>
          <w:p>
            <w:pPr>
              <w:jc w:val="right"/>
              <w:ind w:right="7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D5EFF4"/>
          </w:tcPr>
          <w:p>
            <w:pPr>
              <w:spacing w:after="0"/>
              <w:rPr>
                <w:sz w:val="19"/>
                <w:szCs w:val="19"/>
                <w:color w:val="auto"/>
              </w:rPr>
            </w:pPr>
          </w:p>
        </w:tc>
        <w:tc>
          <w:tcPr>
            <w:tcW w:w="10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23</w:t>
            </w:r>
          </w:p>
        </w:tc>
        <w:tc>
          <w:tcPr>
            <w:tcW w:w="60" w:type="dxa"/>
            <w:vAlign w:val="bottom"/>
            <w:shd w:val="clear" w:color="auto" w:fill="D5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2028</w:t>
            </w:r>
          </w:p>
        </w:tc>
        <w:tc>
          <w:tcPr>
            <w:tcW w:w="1360" w:type="dxa"/>
            <w:vAlign w:val="bottom"/>
            <w:shd w:val="clear" w:color="auto" w:fill="D5EFF4"/>
          </w:tcPr>
          <w:p>
            <w:pPr>
              <w:spacing w:after="0"/>
              <w:rPr>
                <w:sz w:val="20"/>
                <w:szCs w:val="20"/>
                <w:color w:val="auto"/>
              </w:rPr>
            </w:pPr>
          </w:p>
        </w:tc>
        <w:tc>
          <w:tcPr>
            <w:tcW w:w="1440" w:type="dxa"/>
            <w:vAlign w:val="bottom"/>
            <w:shd w:val="clear" w:color="auto" w:fill="D5EFF4"/>
          </w:tcPr>
          <w:p>
            <w:pPr>
              <w:spacing w:after="0"/>
              <w:rPr>
                <w:sz w:val="20"/>
                <w:szCs w:val="20"/>
                <w:color w:val="auto"/>
              </w:rPr>
            </w:pPr>
          </w:p>
        </w:tc>
        <w:tc>
          <w:tcPr>
            <w:tcW w:w="56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980" w:type="dxa"/>
            <w:vAlign w:val="bottom"/>
            <w:shd w:val="clear" w:color="auto" w:fill="D5EFF4"/>
          </w:tcPr>
          <w:p>
            <w:pPr>
              <w:spacing w:after="0"/>
              <w:rPr>
                <w:sz w:val="20"/>
                <w:szCs w:val="20"/>
                <w:color w:val="auto"/>
              </w:rPr>
            </w:pPr>
          </w:p>
        </w:tc>
        <w:tc>
          <w:tcPr>
            <w:tcW w:w="420" w:type="dxa"/>
            <w:vAlign w:val="bottom"/>
            <w:shd w:val="clear" w:color="auto" w:fill="D5EFF4"/>
          </w:tcPr>
          <w:p>
            <w:pPr>
              <w:spacing w:after="0"/>
              <w:rPr>
                <w:sz w:val="20"/>
                <w:szCs w:val="20"/>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2030</w:t>
            </w:r>
          </w:p>
        </w:tc>
        <w:tc>
          <w:tcPr>
            <w:tcW w:w="1360" w:type="dxa"/>
            <w:vAlign w:val="bottom"/>
            <w:shd w:val="clear" w:color="auto" w:fill="D5EFF4"/>
          </w:tcPr>
          <w:p>
            <w:pPr>
              <w:spacing w:after="0"/>
              <w:rPr>
                <w:sz w:val="20"/>
                <w:szCs w:val="20"/>
                <w:color w:val="auto"/>
              </w:rPr>
            </w:pPr>
          </w:p>
        </w:tc>
        <w:tc>
          <w:tcPr>
            <w:tcW w:w="1440" w:type="dxa"/>
            <w:vAlign w:val="bottom"/>
            <w:shd w:val="clear" w:color="auto" w:fill="D5EFF4"/>
          </w:tcPr>
          <w:p>
            <w:pPr>
              <w:spacing w:after="0"/>
              <w:rPr>
                <w:sz w:val="20"/>
                <w:szCs w:val="20"/>
                <w:color w:val="auto"/>
              </w:rPr>
            </w:pPr>
          </w:p>
        </w:tc>
        <w:tc>
          <w:tcPr>
            <w:tcW w:w="560" w:type="dxa"/>
            <w:vAlign w:val="bottom"/>
            <w:shd w:val="clear" w:color="auto" w:fill="D5EFF4"/>
          </w:tcPr>
          <w:p>
            <w:pPr>
              <w:spacing w:after="0"/>
              <w:rPr>
                <w:sz w:val="20"/>
                <w:szCs w:val="20"/>
                <w:color w:val="auto"/>
              </w:rPr>
            </w:pPr>
          </w:p>
        </w:tc>
        <w:tc>
          <w:tcPr>
            <w:tcW w:w="400" w:type="dxa"/>
            <w:vAlign w:val="bottom"/>
            <w:shd w:val="clear" w:color="auto" w:fill="D5EFF4"/>
          </w:tcPr>
          <w:p>
            <w:pPr>
              <w:spacing w:after="0"/>
              <w:rPr>
                <w:sz w:val="20"/>
                <w:szCs w:val="20"/>
                <w:color w:val="auto"/>
              </w:rPr>
            </w:pPr>
          </w:p>
        </w:tc>
        <w:tc>
          <w:tcPr>
            <w:tcW w:w="980" w:type="dxa"/>
            <w:vAlign w:val="bottom"/>
            <w:shd w:val="clear" w:color="auto" w:fill="D5EFF4"/>
          </w:tcPr>
          <w:p>
            <w:pPr>
              <w:spacing w:after="0"/>
              <w:rPr>
                <w:sz w:val="20"/>
                <w:szCs w:val="20"/>
                <w:color w:val="auto"/>
              </w:rPr>
            </w:pPr>
          </w:p>
        </w:tc>
        <w:tc>
          <w:tcPr>
            <w:tcW w:w="420" w:type="dxa"/>
            <w:vAlign w:val="bottom"/>
            <w:shd w:val="clear" w:color="auto" w:fill="D5EFF4"/>
          </w:tcPr>
          <w:p>
            <w:pPr>
              <w:spacing w:after="0"/>
              <w:rPr>
                <w:sz w:val="20"/>
                <w:szCs w:val="20"/>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shd w:val="clear" w:color="auto" w:fill="D5EF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D5EFF4"/>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360" w:type="dxa"/>
            <w:vAlign w:val="bottom"/>
            <w:tcBorders>
              <w:bottom w:val="single" w:sz="8" w:color="D5EFF4"/>
            </w:tcBorders>
          </w:tcPr>
          <w:p>
            <w:pPr>
              <w:spacing w:after="0"/>
              <w:rPr>
                <w:sz w:val="19"/>
                <w:szCs w:val="19"/>
                <w:color w:val="auto"/>
              </w:rPr>
            </w:pPr>
          </w:p>
        </w:tc>
        <w:tc>
          <w:tcPr>
            <w:tcW w:w="1440" w:type="dxa"/>
            <w:vAlign w:val="bottom"/>
            <w:tcBorders>
              <w:bottom w:val="single" w:sz="8" w:color="D5EFF4"/>
            </w:tcBorders>
          </w:tcPr>
          <w:p>
            <w:pPr>
              <w:spacing w:after="0"/>
              <w:rPr>
                <w:sz w:val="19"/>
                <w:szCs w:val="19"/>
                <w:color w:val="auto"/>
              </w:rPr>
            </w:pPr>
          </w:p>
        </w:tc>
        <w:tc>
          <w:tcPr>
            <w:tcW w:w="560" w:type="dxa"/>
            <w:vAlign w:val="bottom"/>
            <w:tcBorders>
              <w:bottom w:val="single" w:sz="8" w:color="D5EFF4"/>
            </w:tcBorders>
          </w:tcPr>
          <w:p>
            <w:pPr>
              <w:spacing w:after="0"/>
              <w:rPr>
                <w:sz w:val="19"/>
                <w:szCs w:val="19"/>
                <w:color w:val="auto"/>
              </w:rPr>
            </w:pPr>
          </w:p>
        </w:tc>
        <w:tc>
          <w:tcPr>
            <w:tcW w:w="400" w:type="dxa"/>
            <w:vAlign w:val="bottom"/>
            <w:tcBorders>
              <w:bottom w:val="single" w:sz="8" w:color="D5EFF4"/>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4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Total lease payments</w:t>
            </w:r>
          </w:p>
        </w:tc>
        <w:tc>
          <w:tcPr>
            <w:tcW w:w="1360" w:type="dxa"/>
            <w:vAlign w:val="bottom"/>
            <w:shd w:val="clear" w:color="auto" w:fill="D5EFF4"/>
          </w:tcPr>
          <w:p>
            <w:pPr>
              <w:spacing w:after="0"/>
              <w:rPr>
                <w:sz w:val="19"/>
                <w:szCs w:val="19"/>
                <w:color w:val="auto"/>
              </w:rPr>
            </w:pPr>
          </w:p>
        </w:tc>
        <w:tc>
          <w:tcPr>
            <w:tcW w:w="1440" w:type="dxa"/>
            <w:vAlign w:val="bottom"/>
            <w:shd w:val="clear" w:color="auto" w:fill="D5EFF4"/>
          </w:tcPr>
          <w:p>
            <w:pPr>
              <w:spacing w:after="0"/>
              <w:rPr>
                <w:sz w:val="19"/>
                <w:szCs w:val="19"/>
                <w:color w:val="auto"/>
              </w:rPr>
            </w:pPr>
          </w:p>
        </w:tc>
        <w:tc>
          <w:tcPr>
            <w:tcW w:w="560" w:type="dxa"/>
            <w:vAlign w:val="bottom"/>
            <w:shd w:val="clear" w:color="auto" w:fill="D5EFF4"/>
          </w:tcPr>
          <w:p>
            <w:pPr>
              <w:spacing w:after="0"/>
              <w:rPr>
                <w:sz w:val="19"/>
                <w:szCs w:val="19"/>
                <w:color w:val="auto"/>
              </w:rPr>
            </w:pPr>
          </w:p>
        </w:tc>
        <w:tc>
          <w:tcPr>
            <w:tcW w:w="400" w:type="dxa"/>
            <w:vAlign w:val="bottom"/>
            <w:shd w:val="clear" w:color="auto" w:fill="D5EFF4"/>
          </w:tcPr>
          <w:p>
            <w:pPr>
              <w:spacing w:after="0"/>
              <w:rPr>
                <w:sz w:val="19"/>
                <w:szCs w:val="19"/>
                <w:color w:val="auto"/>
              </w:rPr>
            </w:pPr>
          </w:p>
        </w:tc>
        <w:tc>
          <w:tcPr>
            <w:tcW w:w="980" w:type="dxa"/>
            <w:vAlign w:val="bottom"/>
            <w:shd w:val="clear" w:color="auto" w:fill="D5EFF4"/>
          </w:tcPr>
          <w:p>
            <w:pPr>
              <w:spacing w:after="0"/>
              <w:rPr>
                <w:sz w:val="19"/>
                <w:szCs w:val="19"/>
                <w:color w:val="auto"/>
              </w:rPr>
            </w:pPr>
          </w:p>
        </w:tc>
        <w:tc>
          <w:tcPr>
            <w:tcW w:w="420" w:type="dxa"/>
            <w:vAlign w:val="bottom"/>
            <w:shd w:val="clear" w:color="auto" w:fill="D5EFF4"/>
          </w:tcPr>
          <w:p>
            <w:pPr>
              <w:spacing w:after="0"/>
              <w:rPr>
                <w:sz w:val="19"/>
                <w:szCs w:val="19"/>
                <w:color w:val="auto"/>
              </w:rPr>
            </w:pPr>
          </w:p>
        </w:tc>
        <w:tc>
          <w:tcPr>
            <w:tcW w:w="10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118</w:t>
            </w:r>
          </w:p>
        </w:tc>
        <w:tc>
          <w:tcPr>
            <w:tcW w:w="60" w:type="dxa"/>
            <w:vAlign w:val="bottom"/>
            <w:shd w:val="clear" w:color="auto" w:fill="D5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D5EFF4"/>
            </w:tcBorders>
          </w:tcPr>
          <w:p>
            <w:pPr>
              <w:spacing w:after="0"/>
              <w:rPr>
                <w:sz w:val="20"/>
                <w:szCs w:val="20"/>
                <w:color w:val="auto"/>
              </w:rPr>
            </w:pPr>
            <w:r>
              <w:rPr>
                <w:rFonts w:ascii="Times New Roman" w:cs="Times New Roman" w:eastAsia="Times New Roman" w:hAnsi="Times New Roman"/>
                <w:sz w:val="20"/>
                <w:szCs w:val="20"/>
                <w:color w:val="auto"/>
              </w:rPr>
              <w:t>Less amount of lease payment representing interest</w:t>
            </w:r>
          </w:p>
        </w:tc>
        <w:tc>
          <w:tcPr>
            <w:tcW w:w="1360" w:type="dxa"/>
            <w:vAlign w:val="bottom"/>
            <w:tcBorders>
              <w:bottom w:val="single" w:sz="8" w:color="D5EFF4"/>
            </w:tcBorders>
          </w:tcPr>
          <w:p>
            <w:pPr>
              <w:spacing w:after="0"/>
              <w:rPr>
                <w:sz w:val="19"/>
                <w:szCs w:val="19"/>
                <w:color w:val="auto"/>
              </w:rPr>
            </w:pPr>
          </w:p>
        </w:tc>
        <w:tc>
          <w:tcPr>
            <w:tcW w:w="1440" w:type="dxa"/>
            <w:vAlign w:val="bottom"/>
            <w:tcBorders>
              <w:bottom w:val="single" w:sz="8" w:color="D5EFF4"/>
            </w:tcBorders>
          </w:tcPr>
          <w:p>
            <w:pPr>
              <w:spacing w:after="0"/>
              <w:rPr>
                <w:sz w:val="19"/>
                <w:szCs w:val="19"/>
                <w:color w:val="auto"/>
              </w:rPr>
            </w:pPr>
          </w:p>
        </w:tc>
        <w:tc>
          <w:tcPr>
            <w:tcW w:w="560" w:type="dxa"/>
            <w:vAlign w:val="bottom"/>
            <w:tcBorders>
              <w:bottom w:val="single" w:sz="8" w:color="D5EFF4"/>
            </w:tcBorders>
          </w:tcPr>
          <w:p>
            <w:pPr>
              <w:spacing w:after="0"/>
              <w:rPr>
                <w:sz w:val="19"/>
                <w:szCs w:val="19"/>
                <w:color w:val="auto"/>
              </w:rPr>
            </w:pPr>
          </w:p>
        </w:tc>
        <w:tc>
          <w:tcPr>
            <w:tcW w:w="400" w:type="dxa"/>
            <w:vAlign w:val="bottom"/>
            <w:tcBorders>
              <w:bottom w:val="single" w:sz="8" w:color="D5EFF4"/>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40" w:type="dxa"/>
            <w:vAlign w:val="bottom"/>
            <w:tcBorders>
              <w:bottom w:val="single" w:sz="8" w:color="D5EFF4"/>
            </w:tcBorders>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Total present value of lease payments</w:t>
            </w:r>
          </w:p>
        </w:tc>
        <w:tc>
          <w:tcPr>
            <w:tcW w:w="1360" w:type="dxa"/>
            <w:vAlign w:val="bottom"/>
            <w:tcBorders>
              <w:bottom w:val="single" w:sz="8" w:color="D5EFF4"/>
            </w:tcBorders>
            <w:shd w:val="clear" w:color="auto" w:fill="D5EFF4"/>
          </w:tcPr>
          <w:p>
            <w:pPr>
              <w:spacing w:after="0"/>
              <w:rPr>
                <w:sz w:val="21"/>
                <w:szCs w:val="21"/>
                <w:color w:val="auto"/>
              </w:rPr>
            </w:pPr>
          </w:p>
        </w:tc>
        <w:tc>
          <w:tcPr>
            <w:tcW w:w="1440" w:type="dxa"/>
            <w:vAlign w:val="bottom"/>
            <w:tcBorders>
              <w:bottom w:val="single" w:sz="8" w:color="D5EFF4"/>
            </w:tcBorders>
            <w:shd w:val="clear" w:color="auto" w:fill="D5EFF4"/>
          </w:tcPr>
          <w:p>
            <w:pPr>
              <w:spacing w:after="0"/>
              <w:rPr>
                <w:sz w:val="21"/>
                <w:szCs w:val="21"/>
                <w:color w:val="auto"/>
              </w:rPr>
            </w:pPr>
          </w:p>
        </w:tc>
        <w:tc>
          <w:tcPr>
            <w:tcW w:w="560" w:type="dxa"/>
            <w:vAlign w:val="bottom"/>
            <w:tcBorders>
              <w:bottom w:val="single" w:sz="8" w:color="D5EFF4"/>
            </w:tcBorders>
            <w:shd w:val="clear" w:color="auto" w:fill="D5EFF4"/>
          </w:tcPr>
          <w:p>
            <w:pPr>
              <w:spacing w:after="0"/>
              <w:rPr>
                <w:sz w:val="21"/>
                <w:szCs w:val="21"/>
                <w:color w:val="auto"/>
              </w:rPr>
            </w:pPr>
          </w:p>
        </w:tc>
        <w:tc>
          <w:tcPr>
            <w:tcW w:w="400" w:type="dxa"/>
            <w:vAlign w:val="bottom"/>
            <w:tcBorders>
              <w:bottom w:val="single" w:sz="8" w:color="D5EFF4"/>
            </w:tcBorders>
            <w:shd w:val="clear" w:color="auto" w:fill="D5EFF4"/>
          </w:tcPr>
          <w:p>
            <w:pPr>
              <w:spacing w:after="0"/>
              <w:rPr>
                <w:sz w:val="21"/>
                <w:szCs w:val="21"/>
                <w:color w:val="auto"/>
              </w:rPr>
            </w:pPr>
          </w:p>
        </w:tc>
        <w:tc>
          <w:tcPr>
            <w:tcW w:w="980" w:type="dxa"/>
            <w:vAlign w:val="bottom"/>
            <w:tcBorders>
              <w:bottom w:val="single" w:sz="8" w:color="auto"/>
            </w:tcBorders>
            <w:shd w:val="clear" w:color="auto" w:fill="D5EFF4"/>
          </w:tcPr>
          <w:p>
            <w:pPr>
              <w:jc w:val="right"/>
              <w:ind w:right="7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shd w:val="clear" w:color="auto" w:fill="D5EFF4"/>
          </w:tcPr>
          <w:p>
            <w:pPr>
              <w:spacing w:after="0"/>
              <w:rPr>
                <w:sz w:val="21"/>
                <w:szCs w:val="21"/>
                <w:color w:val="auto"/>
              </w:rPr>
            </w:pPr>
          </w:p>
        </w:tc>
        <w:tc>
          <w:tcPr>
            <w:tcW w:w="108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106</w:t>
            </w:r>
          </w:p>
        </w:tc>
        <w:tc>
          <w:tcPr>
            <w:tcW w:w="60" w:type="dxa"/>
            <w:vAlign w:val="bottom"/>
            <w:tcBorders>
              <w:bottom w:val="single" w:sz="8" w:color="auto"/>
            </w:tcBorders>
            <w:shd w:val="clear" w:color="auto" w:fill="D5EF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-2277110</wp:posOffset>
            </wp:positionV>
            <wp:extent cx="722058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380">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-1931670</wp:posOffset>
            </wp:positionV>
            <wp:extent cx="722058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381">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K –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Provision</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summary of the provision for income taxes related to continuing operations for the years ended September 30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103505</wp:posOffset>
            </wp:positionV>
            <wp:extent cx="7207250"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382">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00" w:type="dxa"/>
            <w:vAlign w:val="bottom"/>
          </w:tcPr>
          <w:p>
            <w:pPr>
              <w:spacing w:after="0"/>
              <w:rPr>
                <w:sz w:val="21"/>
                <w:szCs w:val="21"/>
                <w:color w:val="auto"/>
              </w:rPr>
            </w:pPr>
          </w:p>
        </w:tc>
        <w:tc>
          <w:tcPr>
            <w:tcW w:w="120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664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Current</w:t>
            </w:r>
          </w:p>
        </w:tc>
        <w:tc>
          <w:tcPr>
            <w:tcW w:w="300" w:type="dxa"/>
            <w:vAlign w:val="bottom"/>
            <w:shd w:val="clear" w:color="auto" w:fill="D5EFF4"/>
          </w:tcPr>
          <w:p>
            <w:pPr>
              <w:spacing w:after="0"/>
              <w:rPr>
                <w:sz w:val="19"/>
                <w:szCs w:val="19"/>
                <w:color w:val="auto"/>
              </w:rPr>
            </w:pPr>
          </w:p>
        </w:tc>
        <w:tc>
          <w:tcPr>
            <w:tcW w:w="1200" w:type="dxa"/>
            <w:vAlign w:val="bottom"/>
            <w:shd w:val="clear" w:color="auto" w:fill="D5EFF4"/>
          </w:tcPr>
          <w:p>
            <w:pPr>
              <w:spacing w:after="0"/>
              <w:rPr>
                <w:sz w:val="19"/>
                <w:szCs w:val="19"/>
                <w:color w:val="auto"/>
              </w:rPr>
            </w:pPr>
          </w:p>
        </w:tc>
        <w:tc>
          <w:tcPr>
            <w:tcW w:w="160" w:type="dxa"/>
            <w:vAlign w:val="bottom"/>
            <w:shd w:val="clear" w:color="auto" w:fill="D5EFF4"/>
          </w:tcPr>
          <w:p>
            <w:pPr>
              <w:spacing w:after="0"/>
              <w:rPr>
                <w:sz w:val="19"/>
                <w:szCs w:val="19"/>
                <w:color w:val="auto"/>
              </w:rPr>
            </w:pPr>
          </w:p>
        </w:tc>
        <w:tc>
          <w:tcPr>
            <w:tcW w:w="280" w:type="dxa"/>
            <w:vAlign w:val="bottom"/>
            <w:shd w:val="clear" w:color="auto" w:fill="D5EFF4"/>
          </w:tcPr>
          <w:p>
            <w:pPr>
              <w:spacing w:after="0"/>
              <w:rPr>
                <w:sz w:val="19"/>
                <w:szCs w:val="19"/>
                <w:color w:val="auto"/>
              </w:rPr>
            </w:pPr>
          </w:p>
        </w:tc>
        <w:tc>
          <w:tcPr>
            <w:tcW w:w="120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280" w:type="dxa"/>
            <w:vAlign w:val="bottom"/>
            <w:shd w:val="clear" w:color="auto" w:fill="D5EFF4"/>
          </w:tcPr>
          <w:p>
            <w:pPr>
              <w:spacing w:after="0"/>
              <w:rPr>
                <w:sz w:val="19"/>
                <w:szCs w:val="19"/>
                <w:color w:val="auto"/>
              </w:rPr>
            </w:pPr>
          </w:p>
        </w:tc>
        <w:tc>
          <w:tcPr>
            <w:tcW w:w="1080" w:type="dxa"/>
            <w:vAlign w:val="bottom"/>
            <w:shd w:val="clear" w:color="auto" w:fill="D5EFF4"/>
          </w:tcPr>
          <w:p>
            <w:pPr>
              <w:spacing w:after="0"/>
              <w:rPr>
                <w:sz w:val="19"/>
                <w:szCs w:val="19"/>
                <w:color w:val="auto"/>
              </w:rPr>
            </w:pPr>
          </w:p>
        </w:tc>
        <w:tc>
          <w:tcPr>
            <w:tcW w:w="80" w:type="dxa"/>
            <w:vAlign w:val="bottom"/>
            <w:shd w:val="clear" w:color="auto" w:fill="D5EFF4"/>
          </w:tcPr>
          <w:p>
            <w:pPr>
              <w:spacing w:after="0"/>
              <w:rPr>
                <w:sz w:val="19"/>
                <w:szCs w:val="19"/>
                <w:color w:val="auto"/>
              </w:rPr>
            </w:pPr>
          </w:p>
        </w:tc>
      </w:tr>
      <w:tr>
        <w:trPr>
          <w:trHeight w:val="230"/>
        </w:trPr>
        <w:tc>
          <w:tcPr>
            <w:tcW w:w="6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r>
      <w:tr>
        <w:trPr>
          <w:trHeight w:val="230"/>
        </w:trPr>
        <w:tc>
          <w:tcPr>
            <w:tcW w:w="664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shd w:val="clear" w:color="auto" w:fill="D5EFF4"/>
          </w:tcPr>
          <w:p>
            <w:pPr>
              <w:spacing w:after="0"/>
              <w:rPr>
                <w:sz w:val="20"/>
                <w:szCs w:val="20"/>
                <w:color w:val="auto"/>
              </w:rPr>
            </w:pPr>
          </w:p>
        </w:tc>
        <w:tc>
          <w:tcPr>
            <w:tcW w:w="12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12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116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6640" w:type="dxa"/>
            <w:vAlign w:val="bottom"/>
            <w:tcBorders>
              <w:bottom w:val="single" w:sz="8" w:color="D5EFF4"/>
            </w:tcBorders>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60" w:type="dxa"/>
            <w:vAlign w:val="bottom"/>
            <w:tcBorders>
              <w:bottom w:val="single" w:sz="8" w:color="D5EF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55</w:t>
            </w:r>
          </w:p>
        </w:tc>
        <w:tc>
          <w:tcPr>
            <w:tcW w:w="140" w:type="dxa"/>
            <w:vAlign w:val="bottom"/>
            <w:tcBorders>
              <w:bottom w:val="single" w:sz="8" w:color="D5EF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46</w:t>
            </w:r>
          </w:p>
        </w:tc>
      </w:tr>
      <w:tr>
        <w:trPr>
          <w:trHeight w:val="225"/>
        </w:trPr>
        <w:tc>
          <w:tcPr>
            <w:tcW w:w="6640" w:type="dxa"/>
            <w:vAlign w:val="bottom"/>
            <w:shd w:val="clear" w:color="auto" w:fill="D5EFF4"/>
          </w:tcPr>
          <w:p>
            <w:pPr>
              <w:spacing w:after="0"/>
              <w:rPr>
                <w:sz w:val="19"/>
                <w:szCs w:val="19"/>
                <w:color w:val="auto"/>
              </w:rPr>
            </w:pPr>
          </w:p>
        </w:tc>
        <w:tc>
          <w:tcPr>
            <w:tcW w:w="300" w:type="dxa"/>
            <w:vAlign w:val="bottom"/>
            <w:shd w:val="clear" w:color="auto" w:fill="D5EFF4"/>
          </w:tcPr>
          <w:p>
            <w:pPr>
              <w:spacing w:after="0"/>
              <w:rPr>
                <w:sz w:val="19"/>
                <w:szCs w:val="19"/>
                <w:color w:val="auto"/>
              </w:rPr>
            </w:pPr>
          </w:p>
        </w:tc>
        <w:tc>
          <w:tcPr>
            <w:tcW w:w="120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(60)</w:t>
            </w:r>
          </w:p>
        </w:tc>
        <w:tc>
          <w:tcPr>
            <w:tcW w:w="160" w:type="dxa"/>
            <w:vAlign w:val="bottom"/>
            <w:shd w:val="clear" w:color="auto" w:fill="D5EFF4"/>
          </w:tcPr>
          <w:p>
            <w:pPr>
              <w:spacing w:after="0"/>
              <w:rPr>
                <w:sz w:val="19"/>
                <w:szCs w:val="19"/>
                <w:color w:val="auto"/>
              </w:rPr>
            </w:pPr>
          </w:p>
        </w:tc>
        <w:tc>
          <w:tcPr>
            <w:tcW w:w="280" w:type="dxa"/>
            <w:vAlign w:val="bottom"/>
            <w:shd w:val="clear" w:color="auto" w:fill="D5EFF4"/>
          </w:tcPr>
          <w:p>
            <w:pPr>
              <w:spacing w:after="0"/>
              <w:rPr>
                <w:sz w:val="19"/>
                <w:szCs w:val="19"/>
                <w:color w:val="auto"/>
              </w:rPr>
            </w:pPr>
          </w:p>
        </w:tc>
        <w:tc>
          <w:tcPr>
            <w:tcW w:w="1200" w:type="dxa"/>
            <w:vAlign w:val="bottom"/>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79</w:t>
            </w:r>
          </w:p>
        </w:tc>
        <w:tc>
          <w:tcPr>
            <w:tcW w:w="140" w:type="dxa"/>
            <w:vAlign w:val="bottom"/>
            <w:shd w:val="clear" w:color="auto" w:fill="D5EFF4"/>
          </w:tcPr>
          <w:p>
            <w:pPr>
              <w:spacing w:after="0"/>
              <w:rPr>
                <w:sz w:val="19"/>
                <w:szCs w:val="19"/>
                <w:color w:val="auto"/>
              </w:rPr>
            </w:pPr>
          </w:p>
        </w:tc>
        <w:tc>
          <w:tcPr>
            <w:tcW w:w="280" w:type="dxa"/>
            <w:vAlign w:val="bottom"/>
            <w:shd w:val="clear" w:color="auto" w:fill="D5EFF4"/>
          </w:tcPr>
          <w:p>
            <w:pPr>
              <w:spacing w:after="0"/>
              <w:rPr>
                <w:sz w:val="19"/>
                <w:szCs w:val="19"/>
                <w:color w:val="auto"/>
              </w:rPr>
            </w:pPr>
          </w:p>
        </w:tc>
        <w:tc>
          <w:tcPr>
            <w:tcW w:w="1160" w:type="dxa"/>
            <w:vAlign w:val="bottom"/>
            <w:gridSpan w:val="2"/>
            <w:shd w:val="clear" w:color="auto" w:fill="D5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24</w:t>
            </w:r>
          </w:p>
        </w:tc>
      </w:tr>
      <w:tr>
        <w:trPr>
          <w:trHeight w:val="230"/>
        </w:trPr>
        <w:tc>
          <w:tcPr>
            <w:tcW w:w="6640" w:type="dxa"/>
            <w:vAlign w:val="bottom"/>
            <w:tcBorders>
              <w:bottom w:val="single" w:sz="8" w:color="D5EFF4"/>
            </w:tcBorders>
          </w:tcPr>
          <w:p>
            <w:pPr>
              <w:spacing w:after="0"/>
              <w:rPr>
                <w:sz w:val="20"/>
                <w:szCs w:val="20"/>
                <w:color w:val="auto"/>
              </w:rPr>
            </w:pPr>
            <w:r>
              <w:rPr>
                <w:rFonts w:ascii="Times New Roman" w:cs="Times New Roman" w:eastAsia="Times New Roman" w:hAnsi="Times New Roman"/>
                <w:sz w:val="20"/>
                <w:szCs w:val="20"/>
                <w:color w:val="auto"/>
              </w:rPr>
              <w:t>Deferred</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60" w:type="dxa"/>
            <w:vAlign w:val="bottom"/>
            <w:tcBorders>
              <w:bottom w:val="single" w:sz="8" w:color="D5EF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140" w:type="dxa"/>
            <w:vAlign w:val="bottom"/>
            <w:tcBorders>
              <w:bottom w:val="single" w:sz="8" w:color="D5EF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w:t>
            </w:r>
          </w:p>
        </w:tc>
      </w:tr>
      <w:tr>
        <w:trPr>
          <w:trHeight w:val="245"/>
        </w:trPr>
        <w:tc>
          <w:tcPr>
            <w:tcW w:w="6640" w:type="dxa"/>
            <w:vAlign w:val="bottom"/>
            <w:tcBorders>
              <w:bottom w:val="single" w:sz="8" w:color="D5EFF4"/>
            </w:tcBorders>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Income tax expense (benefit)</w:t>
            </w:r>
          </w:p>
        </w:tc>
        <w:tc>
          <w:tcPr>
            <w:tcW w:w="300" w:type="dxa"/>
            <w:vAlign w:val="bottom"/>
            <w:tcBorders>
              <w:bottom w:val="single" w:sz="8" w:color="auto"/>
            </w:tcBorders>
            <w:shd w:val="clear" w:color="auto" w:fill="D5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160" w:type="dxa"/>
            <w:vAlign w:val="bottom"/>
            <w:tcBorders>
              <w:bottom w:val="single" w:sz="8" w:color="D5EFF4"/>
            </w:tcBorders>
            <w:shd w:val="clear" w:color="auto" w:fill="D5EFF4"/>
          </w:tcPr>
          <w:p>
            <w:pPr>
              <w:spacing w:after="0"/>
              <w:rPr>
                <w:sz w:val="21"/>
                <w:szCs w:val="21"/>
                <w:color w:val="auto"/>
              </w:rPr>
            </w:pPr>
          </w:p>
        </w:tc>
        <w:tc>
          <w:tcPr>
            <w:tcW w:w="280" w:type="dxa"/>
            <w:vAlign w:val="bottom"/>
            <w:tcBorders>
              <w:bottom w:val="single" w:sz="8" w:color="auto"/>
            </w:tcBorders>
            <w:shd w:val="clear" w:color="auto" w:fill="D5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(223)</w:t>
            </w:r>
          </w:p>
        </w:tc>
        <w:tc>
          <w:tcPr>
            <w:tcW w:w="140" w:type="dxa"/>
            <w:vAlign w:val="bottom"/>
            <w:tcBorders>
              <w:bottom w:val="single" w:sz="8" w:color="D5EFF4"/>
            </w:tcBorders>
            <w:shd w:val="clear" w:color="auto" w:fill="D5EFF4"/>
          </w:tcPr>
          <w:p>
            <w:pPr>
              <w:spacing w:after="0"/>
              <w:rPr>
                <w:sz w:val="21"/>
                <w:szCs w:val="21"/>
                <w:color w:val="auto"/>
              </w:rPr>
            </w:pPr>
          </w:p>
        </w:tc>
        <w:tc>
          <w:tcPr>
            <w:tcW w:w="280" w:type="dxa"/>
            <w:vAlign w:val="bottom"/>
            <w:tcBorders>
              <w:bottom w:val="single" w:sz="8" w:color="auto"/>
            </w:tcBorders>
            <w:shd w:val="clear" w:color="auto" w:fill="D5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(8)</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4"/>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-1146175</wp:posOffset>
            </wp:positionV>
            <wp:extent cx="7207250"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383">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-22860</wp:posOffset>
            </wp:positionV>
            <wp:extent cx="7207250"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384">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ectPr>
          <w:pgSz w:w="12240" w:h="15840" w:orient="portrait"/>
          <w:cols w:equalWidth="0" w:num="1">
            <w:col w:w="11360"/>
          </w:cols>
          <w:pgMar w:left="440"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11360"/>
          </w:cols>
          <w:pgMar w:left="440" w:top="930" w:right="440" w:bottom="186" w:gutter="0" w:footer="0" w:header="0"/>
          <w:type w:val="continuous"/>
        </w:sectPr>
      </w:pPr>
    </w:p>
    <w:bookmarkStart w:id="135" w:name="page136"/>
    <w:bookmarkEnd w:id="135"/>
    <w:p>
      <w:pPr>
        <w:ind w:left="8" w:firstLine="360"/>
        <w:spacing w:after="0" w:line="325" w:lineRule="auto"/>
        <w:rPr>
          <w:sz w:val="20"/>
          <w:szCs w:val="20"/>
          <w:color w:val="auto"/>
        </w:rPr>
      </w:pPr>
      <w:r>
        <w:rPr>
          <w:rFonts w:ascii="Times New Roman" w:cs="Times New Roman" w:eastAsia="Times New Roman" w:hAnsi="Times New Roman"/>
          <w:sz w:val="20"/>
          <w:szCs w:val="20"/>
          <w:color w:val="auto"/>
        </w:rPr>
        <w:t>Temporary differences that give rise to significant deferred tax assets and liabilities as of September 30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42810"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385">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8" w:lineRule="exact"/>
        <w:rPr>
          <w:sz w:val="20"/>
          <w:szCs w:val="20"/>
          <w:color w:val="auto"/>
        </w:rPr>
      </w:pPr>
    </w:p>
    <w:tbl>
      <w:tblPr>
        <w:tblLayout w:type="fixed"/>
        <w:tblInd w:w="8" w:type="dxa"/>
        <w:tblCellMar>
          <w:top w:w="0" w:type="dxa"/>
          <w:left w:w="0" w:type="dxa"/>
          <w:bottom w:w="0" w:type="dxa"/>
          <w:right w:w="0" w:type="dxa"/>
        </w:tblCellMar>
      </w:tblPr>
      <w:tr>
        <w:trPr>
          <w:trHeight w:val="249"/>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40" w:type="dxa"/>
            <w:vAlign w:val="bottom"/>
          </w:tcPr>
          <w:p>
            <w:pPr>
              <w:spacing w:after="0"/>
              <w:rPr>
                <w:sz w:val="21"/>
                <w:szCs w:val="21"/>
                <w:color w:val="auto"/>
              </w:rPr>
            </w:pPr>
          </w:p>
        </w:tc>
        <w:tc>
          <w:tcPr>
            <w:tcW w:w="138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1"/>
                <w:szCs w:val="21"/>
                <w:color w:val="auto"/>
              </w:rPr>
            </w:pPr>
          </w:p>
        </w:tc>
      </w:tr>
      <w:tr>
        <w:trPr>
          <w:trHeight w:val="239"/>
        </w:trPr>
        <w:tc>
          <w:tcPr>
            <w:tcW w:w="77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340" w:type="dxa"/>
            <w:vAlign w:val="bottom"/>
            <w:shd w:val="clear" w:color="auto" w:fill="D5EFF4"/>
          </w:tcPr>
          <w:p>
            <w:pPr>
              <w:spacing w:after="0"/>
              <w:rPr>
                <w:sz w:val="20"/>
                <w:szCs w:val="20"/>
                <w:color w:val="auto"/>
              </w:rPr>
            </w:pPr>
          </w:p>
        </w:tc>
        <w:tc>
          <w:tcPr>
            <w:tcW w:w="1380" w:type="dxa"/>
            <w:vAlign w:val="bottom"/>
            <w:shd w:val="clear" w:color="auto" w:fill="D5EFF4"/>
          </w:tcPr>
          <w:p>
            <w:pPr>
              <w:spacing w:after="0"/>
              <w:rPr>
                <w:sz w:val="20"/>
                <w:szCs w:val="20"/>
                <w:color w:val="auto"/>
              </w:rPr>
            </w:pPr>
          </w:p>
        </w:tc>
        <w:tc>
          <w:tcPr>
            <w:tcW w:w="180" w:type="dxa"/>
            <w:vAlign w:val="bottom"/>
            <w:shd w:val="clear" w:color="auto" w:fill="D5EFF4"/>
          </w:tcPr>
          <w:p>
            <w:pPr>
              <w:spacing w:after="0"/>
              <w:rPr>
                <w:sz w:val="20"/>
                <w:szCs w:val="20"/>
                <w:color w:val="auto"/>
              </w:rPr>
            </w:pPr>
          </w:p>
        </w:tc>
        <w:tc>
          <w:tcPr>
            <w:tcW w:w="340" w:type="dxa"/>
            <w:vAlign w:val="bottom"/>
            <w:shd w:val="clear" w:color="auto" w:fill="D5EFF4"/>
          </w:tcPr>
          <w:p>
            <w:pPr>
              <w:spacing w:after="0"/>
              <w:rPr>
                <w:sz w:val="20"/>
                <w:szCs w:val="20"/>
                <w:color w:val="auto"/>
              </w:rPr>
            </w:pPr>
          </w:p>
        </w:tc>
        <w:tc>
          <w:tcPr>
            <w:tcW w:w="126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44"/>
        </w:trPr>
        <w:tc>
          <w:tcPr>
            <w:tcW w:w="778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Foreign net operating loss carryforwards</w:t>
            </w:r>
            <w:r>
              <w:rPr>
                <w:rFonts w:ascii="Times New Roman" w:cs="Times New Roman" w:eastAsia="Times New Roman" w:hAnsi="Times New Roman"/>
                <w:sz w:val="25"/>
                <w:szCs w:val="25"/>
                <w:color w:val="auto"/>
                <w:vertAlign w:val="superscript"/>
              </w:rPr>
              <w:t>(a)</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1"/>
                <w:szCs w:val="21"/>
                <w:color w:val="auto"/>
              </w:rPr>
            </w:pPr>
          </w:p>
        </w:tc>
      </w:tr>
      <w:tr>
        <w:trPr>
          <w:trHeight w:val="244"/>
        </w:trPr>
        <w:tc>
          <w:tcPr>
            <w:tcW w:w="77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Employee benefit obligations</w:t>
            </w:r>
          </w:p>
        </w:tc>
        <w:tc>
          <w:tcPr>
            <w:tcW w:w="340" w:type="dxa"/>
            <w:vAlign w:val="bottom"/>
            <w:shd w:val="clear" w:color="auto" w:fill="D5EFF4"/>
          </w:tcPr>
          <w:p>
            <w:pPr>
              <w:spacing w:after="0"/>
              <w:rPr>
                <w:sz w:val="21"/>
                <w:szCs w:val="21"/>
                <w:color w:val="auto"/>
              </w:rPr>
            </w:pPr>
          </w:p>
        </w:tc>
        <w:tc>
          <w:tcPr>
            <w:tcW w:w="13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15</w:t>
            </w:r>
          </w:p>
        </w:tc>
        <w:tc>
          <w:tcPr>
            <w:tcW w:w="180" w:type="dxa"/>
            <w:vAlign w:val="bottom"/>
            <w:shd w:val="clear" w:color="auto" w:fill="D5EFF4"/>
          </w:tcPr>
          <w:p>
            <w:pPr>
              <w:spacing w:after="0"/>
              <w:rPr>
                <w:sz w:val="21"/>
                <w:szCs w:val="21"/>
                <w:color w:val="auto"/>
              </w:rPr>
            </w:pPr>
          </w:p>
        </w:tc>
        <w:tc>
          <w:tcPr>
            <w:tcW w:w="340" w:type="dxa"/>
            <w:vAlign w:val="bottom"/>
            <w:shd w:val="clear" w:color="auto" w:fill="D5EFF4"/>
          </w:tcPr>
          <w:p>
            <w:pPr>
              <w:spacing w:after="0"/>
              <w:rPr>
                <w:sz w:val="21"/>
                <w:szCs w:val="21"/>
                <w:color w:val="auto"/>
              </w:rPr>
            </w:pPr>
          </w:p>
        </w:tc>
        <w:tc>
          <w:tcPr>
            <w:tcW w:w="12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shd w:val="clear" w:color="auto" w:fill="D5EFF4"/>
          </w:tcPr>
          <w:p>
            <w:pPr>
              <w:spacing w:after="0"/>
              <w:rPr>
                <w:sz w:val="21"/>
                <w:szCs w:val="21"/>
                <w:color w:val="auto"/>
              </w:rPr>
            </w:pPr>
          </w:p>
        </w:tc>
      </w:tr>
      <w:tr>
        <w:trPr>
          <w:trHeight w:val="244"/>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Environmental, self-insurance and litigation reserves (net of receivables)</w:t>
            </w:r>
          </w:p>
        </w:tc>
        <w:tc>
          <w:tcPr>
            <w:tcW w:w="34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1"/>
                <w:szCs w:val="21"/>
                <w:color w:val="auto"/>
              </w:rPr>
            </w:pPr>
          </w:p>
        </w:tc>
      </w:tr>
      <w:tr>
        <w:trPr>
          <w:trHeight w:val="244"/>
        </w:trPr>
        <w:tc>
          <w:tcPr>
            <w:tcW w:w="7780" w:type="dxa"/>
            <w:vAlign w:val="bottom"/>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State net operating loss carryforwards (net of unrecognized tax benefits)</w:t>
            </w:r>
            <w:r>
              <w:rPr>
                <w:rFonts w:ascii="Times New Roman" w:cs="Times New Roman" w:eastAsia="Times New Roman" w:hAnsi="Times New Roman"/>
                <w:sz w:val="25"/>
                <w:szCs w:val="25"/>
                <w:color w:val="auto"/>
                <w:vertAlign w:val="superscript"/>
              </w:rPr>
              <w:t>(b)</w:t>
            </w:r>
          </w:p>
        </w:tc>
        <w:tc>
          <w:tcPr>
            <w:tcW w:w="340" w:type="dxa"/>
            <w:vAlign w:val="bottom"/>
            <w:shd w:val="clear" w:color="auto" w:fill="D5EFF4"/>
          </w:tcPr>
          <w:p>
            <w:pPr>
              <w:spacing w:after="0"/>
              <w:rPr>
                <w:sz w:val="21"/>
                <w:szCs w:val="21"/>
                <w:color w:val="auto"/>
              </w:rPr>
            </w:pPr>
          </w:p>
        </w:tc>
        <w:tc>
          <w:tcPr>
            <w:tcW w:w="13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shd w:val="clear" w:color="auto" w:fill="D5EFF4"/>
          </w:tcPr>
          <w:p>
            <w:pPr>
              <w:spacing w:after="0"/>
              <w:rPr>
                <w:sz w:val="21"/>
                <w:szCs w:val="21"/>
                <w:color w:val="auto"/>
              </w:rPr>
            </w:pPr>
          </w:p>
        </w:tc>
        <w:tc>
          <w:tcPr>
            <w:tcW w:w="340" w:type="dxa"/>
            <w:vAlign w:val="bottom"/>
            <w:shd w:val="clear" w:color="auto" w:fill="D5EFF4"/>
          </w:tcPr>
          <w:p>
            <w:pPr>
              <w:spacing w:after="0"/>
              <w:rPr>
                <w:sz w:val="21"/>
                <w:szCs w:val="21"/>
                <w:color w:val="auto"/>
              </w:rPr>
            </w:pPr>
          </w:p>
        </w:tc>
        <w:tc>
          <w:tcPr>
            <w:tcW w:w="12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shd w:val="clear" w:color="auto" w:fill="D5EFF4"/>
          </w:tcPr>
          <w:p>
            <w:pPr>
              <w:spacing w:after="0"/>
              <w:rPr>
                <w:sz w:val="21"/>
                <w:szCs w:val="21"/>
                <w:color w:val="auto"/>
              </w:rPr>
            </w:pPr>
          </w:p>
        </w:tc>
      </w:tr>
      <w:tr>
        <w:trPr>
          <w:trHeight w:val="244"/>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Capital loss carryback/carryforward</w:t>
            </w:r>
          </w:p>
        </w:tc>
        <w:tc>
          <w:tcPr>
            <w:tcW w:w="34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Pr>
          <w:p>
            <w:pPr>
              <w:spacing w:after="0"/>
              <w:rPr>
                <w:sz w:val="21"/>
                <w:szCs w:val="21"/>
                <w:color w:val="auto"/>
              </w:rPr>
            </w:pPr>
          </w:p>
        </w:tc>
      </w:tr>
      <w:tr>
        <w:trPr>
          <w:trHeight w:val="244"/>
        </w:trPr>
        <w:tc>
          <w:tcPr>
            <w:tcW w:w="77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Compensation accruals</w:t>
            </w:r>
          </w:p>
        </w:tc>
        <w:tc>
          <w:tcPr>
            <w:tcW w:w="340" w:type="dxa"/>
            <w:vAlign w:val="bottom"/>
            <w:shd w:val="clear" w:color="auto" w:fill="D5EFF4"/>
          </w:tcPr>
          <w:p>
            <w:pPr>
              <w:spacing w:after="0"/>
              <w:rPr>
                <w:sz w:val="21"/>
                <w:szCs w:val="21"/>
                <w:color w:val="auto"/>
              </w:rPr>
            </w:pPr>
          </w:p>
        </w:tc>
        <w:tc>
          <w:tcPr>
            <w:tcW w:w="13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shd w:val="clear" w:color="auto" w:fill="D5EFF4"/>
          </w:tcPr>
          <w:p>
            <w:pPr>
              <w:spacing w:after="0"/>
              <w:rPr>
                <w:sz w:val="21"/>
                <w:szCs w:val="21"/>
                <w:color w:val="auto"/>
              </w:rPr>
            </w:pPr>
          </w:p>
        </w:tc>
        <w:tc>
          <w:tcPr>
            <w:tcW w:w="340" w:type="dxa"/>
            <w:vAlign w:val="bottom"/>
            <w:shd w:val="clear" w:color="auto" w:fill="D5EFF4"/>
          </w:tcPr>
          <w:p>
            <w:pPr>
              <w:spacing w:after="0"/>
              <w:rPr>
                <w:sz w:val="21"/>
                <w:szCs w:val="21"/>
                <w:color w:val="auto"/>
              </w:rPr>
            </w:pPr>
          </w:p>
        </w:tc>
        <w:tc>
          <w:tcPr>
            <w:tcW w:w="12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shd w:val="clear" w:color="auto" w:fill="D5EFF4"/>
          </w:tcPr>
          <w:p>
            <w:pPr>
              <w:spacing w:after="0"/>
              <w:rPr>
                <w:sz w:val="21"/>
                <w:szCs w:val="21"/>
                <w:color w:val="auto"/>
              </w:rPr>
            </w:pPr>
          </w:p>
        </w:tc>
      </w:tr>
      <w:tr>
        <w:trPr>
          <w:trHeight w:val="244"/>
        </w:trPr>
        <w:tc>
          <w:tcPr>
            <w:tcW w:w="778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Credit carryforwards (net of unrecognized tax benefits)</w:t>
            </w:r>
            <w:r>
              <w:rPr>
                <w:rFonts w:ascii="Times New Roman" w:cs="Times New Roman" w:eastAsia="Times New Roman" w:hAnsi="Times New Roman"/>
                <w:sz w:val="25"/>
                <w:szCs w:val="25"/>
                <w:color w:val="auto"/>
                <w:vertAlign w:val="superscript"/>
              </w:rPr>
              <w:t>(c)</w:t>
            </w:r>
          </w:p>
        </w:tc>
        <w:tc>
          <w:tcPr>
            <w:tcW w:w="34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1"/>
                <w:szCs w:val="21"/>
                <w:color w:val="auto"/>
              </w:rPr>
            </w:pPr>
          </w:p>
        </w:tc>
      </w:tr>
      <w:tr>
        <w:trPr>
          <w:trHeight w:val="244"/>
        </w:trPr>
        <w:tc>
          <w:tcPr>
            <w:tcW w:w="77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Other items</w:t>
            </w:r>
          </w:p>
        </w:tc>
        <w:tc>
          <w:tcPr>
            <w:tcW w:w="340" w:type="dxa"/>
            <w:vAlign w:val="bottom"/>
            <w:shd w:val="clear" w:color="auto" w:fill="D5EFF4"/>
          </w:tcPr>
          <w:p>
            <w:pPr>
              <w:spacing w:after="0"/>
              <w:rPr>
                <w:sz w:val="21"/>
                <w:szCs w:val="21"/>
                <w:color w:val="auto"/>
              </w:rPr>
            </w:pPr>
          </w:p>
        </w:tc>
        <w:tc>
          <w:tcPr>
            <w:tcW w:w="13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40</w:t>
            </w:r>
          </w:p>
        </w:tc>
        <w:tc>
          <w:tcPr>
            <w:tcW w:w="180" w:type="dxa"/>
            <w:vAlign w:val="bottom"/>
            <w:shd w:val="clear" w:color="auto" w:fill="D5EFF4"/>
          </w:tcPr>
          <w:p>
            <w:pPr>
              <w:spacing w:after="0"/>
              <w:rPr>
                <w:sz w:val="21"/>
                <w:szCs w:val="21"/>
                <w:color w:val="auto"/>
              </w:rPr>
            </w:pPr>
          </w:p>
        </w:tc>
        <w:tc>
          <w:tcPr>
            <w:tcW w:w="340" w:type="dxa"/>
            <w:vAlign w:val="bottom"/>
            <w:shd w:val="clear" w:color="auto" w:fill="D5EFF4"/>
          </w:tcPr>
          <w:p>
            <w:pPr>
              <w:spacing w:after="0"/>
              <w:rPr>
                <w:sz w:val="21"/>
                <w:szCs w:val="21"/>
                <w:color w:val="auto"/>
              </w:rPr>
            </w:pPr>
          </w:p>
        </w:tc>
        <w:tc>
          <w:tcPr>
            <w:tcW w:w="12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shd w:val="clear" w:color="auto" w:fill="D5EFF4"/>
          </w:tcPr>
          <w:p>
            <w:pPr>
              <w:spacing w:after="0"/>
              <w:rPr>
                <w:sz w:val="21"/>
                <w:szCs w:val="21"/>
                <w:color w:val="auto"/>
              </w:rPr>
            </w:pPr>
          </w:p>
        </w:tc>
      </w:tr>
      <w:tr>
        <w:trPr>
          <w:trHeight w:val="244"/>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34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1"/>
                <w:szCs w:val="21"/>
                <w:color w:val="auto"/>
              </w:rPr>
            </w:pPr>
          </w:p>
        </w:tc>
      </w:tr>
      <w:tr>
        <w:trPr>
          <w:trHeight w:val="244"/>
        </w:trPr>
        <w:tc>
          <w:tcPr>
            <w:tcW w:w="7780" w:type="dxa"/>
            <w:vAlign w:val="bottom"/>
            <w:shd w:val="clear" w:color="auto" w:fill="D5EFF4"/>
          </w:tcPr>
          <w:p>
            <w:pPr>
              <w:spacing w:after="0" w:line="244" w:lineRule="exact"/>
              <w:rPr>
                <w:sz w:val="20"/>
                <w:szCs w:val="20"/>
                <w:color w:val="auto"/>
              </w:rPr>
            </w:pPr>
            <w:r>
              <w:rPr>
                <w:rFonts w:ascii="Times New Roman" w:cs="Times New Roman" w:eastAsia="Times New Roman" w:hAnsi="Times New Roman"/>
                <w:sz w:val="20"/>
                <w:szCs w:val="20"/>
                <w:color w:val="auto"/>
              </w:rPr>
              <w:t>Goodwill and other intangibles</w:t>
            </w:r>
            <w:r>
              <w:rPr>
                <w:rFonts w:ascii="Times New Roman" w:cs="Times New Roman" w:eastAsia="Times New Roman" w:hAnsi="Times New Roman"/>
                <w:sz w:val="25"/>
                <w:szCs w:val="25"/>
                <w:color w:val="auto"/>
                <w:vertAlign w:val="superscript"/>
              </w:rPr>
              <w:t>(e)</w:t>
            </w:r>
          </w:p>
        </w:tc>
        <w:tc>
          <w:tcPr>
            <w:tcW w:w="340" w:type="dxa"/>
            <w:vAlign w:val="bottom"/>
            <w:shd w:val="clear" w:color="auto" w:fill="D5EFF4"/>
          </w:tcPr>
          <w:p>
            <w:pPr>
              <w:spacing w:after="0"/>
              <w:rPr>
                <w:sz w:val="21"/>
                <w:szCs w:val="21"/>
                <w:color w:val="auto"/>
              </w:rPr>
            </w:pPr>
          </w:p>
        </w:tc>
        <w:tc>
          <w:tcPr>
            <w:tcW w:w="13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55</w:t>
            </w:r>
          </w:p>
        </w:tc>
        <w:tc>
          <w:tcPr>
            <w:tcW w:w="180" w:type="dxa"/>
            <w:vAlign w:val="bottom"/>
            <w:shd w:val="clear" w:color="auto" w:fill="D5EFF4"/>
          </w:tcPr>
          <w:p>
            <w:pPr>
              <w:spacing w:after="0"/>
              <w:rPr>
                <w:sz w:val="21"/>
                <w:szCs w:val="21"/>
                <w:color w:val="auto"/>
              </w:rPr>
            </w:pPr>
          </w:p>
        </w:tc>
        <w:tc>
          <w:tcPr>
            <w:tcW w:w="340" w:type="dxa"/>
            <w:vAlign w:val="bottom"/>
            <w:shd w:val="clear" w:color="auto" w:fill="D5EFF4"/>
          </w:tcPr>
          <w:p>
            <w:pPr>
              <w:spacing w:after="0"/>
              <w:rPr>
                <w:sz w:val="21"/>
                <w:szCs w:val="21"/>
                <w:color w:val="auto"/>
              </w:rPr>
            </w:pPr>
          </w:p>
        </w:tc>
        <w:tc>
          <w:tcPr>
            <w:tcW w:w="12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shd w:val="clear" w:color="auto" w:fill="D5EFF4"/>
          </w:tcPr>
          <w:p>
            <w:pPr>
              <w:spacing w:after="0"/>
              <w:rPr>
                <w:sz w:val="21"/>
                <w:szCs w:val="21"/>
                <w:color w:val="auto"/>
              </w:rPr>
            </w:pPr>
          </w:p>
        </w:tc>
      </w:tr>
      <w:tr>
        <w:trPr>
          <w:trHeight w:val="244"/>
        </w:trPr>
        <w:tc>
          <w:tcPr>
            <w:tcW w:w="7780" w:type="dxa"/>
            <w:vAlign w:val="bottom"/>
            <w:tcBorders>
              <w:bottom w:val="single" w:sz="8" w:color="D5EFF4"/>
            </w:tcBorders>
          </w:tcPr>
          <w:p>
            <w:pPr>
              <w:spacing w:after="0" w:line="244" w:lineRule="exact"/>
              <w:rPr>
                <w:sz w:val="20"/>
                <w:szCs w:val="20"/>
                <w:color w:val="auto"/>
              </w:rPr>
            </w:pPr>
            <w:r>
              <w:rPr>
                <w:rFonts w:ascii="Times New Roman" w:cs="Times New Roman" w:eastAsia="Times New Roman" w:hAnsi="Times New Roman"/>
                <w:sz w:val="20"/>
                <w:szCs w:val="20"/>
                <w:color w:val="auto"/>
              </w:rPr>
              <w:t>Valuation allowances</w:t>
            </w:r>
            <w:r>
              <w:rPr>
                <w:rFonts w:ascii="Times New Roman" w:cs="Times New Roman" w:eastAsia="Times New Roman" w:hAnsi="Times New Roman"/>
                <w:sz w:val="25"/>
                <w:szCs w:val="25"/>
                <w:color w:val="auto"/>
                <w:vertAlign w:val="superscript"/>
              </w:rPr>
              <w:t>(d)</w:t>
            </w: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80" w:type="dxa"/>
            <w:vAlign w:val="bottom"/>
            <w:tcBorders>
              <w:bottom w:val="single" w:sz="8" w:color="D5EFF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(64)</w:t>
            </w:r>
          </w:p>
        </w:tc>
      </w:tr>
      <w:tr>
        <w:trPr>
          <w:trHeight w:val="259"/>
        </w:trPr>
        <w:tc>
          <w:tcPr>
            <w:tcW w:w="778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40" w:type="dxa"/>
            <w:vAlign w:val="bottom"/>
            <w:tcBorders>
              <w:bottom w:val="single" w:sz="8" w:color="auto"/>
            </w:tcBorders>
            <w:shd w:val="clear" w:color="auto" w:fill="D5EFF4"/>
          </w:tcPr>
          <w:p>
            <w:pPr>
              <w:spacing w:after="0"/>
              <w:rPr>
                <w:sz w:val="22"/>
                <w:szCs w:val="22"/>
                <w:color w:val="auto"/>
              </w:rPr>
            </w:pPr>
          </w:p>
        </w:tc>
        <w:tc>
          <w:tcPr>
            <w:tcW w:w="13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236</w:t>
            </w:r>
          </w:p>
        </w:tc>
        <w:tc>
          <w:tcPr>
            <w:tcW w:w="180" w:type="dxa"/>
            <w:vAlign w:val="bottom"/>
            <w:tcBorders>
              <w:bottom w:val="single" w:sz="8" w:color="D5EFF4"/>
            </w:tcBorders>
            <w:shd w:val="clear" w:color="auto" w:fill="D5EFF4"/>
          </w:tcPr>
          <w:p>
            <w:pPr>
              <w:spacing w:after="0"/>
              <w:rPr>
                <w:sz w:val="22"/>
                <w:szCs w:val="22"/>
                <w:color w:val="auto"/>
              </w:rPr>
            </w:pPr>
          </w:p>
        </w:tc>
        <w:tc>
          <w:tcPr>
            <w:tcW w:w="340" w:type="dxa"/>
            <w:vAlign w:val="bottom"/>
            <w:tcBorders>
              <w:bottom w:val="single" w:sz="8" w:color="auto"/>
            </w:tcBorders>
            <w:shd w:val="clear" w:color="auto" w:fill="D5EFF4"/>
          </w:tcPr>
          <w:p>
            <w:pPr>
              <w:spacing w:after="0"/>
              <w:rPr>
                <w:sz w:val="22"/>
                <w:szCs w:val="22"/>
                <w:color w:val="auto"/>
              </w:rPr>
            </w:pPr>
          </w:p>
        </w:tc>
        <w:tc>
          <w:tcPr>
            <w:tcW w:w="12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80" w:type="dxa"/>
            <w:vAlign w:val="bottom"/>
            <w:tcBorders>
              <w:bottom w:val="single" w:sz="8" w:color="auto"/>
            </w:tcBorders>
            <w:shd w:val="clear" w:color="auto" w:fill="D5EFF4"/>
          </w:tcPr>
          <w:p>
            <w:pPr>
              <w:spacing w:after="0"/>
              <w:rPr>
                <w:sz w:val="22"/>
                <w:szCs w:val="22"/>
                <w:color w:val="auto"/>
              </w:rPr>
            </w:pPr>
          </w:p>
        </w:tc>
      </w:tr>
      <w:tr>
        <w:trPr>
          <w:trHeight w:val="219"/>
        </w:trPr>
        <w:tc>
          <w:tcPr>
            <w:tcW w:w="778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77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340" w:type="dxa"/>
            <w:vAlign w:val="bottom"/>
            <w:shd w:val="clear" w:color="auto" w:fill="D5EFF4"/>
          </w:tcPr>
          <w:p>
            <w:pPr>
              <w:spacing w:after="0"/>
              <w:rPr>
                <w:sz w:val="21"/>
                <w:szCs w:val="21"/>
                <w:color w:val="auto"/>
              </w:rPr>
            </w:pPr>
          </w:p>
        </w:tc>
        <w:tc>
          <w:tcPr>
            <w:tcW w:w="13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shd w:val="clear" w:color="auto" w:fill="D5EFF4"/>
          </w:tcPr>
          <w:p>
            <w:pPr>
              <w:spacing w:after="0"/>
              <w:rPr>
                <w:sz w:val="21"/>
                <w:szCs w:val="21"/>
                <w:color w:val="auto"/>
              </w:rPr>
            </w:pPr>
          </w:p>
        </w:tc>
        <w:tc>
          <w:tcPr>
            <w:tcW w:w="340" w:type="dxa"/>
            <w:vAlign w:val="bottom"/>
            <w:shd w:val="clear" w:color="auto" w:fill="D5EFF4"/>
          </w:tcPr>
          <w:p>
            <w:pPr>
              <w:spacing w:after="0"/>
              <w:rPr>
                <w:sz w:val="21"/>
                <w:szCs w:val="21"/>
                <w:color w:val="auto"/>
              </w:rPr>
            </w:pPr>
          </w:p>
        </w:tc>
        <w:tc>
          <w:tcPr>
            <w:tcW w:w="126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80" w:type="dxa"/>
            <w:vAlign w:val="bottom"/>
            <w:shd w:val="clear" w:color="auto" w:fill="D5EFF4"/>
          </w:tcPr>
          <w:p>
            <w:pPr>
              <w:spacing w:after="0"/>
              <w:rPr>
                <w:sz w:val="21"/>
                <w:szCs w:val="21"/>
                <w:color w:val="auto"/>
              </w:rPr>
            </w:pPr>
          </w:p>
        </w:tc>
      </w:tr>
      <w:tr>
        <w:trPr>
          <w:trHeight w:val="244"/>
        </w:trPr>
        <w:tc>
          <w:tcPr>
            <w:tcW w:w="7780" w:type="dxa"/>
            <w:vAlign w:val="bottom"/>
            <w:tcBorders>
              <w:bottom w:val="single" w:sz="8" w:color="D5EFF4"/>
            </w:tcBorders>
          </w:tcPr>
          <w:p>
            <w:pPr>
              <w:spacing w:after="0"/>
              <w:rPr>
                <w:sz w:val="20"/>
                <w:szCs w:val="20"/>
                <w:color w:val="auto"/>
              </w:rPr>
            </w:pPr>
            <w:r>
              <w:rPr>
                <w:rFonts w:ascii="Times New Roman" w:cs="Times New Roman" w:eastAsia="Times New Roman" w:hAnsi="Times New Roman"/>
                <w:sz w:val="20"/>
                <w:szCs w:val="20"/>
                <w:color w:val="auto"/>
              </w:rPr>
              <w:t>Right of use assets</w:t>
            </w: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tcBorders>
              <w:bottom w:val="single" w:sz="8" w:color="D5EFF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Borders>
              <w:bottom w:val="single" w:sz="8" w:color="auto"/>
            </w:tcBorders>
          </w:tcPr>
          <w:p>
            <w:pPr>
              <w:spacing w:after="0"/>
              <w:rPr>
                <w:sz w:val="21"/>
                <w:szCs w:val="21"/>
                <w:color w:val="auto"/>
              </w:rPr>
            </w:pPr>
          </w:p>
        </w:tc>
      </w:tr>
      <w:tr>
        <w:trPr>
          <w:trHeight w:val="259"/>
        </w:trPr>
        <w:tc>
          <w:tcPr>
            <w:tcW w:w="778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40" w:type="dxa"/>
            <w:vAlign w:val="bottom"/>
            <w:tcBorders>
              <w:bottom w:val="single" w:sz="8" w:color="auto"/>
            </w:tcBorders>
            <w:shd w:val="clear" w:color="auto" w:fill="D5EFF4"/>
          </w:tcPr>
          <w:p>
            <w:pPr>
              <w:spacing w:after="0"/>
              <w:rPr>
                <w:sz w:val="22"/>
                <w:szCs w:val="22"/>
                <w:color w:val="auto"/>
              </w:rPr>
            </w:pPr>
          </w:p>
        </w:tc>
        <w:tc>
          <w:tcPr>
            <w:tcW w:w="13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110</w:t>
            </w:r>
          </w:p>
        </w:tc>
        <w:tc>
          <w:tcPr>
            <w:tcW w:w="180" w:type="dxa"/>
            <w:vAlign w:val="bottom"/>
            <w:tcBorders>
              <w:bottom w:val="single" w:sz="8" w:color="D5EFF4"/>
            </w:tcBorders>
            <w:shd w:val="clear" w:color="auto" w:fill="D5EFF4"/>
          </w:tcPr>
          <w:p>
            <w:pPr>
              <w:spacing w:after="0"/>
              <w:rPr>
                <w:sz w:val="22"/>
                <w:szCs w:val="22"/>
                <w:color w:val="auto"/>
              </w:rPr>
            </w:pPr>
          </w:p>
        </w:tc>
        <w:tc>
          <w:tcPr>
            <w:tcW w:w="340" w:type="dxa"/>
            <w:vAlign w:val="bottom"/>
            <w:tcBorders>
              <w:bottom w:val="single" w:sz="8" w:color="auto"/>
            </w:tcBorders>
            <w:shd w:val="clear" w:color="auto" w:fill="D5EFF4"/>
          </w:tcPr>
          <w:p>
            <w:pPr>
              <w:spacing w:after="0"/>
              <w:rPr>
                <w:sz w:val="22"/>
                <w:szCs w:val="22"/>
                <w:color w:val="auto"/>
              </w:rPr>
            </w:pPr>
          </w:p>
        </w:tc>
        <w:tc>
          <w:tcPr>
            <w:tcW w:w="12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80" w:type="dxa"/>
            <w:vAlign w:val="bottom"/>
            <w:tcBorders>
              <w:bottom w:val="single" w:sz="8" w:color="auto"/>
            </w:tcBorders>
            <w:shd w:val="clear" w:color="auto" w:fill="D5EFF4"/>
          </w:tcPr>
          <w:p>
            <w:pPr>
              <w:spacing w:after="0"/>
              <w:rPr>
                <w:sz w:val="22"/>
                <w:szCs w:val="22"/>
                <w:color w:val="auto"/>
              </w:rPr>
            </w:pPr>
          </w:p>
        </w:tc>
      </w:tr>
      <w:tr>
        <w:trPr>
          <w:trHeight w:val="219"/>
        </w:trPr>
        <w:tc>
          <w:tcPr>
            <w:tcW w:w="77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Net deferred tax asset (liability)</w:t>
            </w:r>
          </w:p>
        </w:tc>
        <w:tc>
          <w:tcPr>
            <w:tcW w:w="340" w:type="dxa"/>
            <w:vAlign w:val="bottom"/>
            <w:tcBorders>
              <w:bottom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126</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181</w:t>
            </w:r>
          </w:p>
        </w:tc>
        <w:tc>
          <w:tcPr>
            <w:tcW w:w="80" w:type="dxa"/>
            <w:vAlign w:val="bottom"/>
            <w:tcBorders>
              <w:bottom w:val="single" w:sz="8" w:color="auto"/>
            </w:tcBorders>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7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-2941320</wp:posOffset>
            </wp:positionV>
            <wp:extent cx="7207250"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386">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07250"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387">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5" w:lineRule="exact"/>
        <w:rPr>
          <w:sz w:val="20"/>
          <w:szCs w:val="20"/>
          <w:color w:val="auto"/>
        </w:rPr>
      </w:pPr>
    </w:p>
    <w:p>
      <w:pPr>
        <w:ind w:left="568" w:hanging="568"/>
        <w:spacing w:after="0" w:line="266" w:lineRule="auto"/>
        <w:tabs>
          <w:tab w:leader="none" w:pos="56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net operating loss carryforwards of $99 million will expire in future years beyond 2026 or have no expiration, and primarily relate to European and Asian subsidiaries.</w:t>
      </w:r>
    </w:p>
    <w:p>
      <w:pPr>
        <w:ind w:left="568" w:hanging="568"/>
        <w:spacing w:after="0" w:line="266" w:lineRule="auto"/>
        <w:tabs>
          <w:tab w:leader="none" w:pos="56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Apportioned net operating loss carryforwards generated of $443 million will expire in future years as follows: $44 million in 2026, and the remaining balance in other future years.</w:t>
      </w:r>
    </w:p>
    <w:p>
      <w:pPr>
        <w:ind w:left="568" w:hanging="568"/>
        <w:spacing w:after="0" w:line="266" w:lineRule="auto"/>
        <w:tabs>
          <w:tab w:leader="none" w:pos="56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carryforwards consist primarily of foreign tax credits of $23 million expiring in future years, and state tax credits of $3 million that will expire in 2026 and other future years.</w:t>
      </w:r>
    </w:p>
    <w:p>
      <w:pPr>
        <w:ind w:left="568" w:hanging="568"/>
        <w:spacing w:after="0"/>
        <w:tabs>
          <w:tab w:leader="none" w:pos="56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 allowances primarily relate to certain state and foreign net operating loss carryforwards and certain federal credit carryforwards.</w:t>
      </w:r>
    </w:p>
    <w:p>
      <w:pPr>
        <w:spacing w:after="0" w:line="40"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gross amount of goodwill as of September 30, 2025 and 2024 expected to be deductible for tax purposes was $33 million and $36 million, respectively.</w:t>
      </w:r>
    </w:p>
    <w:p>
      <w:pPr>
        <w:sectPr>
          <w:pgSz w:w="12240" w:h="15840" w:orient="portrait"/>
          <w:cols w:equalWidth="0" w:num="1">
            <w:col w:w="11368"/>
          </w:cols>
          <w:pgMar w:left="432"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11368"/>
          </w:cols>
          <w:pgMar w:left="432" w:top="930" w:right="440" w:bottom="186" w:gutter="0" w:footer="0" w:header="0"/>
          <w:type w:val="continuous"/>
        </w:sectPr>
      </w:pPr>
    </w:p>
    <w:bookmarkStart w:id="136" w:name="page137"/>
    <w:bookmarkEnd w:id="136"/>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The U.S. and foreign components of income (loss) from continuing operations before income taxes and a reconciliation of the statutory federal income tax with the provision for income taxes for the years ended September 30 is as follows. The foreign components of income (loss) from continuing operations disclosed in the following table exclude any allocations of certain corporate expenses incurred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41275</wp:posOffset>
            </wp:positionV>
            <wp:extent cx="7242810"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388">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249"/>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0" w:type="dxa"/>
            <w:vAlign w:val="bottom"/>
          </w:tcPr>
          <w:p>
            <w:pPr>
              <w:spacing w:after="0"/>
              <w:rPr>
                <w:sz w:val="21"/>
                <w:szCs w:val="21"/>
                <w:color w:val="auto"/>
              </w:rPr>
            </w:pPr>
          </w:p>
        </w:tc>
        <w:tc>
          <w:tcPr>
            <w:tcW w:w="120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1"/>
                <w:szCs w:val="21"/>
                <w:color w:val="auto"/>
              </w:rPr>
            </w:pPr>
          </w:p>
        </w:tc>
      </w:tr>
      <w:tr>
        <w:trPr>
          <w:trHeight w:val="239"/>
        </w:trPr>
        <w:tc>
          <w:tcPr>
            <w:tcW w:w="66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Income (loss) from continuing operations before income taxes</w:t>
            </w:r>
          </w:p>
        </w:tc>
        <w:tc>
          <w:tcPr>
            <w:tcW w:w="280" w:type="dxa"/>
            <w:vAlign w:val="bottom"/>
            <w:shd w:val="clear" w:color="auto" w:fill="D5EFF4"/>
          </w:tcPr>
          <w:p>
            <w:pPr>
              <w:spacing w:after="0"/>
              <w:rPr>
                <w:sz w:val="20"/>
                <w:szCs w:val="20"/>
                <w:color w:val="auto"/>
              </w:rPr>
            </w:pPr>
          </w:p>
        </w:tc>
        <w:tc>
          <w:tcPr>
            <w:tcW w:w="1200" w:type="dxa"/>
            <w:vAlign w:val="bottom"/>
            <w:shd w:val="clear" w:color="auto" w:fill="D5EFF4"/>
          </w:tcPr>
          <w:p>
            <w:pPr>
              <w:spacing w:after="0"/>
              <w:rPr>
                <w:sz w:val="20"/>
                <w:szCs w:val="20"/>
                <w:color w:val="auto"/>
              </w:rPr>
            </w:pPr>
          </w:p>
        </w:tc>
        <w:tc>
          <w:tcPr>
            <w:tcW w:w="140" w:type="dxa"/>
            <w:vAlign w:val="bottom"/>
            <w:shd w:val="clear" w:color="auto" w:fill="D5EFF4"/>
          </w:tcPr>
          <w:p>
            <w:pPr>
              <w:spacing w:after="0"/>
              <w:rPr>
                <w:sz w:val="20"/>
                <w:szCs w:val="20"/>
                <w:color w:val="auto"/>
              </w:rPr>
            </w:pPr>
          </w:p>
        </w:tc>
        <w:tc>
          <w:tcPr>
            <w:tcW w:w="300" w:type="dxa"/>
            <w:vAlign w:val="bottom"/>
            <w:shd w:val="clear" w:color="auto" w:fill="D5EFF4"/>
          </w:tcPr>
          <w:p>
            <w:pPr>
              <w:spacing w:after="0"/>
              <w:rPr>
                <w:sz w:val="20"/>
                <w:szCs w:val="20"/>
                <w:color w:val="auto"/>
              </w:rPr>
            </w:pPr>
          </w:p>
        </w:tc>
        <w:tc>
          <w:tcPr>
            <w:tcW w:w="1180" w:type="dxa"/>
            <w:vAlign w:val="bottom"/>
            <w:shd w:val="clear" w:color="auto" w:fill="D5EFF4"/>
          </w:tcPr>
          <w:p>
            <w:pPr>
              <w:spacing w:after="0"/>
              <w:rPr>
                <w:sz w:val="20"/>
                <w:szCs w:val="20"/>
                <w:color w:val="auto"/>
              </w:rPr>
            </w:pPr>
          </w:p>
        </w:tc>
        <w:tc>
          <w:tcPr>
            <w:tcW w:w="160" w:type="dxa"/>
            <w:vAlign w:val="bottom"/>
            <w:shd w:val="clear" w:color="auto" w:fill="D5EFF4"/>
          </w:tcPr>
          <w:p>
            <w:pPr>
              <w:spacing w:after="0"/>
              <w:rPr>
                <w:sz w:val="20"/>
                <w:szCs w:val="20"/>
                <w:color w:val="auto"/>
              </w:rPr>
            </w:pPr>
          </w:p>
        </w:tc>
        <w:tc>
          <w:tcPr>
            <w:tcW w:w="280" w:type="dxa"/>
            <w:vAlign w:val="bottom"/>
            <w:shd w:val="clear" w:color="auto" w:fill="D5EFF4"/>
          </w:tcPr>
          <w:p>
            <w:pPr>
              <w:spacing w:after="0"/>
              <w:rPr>
                <w:sz w:val="20"/>
                <w:szCs w:val="20"/>
                <w:color w:val="auto"/>
              </w:rPr>
            </w:pPr>
          </w:p>
        </w:tc>
        <w:tc>
          <w:tcPr>
            <w:tcW w:w="1080" w:type="dxa"/>
            <w:vAlign w:val="bottom"/>
            <w:shd w:val="clear" w:color="auto" w:fill="D5EFF4"/>
          </w:tcPr>
          <w:p>
            <w:pPr>
              <w:spacing w:after="0"/>
              <w:rPr>
                <w:sz w:val="20"/>
                <w:szCs w:val="20"/>
                <w:color w:val="auto"/>
              </w:rPr>
            </w:pPr>
          </w:p>
        </w:tc>
        <w:tc>
          <w:tcPr>
            <w:tcW w:w="80" w:type="dxa"/>
            <w:vAlign w:val="bottom"/>
            <w:shd w:val="clear" w:color="auto" w:fill="D5EFF4"/>
          </w:tcPr>
          <w:p>
            <w:pPr>
              <w:spacing w:after="0"/>
              <w:rPr>
                <w:sz w:val="20"/>
                <w:szCs w:val="20"/>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(112)</w:t>
            </w:r>
          </w:p>
        </w:tc>
      </w:tr>
      <w:tr>
        <w:trPr>
          <w:trHeight w:val="244"/>
        </w:trPr>
        <w:tc>
          <w:tcPr>
            <w:tcW w:w="66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Borders>
              <w:bottom w:val="single" w:sz="8" w:color="auto"/>
            </w:tcBorders>
            <w:shd w:val="clear" w:color="auto" w:fill="D5EFF4"/>
          </w:tcPr>
          <w:p>
            <w:pPr>
              <w:spacing w:after="0"/>
              <w:rPr>
                <w:sz w:val="21"/>
                <w:szCs w:val="21"/>
                <w:color w:val="auto"/>
              </w:rPr>
            </w:pPr>
          </w:p>
        </w:tc>
        <w:tc>
          <w:tcPr>
            <w:tcW w:w="12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140" w:type="dxa"/>
            <w:vAlign w:val="bottom"/>
            <w:shd w:val="clear" w:color="auto" w:fill="D5EFF4"/>
          </w:tcPr>
          <w:p>
            <w:pPr>
              <w:spacing w:after="0"/>
              <w:rPr>
                <w:sz w:val="21"/>
                <w:szCs w:val="21"/>
                <w:color w:val="auto"/>
              </w:rPr>
            </w:pPr>
          </w:p>
        </w:tc>
        <w:tc>
          <w:tcPr>
            <w:tcW w:w="300" w:type="dxa"/>
            <w:vAlign w:val="bottom"/>
            <w:tcBorders>
              <w:bottom w:val="single" w:sz="8" w:color="auto"/>
            </w:tcBorders>
            <w:shd w:val="clear" w:color="auto" w:fill="D5EFF4"/>
          </w:tcPr>
          <w:p>
            <w:pPr>
              <w:spacing w:after="0"/>
              <w:rPr>
                <w:sz w:val="21"/>
                <w:szCs w:val="21"/>
                <w:color w:val="auto"/>
              </w:rPr>
            </w:pPr>
          </w:p>
        </w:tc>
        <w:tc>
          <w:tcPr>
            <w:tcW w:w="11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204</w:t>
            </w:r>
          </w:p>
        </w:tc>
        <w:tc>
          <w:tcPr>
            <w:tcW w:w="160" w:type="dxa"/>
            <w:vAlign w:val="bottom"/>
            <w:shd w:val="clear" w:color="auto" w:fill="D5EFF4"/>
          </w:tcPr>
          <w:p>
            <w:pPr>
              <w:spacing w:after="0"/>
              <w:rPr>
                <w:sz w:val="21"/>
                <w:szCs w:val="21"/>
                <w:color w:val="auto"/>
              </w:rPr>
            </w:pPr>
          </w:p>
        </w:tc>
        <w:tc>
          <w:tcPr>
            <w:tcW w:w="280" w:type="dxa"/>
            <w:vAlign w:val="bottom"/>
            <w:tcBorders>
              <w:bottom w:val="single" w:sz="8" w:color="auto"/>
            </w:tcBorders>
            <w:shd w:val="clear" w:color="auto" w:fill="D5EFF4"/>
          </w:tcPr>
          <w:p>
            <w:pPr>
              <w:spacing w:after="0"/>
              <w:rPr>
                <w:sz w:val="21"/>
                <w:szCs w:val="21"/>
                <w:color w:val="auto"/>
              </w:rPr>
            </w:pPr>
          </w:p>
        </w:tc>
        <w:tc>
          <w:tcPr>
            <w:tcW w:w="10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80" w:type="dxa"/>
            <w:vAlign w:val="bottom"/>
            <w:tcBorders>
              <w:bottom w:val="single" w:sz="8" w:color="auto"/>
            </w:tcBorders>
            <w:shd w:val="clear" w:color="auto" w:fill="D5EFF4"/>
          </w:tcPr>
          <w:p>
            <w:pPr>
              <w:spacing w:after="0"/>
              <w:rPr>
                <w:sz w:val="21"/>
                <w:szCs w:val="21"/>
                <w:color w:val="auto"/>
              </w:rPr>
            </w:pPr>
          </w:p>
        </w:tc>
      </w:tr>
      <w:tr>
        <w:trPr>
          <w:trHeight w:val="279"/>
        </w:trPr>
        <w:tc>
          <w:tcPr>
            <w:tcW w:w="6660" w:type="dxa"/>
            <w:vAlign w:val="bottom"/>
            <w:tcBorders>
              <w:bottom w:val="single" w:sz="8" w:color="D5EFF4"/>
            </w:tcBorders>
          </w:tcPr>
          <w:p>
            <w:pPr>
              <w:spacing w:after="0"/>
              <w:rPr>
                <w:sz w:val="20"/>
                <w:szCs w:val="20"/>
                <w:color w:val="auto"/>
              </w:rPr>
            </w:pPr>
            <w:r>
              <w:rPr>
                <w:rFonts w:ascii="Times New Roman" w:cs="Times New Roman" w:eastAsia="Times New Roman" w:hAnsi="Times New Roman"/>
                <w:sz w:val="20"/>
                <w:szCs w:val="20"/>
                <w:color w:val="auto"/>
              </w:rPr>
              <w:t>Income (loss) from continuing operations before income taxes</w:t>
            </w: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140" w:type="dxa"/>
            <w:vAlign w:val="bottom"/>
            <w:tcBorders>
              <w:bottom w:val="single" w:sz="8" w:color="D5EFF4"/>
            </w:tcBorders>
          </w:tcPr>
          <w:p>
            <w:pPr>
              <w:spacing w:after="0"/>
              <w:rPr>
                <w:sz w:val="24"/>
                <w:szCs w:val="24"/>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60" w:type="dxa"/>
            <w:vAlign w:val="bottom"/>
            <w:tcBorders>
              <w:bottom w:val="single" w:sz="8" w:color="D5EFF4"/>
            </w:tcBorders>
          </w:tcPr>
          <w:p>
            <w:pPr>
              <w:spacing w:after="0"/>
              <w:rPr>
                <w:sz w:val="24"/>
                <w:szCs w:val="24"/>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80" w:type="dxa"/>
            <w:vAlign w:val="bottom"/>
            <w:tcBorders>
              <w:bottom w:val="single" w:sz="8" w:color="auto"/>
            </w:tcBorders>
          </w:tcPr>
          <w:p>
            <w:pPr>
              <w:spacing w:after="0"/>
              <w:rPr>
                <w:sz w:val="24"/>
                <w:szCs w:val="24"/>
                <w:color w:val="auto"/>
              </w:rPr>
            </w:pPr>
          </w:p>
        </w:tc>
      </w:tr>
      <w:tr>
        <w:trPr>
          <w:trHeight w:val="229"/>
        </w:trPr>
        <w:tc>
          <w:tcPr>
            <w:tcW w:w="6660" w:type="dxa"/>
            <w:vAlign w:val="bottom"/>
            <w:shd w:val="clear" w:color="auto" w:fill="D5EFF4"/>
          </w:tcPr>
          <w:p>
            <w:pPr>
              <w:spacing w:after="0"/>
              <w:rPr>
                <w:sz w:val="19"/>
                <w:szCs w:val="19"/>
                <w:color w:val="auto"/>
              </w:rPr>
            </w:pPr>
          </w:p>
        </w:tc>
        <w:tc>
          <w:tcPr>
            <w:tcW w:w="280" w:type="dxa"/>
            <w:vAlign w:val="bottom"/>
            <w:shd w:val="clear" w:color="auto" w:fill="D5EFF4"/>
          </w:tcPr>
          <w:p>
            <w:pPr>
              <w:spacing w:after="0"/>
              <w:rPr>
                <w:sz w:val="19"/>
                <w:szCs w:val="19"/>
                <w:color w:val="auto"/>
              </w:rPr>
            </w:pPr>
          </w:p>
        </w:tc>
        <w:tc>
          <w:tcPr>
            <w:tcW w:w="1200" w:type="dxa"/>
            <w:vAlign w:val="bottom"/>
            <w:shd w:val="clear" w:color="auto" w:fill="D5EFF4"/>
          </w:tcPr>
          <w:p>
            <w:pPr>
              <w:spacing w:after="0"/>
              <w:rPr>
                <w:sz w:val="19"/>
                <w:szCs w:val="19"/>
                <w:color w:val="auto"/>
              </w:rPr>
            </w:pPr>
          </w:p>
        </w:tc>
        <w:tc>
          <w:tcPr>
            <w:tcW w:w="140" w:type="dxa"/>
            <w:vAlign w:val="bottom"/>
            <w:shd w:val="clear" w:color="auto" w:fill="D5EFF4"/>
          </w:tcPr>
          <w:p>
            <w:pPr>
              <w:spacing w:after="0"/>
              <w:rPr>
                <w:sz w:val="19"/>
                <w:szCs w:val="19"/>
                <w:color w:val="auto"/>
              </w:rPr>
            </w:pPr>
          </w:p>
        </w:tc>
        <w:tc>
          <w:tcPr>
            <w:tcW w:w="300" w:type="dxa"/>
            <w:vAlign w:val="bottom"/>
            <w:shd w:val="clear" w:color="auto" w:fill="D5EFF4"/>
          </w:tcPr>
          <w:p>
            <w:pPr>
              <w:spacing w:after="0"/>
              <w:rPr>
                <w:sz w:val="19"/>
                <w:szCs w:val="19"/>
                <w:color w:val="auto"/>
              </w:rPr>
            </w:pPr>
          </w:p>
        </w:tc>
        <w:tc>
          <w:tcPr>
            <w:tcW w:w="1180" w:type="dxa"/>
            <w:vAlign w:val="bottom"/>
            <w:shd w:val="clear" w:color="auto" w:fill="D5EFF4"/>
          </w:tcPr>
          <w:p>
            <w:pPr>
              <w:spacing w:after="0"/>
              <w:rPr>
                <w:sz w:val="19"/>
                <w:szCs w:val="19"/>
                <w:color w:val="auto"/>
              </w:rPr>
            </w:pPr>
          </w:p>
        </w:tc>
        <w:tc>
          <w:tcPr>
            <w:tcW w:w="160" w:type="dxa"/>
            <w:vAlign w:val="bottom"/>
            <w:shd w:val="clear" w:color="auto" w:fill="D5EFF4"/>
          </w:tcPr>
          <w:p>
            <w:pPr>
              <w:spacing w:after="0"/>
              <w:rPr>
                <w:sz w:val="19"/>
                <w:szCs w:val="19"/>
                <w:color w:val="auto"/>
              </w:rPr>
            </w:pPr>
          </w:p>
        </w:tc>
        <w:tc>
          <w:tcPr>
            <w:tcW w:w="280" w:type="dxa"/>
            <w:vAlign w:val="bottom"/>
            <w:shd w:val="clear" w:color="auto" w:fill="D5EFF4"/>
          </w:tcPr>
          <w:p>
            <w:pPr>
              <w:spacing w:after="0"/>
              <w:rPr>
                <w:sz w:val="19"/>
                <w:szCs w:val="19"/>
                <w:color w:val="auto"/>
              </w:rPr>
            </w:pPr>
          </w:p>
        </w:tc>
        <w:tc>
          <w:tcPr>
            <w:tcW w:w="1080" w:type="dxa"/>
            <w:vAlign w:val="bottom"/>
            <w:shd w:val="clear" w:color="auto" w:fill="D5EFF4"/>
          </w:tcPr>
          <w:p>
            <w:pPr>
              <w:spacing w:after="0"/>
              <w:rPr>
                <w:sz w:val="19"/>
                <w:szCs w:val="19"/>
                <w:color w:val="auto"/>
              </w:rPr>
            </w:pPr>
          </w:p>
        </w:tc>
        <w:tc>
          <w:tcPr>
            <w:tcW w:w="80" w:type="dxa"/>
            <w:vAlign w:val="bottom"/>
            <w:shd w:val="clear" w:color="auto" w:fill="D5EFF4"/>
          </w:tcPr>
          <w:p>
            <w:pPr>
              <w:spacing w:after="0"/>
              <w:rPr>
                <w:sz w:val="19"/>
                <w:szCs w:val="19"/>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Income taxes computed at U.S. statutory rate</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4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1"/>
                <w:szCs w:val="21"/>
                <w:color w:val="auto"/>
              </w:rPr>
            </w:pPr>
          </w:p>
        </w:tc>
      </w:tr>
      <w:tr>
        <w:trPr>
          <w:trHeight w:val="244"/>
        </w:trPr>
        <w:tc>
          <w:tcPr>
            <w:tcW w:w="66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Increase (decrease) in amount computed resulting from</w:t>
            </w:r>
          </w:p>
        </w:tc>
        <w:tc>
          <w:tcPr>
            <w:tcW w:w="280" w:type="dxa"/>
            <w:vAlign w:val="bottom"/>
            <w:shd w:val="clear" w:color="auto" w:fill="D5EFF4"/>
          </w:tcPr>
          <w:p>
            <w:pPr>
              <w:spacing w:after="0"/>
              <w:rPr>
                <w:sz w:val="21"/>
                <w:szCs w:val="21"/>
                <w:color w:val="auto"/>
              </w:rPr>
            </w:pPr>
          </w:p>
        </w:tc>
        <w:tc>
          <w:tcPr>
            <w:tcW w:w="1200" w:type="dxa"/>
            <w:vAlign w:val="bottom"/>
            <w:shd w:val="clear" w:color="auto" w:fill="D5EFF4"/>
          </w:tcPr>
          <w:p>
            <w:pPr>
              <w:spacing w:after="0"/>
              <w:rPr>
                <w:sz w:val="21"/>
                <w:szCs w:val="21"/>
                <w:color w:val="auto"/>
              </w:rPr>
            </w:pPr>
          </w:p>
        </w:tc>
        <w:tc>
          <w:tcPr>
            <w:tcW w:w="140" w:type="dxa"/>
            <w:vAlign w:val="bottom"/>
            <w:shd w:val="clear" w:color="auto" w:fill="D5EFF4"/>
          </w:tcPr>
          <w:p>
            <w:pPr>
              <w:spacing w:after="0"/>
              <w:rPr>
                <w:sz w:val="21"/>
                <w:szCs w:val="21"/>
                <w:color w:val="auto"/>
              </w:rPr>
            </w:pPr>
          </w:p>
        </w:tc>
        <w:tc>
          <w:tcPr>
            <w:tcW w:w="300" w:type="dxa"/>
            <w:vAlign w:val="bottom"/>
            <w:shd w:val="clear" w:color="auto" w:fill="D5EFF4"/>
          </w:tcPr>
          <w:p>
            <w:pPr>
              <w:spacing w:after="0"/>
              <w:rPr>
                <w:sz w:val="21"/>
                <w:szCs w:val="21"/>
                <w:color w:val="auto"/>
              </w:rPr>
            </w:pPr>
          </w:p>
        </w:tc>
        <w:tc>
          <w:tcPr>
            <w:tcW w:w="1180" w:type="dxa"/>
            <w:vAlign w:val="bottom"/>
            <w:shd w:val="clear" w:color="auto" w:fill="D5EFF4"/>
          </w:tcPr>
          <w:p>
            <w:pPr>
              <w:spacing w:after="0"/>
              <w:rPr>
                <w:sz w:val="21"/>
                <w:szCs w:val="21"/>
                <w:color w:val="auto"/>
              </w:rPr>
            </w:pP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080" w:type="dxa"/>
            <w:vAlign w:val="bottom"/>
            <w:shd w:val="clear" w:color="auto" w:fill="D5EFF4"/>
          </w:tcPr>
          <w:p>
            <w:pPr>
              <w:spacing w:after="0"/>
              <w:rPr>
                <w:sz w:val="21"/>
                <w:szCs w:val="21"/>
                <w:color w:val="auto"/>
              </w:rPr>
            </w:pPr>
          </w:p>
        </w:tc>
        <w:tc>
          <w:tcPr>
            <w:tcW w:w="80" w:type="dxa"/>
            <w:vAlign w:val="bottom"/>
            <w:shd w:val="clear" w:color="auto" w:fill="D5EFF4"/>
          </w:tcPr>
          <w:p>
            <w:pPr>
              <w:spacing w:after="0"/>
              <w:rPr>
                <w:sz w:val="21"/>
                <w:szCs w:val="2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 law changes</w:t>
            </w:r>
          </w:p>
        </w:tc>
        <w:tc>
          <w:tcPr>
            <w:tcW w:w="28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Non U.S. restructuring</w:t>
            </w:r>
          </w:p>
        </w:tc>
        <w:tc>
          <w:tcPr>
            <w:tcW w:w="280" w:type="dxa"/>
            <w:vAlign w:val="bottom"/>
            <w:shd w:val="clear" w:color="auto" w:fill="D5EFF4"/>
          </w:tcPr>
          <w:p>
            <w:pPr>
              <w:spacing w:after="0"/>
              <w:rPr>
                <w:sz w:val="21"/>
                <w:szCs w:val="21"/>
                <w:color w:val="auto"/>
              </w:rPr>
            </w:pPr>
          </w:p>
        </w:tc>
        <w:tc>
          <w:tcPr>
            <w:tcW w:w="12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5EFF4"/>
          </w:tcPr>
          <w:p>
            <w:pPr>
              <w:spacing w:after="0"/>
              <w:rPr>
                <w:sz w:val="21"/>
                <w:szCs w:val="21"/>
                <w:color w:val="auto"/>
              </w:rPr>
            </w:pPr>
          </w:p>
        </w:tc>
        <w:tc>
          <w:tcPr>
            <w:tcW w:w="300" w:type="dxa"/>
            <w:vAlign w:val="bottom"/>
            <w:shd w:val="clear" w:color="auto" w:fill="D5EFF4"/>
          </w:tcPr>
          <w:p>
            <w:pPr>
              <w:spacing w:after="0"/>
              <w:rPr>
                <w:sz w:val="21"/>
                <w:szCs w:val="21"/>
                <w:color w:val="auto"/>
              </w:rPr>
            </w:pPr>
          </w:p>
        </w:tc>
        <w:tc>
          <w:tcPr>
            <w:tcW w:w="11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1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Uncertain tax positions</w:t>
            </w:r>
          </w:p>
        </w:tc>
        <w:tc>
          <w:tcPr>
            <w:tcW w:w="28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r>
      <w:tr>
        <w:trPr>
          <w:trHeight w:val="244"/>
        </w:trPr>
        <w:tc>
          <w:tcPr>
            <w:tcW w:w="6660" w:type="dxa"/>
            <w:vAlign w:val="bottom"/>
            <w:shd w:val="clear" w:color="auto" w:fill="D5EFF4"/>
          </w:tcPr>
          <w:p>
            <w:pPr>
              <w:ind w:left="200"/>
              <w:spacing w:after="0" w:line="244" w:lineRule="exact"/>
              <w:rPr>
                <w:sz w:val="20"/>
                <w:szCs w:val="20"/>
                <w:color w:val="auto"/>
              </w:rPr>
            </w:pPr>
            <w:r>
              <w:rPr>
                <w:rFonts w:ascii="Times New Roman" w:cs="Times New Roman" w:eastAsia="Times New Roman" w:hAnsi="Times New Roman"/>
                <w:sz w:val="20"/>
                <w:szCs w:val="20"/>
                <w:color w:val="auto"/>
              </w:rPr>
              <w:t>Deemed inclusions, foreign dividends and other restructuring</w:t>
            </w:r>
            <w:r>
              <w:rPr>
                <w:rFonts w:ascii="Times New Roman" w:cs="Times New Roman" w:eastAsia="Times New Roman" w:hAnsi="Times New Roman"/>
                <w:sz w:val="25"/>
                <w:szCs w:val="25"/>
                <w:color w:val="auto"/>
                <w:vertAlign w:val="superscript"/>
              </w:rPr>
              <w:t>(a)</w:t>
            </w:r>
          </w:p>
        </w:tc>
        <w:tc>
          <w:tcPr>
            <w:tcW w:w="280" w:type="dxa"/>
            <w:vAlign w:val="bottom"/>
            <w:shd w:val="clear" w:color="auto" w:fill="D5EFF4"/>
          </w:tcPr>
          <w:p>
            <w:pPr>
              <w:spacing w:after="0"/>
              <w:rPr>
                <w:sz w:val="21"/>
                <w:szCs w:val="21"/>
                <w:color w:val="auto"/>
              </w:rPr>
            </w:pPr>
          </w:p>
        </w:tc>
        <w:tc>
          <w:tcPr>
            <w:tcW w:w="12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shd w:val="clear" w:color="auto" w:fill="D5EFF4"/>
          </w:tcPr>
          <w:p>
            <w:pPr>
              <w:spacing w:after="0"/>
              <w:rPr>
                <w:sz w:val="21"/>
                <w:szCs w:val="21"/>
                <w:color w:val="auto"/>
              </w:rPr>
            </w:pPr>
          </w:p>
        </w:tc>
        <w:tc>
          <w:tcPr>
            <w:tcW w:w="300" w:type="dxa"/>
            <w:vAlign w:val="bottom"/>
            <w:shd w:val="clear" w:color="auto" w:fill="D5EFF4"/>
          </w:tcPr>
          <w:p>
            <w:pPr>
              <w:spacing w:after="0"/>
              <w:rPr>
                <w:sz w:val="21"/>
                <w:szCs w:val="21"/>
                <w:color w:val="auto"/>
              </w:rPr>
            </w:pPr>
          </w:p>
        </w:tc>
        <w:tc>
          <w:tcPr>
            <w:tcW w:w="11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0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shd w:val="clear" w:color="auto" w:fill="D5EFF4"/>
          </w:tcPr>
          <w:p>
            <w:pPr>
              <w:spacing w:after="0"/>
              <w:rPr>
                <w:sz w:val="21"/>
                <w:szCs w:val="2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tax credits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r>
      <w:tr>
        <w:trPr>
          <w:trHeight w:val="244"/>
        </w:trPr>
        <w:tc>
          <w:tcPr>
            <w:tcW w:w="6660" w:type="dxa"/>
            <w:vAlign w:val="bottom"/>
            <w:shd w:val="clear" w:color="auto" w:fill="D5EFF4"/>
          </w:tcPr>
          <w:p>
            <w:pPr>
              <w:ind w:left="200"/>
              <w:spacing w:after="0" w:line="244" w:lineRule="exact"/>
              <w:rPr>
                <w:sz w:val="20"/>
                <w:szCs w:val="20"/>
                <w:color w:val="auto"/>
              </w:rPr>
            </w:pPr>
            <w:r>
              <w:rPr>
                <w:rFonts w:ascii="Times New Roman" w:cs="Times New Roman" w:eastAsia="Times New Roman" w:hAnsi="Times New Roman"/>
                <w:sz w:val="20"/>
                <w:szCs w:val="20"/>
                <w:color w:val="auto"/>
              </w:rPr>
              <w:t>Valuation allowance changes</w:t>
            </w:r>
            <w:r>
              <w:rPr>
                <w:rFonts w:ascii="Times New Roman" w:cs="Times New Roman" w:eastAsia="Times New Roman" w:hAnsi="Times New Roman"/>
                <w:sz w:val="25"/>
                <w:szCs w:val="25"/>
                <w:color w:val="auto"/>
                <w:vertAlign w:val="superscript"/>
              </w:rPr>
              <w:t>(b)</w:t>
            </w:r>
          </w:p>
        </w:tc>
        <w:tc>
          <w:tcPr>
            <w:tcW w:w="280" w:type="dxa"/>
            <w:vAlign w:val="bottom"/>
            <w:shd w:val="clear" w:color="auto" w:fill="D5EFF4"/>
          </w:tcPr>
          <w:p>
            <w:pPr>
              <w:spacing w:after="0"/>
              <w:rPr>
                <w:sz w:val="21"/>
                <w:szCs w:val="21"/>
                <w:color w:val="auto"/>
              </w:rPr>
            </w:pPr>
          </w:p>
        </w:tc>
        <w:tc>
          <w:tcPr>
            <w:tcW w:w="12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40" w:type="dxa"/>
            <w:vAlign w:val="bottom"/>
            <w:shd w:val="clear" w:color="auto" w:fill="D5EFF4"/>
          </w:tcPr>
          <w:p>
            <w:pPr>
              <w:spacing w:after="0"/>
              <w:rPr>
                <w:sz w:val="21"/>
                <w:szCs w:val="21"/>
                <w:color w:val="auto"/>
              </w:rPr>
            </w:pPr>
          </w:p>
        </w:tc>
        <w:tc>
          <w:tcPr>
            <w:tcW w:w="300" w:type="dxa"/>
            <w:vAlign w:val="bottom"/>
            <w:shd w:val="clear" w:color="auto" w:fill="D5EFF4"/>
          </w:tcPr>
          <w:p>
            <w:pPr>
              <w:spacing w:after="0"/>
              <w:rPr>
                <w:sz w:val="21"/>
                <w:szCs w:val="21"/>
                <w:color w:val="auto"/>
              </w:rPr>
            </w:pPr>
          </w:p>
        </w:tc>
        <w:tc>
          <w:tcPr>
            <w:tcW w:w="11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16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r>
      <w:tr>
        <w:trPr>
          <w:trHeight w:val="244"/>
        </w:trPr>
        <w:tc>
          <w:tcPr>
            <w:tcW w:w="66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State taxes</w:t>
            </w:r>
          </w:p>
        </w:tc>
        <w:tc>
          <w:tcPr>
            <w:tcW w:w="280" w:type="dxa"/>
            <w:vAlign w:val="bottom"/>
            <w:shd w:val="clear" w:color="auto" w:fill="D5EFF4"/>
          </w:tcPr>
          <w:p>
            <w:pPr>
              <w:spacing w:after="0"/>
              <w:rPr>
                <w:sz w:val="21"/>
                <w:szCs w:val="21"/>
                <w:color w:val="auto"/>
              </w:rPr>
            </w:pPr>
          </w:p>
        </w:tc>
        <w:tc>
          <w:tcPr>
            <w:tcW w:w="12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5EFF4"/>
          </w:tcPr>
          <w:p>
            <w:pPr>
              <w:spacing w:after="0"/>
              <w:rPr>
                <w:sz w:val="21"/>
                <w:szCs w:val="21"/>
                <w:color w:val="auto"/>
              </w:rPr>
            </w:pPr>
          </w:p>
        </w:tc>
        <w:tc>
          <w:tcPr>
            <w:tcW w:w="300" w:type="dxa"/>
            <w:vAlign w:val="bottom"/>
            <w:shd w:val="clear" w:color="auto" w:fill="D5EFF4"/>
          </w:tcPr>
          <w:p>
            <w:pPr>
              <w:spacing w:after="0"/>
              <w:rPr>
                <w:sz w:val="21"/>
                <w:szCs w:val="21"/>
                <w:color w:val="auto"/>
              </w:rPr>
            </w:pPr>
          </w:p>
        </w:tc>
        <w:tc>
          <w:tcPr>
            <w:tcW w:w="118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160" w:type="dxa"/>
            <w:vAlign w:val="bottom"/>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International rate differential</w:t>
            </w:r>
          </w:p>
        </w:tc>
        <w:tc>
          <w:tcPr>
            <w:tcW w:w="28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r>
      <w:tr>
        <w:trPr>
          <w:trHeight w:val="244"/>
        </w:trPr>
        <w:tc>
          <w:tcPr>
            <w:tcW w:w="6660" w:type="dxa"/>
            <w:vAlign w:val="bottom"/>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Goodwill impairment</w:t>
            </w:r>
          </w:p>
        </w:tc>
        <w:tc>
          <w:tcPr>
            <w:tcW w:w="280" w:type="dxa"/>
            <w:vAlign w:val="bottom"/>
            <w:shd w:val="clear" w:color="auto" w:fill="D5EFF4"/>
          </w:tcPr>
          <w:p>
            <w:pPr>
              <w:spacing w:after="0"/>
              <w:rPr>
                <w:sz w:val="21"/>
                <w:szCs w:val="21"/>
                <w:color w:val="auto"/>
              </w:rPr>
            </w:pPr>
          </w:p>
        </w:tc>
        <w:tc>
          <w:tcPr>
            <w:tcW w:w="120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125</w:t>
            </w:r>
          </w:p>
        </w:tc>
        <w:tc>
          <w:tcPr>
            <w:tcW w:w="140" w:type="dxa"/>
            <w:vAlign w:val="bottom"/>
            <w:shd w:val="clear" w:color="auto" w:fill="D5EFF4"/>
          </w:tcPr>
          <w:p>
            <w:pPr>
              <w:spacing w:after="0"/>
              <w:rPr>
                <w:sz w:val="21"/>
                <w:szCs w:val="21"/>
                <w:color w:val="auto"/>
              </w:rPr>
            </w:pPr>
          </w:p>
        </w:tc>
        <w:tc>
          <w:tcPr>
            <w:tcW w:w="300" w:type="dxa"/>
            <w:vAlign w:val="bottom"/>
            <w:shd w:val="clear" w:color="auto" w:fill="D5EFF4"/>
          </w:tcPr>
          <w:p>
            <w:pPr>
              <w:spacing w:after="0"/>
              <w:rPr>
                <w:sz w:val="21"/>
                <w:szCs w:val="21"/>
                <w:color w:val="auto"/>
              </w:rPr>
            </w:pPr>
          </w:p>
        </w:tc>
        <w:tc>
          <w:tcPr>
            <w:tcW w:w="11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5EFF4"/>
          </w:tcPr>
          <w:p>
            <w:pPr>
              <w:spacing w:after="0"/>
              <w:rPr>
                <w:sz w:val="21"/>
                <w:szCs w:val="21"/>
                <w:color w:val="auto"/>
              </w:rPr>
            </w:pPr>
          </w:p>
        </w:tc>
        <w:tc>
          <w:tcPr>
            <w:tcW w:w="280" w:type="dxa"/>
            <w:vAlign w:val="bottom"/>
            <w:shd w:val="clear" w:color="auto" w:fill="D5EFF4"/>
          </w:tcPr>
          <w:p>
            <w:pPr>
              <w:spacing w:after="0"/>
              <w:rPr>
                <w:sz w:val="21"/>
                <w:szCs w:val="21"/>
                <w:color w:val="auto"/>
              </w:rPr>
            </w:pPr>
          </w:p>
        </w:tc>
        <w:tc>
          <w:tcPr>
            <w:tcW w:w="116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Basis difference on stock sale</w:t>
            </w:r>
          </w:p>
        </w:tc>
        <w:tc>
          <w:tcPr>
            <w:tcW w:w="28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6660" w:type="dxa"/>
            <w:vAlign w:val="bottom"/>
            <w:tcBorders>
              <w:bottom w:val="single" w:sz="8" w:color="D5EFF4"/>
            </w:tcBorders>
            <w:shd w:val="clear" w:color="auto" w:fill="D5EFF4"/>
          </w:tcPr>
          <w:p>
            <w:pPr>
              <w:ind w:left="200"/>
              <w:spacing w:after="0"/>
              <w:rPr>
                <w:sz w:val="20"/>
                <w:szCs w:val="20"/>
                <w:color w:val="auto"/>
              </w:rPr>
            </w:pPr>
            <w:r>
              <w:rPr>
                <w:rFonts w:ascii="Times New Roman" w:cs="Times New Roman" w:eastAsia="Times New Roman" w:hAnsi="Times New Roman"/>
                <w:sz w:val="20"/>
                <w:szCs w:val="20"/>
                <w:color w:val="auto"/>
              </w:rPr>
              <w:t>Other items</w:t>
            </w:r>
          </w:p>
        </w:tc>
        <w:tc>
          <w:tcPr>
            <w:tcW w:w="280" w:type="dxa"/>
            <w:vAlign w:val="bottom"/>
            <w:tcBorders>
              <w:bottom w:val="single" w:sz="8" w:color="auto"/>
            </w:tcBorders>
            <w:shd w:val="clear" w:color="auto" w:fill="D5EFF4"/>
          </w:tcPr>
          <w:p>
            <w:pPr>
              <w:spacing w:after="0"/>
              <w:rPr>
                <w:sz w:val="22"/>
                <w:szCs w:val="22"/>
                <w:color w:val="auto"/>
              </w:rPr>
            </w:pPr>
          </w:p>
        </w:tc>
        <w:tc>
          <w:tcPr>
            <w:tcW w:w="120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c>
          <w:tcPr>
            <w:tcW w:w="140" w:type="dxa"/>
            <w:vAlign w:val="bottom"/>
            <w:tcBorders>
              <w:bottom w:val="single" w:sz="8" w:color="D5EFF4"/>
            </w:tcBorders>
            <w:shd w:val="clear" w:color="auto" w:fill="D5EFF4"/>
          </w:tcPr>
          <w:p>
            <w:pPr>
              <w:spacing w:after="0"/>
              <w:rPr>
                <w:sz w:val="22"/>
                <w:szCs w:val="22"/>
                <w:color w:val="auto"/>
              </w:rPr>
            </w:pPr>
          </w:p>
        </w:tc>
        <w:tc>
          <w:tcPr>
            <w:tcW w:w="300" w:type="dxa"/>
            <w:vAlign w:val="bottom"/>
            <w:tcBorders>
              <w:bottom w:val="single" w:sz="8" w:color="auto"/>
            </w:tcBorders>
            <w:shd w:val="clear" w:color="auto" w:fill="D5EFF4"/>
          </w:tcPr>
          <w:p>
            <w:pPr>
              <w:spacing w:after="0"/>
              <w:rPr>
                <w:sz w:val="22"/>
                <w:szCs w:val="22"/>
                <w:color w:val="auto"/>
              </w:rPr>
            </w:pPr>
          </w:p>
        </w:tc>
        <w:tc>
          <w:tcPr>
            <w:tcW w:w="11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Borders>
              <w:bottom w:val="single" w:sz="8" w:color="D5EFF4"/>
            </w:tcBorders>
            <w:shd w:val="clear" w:color="auto" w:fill="D5EFF4"/>
          </w:tcPr>
          <w:p>
            <w:pPr>
              <w:spacing w:after="0"/>
              <w:rPr>
                <w:sz w:val="22"/>
                <w:szCs w:val="22"/>
                <w:color w:val="auto"/>
              </w:rPr>
            </w:pPr>
          </w:p>
        </w:tc>
        <w:tc>
          <w:tcPr>
            <w:tcW w:w="280" w:type="dxa"/>
            <w:vAlign w:val="bottom"/>
            <w:tcBorders>
              <w:bottom w:val="single" w:sz="8" w:color="auto"/>
            </w:tcBorders>
            <w:shd w:val="clear" w:color="auto" w:fill="D5EFF4"/>
          </w:tcPr>
          <w:p>
            <w:pPr>
              <w:spacing w:after="0"/>
              <w:rPr>
                <w:sz w:val="22"/>
                <w:szCs w:val="22"/>
                <w:color w:val="auto"/>
              </w:rPr>
            </w:pPr>
          </w:p>
        </w:tc>
        <w:tc>
          <w:tcPr>
            <w:tcW w:w="10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shd w:val="clear" w:color="auto" w:fill="D5EFF4"/>
          </w:tcPr>
          <w:p>
            <w:pPr>
              <w:spacing w:after="0"/>
              <w:rPr>
                <w:sz w:val="22"/>
                <w:szCs w:val="22"/>
                <w:color w:val="auto"/>
              </w:rPr>
            </w:pPr>
          </w:p>
        </w:tc>
      </w:tr>
      <w:tr>
        <w:trPr>
          <w:trHeight w:val="219"/>
        </w:trPr>
        <w:tc>
          <w:tcPr>
            <w:tcW w:w="66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Income tax expense (benefit)</w:t>
            </w:r>
          </w:p>
        </w:tc>
        <w:tc>
          <w:tcPr>
            <w:tcW w:w="280" w:type="dxa"/>
            <w:vAlign w:val="bottom"/>
            <w:tcBorders>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(223)</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(8)</w:t>
            </w: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8"/>
        </w:trPr>
        <w:tc>
          <w:tcPr>
            <w:tcW w:w="6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-3260725</wp:posOffset>
            </wp:positionV>
            <wp:extent cx="7207250"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389">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07250" cy="4445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390">
                      <a:extLst>
                        <a:ext uri="{28A0092B-C50C-407E-A947-70E740481C1C}"/>
                      </a:extLst>
                    </a:blip>
                    <a:srcRect/>
                    <a:stretch>
                      <a:fillRect/>
                    </a:stretch>
                  </pic:blipFill>
                  <pic:spPr bwMode="auto">
                    <a:xfrm>
                      <a:off x="0" y="0"/>
                      <a:ext cx="7207250" cy="444500"/>
                    </a:xfrm>
                    <a:prstGeom prst="rect">
                      <a:avLst/>
                    </a:prstGeom>
                    <a:noFill/>
                  </pic:spPr>
                </pic:pic>
              </a:graphicData>
            </a:graphic>
          </wp:anchor>
        </w:drawing>
      </w:r>
    </w:p>
    <w:p>
      <w:pPr>
        <w:spacing w:after="0" w:line="5" w:lineRule="exact"/>
        <w:rPr>
          <w:sz w:val="20"/>
          <w:szCs w:val="20"/>
          <w:color w:val="auto"/>
        </w:rPr>
      </w:pPr>
    </w:p>
    <w:p>
      <w:pPr>
        <w:ind w:left="568" w:hanging="568"/>
        <w:spacing w:after="0" w:line="265" w:lineRule="auto"/>
        <w:tabs>
          <w:tab w:leader="none" w:pos="56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highlight w:val="white"/>
        </w:rPr>
        <w:t>2025</w:t>
      </w:r>
      <w:r>
        <w:rPr>
          <w:rFonts w:ascii="Times New Roman" w:cs="Times New Roman" w:eastAsia="Times New Roman" w:hAnsi="Times New Roman"/>
          <w:sz w:val="1"/>
          <w:szCs w:val="1"/>
          <w:color w:val="auto"/>
        </w:rPr>
        <w:drawing>
          <wp:inline distT="0" distB="0" distL="0" distR="0">
            <wp:extent cx="41275" cy="9525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391">
                      <a:extLst>
                        <a:ext uri="{28A0092B-C50C-407E-A947-70E740481C1C}"/>
                      </a:extLst>
                    </a:blip>
                    <a:srcRect/>
                    <a:stretch>
                      <a:fillRect/>
                    </a:stretch>
                  </pic:blipFill>
                  <pic:spPr bwMode="auto">
                    <a:xfrm>
                      <a:off x="0" y="0"/>
                      <a:ext cx="41275"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includes</w:t>
      </w:r>
      <w:r>
        <w:rPr>
          <w:rFonts w:ascii="Times New Roman" w:cs="Times New Roman" w:eastAsia="Times New Roman" w:hAnsi="Times New Roman"/>
          <w:sz w:val="1"/>
          <w:szCs w:val="1"/>
          <w:color w:val="auto"/>
        </w:rPr>
        <w:drawing>
          <wp:inline distT="0" distB="0" distL="0" distR="0">
            <wp:extent cx="41275" cy="9525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392">
                      <a:extLst>
                        <a:ext uri="{28A0092B-C50C-407E-A947-70E740481C1C}"/>
                      </a:extLst>
                    </a:blip>
                    <a:srcRect/>
                    <a:stretch>
                      <a:fillRect/>
                    </a:stretch>
                  </pic:blipFill>
                  <pic:spPr bwMode="auto">
                    <a:xfrm>
                      <a:off x="0" y="0"/>
                      <a:ext cx="41275"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$12</w:t>
      </w:r>
      <w:r>
        <w:rPr>
          <w:rFonts w:ascii="Times New Roman" w:cs="Times New Roman" w:eastAsia="Times New Roman" w:hAnsi="Times New Roman"/>
          <w:sz w:val="1"/>
          <w:szCs w:val="1"/>
          <w:color w:val="auto"/>
        </w:rPr>
        <w:drawing>
          <wp:inline distT="0" distB="0" distL="0" distR="0">
            <wp:extent cx="41275" cy="9525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393">
                      <a:extLst>
                        <a:ext uri="{28A0092B-C50C-407E-A947-70E740481C1C}"/>
                      </a:extLst>
                    </a:blip>
                    <a:srcRect/>
                    <a:stretch>
                      <a:fillRect/>
                    </a:stretch>
                  </pic:blipFill>
                  <pic:spPr bwMode="auto">
                    <a:xfrm>
                      <a:off x="0" y="0"/>
                      <a:ext cx="41275"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million</w:t>
      </w:r>
      <w:r>
        <w:rPr>
          <w:rFonts w:ascii="Times New Roman" w:cs="Times New Roman" w:eastAsia="Times New Roman" w:hAnsi="Times New Roman"/>
          <w:sz w:val="1"/>
          <w:szCs w:val="1"/>
          <w:color w:val="auto"/>
        </w:rPr>
        <w:drawing>
          <wp:inline distT="0" distB="0" distL="0" distR="0">
            <wp:extent cx="41275" cy="95250"/>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394">
                      <a:extLst>
                        <a:ext uri="{28A0092B-C50C-407E-A947-70E740481C1C}"/>
                      </a:extLst>
                    </a:blip>
                    <a:srcRect/>
                    <a:stretch>
                      <a:fillRect/>
                    </a:stretch>
                  </pic:blipFill>
                  <pic:spPr bwMode="auto">
                    <a:xfrm>
                      <a:off x="0" y="0"/>
                      <a:ext cx="41275"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 xml:space="preserve">related </w:t>
      </w:r>
      <w:r>
        <w:rPr>
          <w:rFonts w:ascii="Times New Roman" w:cs="Times New Roman" w:eastAsia="Times New Roman" w:hAnsi="Times New Roman"/>
          <w:sz w:val="16"/>
          <w:szCs w:val="16"/>
          <w:color w:val="auto"/>
        </w:rPr>
        <w:t>to</w:t>
      </w:r>
      <w:r>
        <w:rPr>
          <w:rFonts w:ascii="Times New Roman" w:cs="Times New Roman" w:eastAsia="Times New Roman" w:hAnsi="Times New Roman"/>
          <w:sz w:val="16"/>
          <w:szCs w:val="16"/>
          <w:color w:val="auto"/>
          <w:highlight w:val="white"/>
        </w:rPr>
        <w:t xml:space="preserve"> GILTI permanent adjustments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color w:val="auto"/>
          <w:highlight w:val="white"/>
        </w:rPr>
        <w:t xml:space="preserve"> $15 million</w:t>
      </w:r>
      <w:r>
        <w:rPr>
          <w:rFonts w:ascii="Times New Roman" w:cs="Times New Roman" w:eastAsia="Times New Roman" w:hAnsi="Times New Roman"/>
          <w:sz w:val="1"/>
          <w:szCs w:val="1"/>
          <w:color w:val="auto"/>
        </w:rPr>
        <w:drawing>
          <wp:inline distT="0" distB="0" distL="0" distR="0">
            <wp:extent cx="41275" cy="9525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395">
                      <a:extLst>
                        <a:ext uri="{28A0092B-C50C-407E-A947-70E740481C1C}"/>
                      </a:extLst>
                    </a:blip>
                    <a:srcRect/>
                    <a:stretch>
                      <a:fillRect/>
                    </a:stretch>
                  </pic:blipFill>
                  <pic:spPr bwMode="auto">
                    <a:xfrm>
                      <a:off x="0" y="0"/>
                      <a:ext cx="41275"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 xml:space="preserve">related </w:t>
      </w:r>
      <w:r>
        <w:rPr>
          <w:rFonts w:ascii="Times New Roman" w:cs="Times New Roman" w:eastAsia="Times New Roman" w:hAnsi="Times New Roman"/>
          <w:sz w:val="16"/>
          <w:szCs w:val="16"/>
          <w:color w:val="auto"/>
        </w:rPr>
        <w:t>to</w:t>
      </w:r>
      <w:r>
        <w:rPr>
          <w:rFonts w:ascii="Times New Roman" w:cs="Times New Roman" w:eastAsia="Times New Roman" w:hAnsi="Times New Roman"/>
          <w:sz w:val="16"/>
          <w:szCs w:val="16"/>
          <w:color w:val="auto"/>
          <w:highlight w:val="white"/>
        </w:rPr>
        <w:t xml:space="preserve"> Subpart </w:t>
      </w:r>
      <w:r>
        <w:rPr>
          <w:rFonts w:ascii="Times New Roman" w:cs="Times New Roman" w:eastAsia="Times New Roman" w:hAnsi="Times New Roman"/>
          <w:sz w:val="16"/>
          <w:szCs w:val="16"/>
          <w:color w:val="auto"/>
        </w:rPr>
        <w:t>F.</w:t>
      </w:r>
      <w:r>
        <w:rPr>
          <w:rFonts w:ascii="Times New Roman" w:cs="Times New Roman" w:eastAsia="Times New Roman" w:hAnsi="Times New Roman"/>
          <w:sz w:val="16"/>
          <w:szCs w:val="16"/>
          <w:color w:val="auto"/>
          <w:highlight w:val="white"/>
        </w:rPr>
        <w:t xml:space="preserve"> 2024 includes </w:t>
      </w:r>
      <w:r>
        <w:rPr>
          <w:rFonts w:ascii="Times New Roman" w:cs="Times New Roman" w:eastAsia="Times New Roman" w:hAnsi="Times New Roman"/>
          <w:sz w:val="16"/>
          <w:szCs w:val="16"/>
          <w:color w:val="auto"/>
        </w:rPr>
        <w:t>$17</w:t>
      </w:r>
      <w:r>
        <w:rPr>
          <w:rFonts w:ascii="Times New Roman" w:cs="Times New Roman" w:eastAsia="Times New Roman" w:hAnsi="Times New Roman"/>
          <w:sz w:val="16"/>
          <w:szCs w:val="16"/>
          <w:color w:val="auto"/>
          <w:highlight w:val="white"/>
        </w:rPr>
        <w:t xml:space="preserve"> million</w:t>
      </w:r>
      <w:r>
        <w:rPr>
          <w:rFonts w:ascii="Times New Roman" w:cs="Times New Roman" w:eastAsia="Times New Roman" w:hAnsi="Times New Roman"/>
          <w:sz w:val="1"/>
          <w:szCs w:val="1"/>
          <w:color w:val="auto"/>
        </w:rPr>
        <w:drawing>
          <wp:inline distT="0" distB="0" distL="0" distR="0">
            <wp:extent cx="41275" cy="9525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396">
                      <a:extLst>
                        <a:ext uri="{28A0092B-C50C-407E-A947-70E740481C1C}"/>
                      </a:extLst>
                    </a:blip>
                    <a:srcRect/>
                    <a:stretch>
                      <a:fillRect/>
                    </a:stretch>
                  </pic:blipFill>
                  <pic:spPr bwMode="auto">
                    <a:xfrm>
                      <a:off x="0" y="0"/>
                      <a:ext cx="41275"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 xml:space="preserve">related </w:t>
      </w:r>
      <w:r>
        <w:rPr>
          <w:rFonts w:ascii="Times New Roman" w:cs="Times New Roman" w:eastAsia="Times New Roman" w:hAnsi="Times New Roman"/>
          <w:sz w:val="16"/>
          <w:szCs w:val="16"/>
          <w:color w:val="auto"/>
        </w:rPr>
        <w:t>to</w:t>
      </w:r>
      <w:r>
        <w:rPr>
          <w:rFonts w:ascii="Times New Roman" w:cs="Times New Roman" w:eastAsia="Times New Roman" w:hAnsi="Times New Roman"/>
          <w:sz w:val="16"/>
          <w:szCs w:val="16"/>
          <w:color w:val="auto"/>
          <w:highlight w:val="white"/>
        </w:rPr>
        <w:t xml:space="preserve"> GILTI permanent adjustments</w:t>
      </w:r>
      <w:r>
        <w:rPr>
          <w:rFonts w:ascii="Times New Roman" w:cs="Times New Roman" w:eastAsia="Times New Roman" w:hAnsi="Times New Roman"/>
          <w:sz w:val="1"/>
          <w:szCs w:val="1"/>
          <w:color w:val="auto"/>
        </w:rPr>
        <w:drawing>
          <wp:inline distT="0" distB="0" distL="0" distR="0">
            <wp:extent cx="25400" cy="9525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397">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and</w:t>
      </w:r>
      <w:r>
        <w:rPr>
          <w:rFonts w:ascii="Times New Roman" w:cs="Times New Roman" w:eastAsia="Times New Roman" w:hAnsi="Times New Roman"/>
          <w:sz w:val="1"/>
          <w:szCs w:val="1"/>
          <w:color w:val="auto"/>
        </w:rPr>
        <w:drawing>
          <wp:inline distT="0" distB="0" distL="0" distR="0">
            <wp:extent cx="25400" cy="9525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398">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$11</w:t>
      </w:r>
      <w:r>
        <w:rPr>
          <w:rFonts w:ascii="Times New Roman" w:cs="Times New Roman" w:eastAsia="Times New Roman" w:hAnsi="Times New Roman"/>
          <w:sz w:val="1"/>
          <w:szCs w:val="1"/>
          <w:color w:val="auto"/>
        </w:rPr>
        <w:drawing>
          <wp:inline distT="0" distB="0" distL="0" distR="0">
            <wp:extent cx="25400" cy="9525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399">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million</w:t>
      </w:r>
      <w:r>
        <w:rPr>
          <w:rFonts w:ascii="Times New Roman" w:cs="Times New Roman" w:eastAsia="Times New Roman" w:hAnsi="Times New Roman"/>
          <w:sz w:val="1"/>
          <w:szCs w:val="1"/>
          <w:color w:val="auto"/>
        </w:rPr>
        <w:drawing>
          <wp:inline distT="0" distB="0" distL="0" distR="0">
            <wp:extent cx="25400" cy="9525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00">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 xml:space="preserve">related </w:t>
      </w:r>
      <w:r>
        <w:rPr>
          <w:rFonts w:ascii="Times New Roman" w:cs="Times New Roman" w:eastAsia="Times New Roman" w:hAnsi="Times New Roman"/>
          <w:sz w:val="16"/>
          <w:szCs w:val="16"/>
          <w:color w:val="auto"/>
        </w:rPr>
        <w:t>to</w:t>
      </w:r>
      <w:r>
        <w:rPr>
          <w:rFonts w:ascii="Times New Roman" w:cs="Times New Roman" w:eastAsia="Times New Roman" w:hAnsi="Times New Roman"/>
          <w:sz w:val="1"/>
          <w:szCs w:val="1"/>
          <w:color w:val="auto"/>
        </w:rPr>
        <w:drawing>
          <wp:inline distT="0" distB="0" distL="0" distR="0">
            <wp:extent cx="25400" cy="9525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01">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Subpart</w:t>
      </w:r>
      <w:r>
        <w:rPr>
          <w:rFonts w:ascii="Times New Roman" w:cs="Times New Roman" w:eastAsia="Times New Roman" w:hAnsi="Times New Roman"/>
          <w:sz w:val="1"/>
          <w:szCs w:val="1"/>
          <w:color w:val="auto"/>
        </w:rPr>
        <w:drawing>
          <wp:inline distT="0" distB="0" distL="0" distR="0">
            <wp:extent cx="25400" cy="9525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02">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F.</w:t>
      </w:r>
      <w:r>
        <w:rPr>
          <w:rFonts w:ascii="Times New Roman" w:cs="Times New Roman" w:eastAsia="Times New Roman" w:hAnsi="Times New Roman"/>
          <w:sz w:val="1"/>
          <w:szCs w:val="1"/>
          <w:color w:val="auto"/>
        </w:rPr>
        <w:drawing>
          <wp:inline distT="0" distB="0" distL="0" distR="0">
            <wp:extent cx="25400" cy="9525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03">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2023</w:t>
      </w:r>
      <w:r>
        <w:rPr>
          <w:rFonts w:ascii="Times New Roman" w:cs="Times New Roman" w:eastAsia="Times New Roman" w:hAnsi="Times New Roman"/>
          <w:sz w:val="1"/>
          <w:szCs w:val="1"/>
          <w:color w:val="auto"/>
        </w:rPr>
        <w:drawing>
          <wp:inline distT="0" distB="0" distL="0" distR="0">
            <wp:extent cx="25400" cy="9525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04">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includes</w:t>
      </w:r>
      <w:r>
        <w:rPr>
          <w:rFonts w:ascii="Times New Roman" w:cs="Times New Roman" w:eastAsia="Times New Roman" w:hAnsi="Times New Roman"/>
          <w:sz w:val="1"/>
          <w:szCs w:val="1"/>
          <w:color w:val="auto"/>
        </w:rPr>
        <w:drawing>
          <wp:inline distT="0" distB="0" distL="0" distR="0">
            <wp:extent cx="25400" cy="9525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05">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$19</w:t>
      </w:r>
      <w:r>
        <w:rPr>
          <w:rFonts w:ascii="Times New Roman" w:cs="Times New Roman" w:eastAsia="Times New Roman" w:hAnsi="Times New Roman"/>
          <w:sz w:val="1"/>
          <w:szCs w:val="1"/>
          <w:color w:val="auto"/>
        </w:rPr>
        <w:drawing>
          <wp:inline distT="0" distB="0" distL="0" distR="0">
            <wp:extent cx="25400" cy="9525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06">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million</w:t>
      </w:r>
      <w:r>
        <w:rPr>
          <w:rFonts w:ascii="Times New Roman" w:cs="Times New Roman" w:eastAsia="Times New Roman" w:hAnsi="Times New Roman"/>
          <w:sz w:val="1"/>
          <w:szCs w:val="1"/>
          <w:color w:val="auto"/>
        </w:rPr>
        <w:drawing>
          <wp:inline distT="0" distB="0" distL="0" distR="0">
            <wp:extent cx="25400" cy="9525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07">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related</w:t>
      </w:r>
      <w:r>
        <w:rPr>
          <w:rFonts w:ascii="Times New Roman" w:cs="Times New Roman" w:eastAsia="Times New Roman" w:hAnsi="Times New Roman"/>
          <w:sz w:val="1"/>
          <w:szCs w:val="1"/>
          <w:color w:val="auto"/>
        </w:rPr>
        <w:drawing>
          <wp:inline distT="0" distB="0" distL="0" distR="0">
            <wp:extent cx="25400" cy="9525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08">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to</w:t>
      </w:r>
      <w:r>
        <w:rPr>
          <w:rFonts w:ascii="Times New Roman" w:cs="Times New Roman" w:eastAsia="Times New Roman" w:hAnsi="Times New Roman"/>
          <w:sz w:val="1"/>
          <w:szCs w:val="1"/>
          <w:color w:val="auto"/>
        </w:rPr>
        <w:drawing>
          <wp:inline distT="0" distB="0" distL="0" distR="0">
            <wp:extent cx="25400" cy="9525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09">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GILTI</w:t>
      </w:r>
      <w:r>
        <w:rPr>
          <w:rFonts w:ascii="Times New Roman" w:cs="Times New Roman" w:eastAsia="Times New Roman" w:hAnsi="Times New Roman"/>
          <w:sz w:val="1"/>
          <w:szCs w:val="1"/>
          <w:color w:val="auto"/>
        </w:rPr>
        <w:drawing>
          <wp:inline distT="0" distB="0" distL="0" distR="0">
            <wp:extent cx="25400" cy="9525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10">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permanent</w:t>
      </w:r>
      <w:r>
        <w:rPr>
          <w:rFonts w:ascii="Times New Roman" w:cs="Times New Roman" w:eastAsia="Times New Roman" w:hAnsi="Times New Roman"/>
          <w:sz w:val="1"/>
          <w:szCs w:val="1"/>
          <w:color w:val="auto"/>
        </w:rPr>
        <w:drawing>
          <wp:inline distT="0" distB="0" distL="0" distR="0">
            <wp:extent cx="25400" cy="9525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11">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adjustment and</w:t>
      </w:r>
      <w:r>
        <w:rPr>
          <w:rFonts w:ascii="Times New Roman" w:cs="Times New Roman" w:eastAsia="Times New Roman" w:hAnsi="Times New Roman"/>
          <w:sz w:val="1"/>
          <w:szCs w:val="1"/>
          <w:color w:val="auto"/>
        </w:rPr>
        <w:drawing>
          <wp:inline distT="0" distB="0" distL="0" distR="0">
            <wp:extent cx="25400" cy="9525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12">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$12</w:t>
      </w:r>
      <w:r>
        <w:rPr>
          <w:rFonts w:ascii="Times New Roman" w:cs="Times New Roman" w:eastAsia="Times New Roman" w:hAnsi="Times New Roman"/>
          <w:sz w:val="1"/>
          <w:szCs w:val="1"/>
          <w:color w:val="auto"/>
        </w:rPr>
        <w:drawing>
          <wp:inline distT="0" distB="0" distL="0" distR="0">
            <wp:extent cx="25400" cy="9525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13">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million</w:t>
      </w:r>
      <w:r>
        <w:rPr>
          <w:rFonts w:ascii="Times New Roman" w:cs="Times New Roman" w:eastAsia="Times New Roman" w:hAnsi="Times New Roman"/>
          <w:sz w:val="1"/>
          <w:szCs w:val="1"/>
          <w:color w:val="auto"/>
        </w:rPr>
        <w:drawing>
          <wp:inline distT="0" distB="0" distL="0" distR="0">
            <wp:extent cx="25400" cy="9525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14">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related</w:t>
      </w:r>
      <w:r>
        <w:rPr>
          <w:rFonts w:ascii="Times New Roman" w:cs="Times New Roman" w:eastAsia="Times New Roman" w:hAnsi="Times New Roman"/>
          <w:sz w:val="1"/>
          <w:szCs w:val="1"/>
          <w:color w:val="auto"/>
        </w:rPr>
        <w:drawing>
          <wp:inline distT="0" distB="0" distL="0" distR="0">
            <wp:extent cx="25400" cy="9525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15">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to</w:t>
      </w:r>
      <w:r>
        <w:rPr>
          <w:rFonts w:ascii="Times New Roman" w:cs="Times New Roman" w:eastAsia="Times New Roman" w:hAnsi="Times New Roman"/>
          <w:sz w:val="1"/>
          <w:szCs w:val="1"/>
          <w:color w:val="auto"/>
        </w:rPr>
        <w:drawing>
          <wp:inline distT="0" distB="0" distL="0" distR="0">
            <wp:extent cx="25400" cy="9525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16">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Subpart</w:t>
      </w:r>
      <w:r>
        <w:rPr>
          <w:rFonts w:ascii="Times New Roman" w:cs="Times New Roman" w:eastAsia="Times New Roman" w:hAnsi="Times New Roman"/>
          <w:sz w:val="1"/>
          <w:szCs w:val="1"/>
          <w:color w:val="auto"/>
        </w:rPr>
        <w:drawing>
          <wp:inline distT="0" distB="0" distL="0" distR="0">
            <wp:extent cx="25400" cy="9525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17">
                      <a:extLst>
                        <a:ext uri="{28A0092B-C50C-407E-A947-70E740481C1C}"/>
                      </a:extLst>
                    </a:blip>
                    <a:srcRect/>
                    <a:stretch>
                      <a:fillRect/>
                    </a:stretch>
                  </pic:blipFill>
                  <pic:spPr bwMode="auto">
                    <a:xfrm>
                      <a:off x="0" y="0"/>
                      <a:ext cx="25400" cy="9525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white"/>
        </w:rPr>
        <w:t>F.</w:t>
      </w:r>
    </w:p>
    <w:p>
      <w:pPr>
        <w:ind w:left="568" w:hanging="568"/>
        <w:spacing w:after="0" w:line="277" w:lineRule="auto"/>
        <w:tabs>
          <w:tab w:leader="none" w:pos="56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highlight w:val="white"/>
        </w:rPr>
        <w:t>2025 includes net $10 million related to state NOL's, deferred taxes and foreign tax credits. 2024 includes net $10 million related to state NOL's, deferred taxes and foreign tax credits. 2023 includes net $2 million related to deferred taxes and foreign tax credits.</w:t>
      </w:r>
    </w:p>
    <w:p>
      <w:pPr>
        <w:spacing w:after="0" w:line="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Unrecognized tax benefits</w:t>
      </w:r>
    </w:p>
    <w:p>
      <w:pPr>
        <w:spacing w:after="0" w:line="170" w:lineRule="exact"/>
        <w:rPr>
          <w:sz w:val="20"/>
          <w:szCs w:val="20"/>
          <w:color w:val="auto"/>
        </w:rPr>
      </w:pPr>
    </w:p>
    <w:p>
      <w:pPr>
        <w:jc w:val="both"/>
        <w:ind w:left="8" w:firstLine="360"/>
        <w:spacing w:after="0" w:line="292" w:lineRule="auto"/>
        <w:rPr>
          <w:sz w:val="20"/>
          <w:szCs w:val="20"/>
          <w:color w:val="auto"/>
        </w:rPr>
      </w:pPr>
      <w:r>
        <w:rPr>
          <w:rFonts w:ascii="Times New Roman" w:cs="Times New Roman" w:eastAsia="Times New Roman" w:hAnsi="Times New Roman"/>
          <w:sz w:val="20"/>
          <w:szCs w:val="20"/>
          <w:color w:val="auto"/>
        </w:rPr>
        <w:t>U.S. GAAP prescribes a recognition threshold and measurement attribute for the accounting and financial statement disclosure of tax positions taken or expected to be taken in a tax return. The evaluation of a tax position is a two-step process. The first step requires Ashland to determine whether it is more likely than not that a tax position will be sustained upon examination based on the technical merits of the position. The second step requires Ashland to recognize in the financial statements each tax position that meets the more likely than not criteria, measured at the amount of benefit that has a greater than 50% likelihood of being realized. Ashland had $65 million of unrecognized tax benefits at both September 30, 2025 and 2024, recorded within other noncurrent liabilities. As of September 30, 2025, the total amount of unrecognized tax benefits that, if recognized, would affect the tax rate for continuing and discontinued operations was $60 million. The remaining unrecognized tax benefits relate to tax positions for which ultimate deductibility is highly certain but for which there is uncertainty as to the timing of such deductibility. Recognition of these tax benefits would not have an impact on the effective tax rate.</w:t>
      </w:r>
    </w:p>
    <w:p>
      <w:pPr>
        <w:spacing w:after="0" w:line="86" w:lineRule="exact"/>
        <w:rPr>
          <w:sz w:val="20"/>
          <w:szCs w:val="20"/>
          <w:color w:val="auto"/>
        </w:rPr>
      </w:pPr>
    </w:p>
    <w:p>
      <w:pPr>
        <w:jc w:val="both"/>
        <w:ind w:left="8" w:firstLine="360"/>
        <w:spacing w:after="0" w:line="300" w:lineRule="auto"/>
        <w:rPr>
          <w:sz w:val="20"/>
          <w:szCs w:val="20"/>
          <w:color w:val="auto"/>
        </w:rPr>
      </w:pPr>
      <w:r>
        <w:rPr>
          <w:rFonts w:ascii="Times New Roman" w:cs="Times New Roman" w:eastAsia="Times New Roman" w:hAnsi="Times New Roman"/>
          <w:sz w:val="20"/>
          <w:szCs w:val="20"/>
          <w:color w:val="auto"/>
        </w:rPr>
        <w:t>Ashland recognizes interest and penalties related to uncertain tax positions as a component of income tax expense (benefit) in the Statements of Consolidated Comprehensive Income (Loss). Such interest and penalties totaled $4 million expense in 2025, $3 million expense in 2024 and $1 million benefit in 2023. Ashland had $19 million and $14 million in interest and penalties related to unrecognized tax benefits accrued as of September 30, 2025 and 2024, respectively.</w:t>
      </w:r>
    </w:p>
    <w:p>
      <w:pPr>
        <w:sectPr>
          <w:pgSz w:w="12240" w:h="15840" w:orient="portrait"/>
          <w:cols w:equalWidth="0" w:num="1">
            <w:col w:w="11368"/>
          </w:cols>
          <w:pgMar w:left="432"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11368"/>
          </w:cols>
          <w:pgMar w:left="432" w:top="930" w:right="440" w:bottom="186" w:gutter="0" w:footer="0" w:header="0"/>
          <w:type w:val="continuous"/>
        </w:sectPr>
      </w:pPr>
    </w:p>
    <w:bookmarkStart w:id="137" w:name="page138"/>
    <w:bookmarkEnd w:id="137"/>
    <w:p>
      <w:pPr>
        <w:ind w:left="360"/>
        <w:spacing w:after="0"/>
        <w:rPr>
          <w:sz w:val="20"/>
          <w:szCs w:val="20"/>
          <w:color w:val="auto"/>
        </w:rPr>
      </w:pPr>
      <w:r>
        <w:rPr>
          <w:rFonts w:ascii="Times New Roman" w:cs="Times New Roman" w:eastAsia="Times New Roman" w:hAnsi="Times New Roman"/>
          <w:sz w:val="20"/>
          <w:szCs w:val="20"/>
          <w:color w:val="auto"/>
        </w:rPr>
        <w:t>Changes in unrecognized tax benefits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122555</wp:posOffset>
                </wp:positionV>
                <wp:extent cx="7223125" cy="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9.65pt" to="568.4pt,9.65pt" o:allowincell="f" strokecolor="#000000" strokeweight="0.75pt"/>
            </w:pict>
          </mc:Fallback>
        </mc:AlternateConten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340" w:type="dxa"/>
            <w:vAlign w:val="bottom"/>
            <w:tcBorders>
              <w:top w:val="single" w:sz="8" w:color="auto"/>
            </w:tcBorders>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Balance at September 30, 2023</w:t>
            </w:r>
          </w:p>
        </w:tc>
        <w:tc>
          <w:tcPr>
            <w:tcW w:w="920" w:type="dxa"/>
            <w:vAlign w:val="bottom"/>
            <w:tcBorders>
              <w:top w:val="single" w:sz="8" w:color="auto"/>
            </w:tcBorders>
            <w:gridSpan w:val="2"/>
            <w:shd w:val="clear" w:color="auto" w:fill="D5EFF4"/>
          </w:tcPr>
          <w:p>
            <w:pPr>
              <w:jc w:val="right"/>
              <w:ind w:right="735"/>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44"/>
        </w:trPr>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Decreases related to positions taken on items from prior years</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44"/>
        </w:trPr>
        <w:tc>
          <w:tcPr>
            <w:tcW w:w="93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Increases related to positions taken in the current year</w:t>
            </w:r>
          </w:p>
        </w:tc>
        <w:tc>
          <w:tcPr>
            <w:tcW w:w="20" w:type="dxa"/>
            <w:vAlign w:val="bottom"/>
            <w:shd w:val="clear" w:color="auto" w:fill="D5EFF4"/>
          </w:tcPr>
          <w:p>
            <w:pPr>
              <w:spacing w:after="0"/>
              <w:rPr>
                <w:sz w:val="21"/>
                <w:szCs w:val="21"/>
                <w:color w:val="auto"/>
              </w:rPr>
            </w:pPr>
          </w:p>
        </w:tc>
        <w:tc>
          <w:tcPr>
            <w:tcW w:w="900" w:type="dxa"/>
            <w:vAlign w:val="bottom"/>
            <w:shd w:val="clear" w:color="auto" w:fill="D5EFF4"/>
          </w:tcPr>
          <w:p>
            <w:pPr>
              <w:spacing w:after="0"/>
              <w:rPr>
                <w:sz w:val="21"/>
                <w:szCs w:val="21"/>
                <w:color w:val="auto"/>
              </w:rPr>
            </w:pPr>
          </w:p>
        </w:tc>
        <w:tc>
          <w:tcPr>
            <w:tcW w:w="11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44"/>
        </w:trPr>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Increases related to positions taken in the prior year</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44"/>
        </w:trPr>
        <w:tc>
          <w:tcPr>
            <w:tcW w:w="93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Settlements</w:t>
            </w:r>
          </w:p>
        </w:tc>
        <w:tc>
          <w:tcPr>
            <w:tcW w:w="20" w:type="dxa"/>
            <w:vAlign w:val="bottom"/>
            <w:shd w:val="clear" w:color="auto" w:fill="D5EFF4"/>
          </w:tcPr>
          <w:p>
            <w:pPr>
              <w:spacing w:after="0"/>
              <w:rPr>
                <w:sz w:val="21"/>
                <w:szCs w:val="21"/>
                <w:color w:val="auto"/>
              </w:rPr>
            </w:pPr>
          </w:p>
        </w:tc>
        <w:tc>
          <w:tcPr>
            <w:tcW w:w="900" w:type="dxa"/>
            <w:vAlign w:val="bottom"/>
            <w:shd w:val="clear" w:color="auto" w:fill="D5EFF4"/>
          </w:tcPr>
          <w:p>
            <w:pPr>
              <w:spacing w:after="0"/>
              <w:rPr>
                <w:sz w:val="21"/>
                <w:szCs w:val="21"/>
                <w:color w:val="auto"/>
              </w:rPr>
            </w:pPr>
          </w:p>
        </w:tc>
        <w:tc>
          <w:tcPr>
            <w:tcW w:w="11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44"/>
        </w:trPr>
        <w:tc>
          <w:tcPr>
            <w:tcW w:w="9340" w:type="dxa"/>
            <w:vAlign w:val="bottom"/>
            <w:tcBorders>
              <w:bottom w:val="single" w:sz="8" w:color="D5EFF4"/>
            </w:tcBorders>
          </w:tcPr>
          <w:p>
            <w:pPr>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20" w:type="dxa"/>
            <w:vAlign w:val="bottom"/>
            <w:tcBorders>
              <w:bottom w:val="single" w:sz="8" w:color="D5EFF4"/>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9"/>
        </w:trPr>
        <w:tc>
          <w:tcPr>
            <w:tcW w:w="93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b w:val="1"/>
                <w:bCs w:val="1"/>
                <w:color w:val="auto"/>
              </w:rPr>
              <w:t>Balance at September 30, 2024</w:t>
            </w:r>
          </w:p>
        </w:tc>
        <w:tc>
          <w:tcPr>
            <w:tcW w:w="20" w:type="dxa"/>
            <w:vAlign w:val="bottom"/>
            <w:shd w:val="clear" w:color="auto" w:fill="D5EFF4"/>
          </w:tcPr>
          <w:p>
            <w:pPr>
              <w:spacing w:after="0"/>
              <w:rPr>
                <w:sz w:val="20"/>
                <w:szCs w:val="20"/>
                <w:color w:val="auto"/>
              </w:rPr>
            </w:pPr>
          </w:p>
        </w:tc>
        <w:tc>
          <w:tcPr>
            <w:tcW w:w="900" w:type="dxa"/>
            <w:vAlign w:val="bottom"/>
            <w:tcBorders>
              <w:bottom w:val="single" w:sz="8" w:color="auto"/>
            </w:tcBorders>
            <w:shd w:val="clear" w:color="auto" w:fill="D5EFF4"/>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39"/>
        </w:trPr>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Decreases related to positions taken on items from prior years</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44"/>
        </w:trPr>
        <w:tc>
          <w:tcPr>
            <w:tcW w:w="93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Increases related to positions taken in the current year</w:t>
            </w:r>
          </w:p>
        </w:tc>
        <w:tc>
          <w:tcPr>
            <w:tcW w:w="20" w:type="dxa"/>
            <w:vAlign w:val="bottom"/>
            <w:shd w:val="clear" w:color="auto" w:fill="D5EFF4"/>
          </w:tcPr>
          <w:p>
            <w:pPr>
              <w:spacing w:after="0"/>
              <w:rPr>
                <w:sz w:val="21"/>
                <w:szCs w:val="21"/>
                <w:color w:val="auto"/>
              </w:rPr>
            </w:pPr>
          </w:p>
        </w:tc>
        <w:tc>
          <w:tcPr>
            <w:tcW w:w="900" w:type="dxa"/>
            <w:vAlign w:val="bottom"/>
            <w:shd w:val="clear" w:color="auto" w:fill="D5EFF4"/>
          </w:tcPr>
          <w:p>
            <w:pPr>
              <w:spacing w:after="0"/>
              <w:rPr>
                <w:sz w:val="21"/>
                <w:szCs w:val="21"/>
                <w:color w:val="auto"/>
              </w:rPr>
            </w:pPr>
          </w:p>
        </w:tc>
        <w:tc>
          <w:tcPr>
            <w:tcW w:w="11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44"/>
        </w:trPr>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Increases related to positions taken in the prior year</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44"/>
        </w:trPr>
        <w:tc>
          <w:tcPr>
            <w:tcW w:w="934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20" w:type="dxa"/>
            <w:vAlign w:val="bottom"/>
            <w:shd w:val="clear" w:color="auto" w:fill="D5EFF4"/>
          </w:tcPr>
          <w:p>
            <w:pPr>
              <w:spacing w:after="0"/>
              <w:rPr>
                <w:sz w:val="21"/>
                <w:szCs w:val="21"/>
                <w:color w:val="auto"/>
              </w:rPr>
            </w:pPr>
          </w:p>
        </w:tc>
        <w:tc>
          <w:tcPr>
            <w:tcW w:w="900" w:type="dxa"/>
            <w:vAlign w:val="bottom"/>
            <w:tcBorders>
              <w:bottom w:val="single" w:sz="8" w:color="auto"/>
            </w:tcBorders>
            <w:shd w:val="clear" w:color="auto" w:fill="D5EFF4"/>
          </w:tcPr>
          <w:p>
            <w:pPr>
              <w:spacing w:after="0"/>
              <w:rPr>
                <w:sz w:val="21"/>
                <w:szCs w:val="21"/>
                <w:color w:val="auto"/>
              </w:rPr>
            </w:pPr>
          </w:p>
        </w:tc>
        <w:tc>
          <w:tcPr>
            <w:tcW w:w="11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9"/>
        </w:trPr>
        <w:tc>
          <w:tcPr>
            <w:tcW w:w="9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September 30, 2025</w:t>
            </w: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0"/>
        </w:trPr>
        <w:tc>
          <w:tcPr>
            <w:tcW w:w="9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8"/>
        </w:trPr>
        <w:tc>
          <w:tcPr>
            <w:tcW w:w="9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bl>
    <w:p>
      <w:pPr>
        <w:spacing w:after="0" w:line="101"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From a combination of statute expirations and audit settlements in the next twelve months, Ashland expects a decrease in the amount of accrual for uncertain tax positions of between zero and $1 million for continuing operations. For the remaining balance as of September 30, 2025,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spacing w:after="0" w:line="77"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Ashland or one of its subsidiaries files income tax returns in the U.S. federal jurisdiction and various state and foreign jurisdictions. Foreign taxing jurisdictions significant to Ashland include Belgium, Brazil, China, Germany, India, Italy, Mexico, Netherlands, Spain, Switzerland and the United Kingdom. Ashland is subject to U.S. federal income tax examinations by tax authorities for periods after September 30, 2021 and U.S. state income tax examinations by tax authorities for periods after September 30, 2018. With respect to countries outside of the United States, with certain exceptions, Ashland’s foreign subsidiaries are subject to income tax audits for years after 2019. In October 2025, Ashland received a $103 million tax refund related to the capital loss carryback from the Nutraceuticals business divestiture which was included within other current assets in the Consolidated Balance Sheet at September 30,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L – EMPLOYEE BENEFIT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 plans</w:t>
      </w:r>
    </w:p>
    <w:p>
      <w:pPr>
        <w:spacing w:after="0" w:line="17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and its subsidiaries have several contributory and noncontributory qualified defined benefit pension plans that generally cover international employees and a small portion of certain U.S. manufacturing union employees. Pension obligations for applicable employees of non-U.S. consolidated subsidiaries are provided for in accordance with local practices and regulations of the respective countries. The majority of these foreign pension plans are closed to new participants while those that remain open relate to areas where jurisdictions require plans to operate within the applicable country.</w:t>
      </w:r>
    </w:p>
    <w:p>
      <w:pPr>
        <w:spacing w:after="0" w:line="77"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Benefits for those eligible for Ashland’s U.S. pension plans generally are based on employees’ years of service and compensation during the years immediately preceding their retirement. The remaining U.S. pension plans are still open for enrollment for qualifying union employees within certain manufacturing sites.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postretirement benefit plans</w:t>
      </w:r>
    </w:p>
    <w:p>
      <w:pPr>
        <w:spacing w:after="0" w:line="17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Ashland and its subsidiaries maintain limited health care for certain eligible employees in the U.S. who are retired or disabled. Ashland shares the costs of providing health care coverage with certain eligible retired employees through premiums, deductibles and coinsurance provisions. Ashland funds its share of the costs of the postretirement benefit plans as the benefits are paid.</w:t>
      </w:r>
    </w:p>
    <w:p>
      <w:pPr>
        <w:spacing w:after="0" w:line="68"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Postretirement health care plans include a limit on Ashland’s share of costs for recent and future retirees. The assumed pre-65 health care cost increase trend rate as of September 30, 2025 was 7.1% and continues to be reduced to 4.0% in 2049 and thereafter. The assumptions used to project the liability anticipate future cost-sharing changes to the written plans that are consistent with the increase in health care costs.</w:t>
      </w:r>
    </w:p>
    <w:p>
      <w:pPr>
        <w:sectPr>
          <w:pgSz w:w="12240" w:h="15840" w:orient="portrait"/>
          <w:cols w:equalWidth="0" w:num="1">
            <w:col w:w="11360"/>
          </w:cols>
          <w:pgMar w:left="440"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11360"/>
          </w:cols>
          <w:pgMar w:left="440" w:top="930" w:right="440" w:bottom="186" w:gutter="0" w:footer="0" w:header="0"/>
          <w:type w:val="continuous"/>
        </w:sectPr>
      </w:pPr>
    </w:p>
    <w:bookmarkStart w:id="138" w:name="page139"/>
    <w:bookmarkEnd w:id="138"/>
    <w:p>
      <w:pPr>
        <w:ind w:left="8"/>
        <w:spacing w:after="0"/>
        <w:rPr>
          <w:sz w:val="20"/>
          <w:szCs w:val="20"/>
          <w:color w:val="auto"/>
        </w:rPr>
      </w:pPr>
      <w:r>
        <w:rPr>
          <w:rFonts w:ascii="Times New Roman" w:cs="Times New Roman" w:eastAsia="Times New Roman" w:hAnsi="Times New Roman"/>
          <w:sz w:val="20"/>
          <w:szCs w:val="20"/>
          <w:b w:val="1"/>
          <w:bCs w:val="1"/>
          <w:color w:val="auto"/>
        </w:rPr>
        <w:t>Net periodic benefit loss allocation</w:t>
      </w:r>
    </w:p>
    <w:p>
      <w:pPr>
        <w:spacing w:after="0" w:line="170"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Consistent with Ashland’s historical accounting policies, service cost for continuing operations is allocated to each reportable segment, excluding the Unallocated and other, while all other costs for continuing operations are recorded within Unallocated and other.</w:t>
      </w:r>
    </w:p>
    <w:p>
      <w:pPr>
        <w:spacing w:after="0" w:line="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Restructuring and plan remeasurement</w:t>
      </w:r>
    </w:p>
    <w:p>
      <w:pPr>
        <w:spacing w:after="0" w:line="170" w:lineRule="exact"/>
        <w:rPr>
          <w:sz w:val="20"/>
          <w:szCs w:val="20"/>
          <w:color w:val="auto"/>
        </w:rPr>
      </w:pPr>
    </w:p>
    <w:p>
      <w:pPr>
        <w:jc w:val="both"/>
        <w:ind w:left="8" w:firstLine="360"/>
        <w:spacing w:after="0" w:line="297" w:lineRule="auto"/>
        <w:rPr>
          <w:sz w:val="20"/>
          <w:szCs w:val="20"/>
          <w:color w:val="auto"/>
        </w:rPr>
      </w:pPr>
      <w:r>
        <w:rPr>
          <w:rFonts w:ascii="Times New Roman" w:cs="Times New Roman" w:eastAsia="Times New Roman" w:hAnsi="Times New Roman"/>
          <w:sz w:val="20"/>
          <w:szCs w:val="20"/>
          <w:color w:val="auto"/>
        </w:rPr>
        <w:t>During the first quarter of fiscal 2025, as part of its fiscal 2024 restructuring activities, Ashland terminated approximately 40 employees in its Doel, Belgium facility. The post-retirement benefits for these employees, all of whom participated in a non-contributory defined benefit plan in Belgium, were frozen. This resulted in a decrease in total expected future years of service within the plan and required Ashland to remeasure the plan as of December 31, 2024. As a result, Ashland recorded a $1 million curtailment loss within the other net periodic benefit loss caption of the Statement of Consolidated Comprehensive Income (Loss) during the year ended September 30, 2025.</w:t>
      </w:r>
    </w:p>
    <w:p>
      <w:pPr>
        <w:spacing w:after="0" w:line="77"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summarizes the components of pension and other postretirement benefit costs for continuing operations and the assumptions used to determine net periodic benefit loss for the plans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42810"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18">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8" w:lineRule="exact"/>
        <w:rPr>
          <w:sz w:val="20"/>
          <w:szCs w:val="20"/>
          <w:color w:val="auto"/>
        </w:rPr>
      </w:pPr>
    </w:p>
    <w:tbl>
      <w:tblPr>
        <w:tblLayout w:type="fixed"/>
        <w:tblInd w:w="8" w:type="dxa"/>
        <w:tblCellMar>
          <w:top w:w="0" w:type="dxa"/>
          <w:left w:w="0" w:type="dxa"/>
          <w:bottom w:w="0" w:type="dxa"/>
          <w:right w:w="0" w:type="dxa"/>
        </w:tblCellMar>
      </w:tblPr>
      <w:tr>
        <w:trPr>
          <w:trHeight w:val="249"/>
        </w:trPr>
        <w:tc>
          <w:tcPr>
            <w:tcW w:w="3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8"/>
          </w:tcPr>
          <w:p>
            <w:pPr>
              <w:jc w:val="right"/>
              <w:ind w:right="660"/>
              <w:spacing w:after="0"/>
              <w:rPr>
                <w:sz w:val="20"/>
                <w:szCs w:val="20"/>
                <w:color w:val="auto"/>
              </w:rPr>
            </w:pPr>
            <w:r>
              <w:rPr>
                <w:rFonts w:ascii="Times New Roman" w:cs="Times New Roman" w:eastAsia="Times New Roman" w:hAnsi="Times New Roman"/>
                <w:sz w:val="20"/>
                <w:szCs w:val="20"/>
                <w:color w:val="auto"/>
              </w:rPr>
              <w:t>Other postretirement benefits</w:t>
            </w:r>
          </w:p>
        </w:tc>
      </w:tr>
      <w:tr>
        <w:trPr>
          <w:trHeight w:val="239"/>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0" w:type="dxa"/>
            <w:vAlign w:val="bottom"/>
          </w:tcPr>
          <w:p>
            <w:pPr>
              <w:spacing w:after="0"/>
              <w:rPr>
                <w:sz w:val="20"/>
                <w:szCs w:val="20"/>
                <w:color w:val="auto"/>
              </w:rPr>
            </w:pPr>
          </w:p>
        </w:tc>
        <w:tc>
          <w:tcPr>
            <w:tcW w:w="100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2023</w:t>
            </w:r>
          </w:p>
        </w:tc>
        <w:tc>
          <w:tcPr>
            <w:tcW w:w="200" w:type="dxa"/>
            <w:vAlign w:val="bottom"/>
            <w:tcBorders>
              <w:top w:val="single" w:sz="8" w:color="auto"/>
              <w:bottom w:val="single" w:sz="8" w:color="auto"/>
            </w:tcBorders>
          </w:tcPr>
          <w:p>
            <w:pPr>
              <w:spacing w:after="0"/>
              <w:rPr>
                <w:sz w:val="20"/>
                <w:szCs w:val="20"/>
                <w:color w:val="auto"/>
              </w:rPr>
            </w:pPr>
          </w:p>
        </w:tc>
      </w:tr>
      <w:tr>
        <w:trPr>
          <w:trHeight w:val="239"/>
        </w:trPr>
        <w:tc>
          <w:tcPr>
            <w:tcW w:w="3940" w:type="dxa"/>
            <w:vAlign w:val="bottom"/>
            <w:shd w:val="clear" w:color="auto" w:fill="D4EFF4"/>
          </w:tcPr>
          <w:p>
            <w:pPr>
              <w:spacing w:after="0" w:line="239" w:lineRule="exact"/>
              <w:rPr>
                <w:sz w:val="20"/>
                <w:szCs w:val="20"/>
                <w:color w:val="auto"/>
              </w:rPr>
            </w:pPr>
            <w:r>
              <w:rPr>
                <w:rFonts w:ascii="Times New Roman" w:cs="Times New Roman" w:eastAsia="Times New Roman" w:hAnsi="Times New Roman"/>
                <w:sz w:val="20"/>
                <w:szCs w:val="20"/>
                <w:color w:val="auto"/>
              </w:rPr>
              <w:t>Service cost</w:t>
            </w:r>
            <w:r>
              <w:rPr>
                <w:rFonts w:ascii="Times New Roman" w:cs="Times New Roman" w:eastAsia="Times New Roman" w:hAnsi="Times New Roman"/>
                <w:sz w:val="25"/>
                <w:szCs w:val="25"/>
                <w:color w:val="auto"/>
                <w:vertAlign w:val="superscript"/>
              </w:rPr>
              <w:t>(a)</w:t>
            </w:r>
          </w:p>
        </w:tc>
        <w:tc>
          <w:tcPr>
            <w:tcW w:w="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D4EFF4"/>
          </w:tcPr>
          <w:p>
            <w:pPr>
              <w:jc w:val="right"/>
              <w:ind w:right="120"/>
              <w:spacing w:after="0"/>
              <w:rPr>
                <w:sz w:val="20"/>
                <w:szCs w:val="20"/>
                <w:color w:val="auto"/>
              </w:rPr>
            </w:pPr>
            <w:r>
              <w:rPr>
                <w:rFonts w:ascii="Times New Roman" w:cs="Times New Roman" w:eastAsia="Times New Roman" w:hAnsi="Times New Roman"/>
                <w:sz w:val="20"/>
                <w:szCs w:val="20"/>
                <w:color w:val="auto"/>
              </w:rPr>
              <w:t>3</w:t>
            </w:r>
          </w:p>
        </w:tc>
        <w:tc>
          <w:tcPr>
            <w:tcW w:w="32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3</w:t>
            </w:r>
          </w:p>
        </w:tc>
        <w:tc>
          <w:tcPr>
            <w:tcW w:w="30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3</w:t>
            </w:r>
          </w:p>
        </w:tc>
        <w:tc>
          <w:tcPr>
            <w:tcW w:w="30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c>
          <w:tcPr>
            <w:tcW w:w="26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shd w:val="clear" w:color="auto" w:fill="D4EFF4"/>
          </w:tcPr>
          <w:p>
            <w:pPr>
              <w:spacing w:after="0"/>
              <w:rPr>
                <w:sz w:val="20"/>
                <w:szCs w:val="20"/>
                <w:color w:val="auto"/>
              </w:rPr>
            </w:pPr>
          </w:p>
        </w:tc>
      </w:tr>
      <w:tr>
        <w:trPr>
          <w:trHeight w:val="244"/>
        </w:trPr>
        <w:tc>
          <w:tcPr>
            <w:tcW w:w="394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Interest cost</w:t>
            </w:r>
            <w:r>
              <w:rPr>
                <w:rFonts w:ascii="Times New Roman" w:cs="Times New Roman" w:eastAsia="Times New Roman" w:hAnsi="Times New Roman"/>
                <w:sz w:val="25"/>
                <w:szCs w:val="25"/>
                <w:color w:val="auto"/>
                <w:vertAlign w:val="superscript"/>
              </w:rPr>
              <w:t>(b)</w:t>
            </w:r>
          </w:p>
        </w:tc>
        <w:tc>
          <w:tcPr>
            <w:tcW w:w="200" w:type="dxa"/>
            <w:vAlign w:val="bottom"/>
          </w:tcPr>
          <w:p>
            <w:pPr>
              <w:spacing w:after="0"/>
              <w:rPr>
                <w:sz w:val="21"/>
                <w:szCs w:val="21"/>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21"/>
                <w:szCs w:val="21"/>
                <w:color w:val="auto"/>
              </w:rPr>
            </w:pPr>
          </w:p>
        </w:tc>
      </w:tr>
      <w:tr>
        <w:trPr>
          <w:trHeight w:val="244"/>
        </w:trPr>
        <w:tc>
          <w:tcPr>
            <w:tcW w:w="3940" w:type="dxa"/>
            <w:vAlign w:val="bottom"/>
            <w:shd w:val="clear" w:color="auto" w:fill="D4EFF4"/>
          </w:tcPr>
          <w:p>
            <w:pPr>
              <w:spacing w:after="0" w:line="244" w:lineRule="exact"/>
              <w:rPr>
                <w:sz w:val="20"/>
                <w:szCs w:val="20"/>
                <w:color w:val="auto"/>
              </w:rPr>
            </w:pPr>
            <w:r>
              <w:rPr>
                <w:rFonts w:ascii="Times New Roman" w:cs="Times New Roman" w:eastAsia="Times New Roman" w:hAnsi="Times New Roman"/>
                <w:sz w:val="20"/>
                <w:szCs w:val="20"/>
                <w:color w:val="auto"/>
              </w:rPr>
              <w:t>Expected return on plan assets</w:t>
            </w:r>
            <w:r>
              <w:rPr>
                <w:rFonts w:ascii="Times New Roman" w:cs="Times New Roman" w:eastAsia="Times New Roman" w:hAnsi="Times New Roman"/>
                <w:sz w:val="25"/>
                <w:szCs w:val="25"/>
                <w:color w:val="auto"/>
                <w:vertAlign w:val="superscript"/>
              </w:rPr>
              <w:t>(b)</w:t>
            </w:r>
          </w:p>
        </w:tc>
        <w:tc>
          <w:tcPr>
            <w:tcW w:w="200" w:type="dxa"/>
            <w:vAlign w:val="bottom"/>
            <w:shd w:val="clear" w:color="auto" w:fill="D4EFF4"/>
          </w:tcPr>
          <w:p>
            <w:pPr>
              <w:spacing w:after="0"/>
              <w:rPr>
                <w:sz w:val="21"/>
                <w:szCs w:val="21"/>
                <w:color w:val="auto"/>
              </w:rPr>
            </w:pPr>
          </w:p>
        </w:tc>
        <w:tc>
          <w:tcPr>
            <w:tcW w:w="100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860" w:type="dxa"/>
            <w:vAlign w:val="bottom"/>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860" w:type="dxa"/>
            <w:vAlign w:val="bottom"/>
            <w:gridSpan w:val="2"/>
            <w:shd w:val="clear" w:color="auto" w:fill="D4EFF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940" w:type="dxa"/>
            <w:vAlign w:val="bottom"/>
            <w:tcBorders>
              <w:bottom w:val="single" w:sz="8" w:color="D4EFF4"/>
            </w:tcBorders>
          </w:tcPr>
          <w:p>
            <w:pPr>
              <w:spacing w:after="0" w:line="244" w:lineRule="exact"/>
              <w:rPr>
                <w:sz w:val="20"/>
                <w:szCs w:val="20"/>
                <w:color w:val="auto"/>
              </w:rPr>
            </w:pPr>
            <w:r>
              <w:rPr>
                <w:rFonts w:ascii="Times New Roman" w:cs="Times New Roman" w:eastAsia="Times New Roman" w:hAnsi="Times New Roman"/>
                <w:sz w:val="20"/>
                <w:szCs w:val="20"/>
                <w:color w:val="auto"/>
              </w:rPr>
              <w:t>Actuarial (gain) loss</w:t>
            </w:r>
            <w:r>
              <w:rPr>
                <w:rFonts w:ascii="Times New Roman" w:cs="Times New Roman" w:eastAsia="Times New Roman" w:hAnsi="Times New Roman"/>
                <w:sz w:val="25"/>
                <w:szCs w:val="25"/>
                <w:color w:val="auto"/>
                <w:vertAlign w:val="superscript"/>
              </w:rPr>
              <w:t>(b)</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Borders>
              <w:bottom w:val="single" w:sz="8" w:color="D4EFF4"/>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Borders>
              <w:bottom w:val="single" w:sz="8" w:color="D4EFF4"/>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4EFF4"/>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D4EFF4"/>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Borders>
              <w:bottom w:val="single" w:sz="8" w:color="D4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w:t>
            </w:r>
          </w:p>
        </w:tc>
      </w:tr>
      <w:tr>
        <w:trPr>
          <w:trHeight w:val="259"/>
        </w:trPr>
        <w:tc>
          <w:tcPr>
            <w:tcW w:w="3940" w:type="dxa"/>
            <w:vAlign w:val="bottom"/>
            <w:tcBorders>
              <w:bottom w:val="single" w:sz="8" w:color="D4EFF4"/>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D4EFF4"/>
          </w:tcPr>
          <w:p>
            <w:pPr>
              <w:jc w:val="right"/>
              <w:ind w:right="120"/>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Borders>
              <w:bottom w:val="single" w:sz="8" w:color="D4EFF4"/>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20</w:t>
            </w:r>
          </w:p>
        </w:tc>
        <w:tc>
          <w:tcPr>
            <w:tcW w:w="100" w:type="dxa"/>
            <w:vAlign w:val="bottom"/>
            <w:tcBorders>
              <w:bottom w:val="single" w:sz="8" w:color="D4EFF4"/>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Borders>
              <w:bottom w:val="single" w:sz="8" w:color="D4EFF4"/>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4EFF4"/>
            </w:tcBorders>
            <w:shd w:val="clear" w:color="auto" w:fill="D4EFF4"/>
          </w:tcPr>
          <w:p>
            <w:pPr>
              <w:spacing w:after="0"/>
              <w:rPr>
                <w:sz w:val="22"/>
                <w:szCs w:val="22"/>
                <w:color w:val="auto"/>
              </w:rPr>
            </w:pPr>
          </w:p>
        </w:tc>
        <w:tc>
          <w:tcPr>
            <w:tcW w:w="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Borders>
              <w:bottom w:val="single" w:sz="8" w:color="D4EFF4"/>
            </w:tcBorders>
            <w:shd w:val="clear" w:color="auto" w:fill="D4EFF4"/>
          </w:tcPr>
          <w:p>
            <w:pPr>
              <w:spacing w:after="0"/>
              <w:rPr>
                <w:sz w:val="22"/>
                <w:szCs w:val="22"/>
                <w:color w:val="auto"/>
              </w:rPr>
            </w:pPr>
          </w:p>
        </w:tc>
        <w:tc>
          <w:tcPr>
            <w:tcW w:w="1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Borders>
              <w:bottom w:val="single" w:sz="8" w:color="auto"/>
            </w:tcBorders>
            <w:shd w:val="clear" w:color="auto" w:fill="D4EFF4"/>
          </w:tcPr>
          <w:p>
            <w:pPr>
              <w:spacing w:after="0"/>
              <w:rPr>
                <w:sz w:val="22"/>
                <w:szCs w:val="22"/>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9"/>
        </w:trPr>
        <w:tc>
          <w:tcPr>
            <w:tcW w:w="3940" w:type="dxa"/>
            <w:vAlign w:val="bottom"/>
          </w:tcPr>
          <w:p>
            <w:pPr>
              <w:spacing w:after="0" w:line="209" w:lineRule="exact"/>
              <w:rPr>
                <w:sz w:val="20"/>
                <w:szCs w:val="20"/>
                <w:color w:val="auto"/>
              </w:rPr>
            </w:pPr>
            <w:r>
              <w:rPr>
                <w:rFonts w:ascii="Times New Roman" w:cs="Times New Roman" w:eastAsia="Times New Roman" w:hAnsi="Times New Roman"/>
                <w:sz w:val="19"/>
                <w:szCs w:val="19"/>
                <w:b w:val="1"/>
                <w:bCs w:val="1"/>
                <w:color w:val="auto"/>
              </w:rPr>
              <w:t>Weighted-average plan assumptions</w:t>
            </w:r>
            <w:r>
              <w:rPr>
                <w:rFonts w:ascii="Times New Roman" w:cs="Times New Roman" w:eastAsia="Times New Roman" w:hAnsi="Times New Roman"/>
                <w:sz w:val="24"/>
                <w:szCs w:val="24"/>
                <w:b w:val="1"/>
                <w:bCs w:val="1"/>
                <w:color w:val="auto"/>
                <w:vertAlign w:val="superscript"/>
              </w:rPr>
              <w:t>(c)</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39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Discount rate for service cost</w:t>
            </w:r>
          </w:p>
        </w:tc>
        <w:tc>
          <w:tcPr>
            <w:tcW w:w="2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1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10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10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10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8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1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860" w:type="dxa"/>
            <w:vAlign w:val="bottom"/>
            <w:gridSpan w:val="2"/>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5.80%</w:t>
            </w:r>
          </w:p>
        </w:tc>
      </w:tr>
      <w:tr>
        <w:trPr>
          <w:trHeight w:val="244"/>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for interest cost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5.54%</w:t>
            </w:r>
          </w:p>
        </w:tc>
      </w:tr>
      <w:tr>
        <w:trPr>
          <w:trHeight w:val="244"/>
        </w:trPr>
        <w:tc>
          <w:tcPr>
            <w:tcW w:w="39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Rate of compensation increase</w:t>
            </w:r>
          </w:p>
        </w:tc>
        <w:tc>
          <w:tcPr>
            <w:tcW w:w="2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1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0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0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86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66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r>
      <w:tr>
        <w:trPr>
          <w:trHeight w:val="224"/>
        </w:trPr>
        <w:tc>
          <w:tcPr>
            <w:tcW w:w="39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Expected long-term rate of return on plan</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66"/>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-1931670</wp:posOffset>
            </wp:positionV>
            <wp:extent cx="4621530"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19">
                      <a:extLst>
                        <a:ext uri="{28A0092B-C50C-407E-A947-70E740481C1C}"/>
                      </a:extLst>
                    </a:blip>
                    <a:srcRect/>
                    <a:stretch>
                      <a:fillRect/>
                    </a:stretch>
                  </pic:blipFill>
                  <pic:spPr bwMode="auto">
                    <a:xfrm>
                      <a:off x="0" y="0"/>
                      <a:ext cx="462153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-1767205</wp:posOffset>
            </wp:positionV>
            <wp:extent cx="7127240"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20">
                      <a:extLst>
                        <a:ext uri="{28A0092B-C50C-407E-A947-70E740481C1C}"/>
                      </a:extLst>
                    </a:blip>
                    <a:srcRect/>
                    <a:stretch>
                      <a:fillRect/>
                    </a:stretch>
                  </pic:blipFill>
                  <pic:spPr bwMode="auto">
                    <a:xfrm>
                      <a:off x="0" y="0"/>
                      <a:ext cx="712724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27940</wp:posOffset>
            </wp:positionV>
            <wp:extent cx="7242810"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21">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86" w:lineRule="exact"/>
        <w:rPr>
          <w:sz w:val="20"/>
          <w:szCs w:val="20"/>
          <w:color w:val="auto"/>
        </w:rPr>
      </w:pPr>
    </w:p>
    <w:p>
      <w:pPr>
        <w:ind w:left="568" w:hanging="568"/>
        <w:spacing w:after="0" w:line="266" w:lineRule="auto"/>
        <w:tabs>
          <w:tab w:leader="none" w:pos="56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cost is classified within the selling, general and administrative expense and cost of sales captions on the Statements of Consolidated Comprehensive Income (Loss).</w:t>
      </w:r>
    </w:p>
    <w:p>
      <w:pPr>
        <w:jc w:val="both"/>
        <w:ind w:left="568" w:hanging="568"/>
        <w:spacing w:after="0" w:line="252" w:lineRule="auto"/>
        <w:tabs>
          <w:tab w:leader="none" w:pos="56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components are classified within the other net periodic benefit loss caption on the Statements of Consolidated Comprehensive Income (Loss). Actuarial (gain) loss includes net actuarial gains and losses as well as the change in the fair value of plan assets recognized in the fourth quarter. The change in the fair value of plan assets recognized in the fourth quarter was a loss of $15 million, gain of $12 million and a loss of $9 million for the years ended September 30, 2025, 2024 and 2023, respectively.</w:t>
      </w:r>
    </w:p>
    <w:p>
      <w:pPr>
        <w:spacing w:after="0" w:line="3"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assumptions discussed are a blended weighted-average rate for Ashland’s U.S. and non-U.S. plans.</w:t>
      </w:r>
    </w:p>
    <w:p>
      <w:pPr>
        <w:spacing w:after="0" w:line="116"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The changes in prior service credit recognized in accumulated other comprehensive loss during the years ended September 30, 2025 and 2024 were less than $1 million each. At September 30, 2025, Ashland expects to recognize less than $1 million of the prior service credit in accumulated other comprehensive loss as net periodic benefit loss during the next fiscal year.</w:t>
      </w:r>
    </w:p>
    <w:p>
      <w:pPr>
        <w:spacing w:after="0" w:line="6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The amounts included in accumulated other comprehensive loss at September 30,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2058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22">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31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rPr>
              <w:t>Pension</w:t>
            </w:r>
          </w:p>
        </w:tc>
        <w:tc>
          <w:tcPr>
            <w:tcW w:w="5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Postretirement</w:t>
            </w:r>
          </w:p>
        </w:tc>
        <w:tc>
          <w:tcPr>
            <w:tcW w:w="920" w:type="dxa"/>
            <w:vAlign w:val="bottom"/>
            <w:tcBorders>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r>
      <w:tr>
        <w:trPr>
          <w:trHeight w:val="225"/>
        </w:trPr>
        <w:tc>
          <w:tcPr>
            <w:tcW w:w="31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(In millions)</w:t>
            </w:r>
          </w:p>
        </w:tc>
        <w:tc>
          <w:tcPr>
            <w:tcW w:w="2840" w:type="dxa"/>
            <w:vAlign w:val="bottom"/>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2025</w:t>
            </w:r>
          </w:p>
        </w:tc>
        <w:tc>
          <w:tcPr>
            <w:tcW w:w="480" w:type="dxa"/>
            <w:vAlign w:val="bottom"/>
          </w:tcPr>
          <w:p>
            <w:pPr>
              <w:spacing w:after="0"/>
              <w:rPr>
                <w:sz w:val="19"/>
                <w:szCs w:val="19"/>
                <w:color w:val="auto"/>
              </w:rPr>
            </w:pPr>
          </w:p>
        </w:tc>
        <w:tc>
          <w:tcPr>
            <w:tcW w:w="1220" w:type="dxa"/>
            <w:vAlign w:val="bottom"/>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2024</w:t>
            </w:r>
          </w:p>
        </w:tc>
        <w:tc>
          <w:tcPr>
            <w:tcW w:w="540" w:type="dxa"/>
            <w:vAlign w:val="bottom"/>
          </w:tcPr>
          <w:p>
            <w:pPr>
              <w:spacing w:after="0"/>
              <w:rPr>
                <w:sz w:val="19"/>
                <w:szCs w:val="19"/>
                <w:color w:val="auto"/>
              </w:rPr>
            </w:pP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2025</w:t>
            </w:r>
          </w:p>
        </w:tc>
        <w:tc>
          <w:tcPr>
            <w:tcW w:w="1220" w:type="dxa"/>
            <w:vAlign w:val="bottom"/>
          </w:tcPr>
          <w:p>
            <w:pPr>
              <w:spacing w:after="0"/>
              <w:rPr>
                <w:sz w:val="19"/>
                <w:szCs w:val="19"/>
                <w:color w:val="auto"/>
              </w:rPr>
            </w:pPr>
          </w:p>
        </w:tc>
        <w:tc>
          <w:tcPr>
            <w:tcW w:w="920" w:type="dxa"/>
            <w:vAlign w:val="bottom"/>
          </w:tcPr>
          <w:p>
            <w:pPr>
              <w:jc w:val="right"/>
              <w:ind w:right="400"/>
              <w:spacing w:after="0" w:line="225"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Borders>
              <w:bottom w:val="single" w:sz="8" w:color="auto"/>
            </w:tcBorders>
          </w:tcPr>
          <w:p>
            <w:pPr>
              <w:spacing w:after="0"/>
              <w:rPr>
                <w:sz w:val="19"/>
                <w:szCs w:val="19"/>
                <w:color w:val="auto"/>
              </w:rPr>
            </w:pPr>
          </w:p>
        </w:tc>
      </w:tr>
      <w:tr>
        <w:trPr>
          <w:trHeight w:val="225"/>
        </w:trPr>
        <w:tc>
          <w:tcPr>
            <w:tcW w:w="314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Prior service cost</w:t>
            </w:r>
          </w:p>
        </w:tc>
        <w:tc>
          <w:tcPr>
            <w:tcW w:w="2840" w:type="dxa"/>
            <w:vAlign w:val="bottom"/>
            <w:shd w:val="clear" w:color="auto" w:fill="D4EFF4"/>
          </w:tcPr>
          <w:p>
            <w:pPr>
              <w:jc w:val="right"/>
              <w:ind w:right="8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w:t>
            </w:r>
          </w:p>
        </w:tc>
        <w:tc>
          <w:tcPr>
            <w:tcW w:w="1220" w:type="dxa"/>
            <w:vAlign w:val="bottom"/>
            <w:shd w:val="clear" w:color="auto" w:fill="D4EFF4"/>
          </w:tcPr>
          <w:p>
            <w:pPr>
              <w:jc w:val="right"/>
              <w:ind w:right="9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D4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2</w:t>
            </w:r>
          </w:p>
        </w:tc>
        <w:tc>
          <w:tcPr>
            <w:tcW w:w="940" w:type="dxa"/>
            <w:vAlign w:val="bottom"/>
            <w:shd w:val="clear" w:color="auto" w:fill="D4EFF4"/>
          </w:tcPr>
          <w:p>
            <w:pPr>
              <w:jc w:val="right"/>
              <w:ind w:right="7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D4EFF4"/>
          </w:tcPr>
          <w:p>
            <w:pPr>
              <w:ind w:left="280"/>
              <w:spacing w:after="0" w:line="225" w:lineRule="exact"/>
              <w:rPr>
                <w:sz w:val="20"/>
                <w:szCs w:val="20"/>
                <w:color w:val="auto"/>
              </w:rPr>
            </w:pPr>
            <w:r>
              <w:rPr>
                <w:rFonts w:ascii="Times New Roman" w:cs="Times New Roman" w:eastAsia="Times New Roman" w:hAnsi="Times New Roman"/>
                <w:sz w:val="20"/>
                <w:szCs w:val="20"/>
                <w:color w:val="auto"/>
              </w:rPr>
              <w:t>—   $</w:t>
            </w:r>
          </w:p>
        </w:tc>
        <w:tc>
          <w:tcPr>
            <w:tcW w:w="980" w:type="dxa"/>
            <w:vAlign w:val="bottom"/>
            <w:gridSpan w:val="2"/>
            <w:shd w:val="clear" w:color="auto" w:fill="D4EFF4"/>
          </w:tcPr>
          <w:p>
            <w:pPr>
              <w:ind w:left="720"/>
              <w:spacing w:after="0" w:line="225" w:lineRule="exact"/>
              <w:rPr>
                <w:sz w:val="20"/>
                <w:szCs w:val="20"/>
                <w:color w:val="auto"/>
              </w:rPr>
            </w:pPr>
            <w:r>
              <w:rPr>
                <w:rFonts w:ascii="Times New Roman" w:cs="Times New Roman" w:eastAsia="Times New Roman" w:hAnsi="Times New Roman"/>
                <w:sz w:val="20"/>
                <w:szCs w:val="20"/>
                <w:color w:val="auto"/>
              </w:rPr>
              <w:t>—</w:t>
            </w:r>
          </w:p>
        </w:tc>
      </w:tr>
      <w:tr>
        <w:trPr>
          <w:trHeight w:val="69"/>
        </w:trPr>
        <w:tc>
          <w:tcPr>
            <w:tcW w:w="31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-377825</wp:posOffset>
            </wp:positionV>
            <wp:extent cx="2063750"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23">
                      <a:extLst>
                        <a:ext uri="{28A0092B-C50C-407E-A947-70E740481C1C}"/>
                      </a:extLst>
                    </a:blip>
                    <a:srcRect/>
                    <a:stretch>
                      <a:fillRect/>
                    </a:stretch>
                  </pic:blipFill>
                  <pic:spPr bwMode="auto">
                    <a:xfrm>
                      <a:off x="0" y="0"/>
                      <a:ext cx="20637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-222250</wp:posOffset>
            </wp:positionV>
            <wp:extent cx="722058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24">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-52705</wp:posOffset>
            </wp:positionV>
            <wp:extent cx="7242810" cy="673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25">
                      <a:extLst>
                        <a:ext uri="{28A0092B-C50C-407E-A947-70E740481C1C}"/>
                      </a:extLst>
                    </a:blip>
                    <a:srcRect/>
                    <a:stretch>
                      <a:fillRect/>
                    </a:stretch>
                  </pic:blipFill>
                  <pic:spPr bwMode="auto">
                    <a:xfrm>
                      <a:off x="0" y="0"/>
                      <a:ext cx="7242810" cy="67310"/>
                    </a:xfrm>
                    <a:prstGeom prst="rect">
                      <a:avLst/>
                    </a:prstGeom>
                    <a:noFill/>
                  </pic:spPr>
                </pic:pic>
              </a:graphicData>
            </a:graphic>
          </wp:anchor>
        </w:drawing>
      </w:r>
    </w:p>
    <w:p>
      <w:pPr>
        <w:sectPr>
          <w:pgSz w:w="12240" w:h="15840" w:orient="portrait"/>
          <w:cols w:equalWidth="0" w:num="1">
            <w:col w:w="11368"/>
          </w:cols>
          <w:pgMar w:left="432" w:top="926"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11368"/>
          </w:cols>
          <w:pgMar w:left="432" w:top="926" w:right="440" w:bottom="186"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auto"/>
        </w:rPr>
        <w:t>Obligations and funded status</w:t>
      </w:r>
    </w:p>
    <w:p>
      <w:pPr>
        <w:spacing w:after="0" w:line="170" w:lineRule="exact"/>
        <w:rPr>
          <w:sz w:val="20"/>
          <w:szCs w:val="20"/>
          <w:color w:val="auto"/>
        </w:rPr>
      </w:pPr>
    </w:p>
    <w:p>
      <w:pPr>
        <w:jc w:val="both"/>
        <w:ind w:right="20" w:firstLine="360"/>
        <w:spacing w:after="0" w:line="300" w:lineRule="auto"/>
        <w:rPr>
          <w:sz w:val="20"/>
          <w:szCs w:val="20"/>
          <w:color w:val="auto"/>
        </w:rPr>
      </w:pPr>
      <w:r>
        <w:rPr>
          <w:rFonts w:ascii="Times New Roman" w:cs="Times New Roman" w:eastAsia="Times New Roman" w:hAnsi="Times New Roman"/>
          <w:sz w:val="20"/>
          <w:szCs w:val="20"/>
          <w:color w:val="auto"/>
        </w:rPr>
        <w:t>Actuarial valuations are performed for the pension and other postretirement benefit plans to determine Ashland’s obligation for each plan. In accordance with U.S. GAAP, Ashland recognizes the status of the plans in the Consolidated Balance Sheets. Ashland maintains a defined benefits plan in the U.K. that is overfunded by $12 million, all of which is recorded in the other noncurrent assets caption of the Consolidated Balance Sheets.</w:t>
      </w:r>
    </w:p>
    <w:p>
      <w:pPr>
        <w:spacing w:after="0" w:line="74" w:lineRule="exact"/>
        <w:rPr>
          <w:sz w:val="20"/>
          <w:szCs w:val="20"/>
          <w:color w:val="auto"/>
        </w:rPr>
      </w:pPr>
    </w:p>
    <w:p>
      <w:pPr>
        <w:jc w:val="both"/>
        <w:ind w:right="20" w:firstLine="410"/>
        <w:spacing w:after="0" w:line="325" w:lineRule="auto"/>
        <w:rPr>
          <w:sz w:val="20"/>
          <w:szCs w:val="20"/>
          <w:color w:val="auto"/>
        </w:rPr>
      </w:pPr>
      <w:r>
        <w:rPr>
          <w:rFonts w:ascii="Times New Roman" w:cs="Times New Roman" w:eastAsia="Times New Roman" w:hAnsi="Times New Roman"/>
          <w:sz w:val="20"/>
          <w:szCs w:val="20"/>
          <w:color w:val="auto"/>
        </w:rPr>
        <w:t>Summaries of the change in benefit obligations, plan assets, funded status of the plans, amounts recognized in the Consolidated Balance Sheets, and assumptions used to determine the benefit obligations at September 30,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29210</wp:posOffset>
            </wp:positionV>
            <wp:extent cx="7242810"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426">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ectPr>
          <w:pgSz w:w="12240" w:h="15840" w:orient="portrait"/>
          <w:cols w:equalWidth="0" w:num="1">
            <w:col w:w="11380"/>
          </w:cols>
          <w:pgMar w:left="440" w:top="926" w:right="420" w:bottom="186"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millions)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benefit obligations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obligations at October 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 loss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Curtailments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exchange rate changes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Settlements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obligations at September 30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89"/>
        </w:trPr>
        <w:tc>
          <w:tcPr>
            <w:tcW w:w="49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Change in plan assets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Value of plan assets at October 1</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Actual (loss) return on plan assets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Employer contributions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exchange rate changes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Settlements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Value of plan assets at September 30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89"/>
        </w:trPr>
        <w:tc>
          <w:tcPr>
            <w:tcW w:w="4940" w:type="dxa"/>
            <w:vAlign w:val="bottom"/>
            <w:shd w:val="clear" w:color="auto" w:fill="D4EFF4"/>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Net unfunded status of the plans</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4940" w:type="dxa"/>
            <w:vAlign w:val="bottom"/>
            <w:shd w:val="clear" w:color="auto" w:fill="D4EFF4"/>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Amounts recognized in the Consolidated Balance Sheets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Employee benefit obligations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Net amount recognized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289"/>
        </w:trPr>
        <w:tc>
          <w:tcPr>
            <w:tcW w:w="4940" w:type="dxa"/>
            <w:vAlign w:val="bottom"/>
            <w:shd w:val="clear" w:color="auto" w:fill="D4EFF4"/>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Weighted-average plan assumptions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Rate of compensation increase</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gridSpan w:val="8"/>
          </w:tcPr>
          <w:p>
            <w:pPr>
              <w:ind w:left="360"/>
              <w:spacing w:after="0"/>
              <w:rPr>
                <w:sz w:val="20"/>
                <w:szCs w:val="20"/>
                <w:color w:val="auto"/>
              </w:rPr>
            </w:pPr>
            <w:r>
              <w:rPr>
                <w:rFonts w:ascii="Times New Roman" w:cs="Times New Roman" w:eastAsia="Times New Roman" w:hAnsi="Times New Roman"/>
                <w:sz w:val="20"/>
                <w:szCs w:val="20"/>
                <w:color w:val="auto"/>
              </w:rPr>
              <w:t>Other postretirement</w:t>
            </w:r>
          </w:p>
        </w:tc>
        <w:tc>
          <w:tcPr>
            <w:tcW w:w="0" w:type="dxa"/>
            <w:vAlign w:val="bottom"/>
          </w:tcPr>
          <w:p>
            <w:pPr>
              <w:spacing w:after="0"/>
              <w:rPr>
                <w:sz w:val="1"/>
                <w:szCs w:val="1"/>
                <w:color w:val="auto"/>
              </w:rPr>
            </w:pPr>
          </w:p>
        </w:tc>
      </w:tr>
      <w:tr>
        <w:trPr>
          <w:trHeight w:val="249"/>
        </w:trPr>
        <w:tc>
          <w:tcPr>
            <w:tcW w:w="2080" w:type="dxa"/>
            <w:vAlign w:val="bottom"/>
            <w:gridSpan w:val="5"/>
          </w:tcPr>
          <w:p>
            <w:pPr>
              <w:jc w:val="right"/>
              <w:ind w:right="445"/>
              <w:spacing w:after="0"/>
              <w:rPr>
                <w:sz w:val="20"/>
                <w:szCs w:val="20"/>
                <w:color w:val="auto"/>
              </w:rPr>
            </w:pPr>
            <w:r>
              <w:rPr>
                <w:rFonts w:ascii="Times New Roman" w:cs="Times New Roman" w:eastAsia="Times New Roman" w:hAnsi="Times New Roman"/>
                <w:sz w:val="20"/>
                <w:szCs w:val="20"/>
                <w:color w:val="auto"/>
              </w:rPr>
              <w:t>Pension plans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benefit plans</w:t>
            </w: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w w:val="94"/>
              </w:rPr>
              <w:t>2025</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290</w:t>
            </w:r>
          </w:p>
        </w:tc>
        <w:tc>
          <w:tcPr>
            <w:tcW w:w="1000" w:type="dxa"/>
            <w:vAlign w:val="bottom"/>
            <w:gridSpan w:val="4"/>
          </w:tcPr>
          <w:p>
            <w:pPr>
              <w:jc w:val="right"/>
              <w:ind w:right="725"/>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255</w:t>
            </w:r>
          </w:p>
        </w:tc>
        <w:tc>
          <w:tcPr>
            <w:tcW w:w="400" w:type="dxa"/>
            <w:vAlign w:val="bottom"/>
            <w:gridSpan w:val="4"/>
          </w:tcPr>
          <w:p>
            <w:pPr>
              <w:jc w:val="right"/>
              <w:ind w:right="125"/>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38</w:t>
            </w:r>
          </w:p>
        </w:tc>
        <w:tc>
          <w:tcPr>
            <w:tcW w:w="500" w:type="dxa"/>
            <w:vAlign w:val="bottom"/>
            <w:gridSpan w:val="4"/>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276</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gridSpan w:val="2"/>
          </w:tcPr>
          <w:p>
            <w:pPr>
              <w:jc w:val="right"/>
              <w:ind w:right="72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290</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234</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40" w:type="dxa"/>
            <w:vAlign w:val="bottom"/>
            <w:shd w:val="clear" w:color="auto" w:fill="D4EFF4"/>
          </w:tcPr>
          <w:p>
            <w:pPr>
              <w:spacing w:after="0"/>
              <w:rPr>
                <w:sz w:val="19"/>
                <w:szCs w:val="19"/>
                <w:color w:val="auto"/>
              </w:rPr>
            </w:pPr>
          </w:p>
        </w:tc>
        <w:tc>
          <w:tcPr>
            <w:tcW w:w="6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12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340" w:type="dxa"/>
            <w:vAlign w:val="bottom"/>
            <w:shd w:val="clear" w:color="auto" w:fill="D4EFF4"/>
          </w:tcPr>
          <w:p>
            <w:pPr>
              <w:spacing w:after="0"/>
              <w:rPr>
                <w:sz w:val="19"/>
                <w:szCs w:val="19"/>
                <w:color w:val="auto"/>
              </w:rPr>
            </w:pPr>
          </w:p>
        </w:tc>
        <w:tc>
          <w:tcPr>
            <w:tcW w:w="92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225</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gridSpan w:val="2"/>
          </w:tcPr>
          <w:p>
            <w:pPr>
              <w:jc w:val="right"/>
              <w:ind w:right="72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234</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(51)</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40" w:type="dxa"/>
            <w:vAlign w:val="bottom"/>
            <w:shd w:val="clear" w:color="auto" w:fill="D4EFF4"/>
          </w:tcPr>
          <w:p>
            <w:pPr>
              <w:spacing w:after="0"/>
              <w:rPr>
                <w:sz w:val="19"/>
                <w:szCs w:val="19"/>
                <w:color w:val="auto"/>
              </w:rPr>
            </w:pPr>
          </w:p>
        </w:tc>
        <w:tc>
          <w:tcPr>
            <w:tcW w:w="6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12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340" w:type="dxa"/>
            <w:vAlign w:val="bottom"/>
            <w:shd w:val="clear" w:color="auto" w:fill="D4EFF4"/>
          </w:tcPr>
          <w:p>
            <w:pPr>
              <w:spacing w:after="0"/>
              <w:rPr>
                <w:sz w:val="19"/>
                <w:szCs w:val="19"/>
                <w:color w:val="auto"/>
              </w:rPr>
            </w:pPr>
          </w:p>
        </w:tc>
        <w:tc>
          <w:tcPr>
            <w:tcW w:w="92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080" w:type="dxa"/>
            <w:vAlign w:val="bottom"/>
            <w:vMerge w:val="continue"/>
          </w:tcPr>
          <w:p>
            <w:pPr>
              <w:spacing w:after="0"/>
              <w:rPr>
                <w:sz w:val="24"/>
                <w:szCs w:val="24"/>
                <w:color w:val="auto"/>
              </w:rPr>
            </w:pP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(56)</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40" w:type="dxa"/>
            <w:vAlign w:val="bottom"/>
            <w:shd w:val="clear" w:color="auto" w:fill="D4EFF4"/>
          </w:tcPr>
          <w:p>
            <w:pPr>
              <w:spacing w:after="0"/>
              <w:rPr>
                <w:sz w:val="19"/>
                <w:szCs w:val="19"/>
                <w:color w:val="auto"/>
              </w:rPr>
            </w:pPr>
          </w:p>
        </w:tc>
        <w:tc>
          <w:tcPr>
            <w:tcW w:w="6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12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340" w:type="dxa"/>
            <w:vAlign w:val="bottom"/>
            <w:shd w:val="clear" w:color="auto" w:fill="D4EFF4"/>
          </w:tcPr>
          <w:p>
            <w:pPr>
              <w:spacing w:after="0"/>
              <w:rPr>
                <w:sz w:val="19"/>
                <w:szCs w:val="19"/>
                <w:color w:val="auto"/>
              </w:rPr>
            </w:pPr>
          </w:p>
        </w:tc>
        <w:tc>
          <w:tcPr>
            <w:tcW w:w="92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10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12</w:t>
            </w:r>
          </w:p>
        </w:tc>
        <w:tc>
          <w:tcPr>
            <w:tcW w:w="1000" w:type="dxa"/>
            <w:vAlign w:val="bottom"/>
            <w:gridSpan w:val="4"/>
          </w:tcPr>
          <w:p>
            <w:pPr>
              <w:jc w:val="right"/>
              <w:ind w:right="725"/>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18</w:t>
            </w:r>
          </w:p>
        </w:tc>
        <w:tc>
          <w:tcPr>
            <w:tcW w:w="400" w:type="dxa"/>
            <w:vAlign w:val="bottom"/>
            <w:gridSpan w:val="4"/>
          </w:tcPr>
          <w:p>
            <w:pPr>
              <w:jc w:val="right"/>
              <w:ind w:right="125"/>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4"/>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(51)</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72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(56)</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40" w:type="dxa"/>
            <w:vAlign w:val="bottom"/>
            <w:shd w:val="clear" w:color="auto" w:fill="D4EFF4"/>
          </w:tcPr>
          <w:p>
            <w:pPr>
              <w:spacing w:after="0"/>
              <w:rPr>
                <w:sz w:val="19"/>
                <w:szCs w:val="19"/>
                <w:color w:val="auto"/>
              </w:rPr>
            </w:pPr>
          </w:p>
        </w:tc>
        <w:tc>
          <w:tcPr>
            <w:tcW w:w="6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12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340" w:type="dxa"/>
            <w:vAlign w:val="bottom"/>
            <w:shd w:val="clear" w:color="auto" w:fill="D4EFF4"/>
          </w:tcPr>
          <w:p>
            <w:pPr>
              <w:spacing w:after="0"/>
              <w:rPr>
                <w:sz w:val="19"/>
                <w:szCs w:val="19"/>
                <w:color w:val="auto"/>
              </w:rPr>
            </w:pPr>
          </w:p>
        </w:tc>
        <w:tc>
          <w:tcPr>
            <w:tcW w:w="92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-3420745</wp:posOffset>
                </wp:positionH>
                <wp:positionV relativeFrom="paragraph">
                  <wp:posOffset>-4542790</wp:posOffset>
                </wp:positionV>
                <wp:extent cx="7223125" cy="15494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154940"/>
                        </a:xfrm>
                        <a:prstGeom prst="rect">
                          <a:avLst/>
                        </a:prstGeom>
                        <a:solidFill>
                          <a:srgbClr val="D4EFF4"/>
                        </a:solidFill>
                      </wps:spPr>
                      <wps:bodyPr/>
                    </wps:wsp>
                  </a:graphicData>
                </a:graphic>
              </wp:anchor>
            </w:drawing>
          </mc:Choice>
          <mc:Fallback>
            <w:pict>
              <v:rect id="Shape 499" o:spid="_x0000_s1524" style="position:absolute;margin-left:-269.3499pt;margin-top:-357.6999pt;width:568.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-3420745</wp:posOffset>
                </wp:positionH>
                <wp:positionV relativeFrom="paragraph">
                  <wp:posOffset>-4232910</wp:posOffset>
                </wp:positionV>
                <wp:extent cx="7223125" cy="15494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154940"/>
                        </a:xfrm>
                        <a:prstGeom prst="rect">
                          <a:avLst/>
                        </a:prstGeom>
                        <a:solidFill>
                          <a:srgbClr val="D4EFF4"/>
                        </a:solidFill>
                      </wps:spPr>
                      <wps:bodyPr/>
                    </wps:wsp>
                  </a:graphicData>
                </a:graphic>
              </wp:anchor>
            </w:drawing>
          </mc:Choice>
          <mc:Fallback>
            <w:pict>
              <v:rect id="Shape 500" o:spid="_x0000_s1525" style="position:absolute;margin-left:-269.3499pt;margin-top:-333.2999pt;width:568.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-3420745</wp:posOffset>
                </wp:positionH>
                <wp:positionV relativeFrom="paragraph">
                  <wp:posOffset>-3923030</wp:posOffset>
                </wp:positionV>
                <wp:extent cx="7223125" cy="15494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154940"/>
                        </a:xfrm>
                        <a:prstGeom prst="rect">
                          <a:avLst/>
                        </a:prstGeom>
                        <a:solidFill>
                          <a:srgbClr val="D4EFF4"/>
                        </a:solidFill>
                      </wps:spPr>
                      <wps:bodyPr/>
                    </wps:wsp>
                  </a:graphicData>
                </a:graphic>
              </wp:anchor>
            </w:drawing>
          </mc:Choice>
          <mc:Fallback>
            <w:pict>
              <v:rect id="Shape 501" o:spid="_x0000_s1526" style="position:absolute;margin-left:-269.3499pt;margin-top:-308.8999pt;width:568.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-3420745</wp:posOffset>
                </wp:positionH>
                <wp:positionV relativeFrom="paragraph">
                  <wp:posOffset>-3613150</wp:posOffset>
                </wp:positionV>
                <wp:extent cx="7223125" cy="15494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154940"/>
                        </a:xfrm>
                        <a:prstGeom prst="rect">
                          <a:avLst/>
                        </a:prstGeom>
                        <a:solidFill>
                          <a:srgbClr val="D4EFF4"/>
                        </a:solidFill>
                      </wps:spPr>
                      <wps:bodyPr/>
                    </wps:wsp>
                  </a:graphicData>
                </a:graphic>
              </wp:anchor>
            </w:drawing>
          </mc:Choice>
          <mc:Fallback>
            <w:pict>
              <v:rect id="Shape 502" o:spid="_x0000_s1527" style="position:absolute;margin-left:-269.3499pt;margin-top:-284.4999pt;width:568.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-3265170</wp:posOffset>
                </wp:positionV>
                <wp:extent cx="961390" cy="15494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154940"/>
                        </a:xfrm>
                        <a:prstGeom prst="rect">
                          <a:avLst/>
                        </a:prstGeom>
                        <a:solidFill>
                          <a:srgbClr val="D4EFF4"/>
                        </a:solidFill>
                      </wps:spPr>
                      <wps:bodyPr/>
                    </wps:wsp>
                  </a:graphicData>
                </a:graphic>
              </wp:anchor>
            </w:drawing>
          </mc:Choice>
          <mc:Fallback>
            <w:pict>
              <v:rect id="Shape 503" o:spid="_x0000_s1528" style="position:absolute;margin-left:-21.7499pt;margin-top:-257.0999pt;width:75.7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-3420745</wp:posOffset>
                </wp:positionH>
                <wp:positionV relativeFrom="paragraph">
                  <wp:posOffset>-2955290</wp:posOffset>
                </wp:positionV>
                <wp:extent cx="7223125" cy="15494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154940"/>
                        </a:xfrm>
                        <a:prstGeom prst="rect">
                          <a:avLst/>
                        </a:prstGeom>
                        <a:solidFill>
                          <a:srgbClr val="D4EFF4"/>
                        </a:solidFill>
                      </wps:spPr>
                      <wps:bodyPr/>
                    </wps:wsp>
                  </a:graphicData>
                </a:graphic>
              </wp:anchor>
            </w:drawing>
          </mc:Choice>
          <mc:Fallback>
            <w:pict>
              <v:rect id="Shape 504" o:spid="_x0000_s1529" style="position:absolute;margin-left:-269.3499pt;margin-top:-232.6999pt;width:568.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-3420745</wp:posOffset>
                </wp:positionH>
                <wp:positionV relativeFrom="paragraph">
                  <wp:posOffset>-2645410</wp:posOffset>
                </wp:positionV>
                <wp:extent cx="7223125" cy="15494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154940"/>
                        </a:xfrm>
                        <a:prstGeom prst="rect">
                          <a:avLst/>
                        </a:prstGeom>
                        <a:solidFill>
                          <a:srgbClr val="D4EFF4"/>
                        </a:solidFill>
                      </wps:spPr>
                      <wps:bodyPr/>
                    </wps:wsp>
                  </a:graphicData>
                </a:graphic>
              </wp:anchor>
            </w:drawing>
          </mc:Choice>
          <mc:Fallback>
            <w:pict>
              <v:rect id="Shape 505" o:spid="_x0000_s1530" style="position:absolute;margin-left:-269.3499pt;margin-top:-208.2999pt;width:568.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-3420745</wp:posOffset>
                </wp:positionH>
                <wp:positionV relativeFrom="paragraph">
                  <wp:posOffset>-2335530</wp:posOffset>
                </wp:positionV>
                <wp:extent cx="7223125" cy="15494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154940"/>
                        </a:xfrm>
                        <a:prstGeom prst="rect">
                          <a:avLst/>
                        </a:prstGeom>
                        <a:solidFill>
                          <a:srgbClr val="D4EFF4"/>
                        </a:solidFill>
                      </wps:spPr>
                      <wps:bodyPr/>
                    </wps:wsp>
                  </a:graphicData>
                </a:graphic>
              </wp:anchor>
            </w:drawing>
          </mc:Choice>
          <mc:Fallback>
            <w:pict>
              <v:rect id="Shape 506" o:spid="_x0000_s1531" style="position:absolute;margin-left:-269.3499pt;margin-top:-183.8999pt;width:568.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-1987550</wp:posOffset>
                </wp:positionV>
                <wp:extent cx="961390" cy="15494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154940"/>
                        </a:xfrm>
                        <a:prstGeom prst="rect">
                          <a:avLst/>
                        </a:prstGeom>
                        <a:solidFill>
                          <a:srgbClr val="D4EFF4"/>
                        </a:solidFill>
                      </wps:spPr>
                      <wps:bodyPr/>
                    </wps:wsp>
                  </a:graphicData>
                </a:graphic>
              </wp:anchor>
            </w:drawing>
          </mc:Choice>
          <mc:Fallback>
            <w:pict>
              <v:rect id="Shape 507" o:spid="_x0000_s1532" style="position:absolute;margin-left:-21.7499pt;margin-top:-156.4999pt;width:75.7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-1649095</wp:posOffset>
                </wp:positionV>
                <wp:extent cx="961390" cy="15494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154940"/>
                        </a:xfrm>
                        <a:prstGeom prst="rect">
                          <a:avLst/>
                        </a:prstGeom>
                        <a:solidFill>
                          <a:srgbClr val="D4EFF4"/>
                        </a:solidFill>
                      </wps:spPr>
                      <wps:bodyPr/>
                    </wps:wsp>
                  </a:graphicData>
                </a:graphic>
              </wp:anchor>
            </w:drawing>
          </mc:Choice>
          <mc:Fallback>
            <w:pict>
              <v:rect id="Shape 508" o:spid="_x0000_s1533" style="position:absolute;margin-left:-21.7499pt;margin-top:-129.8499pt;width:75.7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-3420745</wp:posOffset>
                </wp:positionH>
                <wp:positionV relativeFrom="paragraph">
                  <wp:posOffset>-1339215</wp:posOffset>
                </wp:positionV>
                <wp:extent cx="7223125" cy="15494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154940"/>
                        </a:xfrm>
                        <a:prstGeom prst="rect">
                          <a:avLst/>
                        </a:prstGeom>
                        <a:solidFill>
                          <a:srgbClr val="D4EFF4"/>
                        </a:solidFill>
                      </wps:spPr>
                      <wps:bodyPr/>
                    </wps:wsp>
                  </a:graphicData>
                </a:graphic>
              </wp:anchor>
            </w:drawing>
          </mc:Choice>
          <mc:Fallback>
            <w:pict>
              <v:rect id="Shape 509" o:spid="_x0000_s1534" style="position:absolute;margin-left:-269.3499pt;margin-top:-105.4499pt;width:568.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-3420745</wp:posOffset>
                </wp:positionH>
                <wp:positionV relativeFrom="paragraph">
                  <wp:posOffset>-1029335</wp:posOffset>
                </wp:positionV>
                <wp:extent cx="7223125" cy="15494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154940"/>
                        </a:xfrm>
                        <a:prstGeom prst="rect">
                          <a:avLst/>
                        </a:prstGeom>
                        <a:solidFill>
                          <a:srgbClr val="D4EFF4"/>
                        </a:solidFill>
                      </wps:spPr>
                      <wps:bodyPr/>
                    </wps:wsp>
                  </a:graphicData>
                </a:graphic>
              </wp:anchor>
            </w:drawing>
          </mc:Choice>
          <mc:Fallback>
            <w:pict>
              <v:rect id="Shape 510" o:spid="_x0000_s1535" style="position:absolute;margin-left:-269.3499pt;margin-top:-81.0499pt;width:568.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-681355</wp:posOffset>
                </wp:positionV>
                <wp:extent cx="961390" cy="15494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154940"/>
                        </a:xfrm>
                        <a:prstGeom prst="rect">
                          <a:avLst/>
                        </a:prstGeom>
                        <a:solidFill>
                          <a:srgbClr val="D4EFF4"/>
                        </a:solidFill>
                      </wps:spPr>
                      <wps:bodyPr/>
                    </wps:wsp>
                  </a:graphicData>
                </a:graphic>
              </wp:anchor>
            </w:drawing>
          </mc:Choice>
          <mc:Fallback>
            <w:pict>
              <v:rect id="Shape 511" o:spid="_x0000_s1536" style="position:absolute;margin-left:-21.7499pt;margin-top:-53.6499pt;width:75.7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mc:AlternateContent>
          <mc:Choice Requires="wps">
            <w:drawing>
              <wp:anchor simplePos="0" relativeHeight="251657728" behindDoc="1" locked="0" layoutInCell="0" allowOverlap="1">
                <wp:simplePos x="0" y="0"/>
                <wp:positionH relativeFrom="column">
                  <wp:posOffset>-3420745</wp:posOffset>
                </wp:positionH>
                <wp:positionV relativeFrom="paragraph">
                  <wp:posOffset>-371475</wp:posOffset>
                </wp:positionV>
                <wp:extent cx="7223125" cy="15494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23125" cy="154940"/>
                        </a:xfrm>
                        <a:prstGeom prst="rect">
                          <a:avLst/>
                        </a:prstGeom>
                        <a:solidFill>
                          <a:srgbClr val="D4EFF4"/>
                        </a:solidFill>
                      </wps:spPr>
                      <wps:bodyPr/>
                    </wps:wsp>
                  </a:graphicData>
                </a:graphic>
              </wp:anchor>
            </w:drawing>
          </mc:Choice>
          <mc:Fallback>
            <w:pict>
              <v:rect id="Shape 512" o:spid="_x0000_s1537" style="position:absolute;margin-left:-269.3499pt;margin-top:-29.2499pt;width:568.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4" stroked="f"/>
            </w:pict>
          </mc:Fallback>
        </mc:AlternateContent>
        <w:drawing>
          <wp:anchor simplePos="0" relativeHeight="251657728" behindDoc="1" locked="0" layoutInCell="0" allowOverlap="1">
            <wp:simplePos x="0" y="0"/>
            <wp:positionH relativeFrom="column">
              <wp:posOffset>-295275</wp:posOffset>
            </wp:positionH>
            <wp:positionV relativeFrom="paragraph">
              <wp:posOffset>-5040630</wp:posOffset>
            </wp:positionV>
            <wp:extent cx="204152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427">
                      <a:extLst>
                        <a:ext uri="{28A0092B-C50C-407E-A947-70E740481C1C}"/>
                      </a:extLst>
                    </a:blip>
                    <a:srcRect/>
                    <a:stretch>
                      <a:fillRect/>
                    </a:stretch>
                  </pic:blipFill>
                  <pic:spPr bwMode="auto">
                    <a:xfrm>
                      <a:off x="0" y="0"/>
                      <a:ext cx="2041525" cy="3810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-4876165</wp:posOffset>
            </wp:positionV>
            <wp:extent cx="7242810" cy="1790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428">
                      <a:extLst>
                        <a:ext uri="{28A0092B-C50C-407E-A947-70E740481C1C}"/>
                      </a:extLst>
                    </a:blip>
                    <a:srcRect/>
                    <a:stretch>
                      <a:fillRect/>
                    </a:stretch>
                  </pic:blipFill>
                  <pic:spPr bwMode="auto">
                    <a:xfrm>
                      <a:off x="0" y="0"/>
                      <a:ext cx="7242810" cy="1790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-276225</wp:posOffset>
                </wp:positionH>
                <wp:positionV relativeFrom="paragraph">
                  <wp:posOffset>-3453765</wp:posOffset>
                </wp:positionV>
                <wp:extent cx="961390" cy="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15" o:spid="_x0000_s15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271.9499pt" to="53.95pt,-271.9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-2176145</wp:posOffset>
                </wp:positionV>
                <wp:extent cx="961390" cy="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16" o:spid="_x0000_s15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171.3499pt" to="53.95pt,-171.3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-869950</wp:posOffset>
                </wp:positionV>
                <wp:extent cx="961390" cy="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68.4999pt" to="53.95pt,-68.4999pt" o:allowincell="f" strokecolor="#000000" strokeweight="0.75pt"/>
            </w:pict>
          </mc:Fallback>
        </mc:AlternateContent>
        <w:drawing>
          <wp:anchor simplePos="0" relativeHeight="251657728" behindDoc="1" locked="0" layoutInCell="0" allowOverlap="1">
            <wp:simplePos x="0" y="0"/>
            <wp:positionH relativeFrom="column">
              <wp:posOffset>-3439795</wp:posOffset>
            </wp:positionH>
            <wp:positionV relativeFrom="paragraph">
              <wp:posOffset>-22860</wp:posOffset>
            </wp:positionV>
            <wp:extent cx="7125970"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429">
                      <a:extLst>
                        <a:ext uri="{28A0092B-C50C-407E-A947-70E740481C1C}"/>
                      </a:extLst>
                    </a:blip>
                    <a:srcRect/>
                    <a:stretch>
                      <a:fillRect/>
                    </a:stretch>
                  </pic:blipFill>
                  <pic:spPr bwMode="auto">
                    <a:xfrm>
                      <a:off x="0" y="0"/>
                      <a:ext cx="7125970"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-276225</wp:posOffset>
                </wp:positionH>
                <wp:positionV relativeFrom="paragraph">
                  <wp:posOffset>-3289300</wp:posOffset>
                </wp:positionV>
                <wp:extent cx="961390" cy="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259pt" to="53.95pt,-25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-3270250</wp:posOffset>
                </wp:positionV>
                <wp:extent cx="961390" cy="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257.4999pt" to="53.95pt,-257.4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-2011680</wp:posOffset>
                </wp:positionV>
                <wp:extent cx="961390" cy="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158.3999pt" to="53.95pt,-158.3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-1992630</wp:posOffset>
                </wp:positionV>
                <wp:extent cx="961390"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156.8999pt" to="53.95pt,-156.8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-1673225</wp:posOffset>
                </wp:positionV>
                <wp:extent cx="961390" cy="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23" o:spid="_x0000_s15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131.7499pt" to="53.95pt,-131.7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-1654175</wp:posOffset>
                </wp:positionV>
                <wp:extent cx="961390" cy="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130.2499pt" to="53.95pt,-130.2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-705485</wp:posOffset>
                </wp:positionV>
                <wp:extent cx="961390" cy="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55.5499pt" to="53.95pt,-55.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-686435</wp:posOffset>
                </wp:positionV>
                <wp:extent cx="961390" cy="0"/>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99pt,-54.0499pt" to="53.95pt,-54.0499pt" o:allowincell="f" strokecolor="#000000" strokeweight="0.75pt"/>
            </w:pict>
          </mc:Fallback>
        </mc:AlternateContent>
      </w:r>
    </w:p>
    <w:p>
      <w:pPr>
        <w:spacing w:after="0" w:line="101" w:lineRule="exact"/>
        <w:rPr>
          <w:sz w:val="20"/>
          <w:szCs w:val="20"/>
          <w:color w:val="auto"/>
        </w:rPr>
      </w:pPr>
    </w:p>
    <w:p>
      <w:pPr>
        <w:sectPr>
          <w:pgSz w:w="12240" w:h="15840" w:orient="portrait"/>
          <w:cols w:equalWidth="0" w:num="2">
            <w:col w:w="5040" w:space="340"/>
            <w:col w:w="6000"/>
          </w:cols>
          <w:pgMar w:left="440" w:top="926" w:right="420" w:bottom="186" w:gutter="0" w:footer="0" w:header="0"/>
          <w:type w:val="continuous"/>
        </w:sect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The accumulated benefit obligation for all pension plans was $271 million and $284 million at September 30, 2025 and 2024, respectively. All Ashland pension plans are either qualified U.S. or non-US plans. Information for pension plans with an accumulated benefit obligation in excess of plan assets follows 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41275</wp:posOffset>
            </wp:positionV>
            <wp:extent cx="722058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430">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680" w:type="dxa"/>
            <w:vAlign w:val="bottom"/>
          </w:tcPr>
          <w:p>
            <w:pPr>
              <w:spacing w:after="0"/>
              <w:rPr>
                <w:sz w:val="21"/>
                <w:szCs w:val="21"/>
                <w:color w:val="auto"/>
              </w:rPr>
            </w:pPr>
          </w:p>
        </w:tc>
        <w:tc>
          <w:tcPr>
            <w:tcW w:w="1700" w:type="dxa"/>
            <w:vAlign w:val="bottom"/>
          </w:tcPr>
          <w:p>
            <w:pPr>
              <w:jc w:val="right"/>
              <w:ind w:right="860"/>
              <w:spacing w:after="0"/>
              <w:rPr>
                <w:sz w:val="20"/>
                <w:szCs w:val="20"/>
                <w:color w:val="auto"/>
              </w:rPr>
            </w:pPr>
            <w:r>
              <w:rPr>
                <w:rFonts w:ascii="Times New Roman" w:cs="Times New Roman" w:eastAsia="Times New Roman" w:hAnsi="Times New Roman"/>
                <w:sz w:val="20"/>
                <w:szCs w:val="20"/>
                <w:color w:val="auto"/>
              </w:rPr>
              <w:t>2025</w:t>
            </w:r>
          </w:p>
        </w:tc>
        <w:tc>
          <w:tcPr>
            <w:tcW w:w="620" w:type="dxa"/>
            <w:vAlign w:val="bottom"/>
          </w:tcPr>
          <w:p>
            <w:pPr>
              <w:spacing w:after="0"/>
              <w:rPr>
                <w:sz w:val="21"/>
                <w:szCs w:val="21"/>
                <w:color w:val="auto"/>
              </w:rPr>
            </w:pPr>
          </w:p>
        </w:tc>
        <w:tc>
          <w:tcPr>
            <w:tcW w:w="156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top w:val="single" w:sz="8" w:color="auto"/>
              <w:bottom w:val="single" w:sz="8" w:color="auto"/>
            </w:tcBorders>
          </w:tcPr>
          <w:p>
            <w:pPr>
              <w:spacing w:after="0"/>
              <w:rPr>
                <w:sz w:val="21"/>
                <w:szCs w:val="21"/>
                <w:color w:val="auto"/>
              </w:rPr>
            </w:pPr>
          </w:p>
        </w:tc>
      </w:tr>
      <w:tr>
        <w:trPr>
          <w:trHeight w:val="225"/>
        </w:trPr>
        <w:tc>
          <w:tcPr>
            <w:tcW w:w="474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Projected benefit obligation</w:t>
            </w:r>
          </w:p>
        </w:tc>
        <w:tc>
          <w:tcPr>
            <w:tcW w:w="2680" w:type="dxa"/>
            <w:vAlign w:val="bottom"/>
            <w:shd w:val="clear" w:color="auto" w:fill="D4EFF4"/>
          </w:tcPr>
          <w:p>
            <w:pPr>
              <w:jc w:val="right"/>
              <w:ind w:right="2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D4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163</w:t>
            </w:r>
          </w:p>
        </w:tc>
        <w:tc>
          <w:tcPr>
            <w:tcW w:w="620" w:type="dxa"/>
            <w:vAlign w:val="bottom"/>
            <w:shd w:val="clear" w:color="auto" w:fill="D4EFF4"/>
          </w:tcPr>
          <w:p>
            <w:pPr>
              <w:jc w:val="right"/>
              <w:ind w:right="2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168</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Accumulated benefit obligation</w:t>
            </w:r>
          </w:p>
        </w:tc>
        <w:tc>
          <w:tcPr>
            <w:tcW w:w="2680" w:type="dxa"/>
            <w:vAlign w:val="bottom"/>
          </w:tcPr>
          <w:p>
            <w:pPr>
              <w:spacing w:after="0"/>
              <w:rPr>
                <w:sz w:val="20"/>
                <w:szCs w:val="20"/>
                <w:color w:val="auto"/>
              </w:rPr>
            </w:pPr>
          </w:p>
        </w:tc>
        <w:tc>
          <w:tcPr>
            <w:tcW w:w="1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158</w:t>
            </w:r>
          </w:p>
        </w:tc>
        <w:tc>
          <w:tcPr>
            <w:tcW w:w="62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162</w:t>
            </w:r>
          </w:p>
        </w:tc>
      </w:tr>
      <w:tr>
        <w:trPr>
          <w:trHeight w:val="230"/>
        </w:trPr>
        <w:tc>
          <w:tcPr>
            <w:tcW w:w="47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Fair value of plan assets</w:t>
            </w:r>
          </w:p>
        </w:tc>
        <w:tc>
          <w:tcPr>
            <w:tcW w:w="2680" w:type="dxa"/>
            <w:vAlign w:val="bottom"/>
            <w:shd w:val="clear" w:color="auto" w:fill="D4EFF4"/>
          </w:tcPr>
          <w:p>
            <w:pPr>
              <w:spacing w:after="0"/>
              <w:rPr>
                <w:sz w:val="20"/>
                <w:szCs w:val="20"/>
                <w:color w:val="auto"/>
              </w:rPr>
            </w:pPr>
          </w:p>
        </w:tc>
        <w:tc>
          <w:tcPr>
            <w:tcW w:w="170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c>
          <w:tcPr>
            <w:tcW w:w="620" w:type="dxa"/>
            <w:vAlign w:val="bottom"/>
            <w:shd w:val="clear" w:color="auto" w:fill="D4EFF4"/>
          </w:tcPr>
          <w:p>
            <w:pPr>
              <w:spacing w:after="0"/>
              <w:rPr>
                <w:sz w:val="20"/>
                <w:szCs w:val="20"/>
                <w:color w:val="auto"/>
              </w:rPr>
            </w:pPr>
          </w:p>
        </w:tc>
        <w:tc>
          <w:tcPr>
            <w:tcW w:w="162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93</w:t>
            </w:r>
          </w:p>
        </w:tc>
      </w:tr>
      <w:tr>
        <w:trPr>
          <w:trHeight w:val="69"/>
        </w:trPr>
        <w:tc>
          <w:tcPr>
            <w:tcW w:w="474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-514350</wp:posOffset>
            </wp:positionV>
            <wp:extent cx="722058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431">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-22860</wp:posOffset>
            </wp:positionV>
            <wp:extent cx="722058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432">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ectPr>
          <w:pgSz w:w="12240" w:h="15840" w:orient="portrait"/>
          <w:cols w:equalWidth="0" w:num="1">
            <w:col w:w="11380"/>
          </w:cols>
          <w:pgMar w:left="440" w:top="926" w:right="420" w:bottom="1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11380"/>
          </w:cols>
          <w:pgMar w:left="440" w:top="926" w:right="420" w:bottom="186"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Plan assets</w:t>
      </w:r>
    </w:p>
    <w:p>
      <w:pPr>
        <w:spacing w:after="0" w:line="170"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The expected long-term rate of return on pension plan assets was 4.78% and 4.99% for the years ended September 30, 2025 and 2024, respectively. The basis for determining the expected long-term rate of return is a combination of future return assumptions for various asset classes in Ashland’s investment portfolio, historical analysis of previous returns, market indices and a projection of inflation.</w:t>
      </w:r>
    </w:p>
    <w:p>
      <w:pPr>
        <w:spacing w:after="0" w:line="68" w:lineRule="exact"/>
        <w:rPr>
          <w:sz w:val="20"/>
          <w:szCs w:val="20"/>
          <w:color w:val="auto"/>
        </w:rPr>
      </w:pPr>
    </w:p>
    <w:p>
      <w:pPr>
        <w:jc w:val="both"/>
        <w:ind w:right="20" w:firstLine="360"/>
        <w:spacing w:after="0" w:line="306" w:lineRule="auto"/>
        <w:rPr>
          <w:sz w:val="20"/>
          <w:szCs w:val="20"/>
          <w:color w:val="auto"/>
        </w:rPr>
      </w:pPr>
      <w:r>
        <w:rPr>
          <w:rFonts w:ascii="Times New Roman" w:cs="Times New Roman" w:eastAsia="Times New Roman" w:hAnsi="Times New Roman"/>
          <w:sz w:val="20"/>
          <w:szCs w:val="20"/>
          <w:color w:val="auto"/>
        </w:rPr>
        <w:t>The following table summarizes the various investment categories that the pension plan assets are invested in and the applicable fair value hierarchy that the pension plan assets are classified in as of September 30, 2025. For additional information and a detailed description of each level within the fair value hierarchy, see Note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41275</wp:posOffset>
            </wp:positionV>
            <wp:extent cx="7242810"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433">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Total fair</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80" w:type="dxa"/>
            <w:vAlign w:val="bottom"/>
          </w:tcPr>
          <w:p>
            <w:pPr>
              <w:spacing w:after="0"/>
              <w:rPr>
                <w:sz w:val="21"/>
                <w:szCs w:val="21"/>
                <w:color w:val="auto"/>
              </w:rPr>
            </w:pPr>
          </w:p>
        </w:tc>
        <w:tc>
          <w:tcPr>
            <w:tcW w:w="132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value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Level 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Level 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Level 3</w:t>
            </w: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49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shd w:val="clear" w:color="auto" w:fill="D5EFF4"/>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380" w:type="dxa"/>
            <w:vAlign w:val="bottom"/>
            <w:gridSpan w:val="3"/>
            <w:shd w:val="clear" w:color="auto" w:fill="D5EFF4"/>
          </w:tcPr>
          <w:p>
            <w:pPr>
              <w:jc w:val="right"/>
              <w:ind w:right="75"/>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380" w:type="dxa"/>
            <w:vAlign w:val="bottom"/>
            <w:gridSpan w:val="3"/>
            <w:shd w:val="clear" w:color="auto" w:fill="D5EFF4"/>
          </w:tcPr>
          <w:p>
            <w:pPr>
              <w:jc w:val="right"/>
              <w:ind w:right="75"/>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5EFF4"/>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3"/>
            <w:shd w:val="clear" w:color="auto" w:fill="D5EFF4"/>
          </w:tcPr>
          <w:p>
            <w:pPr>
              <w:jc w:val="right"/>
              <w:ind w:right="75"/>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3"/>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collective trusts: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940" w:type="dxa"/>
            <w:vAlign w:val="bottom"/>
            <w:gridSpan w:val="2"/>
            <w:shd w:val="clear" w:color="auto" w:fill="D5EFF4"/>
          </w:tcPr>
          <w:p>
            <w:pPr>
              <w:ind w:left="240"/>
              <w:spacing w:after="0"/>
              <w:rPr>
                <w:sz w:val="20"/>
                <w:szCs w:val="20"/>
                <w:color w:val="auto"/>
              </w:rPr>
            </w:pPr>
            <w:r>
              <w:rPr>
                <w:rFonts w:ascii="Times New Roman" w:cs="Times New Roman" w:eastAsia="Times New Roman" w:hAnsi="Times New Roman"/>
                <w:sz w:val="20"/>
                <w:szCs w:val="20"/>
                <w:color w:val="auto"/>
              </w:rPr>
              <w:t>U.S. Government securities</w:t>
            </w:r>
          </w:p>
        </w:tc>
        <w:tc>
          <w:tcPr>
            <w:tcW w:w="180" w:type="dxa"/>
            <w:vAlign w:val="bottom"/>
            <w:shd w:val="clear" w:color="auto" w:fill="D5EFF4"/>
          </w:tcPr>
          <w:p>
            <w:pPr>
              <w:spacing w:after="0"/>
              <w:rPr>
                <w:sz w:val="21"/>
                <w:szCs w:val="21"/>
                <w:color w:val="auto"/>
              </w:rPr>
            </w:pPr>
          </w:p>
        </w:tc>
        <w:tc>
          <w:tcPr>
            <w:tcW w:w="13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80" w:type="dxa"/>
            <w:vAlign w:val="bottom"/>
            <w:shd w:val="clear" w:color="auto" w:fill="D5EFF4"/>
          </w:tcPr>
          <w:p>
            <w:pPr>
              <w:ind w:left="960"/>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40" w:type="dxa"/>
            <w:vAlign w:val="bottom"/>
            <w:gridSpan w:val="3"/>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Corporate debt instruments</w:t>
            </w:r>
          </w:p>
        </w:tc>
        <w:tc>
          <w:tcPr>
            <w:tcW w:w="18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940" w:type="dxa"/>
            <w:vAlign w:val="bottom"/>
            <w:gridSpan w:val="2"/>
            <w:shd w:val="clear" w:color="auto" w:fill="D5EFF4"/>
          </w:tcPr>
          <w:p>
            <w:pPr>
              <w:ind w:left="240"/>
              <w:spacing w:after="0"/>
              <w:rPr>
                <w:sz w:val="20"/>
                <w:szCs w:val="20"/>
                <w:color w:val="auto"/>
              </w:rPr>
            </w:pPr>
            <w:r>
              <w:rPr>
                <w:rFonts w:ascii="Times New Roman" w:cs="Times New Roman" w:eastAsia="Times New Roman" w:hAnsi="Times New Roman"/>
                <w:sz w:val="20"/>
                <w:szCs w:val="20"/>
                <w:color w:val="auto"/>
              </w:rPr>
              <w:t>Listed real assets</w:t>
            </w:r>
          </w:p>
        </w:tc>
        <w:tc>
          <w:tcPr>
            <w:tcW w:w="180" w:type="dxa"/>
            <w:vAlign w:val="bottom"/>
            <w:shd w:val="clear" w:color="auto" w:fill="D5EFF4"/>
          </w:tcPr>
          <w:p>
            <w:pPr>
              <w:spacing w:after="0"/>
              <w:rPr>
                <w:sz w:val="21"/>
                <w:szCs w:val="21"/>
                <w:color w:val="auto"/>
              </w:rPr>
            </w:pPr>
          </w:p>
        </w:tc>
        <w:tc>
          <w:tcPr>
            <w:tcW w:w="13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80" w:type="dxa"/>
            <w:vAlign w:val="bottom"/>
            <w:shd w:val="clear" w:color="auto" w:fill="D5EFF4"/>
          </w:tcPr>
          <w:p>
            <w:pPr>
              <w:ind w:left="960"/>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40" w:type="dxa"/>
            <w:vAlign w:val="bottom"/>
            <w:gridSpan w:val="3"/>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Corporate stocks</w:t>
            </w:r>
          </w:p>
        </w:tc>
        <w:tc>
          <w:tcPr>
            <w:tcW w:w="18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4940" w:type="dxa"/>
            <w:vAlign w:val="bottom"/>
            <w:tcBorders>
              <w:bottom w:val="single" w:sz="8" w:color="D5EFF4"/>
            </w:tcBorders>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Insurance contracts</w:t>
            </w:r>
          </w:p>
        </w:tc>
        <w:tc>
          <w:tcPr>
            <w:tcW w:w="180" w:type="dxa"/>
            <w:vAlign w:val="bottom"/>
            <w:tcBorders>
              <w:bottom w:val="single" w:sz="8" w:color="auto"/>
            </w:tcBorders>
            <w:shd w:val="clear" w:color="auto" w:fill="D5EFF4"/>
          </w:tcPr>
          <w:p>
            <w:pPr>
              <w:spacing w:after="0"/>
              <w:rPr>
                <w:sz w:val="22"/>
                <w:szCs w:val="22"/>
                <w:color w:val="auto"/>
              </w:rPr>
            </w:pPr>
          </w:p>
        </w:tc>
        <w:tc>
          <w:tcPr>
            <w:tcW w:w="132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145</w:t>
            </w:r>
          </w:p>
        </w:tc>
        <w:tc>
          <w:tcPr>
            <w:tcW w:w="1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40" w:type="dxa"/>
            <w:vAlign w:val="bottom"/>
            <w:tcBorders>
              <w:bottom w:val="single" w:sz="8" w:color="auto"/>
            </w:tcBorders>
            <w:shd w:val="clear" w:color="auto" w:fill="D5EFF4"/>
          </w:tcPr>
          <w:p>
            <w:pPr>
              <w:spacing w:after="0"/>
              <w:rPr>
                <w:sz w:val="22"/>
                <w:szCs w:val="22"/>
                <w:color w:val="auto"/>
              </w:rPr>
            </w:pPr>
          </w:p>
        </w:tc>
        <w:tc>
          <w:tcPr>
            <w:tcW w:w="128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40" w:type="dxa"/>
            <w:vAlign w:val="bottom"/>
            <w:tcBorders>
              <w:bottom w:val="single" w:sz="8" w:color="auto"/>
            </w:tcBorders>
            <w:shd w:val="clear" w:color="auto" w:fill="D5EFF4"/>
          </w:tcPr>
          <w:p>
            <w:pPr>
              <w:spacing w:after="0"/>
              <w:rPr>
                <w:sz w:val="22"/>
                <w:szCs w:val="22"/>
                <w:color w:val="auto"/>
              </w:rPr>
            </w:pPr>
          </w:p>
        </w:tc>
        <w:tc>
          <w:tcPr>
            <w:tcW w:w="1280" w:type="dxa"/>
            <w:vAlign w:val="bottom"/>
            <w:tcBorders>
              <w:bottom w:val="single" w:sz="8" w:color="auto"/>
            </w:tcBorders>
            <w:shd w:val="clear" w:color="auto" w:fill="D5EFF4"/>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5EFF4"/>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c>
          <w:tcPr>
            <w:tcW w:w="240" w:type="dxa"/>
            <w:vAlign w:val="bottom"/>
            <w:tcBorders>
              <w:bottom w:val="single" w:sz="8" w:color="auto"/>
            </w:tcBorders>
            <w:shd w:val="clear" w:color="auto" w:fill="D5EFF4"/>
          </w:tcPr>
          <w:p>
            <w:pPr>
              <w:spacing w:after="0"/>
              <w:rPr>
                <w:sz w:val="22"/>
                <w:szCs w:val="22"/>
                <w:color w:val="auto"/>
              </w:rPr>
            </w:pPr>
          </w:p>
        </w:tc>
        <w:tc>
          <w:tcPr>
            <w:tcW w:w="11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0" w:type="dxa"/>
            <w:vAlign w:val="bottom"/>
            <w:tcBorders>
              <w:bottom w:val="single" w:sz="8" w:color="auto"/>
            </w:tcBorders>
            <w:shd w:val="clear" w:color="auto" w:fill="D5EFF4"/>
          </w:tcPr>
          <w:p>
            <w:pPr>
              <w:spacing w:after="0"/>
              <w:rPr>
                <w:sz w:val="22"/>
                <w:szCs w:val="22"/>
                <w:color w:val="auto"/>
              </w:rPr>
            </w:pPr>
          </w:p>
        </w:tc>
        <w:tc>
          <w:tcPr>
            <w:tcW w:w="20" w:type="dxa"/>
            <w:vAlign w:val="bottom"/>
            <w:tcBorders>
              <w:bottom w:val="single" w:sz="8" w:color="D5EFF4"/>
            </w:tcBorders>
            <w:shd w:val="clear" w:color="auto" w:fill="D5EFF4"/>
          </w:tcPr>
          <w:p>
            <w:pPr>
              <w:spacing w:after="0"/>
              <w:rPr>
                <w:sz w:val="22"/>
                <w:szCs w:val="22"/>
                <w:color w:val="auto"/>
              </w:rPr>
            </w:pPr>
          </w:p>
        </w:tc>
      </w:tr>
      <w:tr>
        <w:trPr>
          <w:trHeight w:val="219"/>
        </w:trPr>
        <w:tc>
          <w:tcPr>
            <w:tcW w:w="49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auto"/>
              </w:rPr>
              <w:t>Total assets at fair value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ind w:left="960"/>
              <w:spacing w:after="0" w:line="219" w:lineRule="exact"/>
              <w:rPr>
                <w:sz w:val="20"/>
                <w:szCs w:val="20"/>
                <w:color w:val="auto"/>
              </w:rPr>
            </w:pPr>
            <w:r>
              <w:rPr>
                <w:rFonts w:ascii="Times New Roman" w:cs="Times New Roman" w:eastAsia="Times New Roman" w:hAnsi="Times New Roman"/>
                <w:sz w:val="20"/>
                <w:szCs w:val="20"/>
                <w:color w:val="auto"/>
              </w:rPr>
              <w:t>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
        </w:trPr>
        <w:tc>
          <w:tcPr>
            <w:tcW w:w="4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-1362710</wp:posOffset>
            </wp:positionV>
            <wp:extent cx="722058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434">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-22860</wp:posOffset>
            </wp:positionV>
            <wp:extent cx="722058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435">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81" w:lineRule="exact"/>
        <w:rPr>
          <w:sz w:val="20"/>
          <w:szCs w:val="20"/>
          <w:color w:val="auto"/>
        </w:rPr>
      </w:pPr>
    </w:p>
    <w:p>
      <w:pPr>
        <w:jc w:val="both"/>
        <w:ind w:right="20" w:firstLine="360"/>
        <w:spacing w:after="0" w:line="325" w:lineRule="auto"/>
        <w:rPr>
          <w:sz w:val="20"/>
          <w:szCs w:val="20"/>
          <w:color w:val="auto"/>
        </w:rPr>
      </w:pPr>
      <w:r>
        <w:rPr>
          <w:rFonts w:ascii="Times New Roman" w:cs="Times New Roman" w:eastAsia="Times New Roman" w:hAnsi="Times New Roman"/>
          <w:sz w:val="20"/>
          <w:szCs w:val="20"/>
          <w:color w:val="auto"/>
        </w:rPr>
        <w:t>The following table summarizes the various investment categories that the pension plan assets are invested in and the applicable fair value hierarchy that the pension plan assets are classified in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29210</wp:posOffset>
            </wp:positionV>
            <wp:extent cx="7242810"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436">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Total fair</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80" w:type="dxa"/>
            <w:vAlign w:val="bottom"/>
          </w:tcPr>
          <w:p>
            <w:pPr>
              <w:spacing w:after="0"/>
              <w:rPr>
                <w:sz w:val="21"/>
                <w:szCs w:val="21"/>
                <w:color w:val="auto"/>
              </w:rPr>
            </w:pPr>
          </w:p>
        </w:tc>
        <w:tc>
          <w:tcPr>
            <w:tcW w:w="132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value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Level 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Level 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Level 3</w:t>
            </w: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49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shd w:val="clear" w:color="auto" w:fill="D5EFF4"/>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380" w:type="dxa"/>
            <w:vAlign w:val="bottom"/>
            <w:gridSpan w:val="3"/>
            <w:shd w:val="clear" w:color="auto" w:fill="D5EFF4"/>
          </w:tcPr>
          <w:p>
            <w:pPr>
              <w:jc w:val="right"/>
              <w:ind w:right="75"/>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380" w:type="dxa"/>
            <w:vAlign w:val="bottom"/>
            <w:gridSpan w:val="3"/>
            <w:shd w:val="clear" w:color="auto" w:fill="D5EFF4"/>
          </w:tcPr>
          <w:p>
            <w:pPr>
              <w:jc w:val="right"/>
              <w:ind w:right="75"/>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3"/>
            <w:shd w:val="clear" w:color="auto" w:fill="D5EFF4"/>
          </w:tcPr>
          <w:p>
            <w:pPr>
              <w:jc w:val="right"/>
              <w:ind w:right="75"/>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3"/>
            <w:shd w:val="clear" w:color="auto" w:fill="D5EFF4"/>
          </w:tcPr>
          <w:p>
            <w:pPr>
              <w:ind w:left="94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collective trusts: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940" w:type="dxa"/>
            <w:vAlign w:val="bottom"/>
            <w:gridSpan w:val="2"/>
            <w:shd w:val="clear" w:color="auto" w:fill="D5EFF4"/>
          </w:tcPr>
          <w:p>
            <w:pPr>
              <w:ind w:left="240"/>
              <w:spacing w:after="0"/>
              <w:rPr>
                <w:sz w:val="20"/>
                <w:szCs w:val="20"/>
                <w:color w:val="auto"/>
              </w:rPr>
            </w:pPr>
            <w:r>
              <w:rPr>
                <w:rFonts w:ascii="Times New Roman" w:cs="Times New Roman" w:eastAsia="Times New Roman" w:hAnsi="Times New Roman"/>
                <w:sz w:val="20"/>
                <w:szCs w:val="20"/>
                <w:color w:val="auto"/>
              </w:rPr>
              <w:t>U.S. Government securities</w:t>
            </w:r>
          </w:p>
        </w:tc>
        <w:tc>
          <w:tcPr>
            <w:tcW w:w="180" w:type="dxa"/>
            <w:vAlign w:val="bottom"/>
            <w:shd w:val="clear" w:color="auto" w:fill="D5EFF4"/>
          </w:tcPr>
          <w:p>
            <w:pPr>
              <w:spacing w:after="0"/>
              <w:rPr>
                <w:sz w:val="21"/>
                <w:szCs w:val="21"/>
                <w:color w:val="auto"/>
              </w:rPr>
            </w:pPr>
          </w:p>
        </w:tc>
        <w:tc>
          <w:tcPr>
            <w:tcW w:w="13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40" w:type="dxa"/>
            <w:vAlign w:val="bottom"/>
            <w:gridSpan w:val="3"/>
            <w:shd w:val="clear" w:color="auto" w:fill="D5EFF4"/>
          </w:tcPr>
          <w:p>
            <w:pPr>
              <w:ind w:left="94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Corporate debt instruments</w:t>
            </w:r>
          </w:p>
        </w:tc>
        <w:tc>
          <w:tcPr>
            <w:tcW w:w="18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ind w:left="94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940" w:type="dxa"/>
            <w:vAlign w:val="bottom"/>
            <w:gridSpan w:val="2"/>
            <w:shd w:val="clear" w:color="auto" w:fill="D5EFF4"/>
          </w:tcPr>
          <w:p>
            <w:pPr>
              <w:ind w:left="240"/>
              <w:spacing w:after="0"/>
              <w:rPr>
                <w:sz w:val="20"/>
                <w:szCs w:val="20"/>
                <w:color w:val="auto"/>
              </w:rPr>
            </w:pPr>
            <w:r>
              <w:rPr>
                <w:rFonts w:ascii="Times New Roman" w:cs="Times New Roman" w:eastAsia="Times New Roman" w:hAnsi="Times New Roman"/>
                <w:sz w:val="20"/>
                <w:szCs w:val="20"/>
                <w:color w:val="auto"/>
              </w:rPr>
              <w:t>Listed real assets</w:t>
            </w:r>
          </w:p>
        </w:tc>
        <w:tc>
          <w:tcPr>
            <w:tcW w:w="180" w:type="dxa"/>
            <w:vAlign w:val="bottom"/>
            <w:shd w:val="clear" w:color="auto" w:fill="D5EFF4"/>
          </w:tcPr>
          <w:p>
            <w:pPr>
              <w:spacing w:after="0"/>
              <w:rPr>
                <w:sz w:val="21"/>
                <w:szCs w:val="21"/>
                <w:color w:val="auto"/>
              </w:rPr>
            </w:pPr>
          </w:p>
        </w:tc>
        <w:tc>
          <w:tcPr>
            <w:tcW w:w="13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D5EFF4"/>
          </w:tcPr>
          <w:p>
            <w:pPr>
              <w:spacing w:after="0"/>
              <w:rPr>
                <w:sz w:val="21"/>
                <w:szCs w:val="21"/>
                <w:color w:val="auto"/>
              </w:rPr>
            </w:pPr>
          </w:p>
        </w:tc>
        <w:tc>
          <w:tcPr>
            <w:tcW w:w="20" w:type="dxa"/>
            <w:vAlign w:val="bottom"/>
            <w:shd w:val="clear" w:color="auto" w:fill="D5EFF4"/>
          </w:tcPr>
          <w:p>
            <w:pPr>
              <w:spacing w:after="0"/>
              <w:rPr>
                <w:sz w:val="21"/>
                <w:szCs w:val="21"/>
                <w:color w:val="auto"/>
              </w:rPr>
            </w:pPr>
          </w:p>
        </w:tc>
        <w:tc>
          <w:tcPr>
            <w:tcW w:w="240" w:type="dxa"/>
            <w:vAlign w:val="bottom"/>
            <w:shd w:val="clear" w:color="auto" w:fill="D5EFF4"/>
          </w:tcPr>
          <w:p>
            <w:pPr>
              <w:spacing w:after="0"/>
              <w:rPr>
                <w:sz w:val="21"/>
                <w:szCs w:val="21"/>
                <w:color w:val="auto"/>
              </w:rPr>
            </w:pPr>
          </w:p>
        </w:tc>
        <w:tc>
          <w:tcPr>
            <w:tcW w:w="1240" w:type="dxa"/>
            <w:vAlign w:val="bottom"/>
            <w:gridSpan w:val="3"/>
            <w:shd w:val="clear" w:color="auto" w:fill="D5EFF4"/>
          </w:tcPr>
          <w:p>
            <w:pPr>
              <w:ind w:left="94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Corporate stocks</w:t>
            </w:r>
          </w:p>
        </w:tc>
        <w:tc>
          <w:tcPr>
            <w:tcW w:w="18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ind w:left="94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49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Insurance contracts</w:t>
            </w:r>
          </w:p>
        </w:tc>
        <w:tc>
          <w:tcPr>
            <w:tcW w:w="180" w:type="dxa"/>
            <w:vAlign w:val="bottom"/>
            <w:shd w:val="clear" w:color="auto" w:fill="D5EFF4"/>
          </w:tcPr>
          <w:p>
            <w:pPr>
              <w:spacing w:after="0"/>
              <w:rPr>
                <w:sz w:val="22"/>
                <w:szCs w:val="22"/>
                <w:color w:val="auto"/>
              </w:rPr>
            </w:pPr>
          </w:p>
        </w:tc>
        <w:tc>
          <w:tcPr>
            <w:tcW w:w="132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157</w:t>
            </w:r>
          </w:p>
        </w:tc>
        <w:tc>
          <w:tcPr>
            <w:tcW w:w="1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40" w:type="dxa"/>
            <w:vAlign w:val="bottom"/>
            <w:shd w:val="clear" w:color="auto" w:fill="D5EFF4"/>
          </w:tcPr>
          <w:p>
            <w:pPr>
              <w:spacing w:after="0"/>
              <w:rPr>
                <w:sz w:val="22"/>
                <w:szCs w:val="22"/>
                <w:color w:val="auto"/>
              </w:rPr>
            </w:pP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40" w:type="dxa"/>
            <w:vAlign w:val="bottom"/>
            <w:shd w:val="clear" w:color="auto" w:fill="D5EFF4"/>
          </w:tcPr>
          <w:p>
            <w:pPr>
              <w:spacing w:after="0"/>
              <w:rPr>
                <w:sz w:val="22"/>
                <w:szCs w:val="22"/>
                <w:color w:val="auto"/>
              </w:rPr>
            </w:pPr>
          </w:p>
        </w:tc>
        <w:tc>
          <w:tcPr>
            <w:tcW w:w="1280" w:type="dxa"/>
            <w:vAlign w:val="bottom"/>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157</w:t>
            </w:r>
          </w:p>
        </w:tc>
        <w:tc>
          <w:tcPr>
            <w:tcW w:w="120" w:type="dxa"/>
            <w:vAlign w:val="bottom"/>
            <w:shd w:val="clear" w:color="auto" w:fill="D5EFF4"/>
          </w:tcPr>
          <w:p>
            <w:pPr>
              <w:spacing w:after="0"/>
              <w:rPr>
                <w:sz w:val="22"/>
                <w:szCs w:val="22"/>
                <w:color w:val="auto"/>
              </w:rPr>
            </w:pPr>
          </w:p>
        </w:tc>
        <w:tc>
          <w:tcPr>
            <w:tcW w:w="20" w:type="dxa"/>
            <w:vAlign w:val="bottom"/>
            <w:shd w:val="clear" w:color="auto" w:fill="D5EFF4"/>
          </w:tcPr>
          <w:p>
            <w:pPr>
              <w:spacing w:after="0"/>
              <w:rPr>
                <w:sz w:val="22"/>
                <w:szCs w:val="22"/>
                <w:color w:val="auto"/>
              </w:rPr>
            </w:pPr>
          </w:p>
        </w:tc>
        <w:tc>
          <w:tcPr>
            <w:tcW w:w="240" w:type="dxa"/>
            <w:vAlign w:val="bottom"/>
            <w:shd w:val="clear" w:color="auto" w:fill="D5EFF4"/>
          </w:tcPr>
          <w:p>
            <w:pPr>
              <w:spacing w:after="0"/>
              <w:rPr>
                <w:sz w:val="22"/>
                <w:szCs w:val="22"/>
                <w:color w:val="auto"/>
              </w:rPr>
            </w:pPr>
          </w:p>
        </w:tc>
        <w:tc>
          <w:tcPr>
            <w:tcW w:w="1240" w:type="dxa"/>
            <w:vAlign w:val="bottom"/>
            <w:gridSpan w:val="3"/>
            <w:shd w:val="clear" w:color="auto" w:fill="D5EFF4"/>
          </w:tcPr>
          <w:p>
            <w:pPr>
              <w:ind w:left="94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4940" w:type="dxa"/>
            <w:vAlign w:val="bottom"/>
            <w:tcBorders>
              <w:top w:val="single" w:sz="8" w:color="D5EFF4"/>
            </w:tcBorders>
            <w:gridSpan w:val="2"/>
          </w:tcPr>
          <w:p>
            <w:pPr>
              <w:spacing w:after="0" w:line="219" w:lineRule="exact"/>
              <w:rPr>
                <w:sz w:val="20"/>
                <w:szCs w:val="20"/>
                <w:color w:val="auto"/>
              </w:rPr>
            </w:pPr>
            <w:r>
              <w:rPr>
                <w:rFonts w:ascii="Times New Roman" w:cs="Times New Roman" w:eastAsia="Times New Roman" w:hAnsi="Times New Roman"/>
                <w:sz w:val="20"/>
                <w:szCs w:val="20"/>
                <w:color w:val="auto"/>
              </w:rPr>
              <w:t>Total assets at fair value</w:t>
            </w: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234</w:t>
            </w:r>
          </w:p>
        </w:tc>
        <w:tc>
          <w:tcPr>
            <w:tcW w:w="120" w:type="dxa"/>
            <w:vAlign w:val="bottom"/>
            <w:tcBorders>
              <w:top w:val="single" w:sz="8" w:color="D5EFF4"/>
            </w:tcBorders>
          </w:tcPr>
          <w:p>
            <w:pPr>
              <w:spacing w:after="0"/>
              <w:rPr>
                <w:sz w:val="19"/>
                <w:szCs w:val="19"/>
                <w:color w:val="auto"/>
              </w:rPr>
            </w:pPr>
          </w:p>
        </w:tc>
        <w:tc>
          <w:tcPr>
            <w:tcW w:w="20" w:type="dxa"/>
            <w:vAlign w:val="bottom"/>
            <w:tcBorders>
              <w:top w:val="single" w:sz="8" w:color="D5EFF4"/>
            </w:tcBorders>
          </w:tcPr>
          <w:p>
            <w:pPr>
              <w:spacing w:after="0"/>
              <w:rPr>
                <w:sz w:val="19"/>
                <w:szCs w:val="19"/>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w:t>
            </w:r>
          </w:p>
        </w:tc>
        <w:tc>
          <w:tcPr>
            <w:tcW w:w="120" w:type="dxa"/>
            <w:vAlign w:val="bottom"/>
            <w:tcBorders>
              <w:top w:val="single" w:sz="8" w:color="D5EFF4"/>
            </w:tcBorders>
          </w:tcPr>
          <w:p>
            <w:pPr>
              <w:spacing w:after="0"/>
              <w:rPr>
                <w:sz w:val="19"/>
                <w:szCs w:val="19"/>
                <w:color w:val="auto"/>
              </w:rPr>
            </w:pPr>
          </w:p>
        </w:tc>
        <w:tc>
          <w:tcPr>
            <w:tcW w:w="20" w:type="dxa"/>
            <w:vAlign w:val="bottom"/>
            <w:tcBorders>
              <w:top w:val="single" w:sz="8" w:color="D5EFF4"/>
            </w:tcBorders>
          </w:tcPr>
          <w:p>
            <w:pPr>
              <w:spacing w:after="0"/>
              <w:rPr>
                <w:sz w:val="19"/>
                <w:szCs w:val="19"/>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232</w:t>
            </w:r>
          </w:p>
        </w:tc>
        <w:tc>
          <w:tcPr>
            <w:tcW w:w="120" w:type="dxa"/>
            <w:vAlign w:val="bottom"/>
            <w:tcBorders>
              <w:top w:val="single" w:sz="8" w:color="D5EFF4"/>
            </w:tcBorders>
          </w:tcPr>
          <w:p>
            <w:pPr>
              <w:spacing w:after="0"/>
              <w:rPr>
                <w:sz w:val="19"/>
                <w:szCs w:val="19"/>
                <w:color w:val="auto"/>
              </w:rPr>
            </w:pPr>
          </w:p>
        </w:tc>
        <w:tc>
          <w:tcPr>
            <w:tcW w:w="20" w:type="dxa"/>
            <w:vAlign w:val="bottom"/>
            <w:tcBorders>
              <w:top w:val="single" w:sz="8" w:color="D5EFF4"/>
            </w:tcBorders>
          </w:tcPr>
          <w:p>
            <w:pPr>
              <w:spacing w:after="0"/>
              <w:rPr>
                <w:sz w:val="19"/>
                <w:szCs w:val="19"/>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tcPr>
          <w:p>
            <w:pPr>
              <w:ind w:left="9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D5EFF4"/>
            </w:tcBorders>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
        </w:trPr>
        <w:tc>
          <w:tcPr>
            <w:tcW w:w="4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-1362710</wp:posOffset>
            </wp:positionV>
            <wp:extent cx="722058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437">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-22860</wp:posOffset>
            </wp:positionV>
            <wp:extent cx="722058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438">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Ashland’s defined benefit pension plans hold a variety of investments that are designed to diversity risk. Ashland’s pension plan assets are generally classified within Level 1 or Level 2 of the fair value hierarchy because they are valued using quoted market prices in active markets, broker or dealer quotations, or alternative pricing sources, primarily matrix pricing, with reasonable levels of price transparency, however, certain pension plan assets are classified within Level 3 of the fair value hierarchy if they have significant unobservable inputs. The types of financial instruments based on quoted market prices in active markets include cash and cash equivalents (money market securities). Such instruments are classified within Level 1 of the fair value hierarchy. Ashland does not adjust the quoted market price for such financial instruments. The types of financial instruments valued based on quoted market prices in markets that are not active, broker or dealer quotations, or alternative pricing sources with reasonable levels of price transparency include common collective trust funds (“CCTs”) and insurance contracts at or near inception. Such financial instruments are generally classified within Level 2 for the fair value hierarchy. Insurance contracts after inception based on values from third-party insurers with limited level of transparency, are generally classified within Level 3 of the fair value hierarchy.</w:t>
      </w:r>
    </w:p>
    <w:p>
      <w:pPr>
        <w:spacing w:after="0" w:line="89" w:lineRule="exact"/>
        <w:rPr>
          <w:sz w:val="20"/>
          <w:szCs w:val="20"/>
          <w:color w:val="auto"/>
        </w:rPr>
      </w:pPr>
    </w:p>
    <w:p>
      <w:pPr>
        <w:jc w:val="both"/>
        <w:ind w:right="20" w:firstLine="360"/>
        <w:spacing w:after="0" w:line="295" w:lineRule="auto"/>
        <w:rPr>
          <w:sz w:val="20"/>
          <w:szCs w:val="20"/>
          <w:color w:val="auto"/>
        </w:rPr>
      </w:pPr>
      <w:r>
        <w:rPr>
          <w:rFonts w:ascii="Times New Roman" w:cs="Times New Roman" w:eastAsia="Times New Roman" w:hAnsi="Times New Roman"/>
          <w:sz w:val="20"/>
          <w:szCs w:val="20"/>
          <w:color w:val="auto"/>
        </w:rPr>
        <w:t>The CCTs are valued at net asset value ("NAV") provided by the respective fund administrators as there is not an active market for CCTs. The Company has determined that the NAV is an appropriate estimate of the fair value of the CCTs at September 30, 2025 and 2024, because the CCTs are audited and accounted for at fair value by the administrators of the respective CCTs. The underlying assets in the CCTs consist primarily of marketable debt and equity securities based on the respective fund administrator’s investment strategy. Given there are no significant liquidity restrictions on any of the CCTs as of September 30, 2025 or 2024, the Company has determined that the CCTs are classified within Level 2 of the fair value hierarchy.</w:t>
      </w:r>
    </w:p>
    <w:p>
      <w:pPr>
        <w:sectPr>
          <w:pgSz w:w="12240" w:h="15840" w:orient="portrait"/>
          <w:cols w:equalWidth="0" w:num="1">
            <w:col w:w="11380"/>
          </w:cols>
          <w:pgMar w:left="440" w:top="926" w:right="4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11380"/>
          </w:cols>
          <w:pgMar w:left="440" w:top="926" w:right="420" w:bottom="186" w:gutter="0" w:footer="0" w:header="0"/>
          <w:type w:val="continuous"/>
        </w:sectPr>
      </w:pPr>
    </w:p>
    <w:bookmarkStart w:id="141" w:name="page142"/>
    <w:bookmarkEnd w:id="141"/>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Insurance contracts represent qualified insurance contracts (“buy in”) with a third-party insurer that were executed by Ashland for certain non-US defined benefit pension plans. The buy in insurance contracts replaced certain assets historically held by the defined benefit pension plans and as a result the longevity and investments risks for certain of these non-US defined benefit pension plans have been transferred to the respective insurers. The projected benefit obligations related to these non-US defined benefit pension plans remain on the Consolidated Balance Sheets but are insured through these buy in insurance contracts.</w:t>
      </w:r>
    </w:p>
    <w:p>
      <w:pPr>
        <w:spacing w:after="0" w:line="77" w:lineRule="exact"/>
        <w:rPr>
          <w:sz w:val="20"/>
          <w:szCs w:val="20"/>
          <w:color w:val="auto"/>
        </w:rPr>
      </w:pPr>
    </w:p>
    <w:p>
      <w:pPr>
        <w:jc w:val="both"/>
        <w:ind w:firstLine="360"/>
        <w:spacing w:after="0" w:line="291" w:lineRule="auto"/>
        <w:rPr>
          <w:sz w:val="20"/>
          <w:szCs w:val="20"/>
          <w:color w:val="auto"/>
        </w:rPr>
      </w:pPr>
      <w:r>
        <w:rPr>
          <w:rFonts w:ascii="Times New Roman" w:cs="Times New Roman" w:eastAsia="Times New Roman" w:hAnsi="Times New Roman"/>
          <w:sz w:val="20"/>
          <w:szCs w:val="20"/>
          <w:color w:val="auto"/>
        </w:rPr>
        <w:t>The fair value of the insurance contracts is initially based on the purchase price (premium) of the insurance contact which is based on a competitive quoted price in a market that is not active (i.e. among multiple insurance companies) and not less than the Company’s actuarially determined projected benefit obligation, which is consistent with a Level 2 measurement of the fair value hierarchy (and was the case at September 30, 2024). Subsequent fair value measurements, including at September 30, 2025, of the insurance contracts are based on the insurance contracts exit value (the amount at which the insurance contracts could be sold to another third-party insurer). The exit price, or fair value, is determined by the third-party insurers using assumptions similar to that of the related projected benefit obligations and include significant unobservable inputs such as the defined benefit pension plans demographic data, internal insurance company determined margin requirements and proprietary discount rates. As a result, and after the period in which the buy in insurance contracts are entered into, the Company has determined that the insurance contracts are classified with Level 3 of the fair value hierarchy. The fair value of the insurance contracts at September 30, 2024 was $157 million. During the year ended September 30, 2025, cash payments made under the insurance contracts were $9 million, additional employer contributions were $6 million and the change in fair value based on the insurers internally developed valuation models was $9 million, which represented a decrease in the actual return on plan assets, resulting in fair value of the insurance contracts of $145 million at September 30, 2025.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and Strategy</w:t>
      </w:r>
    </w:p>
    <w:p>
      <w:pPr>
        <w:spacing w:after="0" w:line="164"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In developing an investment strategy for its defined benefit pension plans, Ashland has considered the following factors: the nature of the plans’ liabilities, the allocation of liabilities between active, deferred and retired members, the funded status of the plans, the applicable investment horizon, the respective size of the plans and historical and expected capital market returns. Ashland’s U.S. pension plan assets are managed by outside investment managers, which are monitored against investment return benchmarks and Ashland’s established investment strategy. Investment managers are selected based on an analysis of, among other things, their investment process, historical investment results, frequency of management turnover, cost structure and assets under management. Assets are periodically reallocated between investment managers to maintain an appropriate asset mix and diversification of investments and to optimize returns.</w:t>
      </w:r>
    </w:p>
    <w:p>
      <w:pPr>
        <w:spacing w:after="0" w:line="8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The current asset allocation for the U.S. plans is 51% fixed income, 36% equity and 13% other. Fixed income primarily includes long duration corporate debt obligations and U.S. government debt obligations. Equity primarily includes public equity investments. Investment managers may employ a limited use of derivatives to gain efficient exposure to markets.</w:t>
      </w:r>
    </w:p>
    <w:p>
      <w:pPr>
        <w:spacing w:after="0" w:line="68"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Ashland’s investment strategy and management practices relative to pension plan assets of non-U.S. plans generally are consistent with those for U.S. plans, except in those countries where investment of pension plan assets is dictated by applicable regulations. Although the investment allocation may vary based on funding percentages and whether plans are still accruing additional liabilities, the weighted-average asset allocations for Ashland’s U.S. and non-U.S. plans at September 30 by asset category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45085</wp:posOffset>
            </wp:positionV>
            <wp:extent cx="7242810"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439">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960" w:type="dxa"/>
            <w:vAlign w:val="bottom"/>
            <w:gridSpan w:val="2"/>
            <w:vMerge w:val="restart"/>
          </w:tcPr>
          <w:p>
            <w:pPr>
              <w:jc w:val="center"/>
              <w:ind w:left="1860"/>
              <w:spacing w:after="0"/>
              <w:rPr>
                <w:sz w:val="20"/>
                <w:szCs w:val="20"/>
                <w:color w:val="auto"/>
              </w:rPr>
            </w:pPr>
            <w:r>
              <w:rPr>
                <w:rFonts w:ascii="Times New Roman" w:cs="Times New Roman" w:eastAsia="Times New Roman" w:hAnsi="Times New Roman"/>
                <w:sz w:val="20"/>
                <w:szCs w:val="20"/>
                <w:color w:val="auto"/>
                <w:w w:val="99"/>
              </w:rPr>
              <w:t>Target</w:t>
            </w:r>
          </w:p>
        </w:tc>
        <w:tc>
          <w:tcPr>
            <w:tcW w:w="228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20"/>
                <w:szCs w:val="20"/>
                <w:color w:val="auto"/>
              </w:rPr>
              <w:t>Actual</w:t>
            </w: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60" w:type="dxa"/>
            <w:vAlign w:val="bottom"/>
            <w:vMerge w:val="continue"/>
          </w:tcPr>
          <w:p>
            <w:pPr>
              <w:spacing w:after="0"/>
              <w:rPr>
                <w:sz w:val="20"/>
                <w:szCs w:val="20"/>
                <w:color w:val="auto"/>
              </w:rPr>
            </w:pPr>
          </w:p>
        </w:tc>
        <w:tc>
          <w:tcPr>
            <w:tcW w:w="3960" w:type="dxa"/>
            <w:vAlign w:val="bottom"/>
            <w:gridSpan w:val="2"/>
            <w:vMerge w:val="continue"/>
          </w:tcPr>
          <w:p>
            <w:pPr>
              <w:spacing w:after="0"/>
              <w:rPr>
                <w:sz w:val="20"/>
                <w:szCs w:val="20"/>
                <w:color w:val="auto"/>
              </w:rPr>
            </w:pPr>
          </w:p>
        </w:tc>
        <w:tc>
          <w:tcPr>
            <w:tcW w:w="180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Equity</w:t>
            </w:r>
          </w:p>
        </w:tc>
        <w:tc>
          <w:tcPr>
            <w:tcW w:w="3960" w:type="dxa"/>
            <w:vAlign w:val="bottom"/>
            <w:gridSpan w:val="2"/>
            <w:shd w:val="clear" w:color="auto" w:fill="D4EFF4"/>
          </w:tcPr>
          <w:p>
            <w:pPr>
              <w:jc w:val="right"/>
              <w:ind w:right="600"/>
              <w:spacing w:after="0"/>
              <w:rPr>
                <w:sz w:val="20"/>
                <w:szCs w:val="20"/>
                <w:color w:val="auto"/>
              </w:rPr>
            </w:pPr>
            <w:r>
              <w:rPr>
                <w:rFonts w:ascii="Times New Roman" w:cs="Times New Roman" w:eastAsia="Times New Roman" w:hAnsi="Times New Roman"/>
                <w:sz w:val="20"/>
                <w:szCs w:val="20"/>
                <w:color w:val="auto"/>
              </w:rPr>
              <w:t>5 - 45%</w:t>
            </w:r>
          </w:p>
        </w:tc>
        <w:tc>
          <w:tcPr>
            <w:tcW w:w="18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60" w:type="dxa"/>
            <w:vAlign w:val="bottom"/>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460" w:type="dxa"/>
            <w:vAlign w:val="bottom"/>
            <w:gridSpan w:val="2"/>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Fixed income</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- 95%</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44"/>
        </w:trPr>
        <w:tc>
          <w:tcPr>
            <w:tcW w:w="3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Other</w:t>
            </w:r>
          </w:p>
        </w:tc>
        <w:tc>
          <w:tcPr>
            <w:tcW w:w="28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140" w:type="dxa"/>
            <w:vAlign w:val="bottom"/>
            <w:shd w:val="clear" w:color="auto" w:fill="D4EFF4"/>
          </w:tcPr>
          <w:p>
            <w:pPr>
              <w:ind w:left="20"/>
              <w:spacing w:after="0"/>
              <w:rPr>
                <w:sz w:val="20"/>
                <w:szCs w:val="20"/>
                <w:color w:val="auto"/>
              </w:rPr>
            </w:pPr>
            <w:r>
              <w:rPr>
                <w:rFonts w:ascii="Times New Roman" w:cs="Times New Roman" w:eastAsia="Times New Roman" w:hAnsi="Times New Roman"/>
                <w:sz w:val="20"/>
                <w:szCs w:val="20"/>
                <w:color w:val="auto"/>
              </w:rPr>
              <w:t>- 5%</w:t>
            </w:r>
          </w:p>
        </w:tc>
        <w:tc>
          <w:tcPr>
            <w:tcW w:w="18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shd w:val="clear" w:color="auto" w:fill="D4EFF4"/>
          </w:tcPr>
          <w:p>
            <w:pPr>
              <w:spacing w:after="0"/>
              <w:rPr>
                <w:sz w:val="21"/>
                <w:szCs w:val="21"/>
                <w:color w:val="auto"/>
              </w:rPr>
            </w:pPr>
          </w:p>
        </w:tc>
        <w:tc>
          <w:tcPr>
            <w:tcW w:w="320" w:type="dxa"/>
            <w:vAlign w:val="bottom"/>
            <w:tcBorders>
              <w:bottom w:val="single" w:sz="8" w:color="auto"/>
            </w:tcBorders>
            <w:shd w:val="clear" w:color="auto" w:fill="D4EFF4"/>
          </w:tcPr>
          <w:p>
            <w:pPr>
              <w:spacing w:after="0"/>
              <w:rPr>
                <w:sz w:val="21"/>
                <w:szCs w:val="21"/>
                <w:color w:val="auto"/>
              </w:rPr>
            </w:pPr>
          </w:p>
        </w:tc>
        <w:tc>
          <w:tcPr>
            <w:tcW w:w="1460" w:type="dxa"/>
            <w:vAlign w:val="bottom"/>
            <w:tcBorders>
              <w:bottom w:val="single" w:sz="8" w:color="auto"/>
            </w:tcBorders>
            <w:gridSpan w:val="2"/>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6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-23495</wp:posOffset>
            </wp:positionV>
            <wp:extent cx="7124700"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440">
                      <a:extLst>
                        <a:ext uri="{28A0092B-C50C-407E-A947-70E740481C1C}"/>
                      </a:extLst>
                    </a:blip>
                    <a:srcRect/>
                    <a:stretch>
                      <a:fillRect/>
                    </a:stretch>
                  </pic:blipFill>
                  <pic:spPr bwMode="auto">
                    <a:xfrm>
                      <a:off x="0" y="0"/>
                      <a:ext cx="7124700" cy="3810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7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During the years ended September 30, 2025 and 2024, Ashland contributed $6 million and $7 million to its U.S. pension plans, respectively, and $6 million and $8 million to its non-U.S. pension plans, respectively. Ashland expects to contribute approximately $5 million to its U.S. pension plans and expects to contribute approximately $6 million to its non-U.S. pension plans during 2026.</w:t>
      </w:r>
    </w:p>
    <w:p>
      <w:pPr>
        <w:sectPr>
          <w:pgSz w:w="12240" w:h="15840" w:orient="portrait"/>
          <w:cols w:equalWidth="0" w:num="1">
            <w:col w:w="11360"/>
          </w:cols>
          <w:pgMar w:left="440"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11360"/>
          </w:cols>
          <w:pgMar w:left="440" w:top="930" w:right="440" w:bottom="186" w:gutter="0" w:footer="0" w:header="0"/>
          <w:type w:val="continuous"/>
        </w:sectPr>
      </w:pPr>
    </w:p>
    <w:bookmarkStart w:id="142" w:name="page143"/>
    <w:bookmarkEnd w:id="142"/>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The following benefit payments, which reflect future service expectations, are projected to be paid from plan assets in each of the next five years and in aggregate for five years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29210</wp:posOffset>
            </wp:positionV>
            <wp:extent cx="722058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441">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center"/>
              <w:ind w:right="160"/>
              <w:spacing w:after="0" w:line="226" w:lineRule="exact"/>
              <w:rPr>
                <w:sz w:val="20"/>
                <w:szCs w:val="20"/>
                <w:color w:val="auto"/>
              </w:rPr>
            </w:pPr>
            <w:r>
              <w:rPr>
                <w:rFonts w:ascii="Times New Roman" w:cs="Times New Roman" w:eastAsia="Times New Roman" w:hAnsi="Times New Roman"/>
                <w:sz w:val="20"/>
                <w:szCs w:val="20"/>
                <w:color w:val="auto"/>
              </w:rPr>
              <w:t>Other</w:t>
            </w:r>
          </w:p>
        </w:tc>
        <w:tc>
          <w:tcPr>
            <w:tcW w:w="60" w:type="dxa"/>
            <w:vAlign w:val="bottom"/>
            <w:tcBorders>
              <w:top w:val="single" w:sz="8" w:color="auto"/>
            </w:tcBorders>
          </w:tcPr>
          <w:p>
            <w:pPr>
              <w:spacing w:after="0"/>
              <w:rPr>
                <w:sz w:val="19"/>
                <w:szCs w:val="19"/>
                <w:color w:val="auto"/>
              </w:rPr>
            </w:pPr>
          </w:p>
        </w:tc>
      </w:tr>
      <w:tr>
        <w:trPr>
          <w:trHeight w:val="230"/>
        </w:trPr>
        <w:tc>
          <w:tcPr>
            <w:tcW w:w="3980" w:type="dxa"/>
            <w:vAlign w:val="bottom"/>
          </w:tcPr>
          <w:p>
            <w:pPr>
              <w:spacing w:after="0"/>
              <w:rPr>
                <w:sz w:val="20"/>
                <w:szCs w:val="20"/>
                <w:color w:val="auto"/>
              </w:rPr>
            </w:pPr>
          </w:p>
        </w:tc>
        <w:tc>
          <w:tcPr>
            <w:tcW w:w="450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Pension</w:t>
            </w: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color w:val="auto"/>
                <w:w w:val="98"/>
              </w:rPr>
              <w:t>postretirement</w:t>
            </w:r>
          </w:p>
        </w:tc>
      </w:tr>
      <w:tr>
        <w:trPr>
          <w:trHeight w:val="249"/>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450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benefits</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color w:val="auto"/>
                <w:w w:val="97"/>
              </w:rPr>
              <w:t>benefits</w:t>
            </w:r>
          </w:p>
        </w:tc>
      </w:tr>
      <w:tr>
        <w:trPr>
          <w:trHeight w:val="225"/>
        </w:trPr>
        <w:tc>
          <w:tcPr>
            <w:tcW w:w="398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2026</w:t>
            </w:r>
          </w:p>
        </w:tc>
        <w:tc>
          <w:tcPr>
            <w:tcW w:w="4500" w:type="dxa"/>
            <w:vAlign w:val="bottom"/>
            <w:shd w:val="clear" w:color="auto" w:fill="D4EFF4"/>
          </w:tcPr>
          <w:p>
            <w:pPr>
              <w:jc w:val="right"/>
              <w:ind w:right="13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4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19</w:t>
            </w:r>
          </w:p>
        </w:tc>
        <w:tc>
          <w:tcPr>
            <w:tcW w:w="420" w:type="dxa"/>
            <w:vAlign w:val="bottom"/>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top w:val="single" w:sz="8" w:color="auto"/>
            </w:tcBorders>
            <w:shd w:val="clear" w:color="auto" w:fill="D4EFF4"/>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50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18</w:t>
            </w:r>
          </w:p>
        </w:tc>
        <w:tc>
          <w:tcPr>
            <w:tcW w:w="4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0"/>
                <w:szCs w:val="20"/>
                <w:color w:val="auto"/>
              </w:rPr>
            </w:pPr>
          </w:p>
        </w:tc>
      </w:tr>
      <w:tr>
        <w:trPr>
          <w:trHeight w:val="230"/>
        </w:trPr>
        <w:tc>
          <w:tcPr>
            <w:tcW w:w="39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2028</w:t>
            </w:r>
          </w:p>
        </w:tc>
        <w:tc>
          <w:tcPr>
            <w:tcW w:w="4500" w:type="dxa"/>
            <w:vAlign w:val="bottom"/>
            <w:shd w:val="clear" w:color="auto" w:fill="D4EFF4"/>
          </w:tcPr>
          <w:p>
            <w:pPr>
              <w:spacing w:after="0"/>
              <w:rPr>
                <w:sz w:val="20"/>
                <w:szCs w:val="20"/>
                <w:color w:val="auto"/>
              </w:rPr>
            </w:pPr>
          </w:p>
        </w:tc>
        <w:tc>
          <w:tcPr>
            <w:tcW w:w="64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18</w:t>
            </w:r>
          </w:p>
        </w:tc>
        <w:tc>
          <w:tcPr>
            <w:tcW w:w="420" w:type="dxa"/>
            <w:vAlign w:val="bottom"/>
            <w:shd w:val="clear" w:color="auto" w:fill="D4EFF4"/>
          </w:tcPr>
          <w:p>
            <w:pPr>
              <w:spacing w:after="0"/>
              <w:rPr>
                <w:sz w:val="20"/>
                <w:szCs w:val="20"/>
                <w:color w:val="auto"/>
              </w:rPr>
            </w:pPr>
          </w:p>
        </w:tc>
        <w:tc>
          <w:tcPr>
            <w:tcW w:w="17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D4EFF4"/>
          </w:tcPr>
          <w:p>
            <w:pPr>
              <w:spacing w:after="0"/>
              <w:rPr>
                <w:sz w:val="20"/>
                <w:szCs w:val="20"/>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450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19</w:t>
            </w:r>
          </w:p>
        </w:tc>
        <w:tc>
          <w:tcPr>
            <w:tcW w:w="4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0"/>
                <w:szCs w:val="20"/>
                <w:color w:val="auto"/>
              </w:rPr>
            </w:pPr>
          </w:p>
        </w:tc>
      </w:tr>
      <w:tr>
        <w:trPr>
          <w:trHeight w:val="230"/>
        </w:trPr>
        <w:tc>
          <w:tcPr>
            <w:tcW w:w="39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2030</w:t>
            </w:r>
          </w:p>
        </w:tc>
        <w:tc>
          <w:tcPr>
            <w:tcW w:w="4500" w:type="dxa"/>
            <w:vAlign w:val="bottom"/>
            <w:shd w:val="clear" w:color="auto" w:fill="D4EFF4"/>
          </w:tcPr>
          <w:p>
            <w:pPr>
              <w:spacing w:after="0"/>
              <w:rPr>
                <w:sz w:val="20"/>
                <w:szCs w:val="20"/>
                <w:color w:val="auto"/>
              </w:rPr>
            </w:pPr>
          </w:p>
        </w:tc>
        <w:tc>
          <w:tcPr>
            <w:tcW w:w="64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20</w:t>
            </w:r>
          </w:p>
        </w:tc>
        <w:tc>
          <w:tcPr>
            <w:tcW w:w="420" w:type="dxa"/>
            <w:vAlign w:val="bottom"/>
            <w:shd w:val="clear" w:color="auto" w:fill="D4EFF4"/>
          </w:tcPr>
          <w:p>
            <w:pPr>
              <w:spacing w:after="0"/>
              <w:rPr>
                <w:sz w:val="20"/>
                <w:szCs w:val="20"/>
                <w:color w:val="auto"/>
              </w:rPr>
            </w:pPr>
          </w:p>
        </w:tc>
        <w:tc>
          <w:tcPr>
            <w:tcW w:w="17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D4EFF4"/>
          </w:tcPr>
          <w:p>
            <w:pPr>
              <w:spacing w:after="0"/>
              <w:rPr>
                <w:sz w:val="20"/>
                <w:szCs w:val="20"/>
                <w:color w:val="auto"/>
              </w:rPr>
            </w:pPr>
          </w:p>
        </w:tc>
      </w:tr>
      <w:tr>
        <w:trPr>
          <w:trHeight w:val="266"/>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2031 - 2035</w:t>
            </w:r>
          </w:p>
        </w:tc>
        <w:tc>
          <w:tcPr>
            <w:tcW w:w="4500" w:type="dxa"/>
            <w:vAlign w:val="bottom"/>
          </w:tcPr>
          <w:p>
            <w:pPr>
              <w:spacing w:after="0"/>
              <w:rPr>
                <w:sz w:val="23"/>
                <w:szCs w:val="23"/>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101</w:t>
            </w:r>
          </w:p>
        </w:tc>
        <w:tc>
          <w:tcPr>
            <w:tcW w:w="4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3"/>
                <w:szCs w:val="23"/>
                <w:color w:val="auto"/>
              </w:rPr>
            </w:pPr>
          </w:p>
        </w:tc>
      </w:tr>
      <w:tr>
        <w:trPr>
          <w:trHeight w:val="33"/>
        </w:trPr>
        <w:tc>
          <w:tcPr>
            <w:tcW w:w="3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-953135</wp:posOffset>
            </wp:positionV>
            <wp:extent cx="722058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442">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-23495</wp:posOffset>
            </wp:positionV>
            <wp:extent cx="722058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443">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plans</w:t>
      </w:r>
    </w:p>
    <w:p>
      <w:pPr>
        <w:spacing w:after="0" w:line="170" w:lineRule="exact"/>
        <w:rPr>
          <w:sz w:val="20"/>
          <w:szCs w:val="20"/>
          <w:color w:val="auto"/>
        </w:rPr>
      </w:pPr>
    </w:p>
    <w:p>
      <w:pPr>
        <w:jc w:val="both"/>
        <w:ind w:firstLine="360"/>
        <w:spacing w:after="0" w:line="295" w:lineRule="auto"/>
        <w:rPr>
          <w:sz w:val="20"/>
          <w:szCs w:val="20"/>
          <w:color w:val="auto"/>
        </w:rPr>
      </w:pPr>
      <w:r>
        <w:rPr>
          <w:rFonts w:ascii="Times New Roman" w:cs="Times New Roman" w:eastAsia="Times New Roman" w:hAnsi="Times New Roman"/>
          <w:sz w:val="20"/>
          <w:szCs w:val="20"/>
          <w:color w:val="auto"/>
        </w:rPr>
        <w:t>Ashland sponsors savings plans to assist eligible employees in providing for retirement or other future needs. Under such plans, Company contributions amounted to $21 million in both 2025 and 2024, and $23 million 2023, respectively. These contributions are expensed according to the consolidated financial statement line based on the employee's role within Ashland, which is either cost of sales, selling, general and administrative expense, or research and development expense within the Statements of Consolidated Comprehensive Income (Loss). Ashland also sponsors various other employee benefit plans, some of which are required by different countries. The total noncurrent liabilities associated with these plans was $4 million for both September 30, 2025 and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M – LITIGATION, CLAIMS AND CONTINGENCIES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Asbestos litigation</w:t>
      </w:r>
    </w:p>
    <w:p>
      <w:pPr>
        <w:spacing w:after="0" w:line="170"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Ashland and Hercules have liabilities from claims alleging personal injury caused by exposure to asbestos. To assist in developing and annually updating independent reserve estimates for future asbestos claims and related costs, Ashland has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 litigation reserves and receivables are recorded on an after-tax basis within the discontinued operations caption in the Statements of Consolidated Comprehensive Income (Loss).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litigation</w:t>
      </w:r>
    </w:p>
    <w:p>
      <w:pPr>
        <w:spacing w:after="0" w:line="164"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 A summary of Ashland asbestos claims activity, excluding Hercules claims, is as follows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45085</wp:posOffset>
            </wp:positionV>
            <wp:extent cx="7207250"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444">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150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2025</w:t>
            </w: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154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6600" w:type="dxa"/>
            <w:vAlign w:val="bottom"/>
            <w:gridSpan w:val="2"/>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Open claims - beginning of year</w:t>
            </w:r>
          </w:p>
        </w:tc>
        <w:tc>
          <w:tcPr>
            <w:tcW w:w="150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41</w:t>
            </w:r>
          </w:p>
        </w:tc>
        <w:tc>
          <w:tcPr>
            <w:tcW w:w="1640" w:type="dxa"/>
            <w:vAlign w:val="bottom"/>
            <w:gridSpan w:val="3"/>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42</w:t>
            </w:r>
          </w:p>
        </w:tc>
        <w:tc>
          <w:tcPr>
            <w:tcW w:w="1540" w:type="dxa"/>
            <w:vAlign w:val="bottom"/>
            <w:gridSpan w:val="3"/>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44</w:t>
            </w:r>
          </w:p>
        </w:tc>
        <w:tc>
          <w:tcPr>
            <w:tcW w:w="80" w:type="dxa"/>
            <w:vAlign w:val="bottom"/>
            <w:shd w:val="clear" w:color="auto" w:fill="D4EFF4"/>
          </w:tcPr>
          <w:p>
            <w:pPr>
              <w:spacing w:after="0"/>
              <w:rPr>
                <w:sz w:val="19"/>
                <w:szCs w:val="19"/>
                <w:color w:val="auto"/>
              </w:rPr>
            </w:pP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New claims filed</w:t>
            </w: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0"/>
                <w:szCs w:val="20"/>
                <w:color w:val="auto"/>
              </w:rPr>
            </w:pPr>
          </w:p>
        </w:tc>
      </w:tr>
      <w:tr>
        <w:trPr>
          <w:trHeight w:val="230"/>
        </w:trPr>
        <w:tc>
          <w:tcPr>
            <w:tcW w:w="660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Claims settled</w:t>
            </w:r>
          </w:p>
        </w:tc>
        <w:tc>
          <w:tcPr>
            <w:tcW w:w="150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gridSpan w:val="3"/>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620" w:type="dxa"/>
            <w:vAlign w:val="bottom"/>
            <w:gridSpan w:val="4"/>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Claims dismissed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r>
      <w:tr>
        <w:trPr>
          <w:trHeight w:val="225"/>
        </w:trPr>
        <w:tc>
          <w:tcPr>
            <w:tcW w:w="6600" w:type="dxa"/>
            <w:vAlign w:val="bottom"/>
            <w:tcBorders>
              <w:top w:val="single" w:sz="8" w:color="D4EFF4"/>
            </w:tcBorders>
            <w:gridSpan w:val="2"/>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Open claims - end of year</w:t>
            </w:r>
          </w:p>
        </w:tc>
        <w:tc>
          <w:tcPr>
            <w:tcW w:w="1500" w:type="dxa"/>
            <w:vAlign w:val="bottom"/>
            <w:tcBorders>
              <w:top w:val="single" w:sz="8" w:color="auto"/>
            </w:tcBorders>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40</w:t>
            </w:r>
          </w:p>
        </w:tc>
        <w:tc>
          <w:tcPr>
            <w:tcW w:w="140" w:type="dxa"/>
            <w:vAlign w:val="bottom"/>
            <w:tcBorders>
              <w:top w:val="single" w:sz="8" w:color="D4EFF4"/>
            </w:tcBorders>
            <w:shd w:val="clear" w:color="auto" w:fill="D4EFF4"/>
          </w:tcPr>
          <w:p>
            <w:pPr>
              <w:spacing w:after="0"/>
              <w:rPr>
                <w:sz w:val="19"/>
                <w:szCs w:val="19"/>
                <w:color w:val="auto"/>
              </w:rPr>
            </w:pPr>
          </w:p>
        </w:tc>
        <w:tc>
          <w:tcPr>
            <w:tcW w:w="20" w:type="dxa"/>
            <w:vAlign w:val="bottom"/>
            <w:tcBorders>
              <w:top w:val="single" w:sz="8" w:color="D4EFF4"/>
            </w:tcBorders>
            <w:shd w:val="clear" w:color="auto" w:fill="D4EFF4"/>
          </w:tcPr>
          <w:p>
            <w:pPr>
              <w:spacing w:after="0"/>
              <w:rPr>
                <w:sz w:val="19"/>
                <w:szCs w:val="19"/>
                <w:color w:val="auto"/>
              </w:rPr>
            </w:pPr>
          </w:p>
        </w:tc>
        <w:tc>
          <w:tcPr>
            <w:tcW w:w="1480" w:type="dxa"/>
            <w:vAlign w:val="bottom"/>
            <w:tcBorders>
              <w:top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41</w:t>
            </w:r>
          </w:p>
        </w:tc>
        <w:tc>
          <w:tcPr>
            <w:tcW w:w="140" w:type="dxa"/>
            <w:vAlign w:val="bottom"/>
            <w:tcBorders>
              <w:top w:val="single" w:sz="8" w:color="D4EFF4"/>
            </w:tcBorders>
            <w:shd w:val="clear" w:color="auto" w:fill="D4EFF4"/>
          </w:tcPr>
          <w:p>
            <w:pPr>
              <w:spacing w:after="0"/>
              <w:rPr>
                <w:sz w:val="19"/>
                <w:szCs w:val="19"/>
                <w:color w:val="auto"/>
              </w:rPr>
            </w:pPr>
          </w:p>
        </w:tc>
        <w:tc>
          <w:tcPr>
            <w:tcW w:w="20" w:type="dxa"/>
            <w:vAlign w:val="bottom"/>
            <w:tcBorders>
              <w:top w:val="single" w:sz="8" w:color="D4EFF4"/>
            </w:tcBorders>
            <w:shd w:val="clear" w:color="auto" w:fill="D4EFF4"/>
          </w:tcPr>
          <w:p>
            <w:pPr>
              <w:spacing w:after="0"/>
              <w:rPr>
                <w:sz w:val="19"/>
                <w:szCs w:val="19"/>
                <w:color w:val="auto"/>
              </w:rPr>
            </w:pPr>
          </w:p>
        </w:tc>
        <w:tc>
          <w:tcPr>
            <w:tcW w:w="1380" w:type="dxa"/>
            <w:vAlign w:val="bottom"/>
            <w:tcBorders>
              <w:top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42</w:t>
            </w:r>
          </w:p>
        </w:tc>
        <w:tc>
          <w:tcPr>
            <w:tcW w:w="80" w:type="dxa"/>
            <w:vAlign w:val="bottom"/>
            <w:tcBorders>
              <w:top w:val="single" w:sz="8" w:color="auto"/>
            </w:tcBorders>
            <w:shd w:val="clear" w:color="auto" w:fill="D4EFF4"/>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54"/>
        </w:trPr>
        <w:tc>
          <w:tcPr>
            <w:tcW w:w="6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-844550</wp:posOffset>
            </wp:positionV>
            <wp:extent cx="7207250"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445">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-23495</wp:posOffset>
            </wp:positionV>
            <wp:extent cx="7207250"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46">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liability</w:t>
      </w:r>
    </w:p>
    <w:p>
      <w:pPr>
        <w:spacing w:after="0" w:line="164"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ectPr>
          <w:pgSz w:w="12240" w:h="15840" w:orient="portrait"/>
          <w:cols w:equalWidth="0" w:num="1">
            <w:col w:w="11360"/>
          </w:cols>
          <w:pgMar w:left="440"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F-41</w:t>
      </w:r>
    </w:p>
    <w:p>
      <w:pPr>
        <w:sectPr>
          <w:pgSz w:w="12240" w:h="15840" w:orient="portrait"/>
          <w:cols w:equalWidth="0" w:num="1">
            <w:col w:w="11360"/>
          </w:cols>
          <w:pgMar w:left="440" w:top="930" w:right="440" w:bottom="186" w:gutter="0" w:footer="0" w:header="0"/>
          <w:type w:val="continuous"/>
        </w:sectPr>
      </w:pPr>
    </w:p>
    <w:bookmarkStart w:id="143" w:name="page144"/>
    <w:bookmarkEnd w:id="143"/>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During the most recent update completed during 2025, it was determined that the liability for Ashland asbestos-related claims should be increased by $16 million. Total reserves for asbestos claims were $258 million at September 30, 2025 compared to $274 million at September 30, 2024.</w:t>
      </w:r>
    </w:p>
    <w:p>
      <w:pPr>
        <w:spacing w:after="0" w:line="6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A progression of activity in the asbestos litigation reserves for the years ended September 30,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19137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44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40" w:type="dxa"/>
            <w:vAlign w:val="bottom"/>
          </w:tcPr>
          <w:p>
            <w:pPr>
              <w:spacing w:after="0"/>
              <w:rPr>
                <w:sz w:val="21"/>
                <w:szCs w:val="21"/>
                <w:color w:val="auto"/>
              </w:rPr>
            </w:pPr>
          </w:p>
        </w:tc>
        <w:tc>
          <w:tcPr>
            <w:tcW w:w="140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tcBorders>
              <w:top w:val="single" w:sz="8" w:color="auto"/>
              <w:bottom w:val="single" w:sz="8" w:color="auto"/>
            </w:tcBorders>
          </w:tcPr>
          <w:p>
            <w:pPr>
              <w:spacing w:after="0"/>
              <w:rPr>
                <w:sz w:val="21"/>
                <w:szCs w:val="21"/>
                <w:color w:val="auto"/>
              </w:rPr>
            </w:pPr>
          </w:p>
        </w:tc>
      </w:tr>
      <w:tr>
        <w:trPr>
          <w:trHeight w:val="225"/>
        </w:trPr>
        <w:tc>
          <w:tcPr>
            <w:tcW w:w="5740" w:type="dxa"/>
            <w:vAlign w:val="bottom"/>
            <w:gridSpan w:val="2"/>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Asbestos reserve - beginning of year</w:t>
            </w:r>
          </w:p>
        </w:tc>
        <w:tc>
          <w:tcPr>
            <w:tcW w:w="340" w:type="dxa"/>
            <w:vAlign w:val="bottom"/>
            <w:shd w:val="clear" w:color="auto" w:fill="D5EFF4"/>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274</w:t>
            </w:r>
          </w:p>
        </w:tc>
        <w:tc>
          <w:tcPr>
            <w:tcW w:w="560" w:type="dxa"/>
            <w:vAlign w:val="bottom"/>
            <w:gridSpan w:val="3"/>
            <w:shd w:val="clear" w:color="auto" w:fill="D5EFF4"/>
          </w:tcPr>
          <w:p>
            <w:pPr>
              <w:jc w:val="right"/>
              <w:ind w:right="175"/>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281</w:t>
            </w:r>
          </w:p>
        </w:tc>
        <w:tc>
          <w:tcPr>
            <w:tcW w:w="560" w:type="dxa"/>
            <w:vAlign w:val="bottom"/>
            <w:gridSpan w:val="3"/>
            <w:shd w:val="clear" w:color="auto" w:fill="D5EFF4"/>
          </w:tcPr>
          <w:p>
            <w:pPr>
              <w:jc w:val="right"/>
              <w:ind w:right="175"/>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305</w:t>
            </w:r>
          </w:p>
        </w:tc>
        <w:tc>
          <w:tcPr>
            <w:tcW w:w="100" w:type="dxa"/>
            <w:vAlign w:val="bottom"/>
            <w:shd w:val="clear" w:color="auto" w:fill="D5EFF4"/>
          </w:tcPr>
          <w:p>
            <w:pPr>
              <w:spacing w:after="0"/>
              <w:rPr>
                <w:sz w:val="19"/>
                <w:szCs w:val="19"/>
                <w:color w:val="auto"/>
              </w:rPr>
            </w:pPr>
          </w:p>
        </w:tc>
      </w:tr>
      <w:tr>
        <w:trPr>
          <w:trHeight w:val="230"/>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Reserve adjustment</w:t>
            </w:r>
          </w:p>
        </w:tc>
        <w:tc>
          <w:tcPr>
            <w:tcW w:w="34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20"/>
                <w:szCs w:val="20"/>
                <w:color w:val="auto"/>
              </w:rPr>
            </w:pPr>
          </w:p>
        </w:tc>
      </w:tr>
      <w:tr>
        <w:trPr>
          <w:trHeight w:val="230"/>
        </w:trPr>
        <w:tc>
          <w:tcPr>
            <w:tcW w:w="5740" w:type="dxa"/>
            <w:vAlign w:val="bottom"/>
            <w:gridSpan w:val="2"/>
            <w:shd w:val="clear" w:color="auto" w:fill="D5EFF4"/>
          </w:tcPr>
          <w:p>
            <w:pPr>
              <w:spacing w:after="0"/>
              <w:rPr>
                <w:sz w:val="20"/>
                <w:szCs w:val="20"/>
                <w:color w:val="auto"/>
              </w:rPr>
            </w:pPr>
            <w:r>
              <w:rPr>
                <w:rFonts w:ascii="Times New Roman" w:cs="Times New Roman" w:eastAsia="Times New Roman" w:hAnsi="Times New Roman"/>
                <w:sz w:val="20"/>
                <w:szCs w:val="20"/>
                <w:color w:val="auto"/>
              </w:rPr>
              <w:t>Amounts paid</w:t>
            </w:r>
          </w:p>
        </w:tc>
        <w:tc>
          <w:tcPr>
            <w:tcW w:w="340" w:type="dxa"/>
            <w:vAlign w:val="bottom"/>
            <w:tcBorders>
              <w:bottom w:val="single" w:sz="8" w:color="auto"/>
            </w:tcBorders>
            <w:shd w:val="clear" w:color="auto" w:fill="D5EFF4"/>
          </w:tcPr>
          <w:p>
            <w:pPr>
              <w:spacing w:after="0"/>
              <w:rPr>
                <w:sz w:val="20"/>
                <w:szCs w:val="20"/>
                <w:color w:val="auto"/>
              </w:rPr>
            </w:pPr>
          </w:p>
        </w:tc>
        <w:tc>
          <w:tcPr>
            <w:tcW w:w="14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0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340" w:type="dxa"/>
            <w:vAlign w:val="bottom"/>
            <w:tcBorders>
              <w:bottom w:val="single" w:sz="8" w:color="auto"/>
            </w:tcBorders>
            <w:shd w:val="clear" w:color="auto" w:fill="D5EFF4"/>
          </w:tcPr>
          <w:p>
            <w:pPr>
              <w:spacing w:after="0"/>
              <w:rPr>
                <w:sz w:val="20"/>
                <w:szCs w:val="20"/>
                <w:color w:val="auto"/>
              </w:rPr>
            </w:pPr>
          </w:p>
        </w:tc>
        <w:tc>
          <w:tcPr>
            <w:tcW w:w="13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shd w:val="clear" w:color="auto" w:fill="D5EFF4"/>
          </w:tcPr>
          <w:p>
            <w:pPr>
              <w:spacing w:after="0"/>
              <w:rPr>
                <w:sz w:val="20"/>
                <w:szCs w:val="20"/>
                <w:color w:val="auto"/>
              </w:rPr>
            </w:pPr>
          </w:p>
        </w:tc>
        <w:tc>
          <w:tcPr>
            <w:tcW w:w="20" w:type="dxa"/>
            <w:vAlign w:val="bottom"/>
            <w:shd w:val="clear" w:color="auto" w:fill="D5EFF4"/>
          </w:tcPr>
          <w:p>
            <w:pPr>
              <w:spacing w:after="0"/>
              <w:rPr>
                <w:sz w:val="20"/>
                <w:szCs w:val="20"/>
                <w:color w:val="auto"/>
              </w:rPr>
            </w:pPr>
          </w:p>
        </w:tc>
        <w:tc>
          <w:tcPr>
            <w:tcW w:w="340" w:type="dxa"/>
            <w:vAlign w:val="bottom"/>
            <w:tcBorders>
              <w:bottom w:val="single" w:sz="8" w:color="auto"/>
            </w:tcBorders>
            <w:shd w:val="clear" w:color="auto" w:fill="D5EFF4"/>
          </w:tcPr>
          <w:p>
            <w:pPr>
              <w:spacing w:after="0"/>
              <w:rPr>
                <w:sz w:val="20"/>
                <w:szCs w:val="20"/>
                <w:color w:val="auto"/>
              </w:rPr>
            </w:pPr>
          </w:p>
        </w:tc>
        <w:tc>
          <w:tcPr>
            <w:tcW w:w="1380" w:type="dxa"/>
            <w:vAlign w:val="bottom"/>
            <w:tcBorders>
              <w:bottom w:val="single" w:sz="8" w:color="auto"/>
            </w:tcBorders>
            <w:gridSpan w:val="2"/>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(33)</w:t>
            </w:r>
          </w:p>
        </w:tc>
      </w:tr>
      <w:tr>
        <w:trPr>
          <w:trHeight w:val="225"/>
        </w:trPr>
        <w:tc>
          <w:tcPr>
            <w:tcW w:w="574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color w:val="auto"/>
              </w:rPr>
              <w:t>Asbestos reserve - end of year</w:t>
            </w:r>
            <w:r>
              <w:rPr>
                <w:rFonts w:ascii="Times New Roman" w:cs="Times New Roman" w:eastAsia="Times New Roman" w:hAnsi="Times New Roman"/>
                <w:sz w:val="25"/>
                <w:szCs w:val="25"/>
                <w:color w:val="auto"/>
                <w:vertAlign w:val="superscript"/>
              </w:rPr>
              <w:t>(a)</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281</w:t>
            </w: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54"/>
        </w:trPr>
        <w:tc>
          <w:tcPr>
            <w:tcW w:w="57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-699135</wp:posOffset>
            </wp:positionV>
            <wp:extent cx="719137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448">
                      <a:extLst>
                        <a:ext uri="{28A0092B-C50C-407E-A947-70E740481C1C}"/>
                      </a:extLst>
                    </a:blip>
                    <a:srcRect/>
                    <a:stretch>
                      <a:fillRect/>
                    </a:stretch>
                  </pic:blipFill>
                  <pic:spPr bwMode="auto">
                    <a:xfrm>
                      <a:off x="0" y="0"/>
                      <a:ext cx="719137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19137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44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pacing w:after="0" w:line="5" w:lineRule="exact"/>
        <w:rPr>
          <w:sz w:val="20"/>
          <w:szCs w:val="20"/>
          <w:color w:val="auto"/>
        </w:rPr>
      </w:pPr>
    </w:p>
    <w:p>
      <w:pPr>
        <w:ind w:left="568" w:hanging="568"/>
        <w:spacing w:after="0" w:line="277" w:lineRule="auto"/>
        <w:tabs>
          <w:tab w:leader="none" w:pos="56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$29 million and $28 million classified in accrued expenses and other liabilities on the Consolidated Balance Sheets as of September 30, 2025 and 2024, respectively.</w:t>
      </w:r>
    </w:p>
    <w:p>
      <w:pPr>
        <w:spacing w:after="0" w:line="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Ashland asbestos-related receivables</w:t>
      </w:r>
    </w:p>
    <w:p>
      <w:pPr>
        <w:spacing w:after="0" w:line="164"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49" w:lineRule="exact"/>
        <w:rPr>
          <w:sz w:val="20"/>
          <w:szCs w:val="20"/>
          <w:color w:val="auto"/>
        </w:rPr>
      </w:pPr>
    </w:p>
    <w:p>
      <w:pPr>
        <w:jc w:val="both"/>
        <w:ind w:left="8" w:firstLine="360"/>
        <w:spacing w:after="0" w:line="300" w:lineRule="auto"/>
        <w:rPr>
          <w:sz w:val="20"/>
          <w:szCs w:val="20"/>
          <w:color w:val="auto"/>
        </w:rPr>
      </w:pPr>
      <w:r>
        <w:rPr>
          <w:rFonts w:ascii="Times New Roman" w:cs="Times New Roman" w:eastAsia="Times New Roman" w:hAnsi="Times New Roman"/>
          <w:sz w:val="20"/>
          <w:szCs w:val="20"/>
          <w:color w:val="auto"/>
        </w:rPr>
        <w:t>For the Ashland asbestos-related obligations,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4" w:lineRule="exact"/>
        <w:rPr>
          <w:sz w:val="20"/>
          <w:szCs w:val="20"/>
          <w:color w:val="auto"/>
        </w:rPr>
      </w:pPr>
    </w:p>
    <w:p>
      <w:pPr>
        <w:jc w:val="both"/>
        <w:ind w:left="8" w:firstLine="360"/>
        <w:spacing w:after="0" w:line="297" w:lineRule="auto"/>
        <w:rPr>
          <w:sz w:val="20"/>
          <w:szCs w:val="20"/>
          <w:color w:val="auto"/>
        </w:rPr>
      </w:pPr>
      <w:r>
        <w:rPr>
          <w:rFonts w:ascii="Times New Roman" w:cs="Times New Roman" w:eastAsia="Times New Roman" w:hAnsi="Times New Roman"/>
          <w:sz w:val="20"/>
          <w:szCs w:val="20"/>
          <w:color w:val="auto"/>
        </w:rPr>
        <w:t>At September 30, 2025, Ashland’s receivable for recoveries of litigation defense and claim settlement costs from insurers amounted to $95 million (excluding the Hercules receivable for asbestos claims discussed below). Receivables from insurers amounted to $97 million at September 30, 2024. During 2025, the annual update of the model used for purposes of valuing the asbestos litigation reserves and its impact on valuation of future recoveries from insurers was completed. This model update resulted in a $5 million increase in the receivable for probable insurance recoveries.</w:t>
      </w:r>
    </w:p>
    <w:p>
      <w:pPr>
        <w:sectPr>
          <w:pgSz w:w="12240" w:h="15840" w:orient="portrait"/>
          <w:cols w:equalWidth="0" w:num="1">
            <w:col w:w="11368"/>
          </w:cols>
          <w:pgMar w:left="432"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F-42</w:t>
      </w:r>
    </w:p>
    <w:p>
      <w:pPr>
        <w:sectPr>
          <w:pgSz w:w="12240" w:h="15840" w:orient="portrait"/>
          <w:cols w:equalWidth="0" w:num="1">
            <w:col w:w="11368"/>
          </w:cols>
          <w:pgMar w:left="432" w:top="930" w:right="440" w:bottom="186" w:gutter="0" w:footer="0" w:header="0"/>
          <w:type w:val="continuous"/>
        </w:sectPr>
      </w:pPr>
    </w:p>
    <w:bookmarkStart w:id="144" w:name="page145"/>
    <w:bookmarkEnd w:id="144"/>
    <w:p>
      <w:pPr>
        <w:ind w:left="368"/>
        <w:spacing w:after="0"/>
        <w:rPr>
          <w:sz w:val="20"/>
          <w:szCs w:val="20"/>
          <w:color w:val="auto"/>
        </w:rPr>
      </w:pPr>
      <w:r>
        <w:rPr>
          <w:rFonts w:ascii="Times New Roman" w:cs="Times New Roman" w:eastAsia="Times New Roman" w:hAnsi="Times New Roman"/>
          <w:sz w:val="20"/>
          <w:szCs w:val="20"/>
          <w:color w:val="auto"/>
        </w:rPr>
        <w:t>A progression of activity in the Ashland insurance receivable for the years ended September 30,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07250"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450">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2025</w:t>
            </w:r>
          </w:p>
        </w:tc>
        <w:tc>
          <w:tcPr>
            <w:tcW w:w="4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2024</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666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Insurance receivable - beginning of year</w:t>
            </w:r>
          </w:p>
        </w:tc>
        <w:tc>
          <w:tcPr>
            <w:tcW w:w="1020" w:type="dxa"/>
            <w:vAlign w:val="bottom"/>
            <w:shd w:val="clear" w:color="auto" w:fill="D5EFF4"/>
          </w:tcPr>
          <w:p>
            <w:pPr>
              <w:jc w:val="right"/>
              <w:ind w:right="8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97</w:t>
            </w:r>
          </w:p>
        </w:tc>
        <w:tc>
          <w:tcPr>
            <w:tcW w:w="1180" w:type="dxa"/>
            <w:vAlign w:val="bottom"/>
            <w:gridSpan w:val="2"/>
            <w:shd w:val="clear" w:color="auto" w:fill="D5EFF4"/>
          </w:tcPr>
          <w:p>
            <w:pPr>
              <w:jc w:val="right"/>
              <w:ind w:right="8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95</w:t>
            </w:r>
          </w:p>
        </w:tc>
        <w:tc>
          <w:tcPr>
            <w:tcW w:w="440" w:type="dxa"/>
            <w:vAlign w:val="bottom"/>
            <w:gridSpan w:val="2"/>
            <w:shd w:val="clear" w:color="auto" w:fill="D5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D5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101</w:t>
            </w:r>
          </w:p>
        </w:tc>
      </w:tr>
      <w:tr>
        <w:trPr>
          <w:trHeight w:val="230"/>
        </w:trPr>
        <w:tc>
          <w:tcPr>
            <w:tcW w:w="666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Receivable adjustment</w:t>
            </w:r>
            <w:r>
              <w:rPr>
                <w:rFonts w:ascii="Times New Roman" w:cs="Times New Roman" w:eastAsia="Times New Roman" w:hAnsi="Times New Roman"/>
                <w:sz w:val="25"/>
                <w:szCs w:val="25"/>
                <w:color w:val="auto"/>
                <w:vertAlign w:val="superscript"/>
              </w:rPr>
              <w:t>(a)</w:t>
            </w:r>
          </w:p>
        </w:tc>
        <w:tc>
          <w:tcPr>
            <w:tcW w:w="102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w:t>
            </w:r>
          </w:p>
        </w:tc>
      </w:tr>
      <w:tr>
        <w:trPr>
          <w:trHeight w:val="250"/>
        </w:trPr>
        <w:tc>
          <w:tcPr>
            <w:tcW w:w="666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Amounts collected</w:t>
            </w:r>
          </w:p>
        </w:tc>
        <w:tc>
          <w:tcPr>
            <w:tcW w:w="1020" w:type="dxa"/>
            <w:vAlign w:val="bottom"/>
            <w:tcBorders>
              <w:bottom w:val="single" w:sz="8" w:color="D5EFF4"/>
            </w:tcBorders>
            <w:shd w:val="clear" w:color="auto" w:fill="D5EFF4"/>
          </w:tcPr>
          <w:p>
            <w:pPr>
              <w:spacing w:after="0"/>
              <w:rPr>
                <w:sz w:val="21"/>
                <w:szCs w:val="21"/>
                <w:color w:val="auto"/>
              </w:rPr>
            </w:pPr>
          </w:p>
        </w:tc>
        <w:tc>
          <w:tcPr>
            <w:tcW w:w="460" w:type="dxa"/>
            <w:vAlign w:val="bottom"/>
            <w:tcBorders>
              <w:bottom w:val="single" w:sz="8" w:color="D5EFF4"/>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Borders>
              <w:bottom w:val="single" w:sz="8" w:color="D5EFF4"/>
            </w:tcBorders>
            <w:shd w:val="clear" w:color="auto" w:fill="D5EFF4"/>
          </w:tcPr>
          <w:p>
            <w:pPr>
              <w:spacing w:after="0"/>
              <w:rPr>
                <w:sz w:val="21"/>
                <w:szCs w:val="21"/>
                <w:color w:val="auto"/>
              </w:rPr>
            </w:pPr>
          </w:p>
        </w:tc>
        <w:tc>
          <w:tcPr>
            <w:tcW w:w="1040" w:type="dxa"/>
            <w:vAlign w:val="bottom"/>
            <w:tcBorders>
              <w:bottom w:val="single" w:sz="8" w:color="D5EFF4"/>
            </w:tcBorders>
            <w:shd w:val="clear" w:color="auto" w:fill="D5EFF4"/>
          </w:tcPr>
          <w:p>
            <w:pPr>
              <w:spacing w:after="0"/>
              <w:rPr>
                <w:sz w:val="21"/>
                <w:szCs w:val="21"/>
                <w:color w:val="auto"/>
              </w:rPr>
            </w:pPr>
          </w:p>
        </w:tc>
        <w:tc>
          <w:tcPr>
            <w:tcW w:w="440" w:type="dxa"/>
            <w:vAlign w:val="bottom"/>
            <w:tcBorders>
              <w:bottom w:val="single" w:sz="8" w:color="D5EFF4"/>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60" w:type="dxa"/>
            <w:vAlign w:val="bottom"/>
            <w:tcBorders>
              <w:bottom w:val="single" w:sz="8" w:color="D5EFF4"/>
            </w:tcBorders>
            <w:shd w:val="clear" w:color="auto" w:fill="D5EFF4"/>
          </w:tcPr>
          <w:p>
            <w:pPr>
              <w:spacing w:after="0"/>
              <w:rPr>
                <w:sz w:val="21"/>
                <w:szCs w:val="21"/>
                <w:color w:val="auto"/>
              </w:rPr>
            </w:pPr>
          </w:p>
        </w:tc>
        <w:tc>
          <w:tcPr>
            <w:tcW w:w="280" w:type="dxa"/>
            <w:vAlign w:val="bottom"/>
            <w:tcBorders>
              <w:bottom w:val="single" w:sz="8" w:color="auto"/>
            </w:tcBorders>
            <w:shd w:val="clear" w:color="auto" w:fill="D5EFF4"/>
          </w:tcPr>
          <w:p>
            <w:pPr>
              <w:spacing w:after="0"/>
              <w:rPr>
                <w:sz w:val="21"/>
                <w:szCs w:val="21"/>
                <w:color w:val="auto"/>
              </w:rPr>
            </w:pPr>
          </w:p>
        </w:tc>
        <w:tc>
          <w:tcPr>
            <w:tcW w:w="116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r>
      <w:tr>
        <w:trPr>
          <w:trHeight w:val="205"/>
        </w:trPr>
        <w:tc>
          <w:tcPr>
            <w:tcW w:w="66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Insurance receivable - end of year</w:t>
            </w:r>
            <w:r>
              <w:rPr>
                <w:rFonts w:ascii="Times New Roman" w:cs="Times New Roman" w:eastAsia="Times New Roman" w:hAnsi="Times New Roman"/>
                <w:sz w:val="23"/>
                <w:szCs w:val="23"/>
                <w:color w:val="auto"/>
                <w:vertAlign w:val="superscript"/>
              </w:rPr>
              <w:t>(b)</w:t>
            </w:r>
          </w:p>
        </w:tc>
        <w:tc>
          <w:tcPr>
            <w:tcW w:w="1020" w:type="dxa"/>
            <w:vAlign w:val="bottom"/>
            <w:tcBorders>
              <w:top w:val="single" w:sz="8" w:color="auto"/>
              <w:bottom w:val="single" w:sz="8" w:color="auto"/>
            </w:tcBorders>
          </w:tcPr>
          <w:p>
            <w:pPr>
              <w:jc w:val="right"/>
              <w:ind w:right="82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top w:val="single" w:sz="8" w:color="auto"/>
              <w:bottom w:val="single" w:sz="8" w:color="auto"/>
            </w:tcBorders>
          </w:tcPr>
          <w:p>
            <w:pPr>
              <w:jc w:val="right"/>
              <w:ind w:right="20"/>
              <w:spacing w:after="0" w:line="205" w:lineRule="exact"/>
              <w:rPr>
                <w:sz w:val="20"/>
                <w:szCs w:val="20"/>
                <w:color w:val="auto"/>
              </w:rPr>
            </w:pPr>
            <w:r>
              <w:rPr>
                <w:rFonts w:ascii="Times New Roman" w:cs="Times New Roman" w:eastAsia="Times New Roman" w:hAnsi="Times New Roman"/>
                <w:sz w:val="20"/>
                <w:szCs w:val="20"/>
                <w:color w:val="auto"/>
              </w:rPr>
              <w:t>95</w:t>
            </w:r>
          </w:p>
        </w:tc>
        <w:tc>
          <w:tcPr>
            <w:tcW w:w="1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4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97</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gridSpan w:val="2"/>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rPr>
              <w:t>95</w:t>
            </w:r>
          </w:p>
        </w:tc>
      </w:tr>
      <w:tr>
        <w:trPr>
          <w:trHeight w:val="20"/>
        </w:trPr>
        <w:tc>
          <w:tcPr>
            <w:tcW w:w="6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6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-698500</wp:posOffset>
            </wp:positionV>
            <wp:extent cx="7207250"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451">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07250"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452">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allowance for credit losses was $1 million at both September 30, 2025 and 2024.</w:t>
      </w:r>
    </w:p>
    <w:p>
      <w:pPr>
        <w:spacing w:after="0" w:line="40"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million and $9 million classified in accounts receivable on the Consolidated Balance Sheets as of September 30, 2025 and 2024, respectively.</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Hercules asbestos-related litigation</w:t>
      </w:r>
    </w:p>
    <w:p>
      <w:pPr>
        <w:spacing w:after="0" w:line="164" w:lineRule="exact"/>
        <w:rPr>
          <w:sz w:val="20"/>
          <w:szCs w:val="20"/>
          <w:color w:val="auto"/>
        </w:rPr>
      </w:pPr>
    </w:p>
    <w:p>
      <w:pPr>
        <w:jc w:val="both"/>
        <w:ind w:left="8" w:firstLine="360"/>
        <w:spacing w:after="0" w:line="300" w:lineRule="auto"/>
        <w:rPr>
          <w:sz w:val="20"/>
          <w:szCs w:val="20"/>
          <w:color w:val="auto"/>
        </w:rPr>
      </w:pPr>
      <w:r>
        <w:rPr>
          <w:rFonts w:ascii="Times New Roman" w:cs="Times New Roman" w:eastAsia="Times New Roman" w:hAnsi="Times New Roman"/>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for the years ended September 30,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45085</wp:posOffset>
            </wp:positionV>
            <wp:extent cx="721169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453">
                      <a:extLst>
                        <a:ext uri="{28A0092B-C50C-407E-A947-70E740481C1C}"/>
                      </a:extLst>
                    </a:blip>
                    <a:srcRect/>
                    <a:stretch>
                      <a:fillRect/>
                    </a:stretch>
                  </pic:blipFill>
                  <pic:spPr bwMode="auto">
                    <a:xfrm>
                      <a:off x="0" y="0"/>
                      <a:ext cx="7211695" cy="38100"/>
                    </a:xfrm>
                    <a:prstGeom prst="rect">
                      <a:avLst/>
                    </a:prstGeom>
                    <a:noFill/>
                  </pic:spPr>
                </pic:pic>
              </a:graphicData>
            </a:graphic>
          </wp:anchor>
        </w:drawing>
      </w:r>
    </w:p>
    <w:p>
      <w:pPr>
        <w:spacing w:after="0" w:line="54"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150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2025</w:t>
            </w: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2024</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658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Open claims - beginning of year</w:t>
            </w:r>
          </w:p>
        </w:tc>
        <w:tc>
          <w:tcPr>
            <w:tcW w:w="150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12</w:t>
            </w:r>
          </w:p>
        </w:tc>
        <w:tc>
          <w:tcPr>
            <w:tcW w:w="1680" w:type="dxa"/>
            <w:vAlign w:val="bottom"/>
            <w:gridSpan w:val="2"/>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12</w:t>
            </w:r>
          </w:p>
        </w:tc>
        <w:tc>
          <w:tcPr>
            <w:tcW w:w="1520" w:type="dxa"/>
            <w:vAlign w:val="bottom"/>
            <w:gridSpan w:val="2"/>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11</w:t>
            </w:r>
          </w:p>
        </w:tc>
        <w:tc>
          <w:tcPr>
            <w:tcW w:w="80" w:type="dxa"/>
            <w:vAlign w:val="bottom"/>
            <w:shd w:val="clear" w:color="auto" w:fill="D5EFF4"/>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New claims filed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0"/>
                <w:szCs w:val="20"/>
                <w:color w:val="auto"/>
              </w:rPr>
            </w:pPr>
          </w:p>
        </w:tc>
      </w:tr>
      <w:tr>
        <w:trPr>
          <w:trHeight w:val="250"/>
        </w:trPr>
        <w:tc>
          <w:tcPr>
            <w:tcW w:w="65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Claims dismissed</w:t>
            </w:r>
          </w:p>
        </w:tc>
        <w:tc>
          <w:tcPr>
            <w:tcW w:w="1500" w:type="dxa"/>
            <w:vAlign w:val="bottom"/>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80" w:type="dxa"/>
            <w:vAlign w:val="bottom"/>
            <w:gridSpan w:val="2"/>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5EFF4"/>
          </w:tcPr>
          <w:p>
            <w:pPr>
              <w:spacing w:after="0"/>
              <w:rPr>
                <w:sz w:val="21"/>
                <w:szCs w:val="21"/>
                <w:color w:val="auto"/>
              </w:rPr>
            </w:pPr>
          </w:p>
        </w:tc>
        <w:tc>
          <w:tcPr>
            <w:tcW w:w="1460" w:type="dxa"/>
            <w:vAlign w:val="bottom"/>
            <w:gridSpan w:val="2"/>
            <w:shd w:val="clear" w:color="auto" w:fill="D5EFF4"/>
          </w:tcPr>
          <w:p>
            <w:pPr>
              <w:ind w:left="1180"/>
              <w:spacing w:after="0"/>
              <w:rPr>
                <w:sz w:val="20"/>
                <w:szCs w:val="20"/>
                <w:color w:val="auto"/>
              </w:rPr>
            </w:pPr>
            <w:r>
              <w:rPr>
                <w:rFonts w:ascii="Times New Roman" w:cs="Times New Roman" w:eastAsia="Times New Roman" w:hAnsi="Times New Roman"/>
                <w:sz w:val="20"/>
                <w:szCs w:val="20"/>
                <w:color w:val="auto"/>
              </w:rPr>
              <w:t>—</w:t>
            </w:r>
          </w:p>
        </w:tc>
      </w:tr>
      <w:tr>
        <w:trPr>
          <w:trHeight w:val="205"/>
        </w:trPr>
        <w:tc>
          <w:tcPr>
            <w:tcW w:w="6580" w:type="dxa"/>
            <w:vAlign w:val="bottom"/>
            <w:tcBorders>
              <w:top w:val="single" w:sz="8" w:color="D5EFF4"/>
            </w:tcBorders>
          </w:tcPr>
          <w:p>
            <w:pPr>
              <w:spacing w:after="0" w:line="205" w:lineRule="exact"/>
              <w:rPr>
                <w:sz w:val="20"/>
                <w:szCs w:val="20"/>
                <w:color w:val="auto"/>
              </w:rPr>
            </w:pPr>
            <w:r>
              <w:rPr>
                <w:rFonts w:ascii="Times New Roman" w:cs="Times New Roman" w:eastAsia="Times New Roman" w:hAnsi="Times New Roman"/>
                <w:sz w:val="20"/>
                <w:szCs w:val="20"/>
                <w:color w:val="auto"/>
              </w:rPr>
              <w:t>Open claims - end of year</w:t>
            </w:r>
          </w:p>
        </w:tc>
        <w:tc>
          <w:tcPr>
            <w:tcW w:w="15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11</w:t>
            </w:r>
          </w:p>
        </w:tc>
        <w:tc>
          <w:tcPr>
            <w:tcW w:w="140" w:type="dxa"/>
            <w:vAlign w:val="bottom"/>
            <w:tcBorders>
              <w:top w:val="single" w:sz="8" w:color="D5EFF4"/>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20"/>
              <w:spacing w:after="0" w:line="205" w:lineRule="exact"/>
              <w:rPr>
                <w:sz w:val="20"/>
                <w:szCs w:val="20"/>
                <w:color w:val="auto"/>
              </w:rPr>
            </w:pPr>
            <w:r>
              <w:rPr>
                <w:rFonts w:ascii="Times New Roman" w:cs="Times New Roman" w:eastAsia="Times New Roman" w:hAnsi="Times New Roman"/>
                <w:sz w:val="20"/>
                <w:szCs w:val="20"/>
                <w:color w:val="auto"/>
              </w:rPr>
              <w:t>12</w:t>
            </w:r>
          </w:p>
        </w:tc>
        <w:tc>
          <w:tcPr>
            <w:tcW w:w="140" w:type="dxa"/>
            <w:vAlign w:val="bottom"/>
            <w:tcBorders>
              <w:top w:val="single" w:sz="8" w:color="D5EFF4"/>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12</w:t>
            </w:r>
          </w:p>
        </w:tc>
        <w:tc>
          <w:tcPr>
            <w:tcW w:w="80" w:type="dxa"/>
            <w:vAlign w:val="bottom"/>
            <w:tcBorders>
              <w:top w:val="single" w:sz="8" w:color="auto"/>
              <w:bottom w:val="single" w:sz="8" w:color="auto"/>
            </w:tcBorders>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65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-698500</wp:posOffset>
            </wp:positionV>
            <wp:extent cx="721169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454">
                      <a:extLst>
                        <a:ext uri="{28A0092B-C50C-407E-A947-70E740481C1C}"/>
                      </a:extLst>
                    </a:blip>
                    <a:srcRect/>
                    <a:stretch>
                      <a:fillRect/>
                    </a:stretch>
                  </pic:blipFill>
                  <pic:spPr bwMode="auto">
                    <a:xfrm>
                      <a:off x="0" y="0"/>
                      <a:ext cx="721169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1169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455">
                      <a:extLst>
                        <a:ext uri="{28A0092B-C50C-407E-A947-70E740481C1C}"/>
                      </a:extLst>
                    </a:blip>
                    <a:srcRect/>
                    <a:stretch>
                      <a:fillRect/>
                    </a:stretch>
                  </pic:blipFill>
                  <pic:spPr bwMode="auto">
                    <a:xfrm>
                      <a:off x="0" y="0"/>
                      <a:ext cx="7211695" cy="38100"/>
                    </a:xfrm>
                    <a:prstGeom prst="rect">
                      <a:avLst/>
                    </a:prstGeom>
                    <a:noFill/>
                  </pic:spPr>
                </pic:pic>
              </a:graphicData>
            </a:graphic>
          </wp:anchor>
        </w:drawing>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Hercules asbestos-related liability</w:t>
      </w:r>
    </w:p>
    <w:p>
      <w:pPr>
        <w:spacing w:after="0" w:line="164" w:lineRule="exact"/>
        <w:rPr>
          <w:sz w:val="20"/>
          <w:szCs w:val="20"/>
          <w:color w:val="auto"/>
        </w:rPr>
      </w:pPr>
    </w:p>
    <w:p>
      <w:pPr>
        <w:jc w:val="both"/>
        <w:ind w:left="8" w:firstLine="360"/>
        <w:spacing w:after="0" w:line="297"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As a result of the most recent annual update of this estimate completed during 2025, it was determined that the liability for Hercules asbestos-related claims should be increased by $10 million. Total reserves for asbestos claims were $177 million at September 30, 2025 compared to $185 million at September 30, 2024.</w:t>
      </w:r>
    </w:p>
    <w:p>
      <w:pPr>
        <w:spacing w:after="0" w:line="123"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A progression of activity in the asbestos litigation reserves for the years ended September 30,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19137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45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60" w:type="dxa"/>
            <w:vAlign w:val="bottom"/>
          </w:tcPr>
          <w:p>
            <w:pPr>
              <w:spacing w:after="0"/>
              <w:rPr>
                <w:sz w:val="21"/>
                <w:szCs w:val="21"/>
                <w:color w:val="auto"/>
              </w:rPr>
            </w:pPr>
          </w:p>
        </w:tc>
        <w:tc>
          <w:tcPr>
            <w:tcW w:w="140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tcBorders>
              <w:top w:val="single" w:sz="8" w:color="auto"/>
              <w:bottom w:val="single" w:sz="8" w:color="auto"/>
            </w:tcBorders>
          </w:tcPr>
          <w:p>
            <w:pPr>
              <w:spacing w:after="0"/>
              <w:rPr>
                <w:sz w:val="21"/>
                <w:szCs w:val="21"/>
                <w:color w:val="auto"/>
              </w:rPr>
            </w:pPr>
          </w:p>
        </w:tc>
      </w:tr>
      <w:tr>
        <w:trPr>
          <w:trHeight w:val="225"/>
        </w:trPr>
        <w:tc>
          <w:tcPr>
            <w:tcW w:w="572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Asbestos reserve - beginning of year</w:t>
            </w:r>
          </w:p>
        </w:tc>
        <w:tc>
          <w:tcPr>
            <w:tcW w:w="360" w:type="dxa"/>
            <w:vAlign w:val="bottom"/>
            <w:shd w:val="clear" w:color="auto" w:fill="D5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185</w:t>
            </w:r>
          </w:p>
        </w:tc>
        <w:tc>
          <w:tcPr>
            <w:tcW w:w="560" w:type="dxa"/>
            <w:vAlign w:val="bottom"/>
            <w:gridSpan w:val="2"/>
            <w:shd w:val="clear" w:color="auto" w:fill="D5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191</w:t>
            </w:r>
          </w:p>
        </w:tc>
        <w:tc>
          <w:tcPr>
            <w:tcW w:w="560" w:type="dxa"/>
            <w:vAlign w:val="bottom"/>
            <w:gridSpan w:val="2"/>
            <w:shd w:val="clear" w:color="auto" w:fill="D5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213</w:t>
            </w:r>
          </w:p>
        </w:tc>
        <w:tc>
          <w:tcPr>
            <w:tcW w:w="100" w:type="dxa"/>
            <w:vAlign w:val="bottom"/>
            <w:shd w:val="clear" w:color="auto" w:fill="D5EFF4"/>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Reserve adjustments</w:t>
            </w:r>
          </w:p>
        </w:tc>
        <w:tc>
          <w:tcPr>
            <w:tcW w:w="3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w:t>
            </w:r>
          </w:p>
        </w:tc>
      </w:tr>
      <w:tr>
        <w:trPr>
          <w:trHeight w:val="250"/>
        </w:trPr>
        <w:tc>
          <w:tcPr>
            <w:tcW w:w="5720" w:type="dxa"/>
            <w:vAlign w:val="bottom"/>
            <w:tcBorders>
              <w:bottom w:val="single" w:sz="8" w:color="D5EFF4"/>
            </w:tcBorders>
            <w:shd w:val="clear" w:color="auto" w:fill="D5EFF4"/>
          </w:tcPr>
          <w:p>
            <w:pPr>
              <w:spacing w:after="0"/>
              <w:rPr>
                <w:sz w:val="20"/>
                <w:szCs w:val="20"/>
                <w:color w:val="auto"/>
              </w:rPr>
            </w:pPr>
            <w:r>
              <w:rPr>
                <w:rFonts w:ascii="Times New Roman" w:cs="Times New Roman" w:eastAsia="Times New Roman" w:hAnsi="Times New Roman"/>
                <w:sz w:val="20"/>
                <w:szCs w:val="20"/>
                <w:color w:val="auto"/>
              </w:rPr>
              <w:t>Amounts paid</w:t>
            </w:r>
          </w:p>
        </w:tc>
        <w:tc>
          <w:tcPr>
            <w:tcW w:w="360" w:type="dxa"/>
            <w:vAlign w:val="bottom"/>
            <w:tcBorders>
              <w:bottom w:val="single" w:sz="8" w:color="auto"/>
            </w:tcBorders>
            <w:shd w:val="clear" w:color="auto" w:fill="D5EFF4"/>
          </w:tcPr>
          <w:p>
            <w:pPr>
              <w:spacing w:after="0"/>
              <w:rPr>
                <w:sz w:val="21"/>
                <w:szCs w:val="21"/>
                <w:color w:val="auto"/>
              </w:rPr>
            </w:pPr>
          </w:p>
        </w:tc>
        <w:tc>
          <w:tcPr>
            <w:tcW w:w="140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0" w:type="dxa"/>
            <w:vAlign w:val="bottom"/>
            <w:tcBorders>
              <w:bottom w:val="single" w:sz="8" w:color="D5EFF4"/>
            </w:tcBorders>
            <w:shd w:val="clear" w:color="auto" w:fill="D5EFF4"/>
          </w:tcPr>
          <w:p>
            <w:pPr>
              <w:spacing w:after="0"/>
              <w:rPr>
                <w:sz w:val="21"/>
                <w:szCs w:val="21"/>
                <w:color w:val="auto"/>
              </w:rPr>
            </w:pPr>
          </w:p>
        </w:tc>
        <w:tc>
          <w:tcPr>
            <w:tcW w:w="360" w:type="dxa"/>
            <w:vAlign w:val="bottom"/>
            <w:tcBorders>
              <w:bottom w:val="single" w:sz="8" w:color="auto"/>
            </w:tcBorders>
            <w:shd w:val="clear" w:color="auto" w:fill="D5EFF4"/>
          </w:tcPr>
          <w:p>
            <w:pPr>
              <w:spacing w:after="0"/>
              <w:rPr>
                <w:sz w:val="21"/>
                <w:szCs w:val="21"/>
                <w:color w:val="auto"/>
              </w:rPr>
            </w:pPr>
          </w:p>
        </w:tc>
        <w:tc>
          <w:tcPr>
            <w:tcW w:w="138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tcBorders>
              <w:bottom w:val="single" w:sz="8" w:color="D5EFF4"/>
            </w:tcBorders>
            <w:shd w:val="clear" w:color="auto" w:fill="D5EFF4"/>
          </w:tcPr>
          <w:p>
            <w:pPr>
              <w:spacing w:after="0"/>
              <w:rPr>
                <w:sz w:val="21"/>
                <w:szCs w:val="21"/>
                <w:color w:val="auto"/>
              </w:rPr>
            </w:pPr>
          </w:p>
        </w:tc>
        <w:tc>
          <w:tcPr>
            <w:tcW w:w="360" w:type="dxa"/>
            <w:vAlign w:val="bottom"/>
            <w:tcBorders>
              <w:bottom w:val="single" w:sz="8" w:color="auto"/>
            </w:tcBorders>
            <w:shd w:val="clear" w:color="auto" w:fill="D5EFF4"/>
          </w:tcPr>
          <w:p>
            <w:pPr>
              <w:spacing w:after="0"/>
              <w:rPr>
                <w:sz w:val="21"/>
                <w:szCs w:val="21"/>
                <w:color w:val="auto"/>
              </w:rPr>
            </w:pPr>
          </w:p>
        </w:tc>
        <w:tc>
          <w:tcPr>
            <w:tcW w:w="1380" w:type="dxa"/>
            <w:vAlign w:val="bottom"/>
            <w:tcBorders>
              <w:bottom w:val="single" w:sz="8" w:color="auto"/>
            </w:tcBorders>
            <w:gridSpan w:val="2"/>
            <w:shd w:val="clear" w:color="auto" w:fill="D5EFF4"/>
          </w:tcPr>
          <w:p>
            <w:pPr>
              <w:jc w:val="right"/>
              <w:ind w:right="40"/>
              <w:spacing w:after="0"/>
              <w:rPr>
                <w:sz w:val="20"/>
                <w:szCs w:val="20"/>
                <w:color w:val="auto"/>
              </w:rPr>
            </w:pPr>
            <w:r>
              <w:rPr>
                <w:rFonts w:ascii="Times New Roman" w:cs="Times New Roman" w:eastAsia="Times New Roman" w:hAnsi="Times New Roman"/>
                <w:sz w:val="20"/>
                <w:szCs w:val="20"/>
                <w:color w:val="auto"/>
              </w:rPr>
              <w:t>(20)</w:t>
            </w:r>
          </w:p>
        </w:tc>
      </w:tr>
      <w:tr>
        <w:trPr>
          <w:trHeight w:val="205"/>
        </w:trPr>
        <w:tc>
          <w:tcPr>
            <w:tcW w:w="57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Asbestos reserve - end of year</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tcPr>
          <w:p>
            <w:pPr>
              <w:jc w:val="right"/>
              <w:ind w:right="1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ind w:right="20"/>
              <w:spacing w:after="0" w:line="205" w:lineRule="exact"/>
              <w:rPr>
                <w:sz w:val="20"/>
                <w:szCs w:val="20"/>
                <w:color w:val="auto"/>
              </w:rPr>
            </w:pPr>
            <w:r>
              <w:rPr>
                <w:rFonts w:ascii="Times New Roman" w:cs="Times New Roman" w:eastAsia="Times New Roman" w:hAnsi="Times New Roman"/>
                <w:sz w:val="20"/>
                <w:szCs w:val="20"/>
                <w:color w:val="auto"/>
              </w:rPr>
              <w:t>177</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185</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191</w:t>
            </w:r>
          </w:p>
        </w:tc>
        <w:tc>
          <w:tcPr>
            <w:tcW w:w="100" w:type="dxa"/>
            <w:vAlign w:val="bottom"/>
            <w:tcBorders>
              <w:bottom w:val="single" w:sz="8" w:color="auto"/>
            </w:tcBorders>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54"/>
        </w:trPr>
        <w:tc>
          <w:tcPr>
            <w:tcW w:w="5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-698500</wp:posOffset>
            </wp:positionV>
            <wp:extent cx="719137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457">
                      <a:extLst>
                        <a:ext uri="{28A0092B-C50C-407E-A947-70E740481C1C}"/>
                      </a:extLst>
                    </a:blip>
                    <a:srcRect/>
                    <a:stretch>
                      <a:fillRect/>
                    </a:stretch>
                  </pic:blipFill>
                  <pic:spPr bwMode="auto">
                    <a:xfrm>
                      <a:off x="0" y="0"/>
                      <a:ext cx="719137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19137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45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$17 million classified in accrued expenses and other liabilities on the Consolidated Balance Sheets as of September 30, 2025 and 2024.</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Hercules asbestos-related receivables</w:t>
      </w:r>
    </w:p>
    <w:p>
      <w:pPr>
        <w:spacing w:after="0" w:line="164" w:lineRule="exact"/>
        <w:rPr>
          <w:sz w:val="20"/>
          <w:szCs w:val="20"/>
          <w:color w:val="auto"/>
        </w:rPr>
      </w:pPr>
    </w:p>
    <w:p>
      <w:pPr>
        <w:jc w:val="both"/>
        <w:ind w:left="8" w:firstLine="360"/>
        <w:spacing w:after="0" w:line="297" w:lineRule="auto"/>
        <w:rPr>
          <w:sz w:val="20"/>
          <w:szCs w:val="20"/>
          <w:color w:val="auto"/>
        </w:rPr>
      </w:pPr>
      <w:r>
        <w:rPr>
          <w:rFonts w:ascii="Times New Roman" w:cs="Times New Roman" w:eastAsia="Times New Roman" w:hAnsi="Times New Roman"/>
          <w:sz w:val="20"/>
          <w:szCs w:val="20"/>
          <w:color w:val="auto"/>
        </w:rPr>
        <w:t>For the Hercules asbestos-related obligations, certain reimbursement obligations pursuant to coverage-in-place agreements with insurance carriers exist. As a result, any increases in the asbestos litigation reserves have been partially offset by probable insurance recoveries.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77"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As of September 30, 2025 and 2024, the receivables from insurers amounted to $48 million and $50 million, respectively. During 2025, the annual update of the model used for purposes of valuing the asbestos litigation reserves and its impact on valuation of future recoveries from insurers was completed. This model update resulted in a $4 million increase in the receivable for probable insurance recoveries.</w:t>
      </w:r>
    </w:p>
    <w:p>
      <w:pPr>
        <w:sectPr>
          <w:pgSz w:w="12240" w:h="15840" w:orient="portrait"/>
          <w:cols w:equalWidth="0" w:num="1">
            <w:col w:w="11368"/>
          </w:cols>
          <w:pgMar w:left="432"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F-43</w:t>
      </w:r>
    </w:p>
    <w:p>
      <w:pPr>
        <w:sectPr>
          <w:pgSz w:w="12240" w:h="15840" w:orient="portrait"/>
          <w:cols w:equalWidth="0" w:num="1">
            <w:col w:w="11368"/>
          </w:cols>
          <w:pgMar w:left="432" w:top="930" w:right="440" w:bottom="186" w:gutter="0" w:footer="0" w:header="0"/>
          <w:type w:val="continuous"/>
        </w:sectPr>
      </w:pPr>
    </w:p>
    <w:bookmarkStart w:id="145" w:name="page146"/>
    <w:bookmarkEnd w:id="145"/>
    <w:p>
      <w:pPr>
        <w:ind w:left="368"/>
        <w:spacing w:after="0"/>
        <w:rPr>
          <w:sz w:val="20"/>
          <w:szCs w:val="20"/>
          <w:color w:val="auto"/>
        </w:rPr>
      </w:pPr>
      <w:r>
        <w:rPr>
          <w:rFonts w:ascii="Times New Roman" w:cs="Times New Roman" w:eastAsia="Times New Roman" w:hAnsi="Times New Roman"/>
          <w:sz w:val="20"/>
          <w:szCs w:val="20"/>
          <w:color w:val="auto"/>
        </w:rPr>
        <w:t>A progression of activity in the Hercules insurance receivable for the years ended September 30,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07250"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459">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2025</w:t>
            </w:r>
          </w:p>
        </w:tc>
        <w:tc>
          <w:tcPr>
            <w:tcW w:w="4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2024</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666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Insurance receivable - beginning of year</w:t>
            </w:r>
          </w:p>
        </w:tc>
        <w:tc>
          <w:tcPr>
            <w:tcW w:w="1020" w:type="dxa"/>
            <w:vAlign w:val="bottom"/>
            <w:shd w:val="clear" w:color="auto" w:fill="D5EFF4"/>
          </w:tcPr>
          <w:p>
            <w:pPr>
              <w:jc w:val="right"/>
              <w:ind w:right="8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50</w:t>
            </w:r>
          </w:p>
        </w:tc>
        <w:tc>
          <w:tcPr>
            <w:tcW w:w="1180" w:type="dxa"/>
            <w:vAlign w:val="bottom"/>
            <w:gridSpan w:val="2"/>
            <w:shd w:val="clear" w:color="auto" w:fill="D5EFF4"/>
          </w:tcPr>
          <w:p>
            <w:pPr>
              <w:jc w:val="right"/>
              <w:ind w:right="8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D5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47</w:t>
            </w:r>
          </w:p>
        </w:tc>
        <w:tc>
          <w:tcPr>
            <w:tcW w:w="440" w:type="dxa"/>
            <w:vAlign w:val="bottom"/>
            <w:gridSpan w:val="2"/>
            <w:shd w:val="clear" w:color="auto" w:fill="D5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D5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52</w:t>
            </w:r>
          </w:p>
        </w:tc>
      </w:tr>
      <w:tr>
        <w:trPr>
          <w:trHeight w:val="230"/>
        </w:trPr>
        <w:tc>
          <w:tcPr>
            <w:tcW w:w="666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Receivable adjustment</w:t>
            </w:r>
            <w:r>
              <w:rPr>
                <w:rFonts w:ascii="Times New Roman" w:cs="Times New Roman" w:eastAsia="Times New Roman" w:hAnsi="Times New Roman"/>
                <w:sz w:val="25"/>
                <w:szCs w:val="25"/>
                <w:color w:val="auto"/>
                <w:vertAlign w:val="superscript"/>
              </w:rPr>
              <w:t>(a)</w:t>
            </w:r>
          </w:p>
        </w:tc>
        <w:tc>
          <w:tcPr>
            <w:tcW w:w="102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666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Amounts collected</w:t>
            </w:r>
          </w:p>
        </w:tc>
        <w:tc>
          <w:tcPr>
            <w:tcW w:w="1020" w:type="dxa"/>
            <w:vAlign w:val="bottom"/>
            <w:tcBorders>
              <w:bottom w:val="single" w:sz="8" w:color="auto"/>
            </w:tcBorders>
            <w:shd w:val="clear" w:color="auto" w:fill="D5EFF4"/>
          </w:tcPr>
          <w:p>
            <w:pPr>
              <w:spacing w:after="0"/>
              <w:rPr>
                <w:sz w:val="20"/>
                <w:szCs w:val="20"/>
                <w:color w:val="auto"/>
              </w:rPr>
            </w:pPr>
          </w:p>
        </w:tc>
        <w:tc>
          <w:tcPr>
            <w:tcW w:w="46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shd w:val="clear" w:color="auto" w:fill="D5EFF4"/>
          </w:tcPr>
          <w:p>
            <w:pPr>
              <w:spacing w:after="0"/>
              <w:rPr>
                <w:sz w:val="20"/>
                <w:szCs w:val="20"/>
                <w:color w:val="auto"/>
              </w:rPr>
            </w:pPr>
          </w:p>
        </w:tc>
        <w:tc>
          <w:tcPr>
            <w:tcW w:w="1040" w:type="dxa"/>
            <w:vAlign w:val="bottom"/>
            <w:tcBorders>
              <w:bottom w:val="single" w:sz="8" w:color="auto"/>
            </w:tcBorders>
            <w:shd w:val="clear" w:color="auto" w:fill="D5EFF4"/>
          </w:tcPr>
          <w:p>
            <w:pPr>
              <w:spacing w:after="0"/>
              <w:rPr>
                <w:sz w:val="20"/>
                <w:szCs w:val="20"/>
                <w:color w:val="auto"/>
              </w:rPr>
            </w:pPr>
          </w:p>
        </w:tc>
        <w:tc>
          <w:tcPr>
            <w:tcW w:w="440" w:type="dxa"/>
            <w:vAlign w:val="bottom"/>
            <w:tcBorders>
              <w:bottom w:val="single" w:sz="8" w:color="auto"/>
            </w:tcBorders>
            <w:shd w:val="clear" w:color="auto" w:fill="D5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shd w:val="clear" w:color="auto" w:fill="D5EFF4"/>
          </w:tcPr>
          <w:p>
            <w:pPr>
              <w:spacing w:after="0"/>
              <w:rPr>
                <w:sz w:val="20"/>
                <w:szCs w:val="20"/>
                <w:color w:val="auto"/>
              </w:rPr>
            </w:pPr>
          </w:p>
        </w:tc>
        <w:tc>
          <w:tcPr>
            <w:tcW w:w="280" w:type="dxa"/>
            <w:vAlign w:val="bottom"/>
            <w:tcBorders>
              <w:bottom w:val="single" w:sz="8" w:color="auto"/>
            </w:tcBorders>
            <w:shd w:val="clear" w:color="auto" w:fill="D5EFF4"/>
          </w:tcPr>
          <w:p>
            <w:pPr>
              <w:spacing w:after="0"/>
              <w:rPr>
                <w:sz w:val="20"/>
                <w:szCs w:val="20"/>
                <w:color w:val="auto"/>
              </w:rPr>
            </w:pPr>
          </w:p>
        </w:tc>
        <w:tc>
          <w:tcPr>
            <w:tcW w:w="1160" w:type="dxa"/>
            <w:vAlign w:val="bottom"/>
            <w:tcBorders>
              <w:bottom w:val="single" w:sz="8" w:color="auto"/>
            </w:tcBorders>
            <w:gridSpan w:val="2"/>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r>
      <w:tr>
        <w:trPr>
          <w:trHeight w:val="225"/>
        </w:trPr>
        <w:tc>
          <w:tcPr>
            <w:tcW w:w="666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Insurance receivable - end of year</w:t>
            </w:r>
            <w:r>
              <w:rPr>
                <w:rFonts w:ascii="Times New Roman" w:cs="Times New Roman" w:eastAsia="Times New Roman" w:hAnsi="Times New Roman"/>
                <w:sz w:val="25"/>
                <w:szCs w:val="25"/>
                <w:color w:val="auto"/>
                <w:vertAlign w:val="superscript"/>
              </w:rPr>
              <w:t>(b)</w:t>
            </w:r>
          </w:p>
        </w:tc>
        <w:tc>
          <w:tcPr>
            <w:tcW w:w="1020" w:type="dxa"/>
            <w:vAlign w:val="bottom"/>
            <w:tcBorders>
              <w:bottom w:val="single" w:sz="8" w:color="auto"/>
            </w:tcBorders>
          </w:tcPr>
          <w:p>
            <w:pPr>
              <w:jc w:val="right"/>
              <w:ind w:right="8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48</w:t>
            </w: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ind w:right="8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50</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47</w:t>
            </w:r>
          </w:p>
        </w:tc>
      </w:tr>
      <w:tr>
        <w:trPr>
          <w:trHeight w:val="20"/>
        </w:trPr>
        <w:tc>
          <w:tcPr>
            <w:tcW w:w="6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6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-699135</wp:posOffset>
            </wp:positionV>
            <wp:extent cx="7207250"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460">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07250"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461">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allowance for credit losses was $1 million at both September 30, 2025 and 2024.</w:t>
      </w:r>
    </w:p>
    <w:p>
      <w:pPr>
        <w:spacing w:after="0" w:line="40"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 million classified in accounts receivable on the Consolidated Balance Sheets at both September 30, 2025 and 2024.</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Asbestos litigation cost projection</w:t>
      </w:r>
    </w:p>
    <w:p>
      <w:pPr>
        <w:spacing w:after="0" w:line="164" w:lineRule="exact"/>
        <w:rPr>
          <w:sz w:val="20"/>
          <w:szCs w:val="20"/>
          <w:color w:val="auto"/>
        </w:rPr>
      </w:pPr>
    </w:p>
    <w:p>
      <w:pPr>
        <w:jc w:val="both"/>
        <w:ind w:left="8" w:firstLine="360"/>
        <w:spacing w:after="0" w:line="290" w:lineRule="auto"/>
        <w:rPr>
          <w:sz w:val="20"/>
          <w:szCs w:val="20"/>
          <w:color w:val="auto"/>
        </w:rPr>
      </w:pPr>
      <w:r>
        <w:rPr>
          <w:rFonts w:ascii="Times New Roman" w:cs="Times New Roman" w:eastAsia="Times New Roman" w:hAnsi="Times New Roman"/>
          <w:sz w:val="20"/>
          <w:szCs w:val="20"/>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litigation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$382 million for the Ashland asbestos-related litigation (current reserve of $258 million) and approximately $262 million for the Hercules asbestos-related litigation (current reserve of $177 million), depending on the combination of assumptions selected in the various models. While the timeframe used in Ashland's models for projecting asbestos liabilities generally decreases over time based on the expected lifetime of the liabilities, these models have been consistently applied within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Environmental remediation</w:t>
      </w:r>
    </w:p>
    <w:p>
      <w:pPr>
        <w:spacing w:after="0" w:line="170" w:lineRule="exact"/>
        <w:rPr>
          <w:sz w:val="20"/>
          <w:szCs w:val="20"/>
          <w:color w:val="auto"/>
        </w:rPr>
      </w:pPr>
    </w:p>
    <w:p>
      <w:pPr>
        <w:jc w:val="both"/>
        <w:ind w:left="8" w:firstLine="360"/>
        <w:spacing w:after="0" w:line="300" w:lineRule="auto"/>
        <w:rPr>
          <w:sz w:val="20"/>
          <w:szCs w:val="20"/>
          <w:color w:val="auto"/>
        </w:rPr>
      </w:pPr>
      <w:r>
        <w:rPr>
          <w:rFonts w:ascii="Times New Roman" w:cs="Times New Roman" w:eastAsia="Times New Roman" w:hAnsi="Times New Roman"/>
          <w:sz w:val="20"/>
          <w:szCs w:val="20"/>
          <w:color w:val="auto"/>
        </w:rPr>
        <w:t>Ashland is subject to various federal, state and local environmental laws and regulations that require environmental assessment or remediation efforts (collectively environmental remediation) at multiple locations. At September 30, 2025, such locations included 53 sites where Ashland has been identified as a potentially responsible party under Superfund or similar state laws, 107 current and former operating facilities and about 1,225 service station properties, of which 14 are being actively remediated.</w:t>
      </w:r>
    </w:p>
    <w:p>
      <w:pPr>
        <w:spacing w:after="0" w:line="74" w:lineRule="exact"/>
        <w:rPr>
          <w:sz w:val="20"/>
          <w:szCs w:val="20"/>
          <w:color w:val="auto"/>
        </w:rPr>
      </w:pPr>
    </w:p>
    <w:p>
      <w:pPr>
        <w:jc w:val="both"/>
        <w:ind w:left="8" w:firstLine="360"/>
        <w:spacing w:after="0" w:line="300" w:lineRule="auto"/>
        <w:rPr>
          <w:sz w:val="20"/>
          <w:szCs w:val="20"/>
          <w:color w:val="auto"/>
        </w:rPr>
      </w:pPr>
      <w:r>
        <w:rPr>
          <w:rFonts w:ascii="Times New Roman" w:cs="Times New Roman" w:eastAsia="Times New Roman" w:hAnsi="Times New Roman"/>
          <w:sz w:val="20"/>
          <w:szCs w:val="20"/>
          <w:color w:val="auto"/>
        </w:rPr>
        <w:t>Ashland’s reserves for environmental remediation and related environmental litigation amounted to $226 million at September 30, 2025 compared to $221 million at September 30, 2024, of which $179 million at September 30, 2025 and $164 million at September 30, 2024, were classified in other noncurrent liabilities on the Consolidated Balance Sheets. The remaining reserves were classified in accrued expenses and other liabilities on the Consolidated Balance Sheets.</w:t>
      </w:r>
    </w:p>
    <w:p>
      <w:pPr>
        <w:spacing w:after="0" w:line="74"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changes in the environmental remediation reserves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07250"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462">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60" w:type="dxa"/>
            <w:vAlign w:val="bottom"/>
          </w:tcPr>
          <w:p>
            <w:pPr>
              <w:spacing w:after="0"/>
              <w:rPr>
                <w:sz w:val="21"/>
                <w:szCs w:val="21"/>
                <w:color w:val="auto"/>
              </w:rPr>
            </w:pPr>
          </w:p>
        </w:tc>
        <w:tc>
          <w:tcPr>
            <w:tcW w:w="136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top w:val="single" w:sz="8" w:color="auto"/>
              <w:bottom w:val="single" w:sz="8" w:color="auto"/>
            </w:tcBorders>
          </w:tcPr>
          <w:p>
            <w:pPr>
              <w:spacing w:after="0"/>
              <w:rPr>
                <w:sz w:val="21"/>
                <w:szCs w:val="21"/>
                <w:color w:val="auto"/>
              </w:rPr>
            </w:pPr>
          </w:p>
        </w:tc>
      </w:tr>
      <w:tr>
        <w:trPr>
          <w:trHeight w:val="225"/>
        </w:trPr>
        <w:tc>
          <w:tcPr>
            <w:tcW w:w="778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Environmental remediation reserve - beginning of year</w:t>
            </w:r>
          </w:p>
        </w:tc>
        <w:tc>
          <w:tcPr>
            <w:tcW w:w="360" w:type="dxa"/>
            <w:vAlign w:val="bottom"/>
            <w:shd w:val="clear" w:color="auto" w:fill="D5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D5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221</w:t>
            </w:r>
          </w:p>
        </w:tc>
        <w:tc>
          <w:tcPr>
            <w:tcW w:w="520" w:type="dxa"/>
            <w:vAlign w:val="bottom"/>
            <w:gridSpan w:val="2"/>
            <w:shd w:val="clear" w:color="auto" w:fill="D5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shd w:val="clear" w:color="auto" w:fill="D5EFF4"/>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214</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Disbursements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(49)</w:t>
            </w:r>
          </w:p>
        </w:tc>
      </w:tr>
      <w:tr>
        <w:trPr>
          <w:trHeight w:val="230"/>
        </w:trPr>
        <w:tc>
          <w:tcPr>
            <w:tcW w:w="7780" w:type="dxa"/>
            <w:vAlign w:val="bottom"/>
            <w:shd w:val="clear" w:color="auto" w:fill="D5EFF4"/>
          </w:tcPr>
          <w:p>
            <w:pPr>
              <w:spacing w:after="0"/>
              <w:rPr>
                <w:sz w:val="20"/>
                <w:szCs w:val="20"/>
                <w:color w:val="auto"/>
              </w:rPr>
            </w:pPr>
            <w:r>
              <w:rPr>
                <w:rFonts w:ascii="Times New Roman" w:cs="Times New Roman" w:eastAsia="Times New Roman" w:hAnsi="Times New Roman"/>
                <w:sz w:val="20"/>
                <w:szCs w:val="20"/>
                <w:color w:val="auto"/>
              </w:rPr>
              <w:t>Revised obligation estimates and accretion</w:t>
            </w:r>
          </w:p>
        </w:tc>
        <w:tc>
          <w:tcPr>
            <w:tcW w:w="360" w:type="dxa"/>
            <w:vAlign w:val="bottom"/>
            <w:tcBorders>
              <w:bottom w:val="single" w:sz="8" w:color="auto"/>
            </w:tcBorders>
            <w:shd w:val="clear" w:color="auto" w:fill="D5EFF4"/>
          </w:tcPr>
          <w:p>
            <w:pPr>
              <w:spacing w:after="0"/>
              <w:rPr>
                <w:sz w:val="20"/>
                <w:szCs w:val="20"/>
                <w:color w:val="auto"/>
              </w:rPr>
            </w:pPr>
          </w:p>
        </w:tc>
        <w:tc>
          <w:tcPr>
            <w:tcW w:w="1360" w:type="dxa"/>
            <w:vAlign w:val="bottom"/>
            <w:tcBorders>
              <w:bottom w:val="single" w:sz="8" w:color="auto"/>
            </w:tcBorders>
            <w:shd w:val="clear" w:color="auto" w:fill="D5EFF4"/>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c>
          <w:tcPr>
            <w:tcW w:w="180" w:type="dxa"/>
            <w:vAlign w:val="bottom"/>
            <w:shd w:val="clear" w:color="auto" w:fill="D5EFF4"/>
          </w:tcPr>
          <w:p>
            <w:pPr>
              <w:spacing w:after="0"/>
              <w:rPr>
                <w:sz w:val="20"/>
                <w:szCs w:val="20"/>
                <w:color w:val="auto"/>
              </w:rPr>
            </w:pPr>
          </w:p>
        </w:tc>
        <w:tc>
          <w:tcPr>
            <w:tcW w:w="340" w:type="dxa"/>
            <w:vAlign w:val="bottom"/>
            <w:tcBorders>
              <w:bottom w:val="single" w:sz="8" w:color="auto"/>
            </w:tcBorders>
            <w:shd w:val="clear" w:color="auto" w:fill="D5EFF4"/>
          </w:tcPr>
          <w:p>
            <w:pPr>
              <w:spacing w:after="0"/>
              <w:rPr>
                <w:sz w:val="20"/>
                <w:szCs w:val="20"/>
                <w:color w:val="auto"/>
              </w:rPr>
            </w:pPr>
          </w:p>
        </w:tc>
        <w:tc>
          <w:tcPr>
            <w:tcW w:w="1340" w:type="dxa"/>
            <w:vAlign w:val="bottom"/>
            <w:tcBorders>
              <w:bottom w:val="single" w:sz="8" w:color="auto"/>
            </w:tcBorders>
            <w:gridSpan w:val="2"/>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rPr>
              <w:t>56</w:t>
            </w:r>
          </w:p>
        </w:tc>
      </w:tr>
      <w:tr>
        <w:trPr>
          <w:trHeight w:val="225"/>
        </w:trPr>
        <w:tc>
          <w:tcPr>
            <w:tcW w:w="77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Environmental remediation reserve - end of year</w:t>
            </w:r>
          </w:p>
        </w:tc>
        <w:tc>
          <w:tcPr>
            <w:tcW w:w="360" w:type="dxa"/>
            <w:vAlign w:val="bottom"/>
            <w:tcBorders>
              <w:bottom w:val="single" w:sz="8" w:color="auto"/>
            </w:tcBorders>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226</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221</w:t>
            </w: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4"/>
        </w:trPr>
        <w:tc>
          <w:tcPr>
            <w:tcW w:w="7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-698500</wp:posOffset>
            </wp:positionV>
            <wp:extent cx="7207250"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463">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07250"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464">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pacing w:after="0" w:line="81" w:lineRule="exact"/>
        <w:rPr>
          <w:sz w:val="20"/>
          <w:szCs w:val="20"/>
          <w:color w:val="auto"/>
        </w:rPr>
      </w:pPr>
    </w:p>
    <w:p>
      <w:pPr>
        <w:jc w:val="both"/>
        <w:ind w:left="8" w:firstLine="360"/>
        <w:spacing w:after="0" w:line="300" w:lineRule="auto"/>
        <w:rPr>
          <w:sz w:val="20"/>
          <w:szCs w:val="20"/>
          <w:color w:val="auto"/>
        </w:rPr>
      </w:pPr>
      <w:r>
        <w:rPr>
          <w:rFonts w:ascii="Times New Roman" w:cs="Times New Roman" w:eastAsia="Times New Roman" w:hAnsi="Times New Roman"/>
          <w:sz w:val="20"/>
          <w:szCs w:val="20"/>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regularly adjusts its reserves as environmental remediation</w:t>
      </w:r>
    </w:p>
    <w:p>
      <w:pPr>
        <w:sectPr>
          <w:pgSz w:w="12240" w:h="15840" w:orient="portrait"/>
          <w:cols w:equalWidth="0" w:num="1">
            <w:col w:w="11368"/>
          </w:cols>
          <w:pgMar w:left="432" w:top="930" w:right="440" w:bottom="186" w:gutter="0" w:footer="0" w:header="0"/>
        </w:sectPr>
      </w:pPr>
    </w:p>
    <w:p>
      <w:pPr>
        <w:spacing w:after="0" w:line="3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F-44</w:t>
      </w:r>
    </w:p>
    <w:p>
      <w:pPr>
        <w:sectPr>
          <w:pgSz w:w="12240" w:h="15840" w:orient="portrait"/>
          <w:cols w:equalWidth="0" w:num="1">
            <w:col w:w="11368"/>
          </w:cols>
          <w:pgMar w:left="432" w:top="930" w:right="440" w:bottom="186" w:gutter="0" w:footer="0" w:header="0"/>
          <w:type w:val="continuous"/>
        </w:sectPr>
      </w:pPr>
    </w:p>
    <w:bookmarkStart w:id="146" w:name="page147"/>
    <w:bookmarkEnd w:id="146"/>
    <w:p>
      <w:pPr>
        <w:jc w:val="both"/>
        <w:ind w:left="8" w:right="20"/>
        <w:spacing w:after="0" w:line="300" w:lineRule="auto"/>
        <w:rPr>
          <w:sz w:val="20"/>
          <w:szCs w:val="20"/>
          <w:color w:val="auto"/>
        </w:rPr>
      </w:pPr>
      <w:r>
        <w:rPr>
          <w:rFonts w:ascii="Times New Roman" w:cs="Times New Roman" w:eastAsia="Times New Roman" w:hAnsi="Times New Roman"/>
          <w:sz w:val="20"/>
          <w:szCs w:val="20"/>
          <w:color w:val="auto"/>
        </w:rPr>
        <w:t>continues. Ashland has estimated the value of its probable insurance recoveries associated with its environmental remediation reserves based on management’s interpretations and estimates surrounding the available or applicable insurance coverage. At September 30, 2025 and 2024, Ashland’s recorded receivable for these probable insurance recoveries was $14 million and $13 million, respectively, of which $12 million and $11 million was classified in other noncurrent assets on the Consolidated Balance Sheets.</w:t>
      </w:r>
    </w:p>
    <w:p>
      <w:pPr>
        <w:spacing w:after="0" w:line="74" w:lineRule="exact"/>
        <w:rPr>
          <w:sz w:val="20"/>
          <w:szCs w:val="20"/>
          <w:color w:val="auto"/>
        </w:rPr>
      </w:pPr>
    </w:p>
    <w:p>
      <w:pPr>
        <w:jc w:val="both"/>
        <w:ind w:left="8" w:right="20" w:firstLine="360"/>
        <w:spacing w:after="0" w:line="306" w:lineRule="auto"/>
        <w:rPr>
          <w:sz w:val="20"/>
          <w:szCs w:val="20"/>
          <w:color w:val="auto"/>
        </w:rPr>
      </w:pPr>
      <w:r>
        <w:rPr>
          <w:rFonts w:ascii="Times New Roman" w:cs="Times New Roman" w:eastAsia="Times New Roman" w:hAnsi="Times New Roman"/>
          <w:sz w:val="20"/>
          <w:szCs w:val="20"/>
          <w:color w:val="auto"/>
        </w:rPr>
        <w:t>During 2025, 2024 and 2023, Ashland recognized $50 million, $54 million and $56 million of expense, respectively, for certain environmental liabilities related to normal ongoing remediation cost estimate updates for sites, which is consistent with Ashland’s historical environmental accounting policy.</w:t>
      </w:r>
    </w:p>
    <w:p>
      <w:pPr>
        <w:spacing w:after="0" w:line="6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Components of environmental remediation expense included within the selling, general and administrative expense caption of the</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Statements of Consolidated Comprehensive Income (Loss) are presented in the following table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19264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46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360" w:type="dxa"/>
            <w:vAlign w:val="bottom"/>
          </w:tcPr>
          <w:p>
            <w:pPr>
              <w:spacing w:after="0"/>
              <w:rPr>
                <w:sz w:val="21"/>
                <w:szCs w:val="21"/>
                <w:color w:val="auto"/>
              </w:rPr>
            </w:pPr>
          </w:p>
        </w:tc>
        <w:tc>
          <w:tcPr>
            <w:tcW w:w="140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tcBorders>
              <w:top w:val="single" w:sz="8" w:color="auto"/>
              <w:bottom w:val="single" w:sz="8" w:color="auto"/>
            </w:tcBorders>
          </w:tcPr>
          <w:p>
            <w:pPr>
              <w:spacing w:after="0"/>
              <w:rPr>
                <w:sz w:val="21"/>
                <w:szCs w:val="21"/>
                <w:color w:val="auto"/>
              </w:rPr>
            </w:pPr>
          </w:p>
        </w:tc>
      </w:tr>
      <w:tr>
        <w:trPr>
          <w:trHeight w:val="225"/>
        </w:trPr>
        <w:tc>
          <w:tcPr>
            <w:tcW w:w="572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Environmental expense</w:t>
            </w:r>
          </w:p>
        </w:tc>
        <w:tc>
          <w:tcPr>
            <w:tcW w:w="360" w:type="dxa"/>
            <w:vAlign w:val="bottom"/>
            <w:shd w:val="clear" w:color="auto" w:fill="D4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50</w:t>
            </w:r>
          </w:p>
        </w:tc>
        <w:tc>
          <w:tcPr>
            <w:tcW w:w="560" w:type="dxa"/>
            <w:vAlign w:val="bottom"/>
            <w:gridSpan w:val="3"/>
            <w:shd w:val="clear" w:color="auto" w:fill="D4EFF4"/>
          </w:tcPr>
          <w:p>
            <w:pPr>
              <w:jc w:val="right"/>
              <w:ind w:right="175"/>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54</w:t>
            </w:r>
          </w:p>
        </w:tc>
        <w:tc>
          <w:tcPr>
            <w:tcW w:w="560" w:type="dxa"/>
            <w:vAlign w:val="bottom"/>
            <w:gridSpan w:val="3"/>
            <w:shd w:val="clear" w:color="auto" w:fill="D4EFF4"/>
          </w:tcPr>
          <w:p>
            <w:pPr>
              <w:jc w:val="right"/>
              <w:ind w:right="175"/>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56</w:t>
            </w:r>
          </w:p>
        </w:tc>
        <w:tc>
          <w:tcPr>
            <w:tcW w:w="100" w:type="dxa"/>
            <w:vAlign w:val="bottom"/>
            <w:shd w:val="clear" w:color="auto" w:fill="D4EFF4"/>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Accretion</w:t>
            </w:r>
          </w:p>
        </w:tc>
        <w:tc>
          <w:tcPr>
            <w:tcW w:w="3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0"/>
                <w:szCs w:val="20"/>
                <w:color w:val="auto"/>
              </w:rPr>
            </w:pPr>
          </w:p>
        </w:tc>
      </w:tr>
      <w:tr>
        <w:trPr>
          <w:trHeight w:val="230"/>
        </w:trPr>
        <w:tc>
          <w:tcPr>
            <w:tcW w:w="57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Legal expense</w:t>
            </w:r>
          </w:p>
        </w:tc>
        <w:tc>
          <w:tcPr>
            <w:tcW w:w="360" w:type="dxa"/>
            <w:vAlign w:val="bottom"/>
            <w:tcBorders>
              <w:bottom w:val="single" w:sz="8" w:color="auto"/>
            </w:tcBorders>
            <w:shd w:val="clear" w:color="auto" w:fill="D4EFF4"/>
          </w:tcPr>
          <w:p>
            <w:pPr>
              <w:spacing w:after="0"/>
              <w:rPr>
                <w:sz w:val="20"/>
                <w:szCs w:val="20"/>
                <w:color w:val="auto"/>
              </w:rPr>
            </w:pPr>
          </w:p>
        </w:tc>
        <w:tc>
          <w:tcPr>
            <w:tcW w:w="140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340" w:type="dxa"/>
            <w:vAlign w:val="bottom"/>
            <w:tcBorders>
              <w:bottom w:val="single" w:sz="8" w:color="auto"/>
            </w:tcBorders>
            <w:shd w:val="clear" w:color="auto" w:fill="D4EFF4"/>
          </w:tcPr>
          <w:p>
            <w:pPr>
              <w:spacing w:after="0"/>
              <w:rPr>
                <w:sz w:val="20"/>
                <w:szCs w:val="20"/>
                <w:color w:val="auto"/>
              </w:rPr>
            </w:pPr>
          </w:p>
        </w:tc>
        <w:tc>
          <w:tcPr>
            <w:tcW w:w="13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340" w:type="dxa"/>
            <w:vAlign w:val="bottom"/>
            <w:tcBorders>
              <w:bottom w:val="single" w:sz="8" w:color="auto"/>
            </w:tcBorders>
            <w:shd w:val="clear" w:color="auto" w:fill="D4EFF4"/>
          </w:tcPr>
          <w:p>
            <w:pPr>
              <w:spacing w:after="0"/>
              <w:rPr>
                <w:sz w:val="20"/>
                <w:szCs w:val="20"/>
                <w:color w:val="auto"/>
              </w:rPr>
            </w:pPr>
          </w:p>
        </w:tc>
        <w:tc>
          <w:tcPr>
            <w:tcW w:w="12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auto"/>
            </w:tcBorders>
            <w:shd w:val="clear" w:color="auto" w:fill="D4EFF4"/>
          </w:tcPr>
          <w:p>
            <w:pPr>
              <w:spacing w:after="0"/>
              <w:rPr>
                <w:sz w:val="20"/>
                <w:szCs w:val="20"/>
                <w:color w:val="auto"/>
              </w:rPr>
            </w:pPr>
          </w:p>
        </w:tc>
      </w:tr>
      <w:tr>
        <w:trPr>
          <w:trHeight w:val="225"/>
        </w:trPr>
        <w:tc>
          <w:tcPr>
            <w:tcW w:w="572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expense</w:t>
            </w:r>
          </w:p>
        </w:tc>
        <w:tc>
          <w:tcPr>
            <w:tcW w:w="360" w:type="dxa"/>
            <w:vAlign w:val="bottom"/>
          </w:tcPr>
          <w:p>
            <w:pPr>
              <w:spacing w:after="0"/>
              <w:rPr>
                <w:sz w:val="19"/>
                <w:szCs w:val="19"/>
                <w:color w:val="auto"/>
              </w:rPr>
            </w:pPr>
          </w:p>
        </w:tc>
        <w:tc>
          <w:tcPr>
            <w:tcW w:w="1400" w:type="dxa"/>
            <w:vAlign w:val="bottom"/>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60</w:t>
            </w:r>
          </w:p>
        </w:tc>
        <w:tc>
          <w:tcPr>
            <w:tcW w:w="100" w:type="dxa"/>
            <w:vAlign w:val="bottom"/>
          </w:tcPr>
          <w:p>
            <w:pPr>
              <w:spacing w:after="0"/>
              <w:rPr>
                <w:sz w:val="19"/>
                <w:szCs w:val="19"/>
                <w:color w:val="auto"/>
              </w:rPr>
            </w:pPr>
          </w:p>
        </w:tc>
      </w:tr>
      <w:tr>
        <w:trPr>
          <w:trHeight w:val="230"/>
        </w:trPr>
        <w:tc>
          <w:tcPr>
            <w:tcW w:w="572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1400" w:type="dxa"/>
            <w:vAlign w:val="bottom"/>
            <w:shd w:val="clear" w:color="auto" w:fill="D4EFF4"/>
          </w:tcPr>
          <w:p>
            <w:pPr>
              <w:spacing w:after="0"/>
              <w:rPr>
                <w:sz w:val="20"/>
                <w:szCs w:val="20"/>
                <w:color w:val="auto"/>
              </w:rPr>
            </w:pP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340" w:type="dxa"/>
            <w:vAlign w:val="bottom"/>
            <w:shd w:val="clear" w:color="auto" w:fill="D4EFF4"/>
          </w:tcPr>
          <w:p>
            <w:pPr>
              <w:spacing w:after="0"/>
              <w:rPr>
                <w:sz w:val="20"/>
                <w:szCs w:val="20"/>
                <w:color w:val="auto"/>
              </w:rPr>
            </w:pPr>
          </w:p>
        </w:tc>
        <w:tc>
          <w:tcPr>
            <w:tcW w:w="1380" w:type="dxa"/>
            <w:vAlign w:val="bottom"/>
            <w:shd w:val="clear" w:color="auto" w:fill="D4EFF4"/>
          </w:tcPr>
          <w:p>
            <w:pPr>
              <w:spacing w:after="0"/>
              <w:rPr>
                <w:sz w:val="20"/>
                <w:szCs w:val="20"/>
                <w:color w:val="auto"/>
              </w:rPr>
            </w:pP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340" w:type="dxa"/>
            <w:vAlign w:val="bottom"/>
            <w:shd w:val="clear" w:color="auto" w:fill="D4EFF4"/>
          </w:tcPr>
          <w:p>
            <w:pPr>
              <w:spacing w:after="0"/>
              <w:rPr>
                <w:sz w:val="20"/>
                <w:szCs w:val="20"/>
                <w:color w:val="auto"/>
              </w:rPr>
            </w:pPr>
          </w:p>
        </w:tc>
        <w:tc>
          <w:tcPr>
            <w:tcW w:w="128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r>
      <w:tr>
        <w:trPr>
          <w:trHeight w:val="230"/>
        </w:trPr>
        <w:tc>
          <w:tcPr>
            <w:tcW w:w="57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Insurance receivable</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r>
      <w:tr>
        <w:trPr>
          <w:trHeight w:val="245"/>
        </w:trPr>
        <w:tc>
          <w:tcPr>
            <w:tcW w:w="5720" w:type="dxa"/>
            <w:vAlign w:val="bottom"/>
            <w:tcBorders>
              <w:bottom w:val="single" w:sz="8" w:color="D4EFF4"/>
            </w:tcBorders>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Total expense, net of receivable activity</w:t>
            </w:r>
            <w:r>
              <w:rPr>
                <w:rFonts w:ascii="Times New Roman" w:cs="Times New Roman" w:eastAsia="Times New Roman" w:hAnsi="Times New Roman"/>
                <w:sz w:val="25"/>
                <w:szCs w:val="25"/>
                <w:color w:val="auto"/>
                <w:vertAlign w:val="superscript"/>
              </w:rPr>
              <w:t>(a)</w:t>
            </w:r>
          </w:p>
        </w:tc>
        <w:tc>
          <w:tcPr>
            <w:tcW w:w="360" w:type="dxa"/>
            <w:vAlign w:val="bottom"/>
            <w:tcBorders>
              <w:bottom w:val="single" w:sz="8" w:color="auto"/>
            </w:tcBorders>
            <w:shd w:val="clear" w:color="auto" w:fill="D4EFF4"/>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48</w:t>
            </w:r>
          </w:p>
        </w:tc>
        <w:tc>
          <w:tcPr>
            <w:tcW w:w="20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340" w:type="dxa"/>
            <w:vAlign w:val="bottom"/>
            <w:tcBorders>
              <w:bottom w:val="single" w:sz="8" w:color="auto"/>
            </w:tcBorders>
            <w:shd w:val="clear" w:color="auto" w:fill="D4EFF4"/>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56</w:t>
            </w:r>
          </w:p>
        </w:tc>
        <w:tc>
          <w:tcPr>
            <w:tcW w:w="20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340" w:type="dxa"/>
            <w:vAlign w:val="bottom"/>
            <w:tcBorders>
              <w:bottom w:val="single" w:sz="8" w:color="auto"/>
            </w:tcBorders>
            <w:shd w:val="clear" w:color="auto" w:fill="D4EFF4"/>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59</w:t>
            </w:r>
          </w:p>
        </w:tc>
        <w:tc>
          <w:tcPr>
            <w:tcW w:w="100" w:type="dxa"/>
            <w:vAlign w:val="bottom"/>
            <w:tcBorders>
              <w:bottom w:val="single" w:sz="8" w:color="auto"/>
            </w:tcBorders>
            <w:shd w:val="clear" w:color="auto" w:fill="D4EFF4"/>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4"/>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-1146175</wp:posOffset>
            </wp:positionV>
            <wp:extent cx="719264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466">
                      <a:extLst>
                        <a:ext uri="{28A0092B-C50C-407E-A947-70E740481C1C}"/>
                      </a:extLst>
                    </a:blip>
                    <a:srcRect/>
                    <a:stretch>
                      <a:fillRect/>
                    </a:stretch>
                  </pic:blipFill>
                  <pic:spPr bwMode="auto">
                    <a:xfrm>
                      <a:off x="0" y="0"/>
                      <a:ext cx="719264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19264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46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pacing w:after="0" w:line="5" w:lineRule="exact"/>
        <w:rPr>
          <w:sz w:val="20"/>
          <w:szCs w:val="20"/>
          <w:color w:val="auto"/>
        </w:rPr>
      </w:pPr>
    </w:p>
    <w:p>
      <w:pPr>
        <w:jc w:val="both"/>
        <w:ind w:left="568" w:right="20" w:hanging="568"/>
        <w:spacing w:after="0" w:line="258" w:lineRule="auto"/>
        <w:tabs>
          <w:tab w:leader="none" w:pos="568"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expense of $14 million, $11 million and $5 million for the years ended September 30, 2025, 2024 and 2023, respectively, related to divested businesses which qualified for treatment as discontinued operations and for which certain environmental liabilities were retained by Ashland. These amounts are classified within the income (loss) from discontinued operations caption of the Statements of Consolidated Comprehensive Income (Loss).</w:t>
      </w:r>
    </w:p>
    <w:p>
      <w:pPr>
        <w:spacing w:after="0" w:line="74" w:lineRule="exact"/>
        <w:rPr>
          <w:sz w:val="20"/>
          <w:szCs w:val="20"/>
          <w:color w:val="auto"/>
        </w:rPr>
      </w:pPr>
    </w:p>
    <w:p>
      <w:pPr>
        <w:jc w:val="both"/>
        <w:ind w:left="8" w:right="20" w:firstLine="360"/>
        <w:spacing w:after="0" w:line="297" w:lineRule="auto"/>
        <w:rPr>
          <w:sz w:val="20"/>
          <w:szCs w:val="20"/>
          <w:color w:val="auto"/>
        </w:rPr>
      </w:pPr>
      <w:r>
        <w:rPr>
          <w:rFonts w:ascii="Times New Roman" w:cs="Times New Roman" w:eastAsia="Times New Roman" w:hAnsi="Times New Roman"/>
          <w:sz w:val="20"/>
          <w:szCs w:val="20"/>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$495 million. The largest reserve for any site is 21% of the total environmental remediation reserves as of September 30, 2025.</w:t>
      </w:r>
    </w:p>
    <w:p>
      <w:pPr>
        <w:spacing w:after="0" w:line="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Brazil tax credits</w:t>
      </w:r>
    </w:p>
    <w:p>
      <w:pPr>
        <w:spacing w:after="0" w:line="170" w:lineRule="exact"/>
        <w:rPr>
          <w:sz w:val="20"/>
          <w:szCs w:val="20"/>
          <w:color w:val="auto"/>
        </w:rPr>
      </w:pPr>
    </w:p>
    <w:p>
      <w:pPr>
        <w:jc w:val="both"/>
        <w:ind w:left="8" w:right="20" w:firstLine="360"/>
        <w:spacing w:after="0" w:line="300" w:lineRule="auto"/>
        <w:rPr>
          <w:sz w:val="20"/>
          <w:szCs w:val="20"/>
          <w:color w:val="auto"/>
        </w:rPr>
      </w:pPr>
      <w:r>
        <w:rPr>
          <w:rFonts w:ascii="Times New Roman" w:cs="Times New Roman" w:eastAsia="Times New Roman" w:hAnsi="Times New Roman"/>
          <w:sz w:val="20"/>
          <w:szCs w:val="20"/>
          <w:color w:val="auto"/>
        </w:rPr>
        <w:t>In March 2017, the Federal Supreme Court of Brazil (Brazil Supreme Court) ruled in a leading case that a Brazilian value-added tax ("ICMS") should not be included in the base used to calculate a taxpayer’s federal contribution on total revenue known as PIS/COFINS ("2017 Decision"). As a result, two of Ashland’s Brazilian subsidiaries filed lawsuits challenging the inclusion of ICMS in Ashland’s calculation of PIS/COFINs, seeking recovery of excess taxes paid plus interest.</w:t>
      </w:r>
    </w:p>
    <w:p>
      <w:pPr>
        <w:spacing w:after="0" w:line="74" w:lineRule="exact"/>
        <w:rPr>
          <w:sz w:val="20"/>
          <w:szCs w:val="20"/>
          <w:color w:val="auto"/>
        </w:rPr>
      </w:pPr>
    </w:p>
    <w:p>
      <w:pPr>
        <w:jc w:val="both"/>
        <w:ind w:left="8" w:right="20" w:firstLine="360"/>
        <w:spacing w:after="0" w:line="300" w:lineRule="auto"/>
        <w:rPr>
          <w:sz w:val="20"/>
          <w:szCs w:val="20"/>
          <w:color w:val="auto"/>
        </w:rPr>
      </w:pPr>
      <w:r>
        <w:rPr>
          <w:rFonts w:ascii="Times New Roman" w:cs="Times New Roman" w:eastAsia="Times New Roman" w:hAnsi="Times New Roman"/>
          <w:sz w:val="20"/>
          <w:szCs w:val="20"/>
          <w:color w:val="auto"/>
        </w:rPr>
        <w:t>In response to the 2017 Decision, the Brazilian tax authority filed an appeal of the 2017 Decision seeking clarification of the amount of ICMS tax to exclude from the calculation of PIS/COFINS. In May 2021, the Brazil Supreme Court ruled that the ICMS tax be excluded from the calculation of PIS/COFINS. In May 2023, Law 14592/23 was passed in Brazil, converting the 2017 Decision provisional measure effective for PIS/COFINS legislation excluding ICMS from the calculation basis.</w:t>
      </w:r>
    </w:p>
    <w:p>
      <w:pPr>
        <w:spacing w:after="0" w:line="74" w:lineRule="exact"/>
        <w:rPr>
          <w:sz w:val="20"/>
          <w:szCs w:val="20"/>
          <w:color w:val="auto"/>
        </w:rPr>
      </w:pPr>
    </w:p>
    <w:p>
      <w:pPr>
        <w:jc w:val="both"/>
        <w:ind w:left="8" w:right="20" w:firstLine="360"/>
        <w:spacing w:after="0" w:line="294" w:lineRule="auto"/>
        <w:rPr>
          <w:sz w:val="20"/>
          <w:szCs w:val="20"/>
          <w:color w:val="auto"/>
        </w:rPr>
      </w:pPr>
      <w:r>
        <w:rPr>
          <w:rFonts w:ascii="Times New Roman" w:cs="Times New Roman" w:eastAsia="Times New Roman" w:hAnsi="Times New Roman"/>
          <w:sz w:val="20"/>
          <w:szCs w:val="20"/>
          <w:color w:val="auto"/>
        </w:rPr>
        <w:t>As of September 30, 2025, Ashland had received all favorable court rulings for previously filed suits, completed its analysis of certain prior year overpayments related to ICMS and received acknowledgment from the Brazilian tax authority that allows Ashland to begin the process to recover the taxes. As a result, Ashland recorded a pre-tax gain of $12 million during the year ended September 30, 2023 for certain excess PIS/COFINS paid from 2012 to February 2023 plus interest. The gain was recognized within the selling, general and administrative expense caption of the Statement of Consolidated Comprehensive Income (Loss). Ashland started utilizing these credits in December 2023. As of September 30, 2025, Ashland had remaining credits for a total of $7 million available for future use ($3 million within other current assets and $4 million within other noncurrent assets in the Consolidated Balance Sheets, respectively).</w:t>
      </w:r>
    </w:p>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Other legal proceedings and claims</w:t>
      </w:r>
    </w:p>
    <w:p>
      <w:pPr>
        <w:spacing w:after="0" w:line="170" w:lineRule="exact"/>
        <w:rPr>
          <w:sz w:val="20"/>
          <w:szCs w:val="20"/>
          <w:color w:val="auto"/>
        </w:rPr>
      </w:pPr>
    </w:p>
    <w:p>
      <w:pPr>
        <w:jc w:val="both"/>
        <w:ind w:left="8" w:right="20" w:firstLine="360"/>
        <w:spacing w:after="0" w:line="300"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w:t>
      </w:r>
    </w:p>
    <w:p>
      <w:pPr>
        <w:sectPr>
          <w:pgSz w:w="12240" w:h="15840" w:orient="portrait"/>
          <w:cols w:equalWidth="0" w:num="1">
            <w:col w:w="11388"/>
          </w:cols>
          <w:pgMar w:left="432" w:top="930" w:right="420" w:bottom="186"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9"/>
          <w:szCs w:val="19"/>
          <w:color w:val="auto"/>
        </w:rPr>
        <w:t>F-45</w:t>
      </w:r>
    </w:p>
    <w:p>
      <w:pPr>
        <w:sectPr>
          <w:pgSz w:w="12240" w:h="15840" w:orient="portrait"/>
          <w:cols w:equalWidth="0" w:num="1">
            <w:col w:w="11388"/>
          </w:cols>
          <w:pgMar w:left="432" w:top="930" w:right="420" w:bottom="186" w:gutter="0" w:footer="0" w:header="0"/>
          <w:type w:val="continuous"/>
        </w:sectPr>
      </w:pPr>
    </w:p>
    <w:bookmarkStart w:id="147" w:name="page148"/>
    <w:bookmarkEnd w:id="147"/>
    <w:p>
      <w:pPr>
        <w:jc w:val="both"/>
        <w:ind w:left="8"/>
        <w:spacing w:after="0" w:line="306" w:lineRule="auto"/>
        <w:rPr>
          <w:sz w:val="20"/>
          <w:szCs w:val="20"/>
          <w:color w:val="auto"/>
        </w:rPr>
      </w:pPr>
      <w:r>
        <w:rPr>
          <w:rFonts w:ascii="Times New Roman" w:cs="Times New Roman" w:eastAsia="Times New Roman" w:hAnsi="Times New Roman"/>
          <w:sz w:val="20"/>
          <w:szCs w:val="20"/>
          <w:color w:val="auto"/>
        </w:rPr>
        <w:t>with respect to such actions were immaterial as of September 30, 2025 and 2024. There is a reasonable possibility that a loss exceeding amounts already recognized may be incurred related to these actions; however, Ashland believes that such potential losses were immaterial as of September 30, 2025.</w:t>
      </w:r>
    </w:p>
    <w:p>
      <w:pPr>
        <w:spacing w:after="0" w:line="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NOTE N – EQUITY ITEMS</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Stock repurchase program</w:t>
      </w:r>
    </w:p>
    <w:p>
      <w:pPr>
        <w:spacing w:after="0" w:line="170" w:lineRule="exact"/>
        <w:rPr>
          <w:sz w:val="20"/>
          <w:szCs w:val="20"/>
          <w:color w:val="auto"/>
        </w:rPr>
      </w:pPr>
    </w:p>
    <w:p>
      <w:pPr>
        <w:jc w:val="both"/>
        <w:ind w:left="8" w:firstLine="360"/>
        <w:spacing w:after="0" w:line="300" w:lineRule="auto"/>
        <w:rPr>
          <w:sz w:val="20"/>
          <w:szCs w:val="20"/>
          <w:color w:val="auto"/>
        </w:rPr>
      </w:pPr>
      <w:r>
        <w:rPr>
          <w:rFonts w:ascii="Times New Roman" w:cs="Times New Roman" w:eastAsia="Times New Roman" w:hAnsi="Times New Roman"/>
          <w:sz w:val="20"/>
          <w:szCs w:val="20"/>
          <w:color w:val="auto"/>
        </w:rPr>
        <w:t>On June 28, 2023, Ashland's board of directors ("the Board") authorized a new evergreen $1 billion common share repurchase program ("2023 Stock Repurchase Program"). The new authorization terminated and replaced the 2022 Stock Repurchase Program, which had $200 million outstanding at the date of termination. As of September 30, 2025, $520 million remained available for repurchase under the 2023 Stock Repurchase Program.</w:t>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266"/>
        </w:trPr>
        <w:tc>
          <w:tcPr>
            <w:tcW w:w="852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auto"/>
              </w:rPr>
              <w:t>The following table provides the stock repurchase activity for the years ended September 30:</w:t>
            </w: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4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 except per share amounts)</w:t>
            </w:r>
          </w:p>
        </w:tc>
        <w:tc>
          <w:tcPr>
            <w:tcW w:w="1160" w:type="dxa"/>
            <w:vAlign w:val="bottom"/>
          </w:tcPr>
          <w:p>
            <w:pPr>
              <w:spacing w:after="0"/>
              <w:rPr>
                <w:sz w:val="2"/>
                <w:szCs w:val="2"/>
                <w:color w:val="auto"/>
              </w:rPr>
            </w:pPr>
          </w:p>
        </w:tc>
        <w:tc>
          <w:tcPr>
            <w:tcW w:w="1780" w:type="dxa"/>
            <w:vAlign w:val="bottom"/>
            <w:vMerge w:val="restart"/>
          </w:tcPr>
          <w:p>
            <w:pPr>
              <w:jc w:val="center"/>
              <w:ind w:right="400"/>
              <w:spacing w:after="0"/>
              <w:rPr>
                <w:sz w:val="20"/>
                <w:szCs w:val="20"/>
                <w:color w:val="auto"/>
              </w:rPr>
            </w:pPr>
            <w:r>
              <w:rPr>
                <w:rFonts w:ascii="Times New Roman" w:cs="Times New Roman" w:eastAsia="Times New Roman" w:hAnsi="Times New Roman"/>
                <w:sz w:val="20"/>
                <w:szCs w:val="20"/>
                <w:color w:val="auto"/>
                <w:w w:val="99"/>
              </w:rPr>
              <w:t>2025</w:t>
            </w:r>
          </w:p>
        </w:tc>
        <w:tc>
          <w:tcPr>
            <w:tcW w:w="1580" w:type="dxa"/>
            <w:vAlign w:val="bottom"/>
            <w:vMerge w:val="restart"/>
          </w:tcPr>
          <w:p>
            <w:pPr>
              <w:jc w:val="center"/>
              <w:ind w:left="560"/>
              <w:spacing w:after="0"/>
              <w:rPr>
                <w:sz w:val="20"/>
                <w:szCs w:val="20"/>
                <w:color w:val="auto"/>
              </w:rPr>
            </w:pPr>
            <w:r>
              <w:rPr>
                <w:rFonts w:ascii="Times New Roman" w:cs="Times New Roman" w:eastAsia="Times New Roman" w:hAnsi="Times New Roman"/>
                <w:sz w:val="20"/>
                <w:szCs w:val="20"/>
                <w:color w:val="auto"/>
                <w:w w:val="99"/>
              </w:rPr>
              <w:t>2024</w:t>
            </w: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auto"/>
                <w:w w:val="99"/>
              </w:rPr>
              <w:t>2023</w:t>
            </w: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0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D5EFF4"/>
          </w:tcPr>
          <w:p>
            <w:pPr>
              <w:spacing w:after="0" w:line="225" w:lineRule="exact"/>
              <w:rPr>
                <w:sz w:val="20"/>
                <w:szCs w:val="20"/>
                <w:color w:val="auto"/>
              </w:rPr>
            </w:pPr>
            <w:r>
              <w:rPr>
                <w:rFonts w:ascii="Times New Roman" w:cs="Times New Roman" w:eastAsia="Times New Roman" w:hAnsi="Times New Roman"/>
                <w:sz w:val="20"/>
                <w:szCs w:val="20"/>
                <w:color w:val="auto"/>
              </w:rPr>
              <w:t>Number of shares repurchased</w:t>
            </w:r>
          </w:p>
        </w:tc>
        <w:tc>
          <w:tcPr>
            <w:tcW w:w="1160" w:type="dxa"/>
            <w:vAlign w:val="bottom"/>
            <w:shd w:val="clear" w:color="auto" w:fill="D5EFF4"/>
          </w:tcPr>
          <w:p>
            <w:pPr>
              <w:spacing w:after="0"/>
              <w:rPr>
                <w:sz w:val="19"/>
                <w:szCs w:val="19"/>
                <w:color w:val="auto"/>
              </w:rPr>
            </w:pPr>
          </w:p>
        </w:tc>
        <w:tc>
          <w:tcPr>
            <w:tcW w:w="1780" w:type="dxa"/>
            <w:vAlign w:val="bottom"/>
            <w:shd w:val="clear" w:color="auto" w:fill="D5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1.50</w:t>
            </w:r>
          </w:p>
        </w:tc>
        <w:tc>
          <w:tcPr>
            <w:tcW w:w="1580" w:type="dxa"/>
            <w:vAlign w:val="bottom"/>
            <w:shd w:val="clear" w:color="auto" w:fill="D5EFF4"/>
          </w:tcPr>
          <w:p>
            <w:pPr>
              <w:spacing w:after="0"/>
              <w:rPr>
                <w:sz w:val="19"/>
                <w:szCs w:val="19"/>
                <w:color w:val="auto"/>
              </w:rPr>
            </w:pPr>
          </w:p>
        </w:tc>
        <w:tc>
          <w:tcPr>
            <w:tcW w:w="680" w:type="dxa"/>
            <w:vAlign w:val="bottom"/>
            <w:shd w:val="clear" w:color="auto" w:fill="D5EFF4"/>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4.30</w:t>
            </w:r>
          </w:p>
        </w:tc>
        <w:tc>
          <w:tcPr>
            <w:tcW w:w="520" w:type="dxa"/>
            <w:vAlign w:val="bottom"/>
            <w:shd w:val="clear" w:color="auto" w:fill="D5EFF4"/>
          </w:tcPr>
          <w:p>
            <w:pPr>
              <w:spacing w:after="0"/>
              <w:rPr>
                <w:sz w:val="19"/>
                <w:szCs w:val="19"/>
                <w:color w:val="auto"/>
              </w:rPr>
            </w:pPr>
          </w:p>
        </w:tc>
        <w:tc>
          <w:tcPr>
            <w:tcW w:w="1640" w:type="dxa"/>
            <w:vAlign w:val="bottom"/>
            <w:gridSpan w:val="2"/>
            <w:shd w:val="clear" w:color="auto" w:fill="D5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3.10</w:t>
            </w:r>
          </w:p>
        </w:tc>
        <w:tc>
          <w:tcPr>
            <w:tcW w:w="0" w:type="dxa"/>
            <w:vAlign w:val="bottom"/>
          </w:tcPr>
          <w:p>
            <w:pPr>
              <w:spacing w:after="0"/>
              <w:rPr>
                <w:sz w:val="1"/>
                <w:szCs w:val="1"/>
                <w:color w:val="auto"/>
              </w:rPr>
            </w:pPr>
          </w:p>
        </w:tc>
      </w:tr>
      <w:tr>
        <w:trPr>
          <w:trHeight w:val="230"/>
        </w:trPr>
        <w:tc>
          <w:tcPr>
            <w:tcW w:w="40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Weighted-average price per share</w:t>
            </w:r>
            <w:r>
              <w:rPr>
                <w:rFonts w:ascii="Times New Roman" w:cs="Times New Roman" w:eastAsia="Times New Roman" w:hAnsi="Times New Roman"/>
                <w:sz w:val="25"/>
                <w:szCs w:val="25"/>
                <w:color w:val="auto"/>
                <w:vertAlign w:val="superscript"/>
              </w:rPr>
              <w:t>(a)</w:t>
            </w: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64.90</w:t>
            </w:r>
          </w:p>
        </w:tc>
        <w:tc>
          <w:tcPr>
            <w:tcW w:w="1580" w:type="dxa"/>
            <w:vAlign w:val="bottom"/>
          </w:tcPr>
          <w:p>
            <w:pPr>
              <w:jc w:val="right"/>
              <w:ind w:right="11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88.70</w:t>
            </w: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97.33</w:t>
            </w:r>
          </w:p>
        </w:tc>
        <w:tc>
          <w:tcPr>
            <w:tcW w:w="0" w:type="dxa"/>
            <w:vAlign w:val="bottom"/>
          </w:tcPr>
          <w:p>
            <w:pPr>
              <w:spacing w:after="0"/>
              <w:rPr>
                <w:sz w:val="1"/>
                <w:szCs w:val="1"/>
                <w:color w:val="auto"/>
              </w:rPr>
            </w:pPr>
          </w:p>
        </w:tc>
      </w:tr>
      <w:tr>
        <w:trPr>
          <w:trHeight w:val="230"/>
        </w:trPr>
        <w:tc>
          <w:tcPr>
            <w:tcW w:w="4000" w:type="dxa"/>
            <w:vAlign w:val="bottom"/>
            <w:shd w:val="clear" w:color="auto" w:fill="D5EFF4"/>
          </w:tcPr>
          <w:p>
            <w:pPr>
              <w:spacing w:after="0" w:line="230" w:lineRule="exact"/>
              <w:rPr>
                <w:sz w:val="20"/>
                <w:szCs w:val="20"/>
                <w:color w:val="auto"/>
              </w:rPr>
            </w:pPr>
            <w:r>
              <w:rPr>
                <w:rFonts w:ascii="Times New Roman" w:cs="Times New Roman" w:eastAsia="Times New Roman" w:hAnsi="Times New Roman"/>
                <w:sz w:val="20"/>
                <w:szCs w:val="20"/>
                <w:color w:val="auto"/>
              </w:rPr>
              <w:t>Aggregate purchase price</w:t>
            </w:r>
            <w:r>
              <w:rPr>
                <w:rFonts w:ascii="Times New Roman" w:cs="Times New Roman" w:eastAsia="Times New Roman" w:hAnsi="Times New Roman"/>
                <w:sz w:val="25"/>
                <w:szCs w:val="25"/>
                <w:color w:val="auto"/>
                <w:vertAlign w:val="superscript"/>
              </w:rPr>
              <w:t>(a)</w:t>
            </w:r>
          </w:p>
        </w:tc>
        <w:tc>
          <w:tcPr>
            <w:tcW w:w="1160" w:type="dxa"/>
            <w:vAlign w:val="bottom"/>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D5EFF4"/>
          </w:tcPr>
          <w:p>
            <w:pPr>
              <w:jc w:val="right"/>
              <w:ind w:right="140"/>
              <w:spacing w:after="0"/>
              <w:rPr>
                <w:sz w:val="20"/>
                <w:szCs w:val="20"/>
                <w:color w:val="auto"/>
              </w:rPr>
            </w:pPr>
            <w:r>
              <w:rPr>
                <w:rFonts w:ascii="Times New Roman" w:cs="Times New Roman" w:eastAsia="Times New Roman" w:hAnsi="Times New Roman"/>
                <w:sz w:val="20"/>
                <w:szCs w:val="20"/>
                <w:color w:val="auto"/>
              </w:rPr>
              <w:t>100</w:t>
            </w:r>
          </w:p>
        </w:tc>
        <w:tc>
          <w:tcPr>
            <w:tcW w:w="1580" w:type="dxa"/>
            <w:vAlign w:val="bottom"/>
            <w:shd w:val="clear" w:color="auto" w:fill="D5EFF4"/>
          </w:tcPr>
          <w:p>
            <w:pPr>
              <w:jc w:val="right"/>
              <w:ind w:right="11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5EFF4"/>
          </w:tcPr>
          <w:p>
            <w:pPr>
              <w:jc w:val="right"/>
              <w:ind w:right="120"/>
              <w:spacing w:after="0"/>
              <w:rPr>
                <w:sz w:val="20"/>
                <w:szCs w:val="20"/>
                <w:color w:val="auto"/>
              </w:rPr>
            </w:pPr>
            <w:r>
              <w:rPr>
                <w:rFonts w:ascii="Times New Roman" w:cs="Times New Roman" w:eastAsia="Times New Roman" w:hAnsi="Times New Roman"/>
                <w:sz w:val="20"/>
                <w:szCs w:val="20"/>
                <w:color w:val="auto"/>
              </w:rPr>
              <w:t>380</w:t>
            </w:r>
          </w:p>
        </w:tc>
        <w:tc>
          <w:tcPr>
            <w:tcW w:w="520" w:type="dxa"/>
            <w:vAlign w:val="bottom"/>
            <w:shd w:val="clear" w:color="auto" w:fill="D5EFF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gridSpan w:val="2"/>
            <w:shd w:val="clear" w:color="auto" w:fill="D5EFF4"/>
          </w:tcPr>
          <w:p>
            <w:pPr>
              <w:jc w:val="right"/>
              <w:ind w:right="100"/>
              <w:spacing w:after="0"/>
              <w:rPr>
                <w:sz w:val="20"/>
                <w:szCs w:val="20"/>
                <w:color w:val="auto"/>
              </w:rPr>
            </w:pPr>
            <w:r>
              <w:rPr>
                <w:rFonts w:ascii="Times New Roman" w:cs="Times New Roman" w:eastAsia="Times New Roman" w:hAnsi="Times New Roman"/>
                <w:sz w:val="20"/>
                <w:szCs w:val="20"/>
                <w:color w:val="auto"/>
              </w:rPr>
              <w:t>300</w:t>
            </w:r>
          </w:p>
        </w:tc>
        <w:tc>
          <w:tcPr>
            <w:tcW w:w="0" w:type="dxa"/>
            <w:vAlign w:val="bottom"/>
          </w:tcPr>
          <w:p>
            <w:pPr>
              <w:spacing w:after="0"/>
              <w:rPr>
                <w:sz w:val="1"/>
                <w:szCs w:val="1"/>
                <w:color w:val="auto"/>
              </w:rPr>
            </w:pPr>
          </w:p>
        </w:tc>
      </w:tr>
      <w:tr>
        <w:trPr>
          <w:trHeight w:val="210"/>
        </w:trPr>
        <w:tc>
          <w:tcPr>
            <w:tcW w:w="40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Program</w:t>
            </w:r>
          </w:p>
        </w:tc>
        <w:tc>
          <w:tcPr>
            <w:tcW w:w="1160" w:type="dxa"/>
            <w:vAlign w:val="bottom"/>
          </w:tcPr>
          <w:p>
            <w:pPr>
              <w:spacing w:after="0"/>
              <w:rPr>
                <w:sz w:val="18"/>
                <w:szCs w:val="18"/>
                <w:color w:val="auto"/>
              </w:rPr>
            </w:pPr>
          </w:p>
        </w:tc>
        <w:tc>
          <w:tcPr>
            <w:tcW w:w="1780" w:type="dxa"/>
            <w:vAlign w:val="bottom"/>
          </w:tcPr>
          <w:p>
            <w:pPr>
              <w:jc w:val="center"/>
              <w:ind w:right="420"/>
              <w:spacing w:after="0" w:line="210" w:lineRule="exact"/>
              <w:rPr>
                <w:sz w:val="20"/>
                <w:szCs w:val="20"/>
                <w:color w:val="auto"/>
              </w:rPr>
            </w:pPr>
            <w:r>
              <w:rPr>
                <w:rFonts w:ascii="Times New Roman" w:cs="Times New Roman" w:eastAsia="Times New Roman" w:hAnsi="Times New Roman"/>
                <w:sz w:val="20"/>
                <w:szCs w:val="20"/>
                <w:color w:val="auto"/>
                <w:w w:val="99"/>
              </w:rPr>
              <w:t>2023 Stock</w:t>
            </w:r>
          </w:p>
        </w:tc>
        <w:tc>
          <w:tcPr>
            <w:tcW w:w="1580" w:type="dxa"/>
            <w:vAlign w:val="bottom"/>
          </w:tcPr>
          <w:p>
            <w:pPr>
              <w:jc w:val="center"/>
              <w:ind w:left="580"/>
              <w:spacing w:after="0" w:line="210" w:lineRule="exact"/>
              <w:rPr>
                <w:sz w:val="20"/>
                <w:szCs w:val="20"/>
                <w:color w:val="auto"/>
              </w:rPr>
            </w:pPr>
            <w:r>
              <w:rPr>
                <w:rFonts w:ascii="Times New Roman" w:cs="Times New Roman" w:eastAsia="Times New Roman" w:hAnsi="Times New Roman"/>
                <w:sz w:val="20"/>
                <w:szCs w:val="20"/>
                <w:color w:val="auto"/>
                <w:w w:val="99"/>
              </w:rPr>
              <w:t>2023 Stock</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gridSpan w:val="2"/>
          </w:tcPr>
          <w:p>
            <w:pPr>
              <w:jc w:val="center"/>
              <w:ind w:right="380"/>
              <w:spacing w:after="0" w:line="210" w:lineRule="exact"/>
              <w:rPr>
                <w:sz w:val="20"/>
                <w:szCs w:val="20"/>
                <w:color w:val="auto"/>
              </w:rPr>
            </w:pPr>
            <w:r>
              <w:rPr>
                <w:rFonts w:ascii="Times New Roman" w:cs="Times New Roman" w:eastAsia="Times New Roman" w:hAnsi="Times New Roman"/>
                <w:sz w:val="20"/>
                <w:szCs w:val="20"/>
                <w:color w:val="auto"/>
                <w:w w:val="99"/>
              </w:rPr>
              <w:t>2022 Stock</w:t>
            </w:r>
          </w:p>
        </w:tc>
        <w:tc>
          <w:tcPr>
            <w:tcW w:w="0" w:type="dxa"/>
            <w:vAlign w:val="bottom"/>
          </w:tcPr>
          <w:p>
            <w:pPr>
              <w:spacing w:after="0"/>
              <w:rPr>
                <w:sz w:val="1"/>
                <w:szCs w:val="1"/>
                <w:color w:val="auto"/>
              </w:rPr>
            </w:pPr>
          </w:p>
        </w:tc>
      </w:tr>
      <w:tr>
        <w:trPr>
          <w:trHeight w:val="266"/>
        </w:trPr>
        <w:tc>
          <w:tcPr>
            <w:tcW w:w="4000" w:type="dxa"/>
            <w:vAlign w:val="bottom"/>
          </w:tcPr>
          <w:p>
            <w:pPr>
              <w:spacing w:after="0"/>
              <w:rPr>
                <w:sz w:val="23"/>
                <w:szCs w:val="23"/>
                <w:color w:val="auto"/>
              </w:rPr>
            </w:pPr>
          </w:p>
        </w:tc>
        <w:tc>
          <w:tcPr>
            <w:tcW w:w="2940" w:type="dxa"/>
            <w:vAlign w:val="bottom"/>
            <w:gridSpan w:val="2"/>
          </w:tcPr>
          <w:p>
            <w:pPr>
              <w:jc w:val="center"/>
              <w:ind w:left="540"/>
              <w:spacing w:after="0"/>
              <w:rPr>
                <w:sz w:val="20"/>
                <w:szCs w:val="20"/>
                <w:color w:val="auto"/>
              </w:rPr>
            </w:pPr>
            <w:r>
              <w:rPr>
                <w:rFonts w:ascii="Times New Roman" w:cs="Times New Roman" w:eastAsia="Times New Roman" w:hAnsi="Times New Roman"/>
                <w:sz w:val="20"/>
                <w:szCs w:val="20"/>
                <w:color w:val="auto"/>
                <w:w w:val="99"/>
              </w:rPr>
              <w:t>Repurchase Program</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Repurchase Program</w:t>
            </w:r>
          </w:p>
        </w:tc>
        <w:tc>
          <w:tcPr>
            <w:tcW w:w="2160" w:type="dxa"/>
            <w:vAlign w:val="bottom"/>
            <w:gridSpan w:val="3"/>
          </w:tcPr>
          <w:p>
            <w:pPr>
              <w:jc w:val="center"/>
              <w:ind w:left="20"/>
              <w:spacing w:after="0"/>
              <w:rPr>
                <w:sz w:val="20"/>
                <w:szCs w:val="20"/>
                <w:color w:val="auto"/>
              </w:rPr>
            </w:pPr>
            <w:r>
              <w:rPr>
                <w:rFonts w:ascii="Times New Roman" w:cs="Times New Roman" w:eastAsia="Times New Roman" w:hAnsi="Times New Roman"/>
                <w:sz w:val="20"/>
                <w:szCs w:val="20"/>
                <w:color w:val="auto"/>
              </w:rPr>
              <w:t>Repurchase Program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-919480</wp:posOffset>
            </wp:positionV>
            <wp:extent cx="7189470"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468">
                      <a:extLst>
                        <a:ext uri="{28A0092B-C50C-407E-A947-70E740481C1C}"/>
                      </a:extLst>
                    </a:blip>
                    <a:srcRect/>
                    <a:stretch>
                      <a:fillRect/>
                    </a:stretch>
                  </pic:blipFill>
                  <pic:spPr bwMode="auto">
                    <a:xfrm>
                      <a:off x="0" y="0"/>
                      <a:ext cx="718947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-763905</wp:posOffset>
            </wp:positionV>
            <wp:extent cx="7189470"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469">
                      <a:extLst>
                        <a:ext uri="{28A0092B-C50C-407E-A947-70E740481C1C}"/>
                      </a:extLst>
                    </a:blip>
                    <a:srcRect/>
                    <a:stretch>
                      <a:fillRect/>
                    </a:stretch>
                  </pic:blipFill>
                  <pic:spPr bwMode="auto">
                    <a:xfrm>
                      <a:off x="0" y="0"/>
                      <a:ext cx="718947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19050</wp:posOffset>
            </wp:positionV>
            <wp:extent cx="7242810"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470">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72" w:lineRule="exact"/>
        <w:rPr>
          <w:sz w:val="20"/>
          <w:szCs w:val="20"/>
          <w:color w:val="auto"/>
        </w:rPr>
      </w:pPr>
    </w:p>
    <w:p>
      <w:pPr>
        <w:ind w:left="568" w:hanging="568"/>
        <w:spacing w:after="0"/>
        <w:tabs>
          <w:tab w:leader="none" w:pos="568"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transactions costs.</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Stockholder dividends</w:t>
      </w:r>
    </w:p>
    <w:p>
      <w:pPr>
        <w:spacing w:after="0" w:line="170"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Ashland paid dividends per common share of $1.64, $1.58 and $1.44 during 2025, 2024 and 2023, respectively.</w:t>
      </w:r>
    </w:p>
    <w:p>
      <w:pPr>
        <w:spacing w:after="0" w:line="166"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In May 2025, the Board announced a quarterly cash dividend of 41.5 cents per share to eligible stockholders at record, which represented an increase from the previous quarterly cash dividend of 40.5 cents per share. The dividend was paid in the third and fourth quarter of fiscal 2025.</w:t>
      </w:r>
    </w:p>
    <w:p>
      <w:pPr>
        <w:spacing w:after="0" w:line="68"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In May 2024, the Board announced a quarterly cash dividend of 40.5 cents per share to eligible stockholders at record, which represented an increase from the previous quarterly cash dividend of 38.5 cents per share. The dividend was paid in the third and fourth quarter of fiscal 2024 and the first and second quarters of fiscal 2025.</w:t>
      </w:r>
    </w:p>
    <w:p>
      <w:pPr>
        <w:spacing w:after="0" w:line="68"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In May 2023, the Board announced a quarterly cash dividend of 38.5 cents per share to eligible stockholders at record, which represented an increase from the previous quarterly cash dividend of 33.5 cents per share. The dividend was paid in the third and fourth quarter of fiscal 2023 and the first and second quarters of fiscal 2024.</w:t>
      </w:r>
    </w:p>
    <w:p>
      <w:pPr>
        <w:spacing w:after="0" w:line="68"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In May 2022, the Board announced a quarterly cash dividend of 33.5 cents per share to eligible stockholders at record, which represented an increase from the previous quarterly cash dividend of 30.0 cents per share. This dividend was paid in the third and fourth quarters of fiscal 2022 and the first and second quarters of fiscal 2023.</w:t>
      </w:r>
    </w:p>
    <w:p>
      <w:pPr>
        <w:spacing w:after="0" w:line="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Shares reserved for issuance</w:t>
      </w:r>
    </w:p>
    <w:p>
      <w:pPr>
        <w:spacing w:after="0" w:line="170"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At September 30, 2025, 16.4 million common shares were reserved for issuance under stock incentive and deferred compensation plans.</w:t>
      </w:r>
    </w:p>
    <w:p>
      <w:pPr>
        <w:sectPr>
          <w:pgSz w:w="12240" w:h="15840" w:orient="portrait"/>
          <w:cols w:equalWidth="0" w:num="1">
            <w:col w:w="11368"/>
          </w:cols>
          <w:pgMar w:left="432"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F-46</w:t>
      </w:r>
    </w:p>
    <w:p>
      <w:pPr>
        <w:sectPr>
          <w:pgSz w:w="12240" w:h="15840" w:orient="portrait"/>
          <w:cols w:equalWidth="0" w:num="1">
            <w:col w:w="11368"/>
          </w:cols>
          <w:pgMar w:left="432" w:top="930" w:right="440" w:bottom="186"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auto"/>
        </w:rPr>
        <w:t>Other comprehensive income (loss)</w:t>
      </w:r>
    </w:p>
    <w:p>
      <w:pPr>
        <w:spacing w:after="0" w:line="170" w:lineRule="exact"/>
        <w:rPr>
          <w:sz w:val="20"/>
          <w:szCs w:val="20"/>
          <w:color w:val="auto"/>
        </w:rPr>
      </w:pPr>
    </w:p>
    <w:p>
      <w:pPr>
        <w:ind w:firstLine="360"/>
        <w:spacing w:after="0" w:line="325" w:lineRule="auto"/>
        <w:rPr>
          <w:sz w:val="20"/>
          <w:szCs w:val="20"/>
          <w:color w:val="auto"/>
        </w:rPr>
      </w:pPr>
      <w:r>
        <w:rPr>
          <w:rFonts w:ascii="Times New Roman" w:cs="Times New Roman" w:eastAsia="Times New Roman" w:hAnsi="Times New Roman"/>
          <w:sz w:val="20"/>
          <w:szCs w:val="20"/>
          <w:color w:val="auto"/>
        </w:rPr>
        <w:t>Components of other comprehensive income (loss) recorded in the Statements of Consolidated Comprehensive Income (Loss) are presented in the following table, before tax and net of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29210</wp:posOffset>
            </wp:positionV>
            <wp:extent cx="7242810"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471">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Tax</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66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Before</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(expense)</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Net of</w:t>
            </w:r>
          </w:p>
        </w:tc>
      </w:tr>
      <w:tr>
        <w:trPr>
          <w:trHeight w:val="249"/>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tax</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benefit</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tax</w:t>
            </w:r>
          </w:p>
        </w:tc>
      </w:tr>
      <w:tr>
        <w:trPr>
          <w:trHeight w:val="239"/>
        </w:trPr>
        <w:tc>
          <w:tcPr>
            <w:tcW w:w="6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Year ended September 30, 2025</w:t>
            </w:r>
          </w:p>
        </w:tc>
        <w:tc>
          <w:tcPr>
            <w:tcW w:w="1060" w:type="dxa"/>
            <w:vAlign w:val="bottom"/>
            <w:shd w:val="clear" w:color="auto" w:fill="D4EFF4"/>
          </w:tcPr>
          <w:p>
            <w:pPr>
              <w:spacing w:after="0"/>
              <w:rPr>
                <w:sz w:val="20"/>
                <w:szCs w:val="20"/>
                <w:color w:val="auto"/>
              </w:rPr>
            </w:pPr>
          </w:p>
        </w:tc>
        <w:tc>
          <w:tcPr>
            <w:tcW w:w="42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12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260" w:type="dxa"/>
            <w:vAlign w:val="bottom"/>
            <w:shd w:val="clear" w:color="auto" w:fill="D4EFF4"/>
          </w:tcPr>
          <w:p>
            <w:pPr>
              <w:spacing w:after="0"/>
              <w:rPr>
                <w:sz w:val="20"/>
                <w:szCs w:val="20"/>
                <w:color w:val="auto"/>
              </w:rPr>
            </w:pPr>
          </w:p>
        </w:tc>
        <w:tc>
          <w:tcPr>
            <w:tcW w:w="1100" w:type="dxa"/>
            <w:vAlign w:val="bottom"/>
            <w:shd w:val="clear" w:color="auto" w:fill="D4EFF4"/>
          </w:tcPr>
          <w:p>
            <w:pPr>
              <w:spacing w:after="0"/>
              <w:rPr>
                <w:sz w:val="20"/>
                <w:szCs w:val="20"/>
                <w:color w:val="auto"/>
              </w:rPr>
            </w:pPr>
          </w:p>
        </w:tc>
        <w:tc>
          <w:tcPr>
            <w:tcW w:w="80" w:type="dxa"/>
            <w:vAlign w:val="bottom"/>
            <w:tcBorders>
              <w:top w:val="single" w:sz="8" w:color="auto"/>
            </w:tcBorders>
            <w:shd w:val="clear" w:color="auto" w:fill="D4EFF4"/>
          </w:tcPr>
          <w:p>
            <w:pPr>
              <w:spacing w:after="0"/>
              <w:rPr>
                <w:sz w:val="20"/>
                <w:szCs w:val="20"/>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6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Unrealized translation gain</w:t>
            </w:r>
          </w:p>
        </w:tc>
        <w:tc>
          <w:tcPr>
            <w:tcW w:w="1060" w:type="dxa"/>
            <w:vAlign w:val="bottom"/>
            <w:shd w:val="clear" w:color="auto" w:fill="D4EFF4"/>
          </w:tcPr>
          <w:p>
            <w:pPr>
              <w:jc w:val="right"/>
              <w:ind w:right="86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46</w:t>
            </w:r>
          </w:p>
        </w:tc>
        <w:tc>
          <w:tcPr>
            <w:tcW w:w="1260" w:type="dxa"/>
            <w:vAlign w:val="bottom"/>
            <w:gridSpan w:val="2"/>
            <w:shd w:val="clear" w:color="auto" w:fill="D4EFF4"/>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2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shd w:val="clear" w:color="auto" w:fill="D4EFF4"/>
          </w:tcPr>
          <w:p>
            <w:pPr>
              <w:spacing w:after="0"/>
              <w:rPr>
                <w:sz w:val="21"/>
                <w:szCs w:val="21"/>
                <w:color w:val="auto"/>
              </w:rPr>
            </w:pPr>
          </w:p>
        </w:tc>
      </w:tr>
      <w:tr>
        <w:trPr>
          <w:trHeight w:val="244"/>
        </w:trPr>
        <w:tc>
          <w:tcPr>
            <w:tcW w:w="66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Unrealized gain on commodity hedges</w:t>
            </w: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Borders>
              <w:bottom w:val="single" w:sz="8" w:color="D4EFF4"/>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auto"/>
            </w:tcBorders>
          </w:tcPr>
          <w:p>
            <w:pPr>
              <w:spacing w:after="0"/>
              <w:rPr>
                <w:sz w:val="21"/>
                <w:szCs w:val="21"/>
                <w:color w:val="auto"/>
              </w:rPr>
            </w:pPr>
          </w:p>
        </w:tc>
      </w:tr>
      <w:tr>
        <w:trPr>
          <w:trHeight w:val="239"/>
        </w:trPr>
        <w:tc>
          <w:tcPr>
            <w:tcW w:w="6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other comprehensive income (loss)</w:t>
            </w:r>
          </w:p>
        </w:tc>
        <w:tc>
          <w:tcPr>
            <w:tcW w:w="1060" w:type="dxa"/>
            <w:vAlign w:val="bottom"/>
            <w:tcBorders>
              <w:bottom w:val="single" w:sz="8" w:color="auto"/>
            </w:tcBorders>
            <w:shd w:val="clear" w:color="auto" w:fill="D4EFF4"/>
          </w:tcPr>
          <w:p>
            <w:pPr>
              <w:jc w:val="right"/>
              <w:ind w:right="86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48</w:t>
            </w:r>
          </w:p>
        </w:tc>
        <w:tc>
          <w:tcPr>
            <w:tcW w:w="140" w:type="dxa"/>
            <w:vAlign w:val="bottom"/>
            <w:shd w:val="clear" w:color="auto" w:fill="D4EFF4"/>
          </w:tcPr>
          <w:p>
            <w:pPr>
              <w:spacing w:after="0"/>
              <w:rPr>
                <w:sz w:val="20"/>
                <w:szCs w:val="20"/>
                <w:color w:val="auto"/>
              </w:rPr>
            </w:pPr>
          </w:p>
        </w:tc>
        <w:tc>
          <w:tcPr>
            <w:tcW w:w="1120" w:type="dxa"/>
            <w:vAlign w:val="bottom"/>
            <w:tcBorders>
              <w:bottom w:val="single" w:sz="8" w:color="auto"/>
            </w:tcBorders>
            <w:shd w:val="clear" w:color="auto" w:fill="D4EFF4"/>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shd w:val="clear" w:color="auto" w:fill="D4EFF4"/>
          </w:tcPr>
          <w:p>
            <w:pPr>
              <w:spacing w:after="0"/>
              <w:rPr>
                <w:sz w:val="20"/>
                <w:szCs w:val="20"/>
                <w:color w:val="auto"/>
              </w:rPr>
            </w:pPr>
          </w:p>
        </w:tc>
        <w:tc>
          <w:tcPr>
            <w:tcW w:w="260" w:type="dxa"/>
            <w:vAlign w:val="bottom"/>
            <w:tcBorders>
              <w:bottom w:val="single" w:sz="8" w:color="auto"/>
            </w:tcBorders>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tcBorders>
              <w:bottom w:val="single" w:sz="8" w:color="auto"/>
            </w:tcBorders>
            <w:shd w:val="clear" w:color="auto" w:fill="D4EFF4"/>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29"/>
        </w:trPr>
        <w:tc>
          <w:tcPr>
            <w:tcW w:w="6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6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Year ended September 30, 2024</w:t>
            </w:r>
          </w:p>
        </w:tc>
        <w:tc>
          <w:tcPr>
            <w:tcW w:w="1060" w:type="dxa"/>
            <w:vAlign w:val="bottom"/>
            <w:shd w:val="clear" w:color="auto" w:fill="D4EFF4"/>
          </w:tcPr>
          <w:p>
            <w:pPr>
              <w:spacing w:after="0"/>
              <w:rPr>
                <w:sz w:val="21"/>
                <w:szCs w:val="21"/>
                <w:color w:val="auto"/>
              </w:rPr>
            </w:pPr>
          </w:p>
        </w:tc>
        <w:tc>
          <w:tcPr>
            <w:tcW w:w="4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120" w:type="dxa"/>
            <w:vAlign w:val="bottom"/>
            <w:shd w:val="clear" w:color="auto" w:fill="D4EFF4"/>
          </w:tcPr>
          <w:p>
            <w:pPr>
              <w:spacing w:after="0"/>
              <w:rPr>
                <w:sz w:val="21"/>
                <w:szCs w:val="21"/>
                <w:color w:val="auto"/>
              </w:rPr>
            </w:pPr>
          </w:p>
        </w:tc>
        <w:tc>
          <w:tcPr>
            <w:tcW w:w="36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60" w:type="dxa"/>
            <w:vAlign w:val="bottom"/>
            <w:shd w:val="clear" w:color="auto" w:fill="D4EFF4"/>
          </w:tcPr>
          <w:p>
            <w:pPr>
              <w:spacing w:after="0"/>
              <w:rPr>
                <w:sz w:val="21"/>
                <w:szCs w:val="21"/>
                <w:color w:val="auto"/>
              </w:rPr>
            </w:pPr>
          </w:p>
        </w:tc>
        <w:tc>
          <w:tcPr>
            <w:tcW w:w="11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6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Unrealized translation gain</w:t>
            </w:r>
          </w:p>
        </w:tc>
        <w:tc>
          <w:tcPr>
            <w:tcW w:w="1060" w:type="dxa"/>
            <w:vAlign w:val="bottom"/>
            <w:shd w:val="clear" w:color="auto" w:fill="D4EFF4"/>
          </w:tcPr>
          <w:p>
            <w:pPr>
              <w:jc w:val="right"/>
              <w:ind w:right="86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53</w:t>
            </w:r>
          </w:p>
        </w:tc>
        <w:tc>
          <w:tcPr>
            <w:tcW w:w="1260" w:type="dxa"/>
            <w:vAlign w:val="bottom"/>
            <w:gridSpan w:val="2"/>
            <w:shd w:val="clear" w:color="auto" w:fill="D4EFF4"/>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42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shd w:val="clear" w:color="auto" w:fill="D4EFF4"/>
          </w:tcPr>
          <w:p>
            <w:pPr>
              <w:spacing w:after="0"/>
              <w:rPr>
                <w:sz w:val="21"/>
                <w:szCs w:val="21"/>
                <w:color w:val="auto"/>
              </w:rPr>
            </w:pPr>
          </w:p>
        </w:tc>
      </w:tr>
      <w:tr>
        <w:trPr>
          <w:trHeight w:val="244"/>
        </w:trPr>
        <w:tc>
          <w:tcPr>
            <w:tcW w:w="66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Unrealized gain on commodity hedges</w:t>
            </w: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Borders>
              <w:bottom w:val="single" w:sz="8" w:color="D4EFF4"/>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Borders>
              <w:bottom w:val="single" w:sz="8" w:color="D4EF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Borders>
              <w:bottom w:val="single" w:sz="8" w:color="auto"/>
            </w:tcBorders>
          </w:tcPr>
          <w:p>
            <w:pPr>
              <w:spacing w:after="0"/>
              <w:rPr>
                <w:sz w:val="21"/>
                <w:szCs w:val="21"/>
                <w:color w:val="auto"/>
              </w:rPr>
            </w:pPr>
          </w:p>
        </w:tc>
      </w:tr>
      <w:tr>
        <w:trPr>
          <w:trHeight w:val="259"/>
        </w:trPr>
        <w:tc>
          <w:tcPr>
            <w:tcW w:w="666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other comprehensive income</w:t>
            </w:r>
          </w:p>
        </w:tc>
        <w:tc>
          <w:tcPr>
            <w:tcW w:w="1060" w:type="dxa"/>
            <w:vAlign w:val="bottom"/>
            <w:tcBorders>
              <w:bottom w:val="single" w:sz="8" w:color="auto"/>
            </w:tcBorders>
            <w:shd w:val="clear" w:color="auto" w:fill="D4EFF4"/>
          </w:tcPr>
          <w:p>
            <w:pPr>
              <w:jc w:val="right"/>
              <w:ind w:right="86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55</w:t>
            </w:r>
          </w:p>
        </w:tc>
        <w:tc>
          <w:tcPr>
            <w:tcW w:w="140" w:type="dxa"/>
            <w:vAlign w:val="bottom"/>
            <w:tcBorders>
              <w:bottom w:val="single" w:sz="8" w:color="D4EFF4"/>
            </w:tcBorders>
            <w:shd w:val="clear" w:color="auto" w:fill="D4EFF4"/>
          </w:tcPr>
          <w:p>
            <w:pPr>
              <w:spacing w:after="0"/>
              <w:rPr>
                <w:sz w:val="22"/>
                <w:szCs w:val="22"/>
                <w:color w:val="auto"/>
              </w:rPr>
            </w:pPr>
          </w:p>
        </w:tc>
        <w:tc>
          <w:tcPr>
            <w:tcW w:w="1120" w:type="dxa"/>
            <w:vAlign w:val="bottom"/>
            <w:tcBorders>
              <w:bottom w:val="single" w:sz="8" w:color="auto"/>
            </w:tcBorders>
            <w:shd w:val="clear" w:color="auto" w:fill="D4EFF4"/>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4"/>
            </w:tcBorders>
            <w:shd w:val="clear" w:color="auto" w:fill="D4EFF4"/>
          </w:tcPr>
          <w:p>
            <w:pPr>
              <w:spacing w:after="0"/>
              <w:rPr>
                <w:sz w:val="22"/>
                <w:szCs w:val="22"/>
                <w:color w:val="auto"/>
              </w:rPr>
            </w:pPr>
          </w:p>
        </w:tc>
        <w:tc>
          <w:tcPr>
            <w:tcW w:w="260" w:type="dxa"/>
            <w:vAlign w:val="bottom"/>
            <w:tcBorders>
              <w:bottom w:val="single" w:sz="8" w:color="auto"/>
            </w:tcBorders>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80" w:type="dxa"/>
            <w:vAlign w:val="bottom"/>
            <w:tcBorders>
              <w:bottom w:val="single" w:sz="8" w:color="auto"/>
            </w:tcBorders>
            <w:shd w:val="clear" w:color="auto" w:fill="D4EFF4"/>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9"/>
        </w:trPr>
        <w:tc>
          <w:tcPr>
            <w:tcW w:w="6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6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Year ended September 30, 2023</w:t>
            </w:r>
          </w:p>
        </w:tc>
        <w:tc>
          <w:tcPr>
            <w:tcW w:w="1060" w:type="dxa"/>
            <w:vAlign w:val="bottom"/>
            <w:shd w:val="clear" w:color="auto" w:fill="D4EFF4"/>
          </w:tcPr>
          <w:p>
            <w:pPr>
              <w:spacing w:after="0"/>
              <w:rPr>
                <w:sz w:val="21"/>
                <w:szCs w:val="21"/>
                <w:color w:val="auto"/>
              </w:rPr>
            </w:pPr>
          </w:p>
        </w:tc>
        <w:tc>
          <w:tcPr>
            <w:tcW w:w="4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120" w:type="dxa"/>
            <w:vAlign w:val="bottom"/>
            <w:shd w:val="clear" w:color="auto" w:fill="D4EFF4"/>
          </w:tcPr>
          <w:p>
            <w:pPr>
              <w:spacing w:after="0"/>
              <w:rPr>
                <w:sz w:val="21"/>
                <w:szCs w:val="21"/>
                <w:color w:val="auto"/>
              </w:rPr>
            </w:pPr>
          </w:p>
        </w:tc>
        <w:tc>
          <w:tcPr>
            <w:tcW w:w="36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60" w:type="dxa"/>
            <w:vAlign w:val="bottom"/>
            <w:shd w:val="clear" w:color="auto" w:fill="D4EFF4"/>
          </w:tcPr>
          <w:p>
            <w:pPr>
              <w:spacing w:after="0"/>
              <w:rPr>
                <w:sz w:val="21"/>
                <w:szCs w:val="21"/>
                <w:color w:val="auto"/>
              </w:rPr>
            </w:pPr>
          </w:p>
        </w:tc>
        <w:tc>
          <w:tcPr>
            <w:tcW w:w="11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6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Unrealized translation gain</w:t>
            </w:r>
          </w:p>
        </w:tc>
        <w:tc>
          <w:tcPr>
            <w:tcW w:w="1060" w:type="dxa"/>
            <w:vAlign w:val="bottom"/>
            <w:shd w:val="clear" w:color="auto" w:fill="D4EFF4"/>
          </w:tcPr>
          <w:p>
            <w:pPr>
              <w:jc w:val="right"/>
              <w:ind w:right="86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72</w:t>
            </w:r>
          </w:p>
        </w:tc>
        <w:tc>
          <w:tcPr>
            <w:tcW w:w="1260" w:type="dxa"/>
            <w:vAlign w:val="bottom"/>
            <w:gridSpan w:val="2"/>
            <w:shd w:val="clear" w:color="auto" w:fill="D4EFF4"/>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shd w:val="clear" w:color="auto" w:fill="D4EFF4"/>
          </w:tcPr>
          <w:p>
            <w:pPr>
              <w:spacing w:after="0"/>
              <w:rPr>
                <w:sz w:val="21"/>
                <w:szCs w:val="21"/>
                <w:color w:val="auto"/>
              </w:rPr>
            </w:pPr>
          </w:p>
        </w:tc>
      </w:tr>
      <w:tr>
        <w:trPr>
          <w:trHeight w:val="244"/>
        </w:trPr>
        <w:tc>
          <w:tcPr>
            <w:tcW w:w="66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Unrealized loss on commodity hedges</w:t>
            </w: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40" w:type="dxa"/>
            <w:vAlign w:val="bottom"/>
            <w:tcBorders>
              <w:bottom w:val="single" w:sz="8" w:color="D4EFF4"/>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Borders>
              <w:bottom w:val="single" w:sz="8" w:color="D4EFF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r>
      <w:tr>
        <w:trPr>
          <w:trHeight w:val="259"/>
        </w:trPr>
        <w:tc>
          <w:tcPr>
            <w:tcW w:w="666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other comprehensive income</w:t>
            </w:r>
          </w:p>
        </w:tc>
        <w:tc>
          <w:tcPr>
            <w:tcW w:w="1060" w:type="dxa"/>
            <w:vAlign w:val="bottom"/>
            <w:tcBorders>
              <w:bottom w:val="single" w:sz="8" w:color="auto"/>
            </w:tcBorders>
            <w:shd w:val="clear" w:color="auto" w:fill="D4EFF4"/>
          </w:tcPr>
          <w:p>
            <w:pPr>
              <w:jc w:val="right"/>
              <w:ind w:right="86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64</w:t>
            </w:r>
          </w:p>
        </w:tc>
        <w:tc>
          <w:tcPr>
            <w:tcW w:w="140" w:type="dxa"/>
            <w:vAlign w:val="bottom"/>
            <w:tcBorders>
              <w:bottom w:val="single" w:sz="8" w:color="D4EFF4"/>
            </w:tcBorders>
            <w:shd w:val="clear" w:color="auto" w:fill="D4EFF4"/>
          </w:tcPr>
          <w:p>
            <w:pPr>
              <w:spacing w:after="0"/>
              <w:rPr>
                <w:sz w:val="22"/>
                <w:szCs w:val="22"/>
                <w:color w:val="auto"/>
              </w:rPr>
            </w:pPr>
          </w:p>
        </w:tc>
        <w:tc>
          <w:tcPr>
            <w:tcW w:w="1120" w:type="dxa"/>
            <w:vAlign w:val="bottom"/>
            <w:tcBorders>
              <w:bottom w:val="single" w:sz="8" w:color="auto"/>
            </w:tcBorders>
            <w:shd w:val="clear" w:color="auto" w:fill="D4EFF4"/>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Borders>
              <w:bottom w:val="single" w:sz="8" w:color="D4EFF4"/>
            </w:tcBorders>
            <w:shd w:val="clear" w:color="auto" w:fill="D4EFF4"/>
          </w:tcPr>
          <w:p>
            <w:pPr>
              <w:spacing w:after="0"/>
              <w:rPr>
                <w:sz w:val="22"/>
                <w:szCs w:val="22"/>
                <w:color w:val="auto"/>
              </w:rPr>
            </w:pPr>
          </w:p>
        </w:tc>
        <w:tc>
          <w:tcPr>
            <w:tcW w:w="260" w:type="dxa"/>
            <w:vAlign w:val="bottom"/>
            <w:tcBorders>
              <w:bottom w:val="single" w:sz="8" w:color="auto"/>
            </w:tcBorders>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80" w:type="dxa"/>
            <w:vAlign w:val="bottom"/>
            <w:tcBorders>
              <w:bottom w:val="single" w:sz="8" w:color="auto"/>
            </w:tcBorders>
            <w:shd w:val="clear" w:color="auto" w:fill="D4EFF4"/>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8"/>
        </w:trPr>
        <w:tc>
          <w:tcPr>
            <w:tcW w:w="66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-2833370</wp:posOffset>
            </wp:positionV>
            <wp:extent cx="7207250"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472">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-23495</wp:posOffset>
            </wp:positionV>
            <wp:extent cx="7207250"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473">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ectPr>
          <w:pgSz w:w="12240" w:h="15840" w:orient="portrait"/>
          <w:cols w:equalWidth="0" w:num="1">
            <w:col w:w="11360"/>
          </w:cols>
          <w:pgMar w:left="440" w:top="926"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F-47</w:t>
      </w:r>
    </w:p>
    <w:p>
      <w:pPr>
        <w:sectPr>
          <w:pgSz w:w="12240" w:h="15840" w:orient="portrait"/>
          <w:cols w:equalWidth="0" w:num="1">
            <w:col w:w="11360"/>
          </w:cols>
          <w:pgMar w:left="440" w:top="926" w:right="440" w:bottom="186" w:gutter="0" w:footer="0" w:header="0"/>
          <w:type w:val="continuous"/>
        </w:sectPr>
      </w:pPr>
    </w:p>
    <w:bookmarkStart w:id="149" w:name="page150"/>
    <w:bookmarkEnd w:id="149"/>
    <w:tbl>
      <w:tblPr>
        <w:tblLayout w:type="fixed"/>
        <w:tblInd w:w="8" w:type="dxa"/>
        <w:tblCellMar>
          <w:top w:w="0" w:type="dxa"/>
          <w:left w:w="0" w:type="dxa"/>
          <w:bottom w:w="0" w:type="dxa"/>
          <w:right w:w="0" w:type="dxa"/>
        </w:tblCellMar>
      </w:tblPr>
      <w:tr>
        <w:trPr>
          <w:trHeight w:val="274"/>
        </w:trPr>
        <w:tc>
          <w:tcPr>
            <w:tcW w:w="6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Summary of Stockholders’ Equity</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8600" w:type="dxa"/>
            <w:vAlign w:val="bottom"/>
            <w:gridSpan w:val="5"/>
          </w:tcPr>
          <w:p>
            <w:pPr>
              <w:ind w:left="360"/>
              <w:spacing w:after="0"/>
              <w:rPr>
                <w:sz w:val="20"/>
                <w:szCs w:val="20"/>
                <w:color w:val="auto"/>
              </w:rPr>
            </w:pPr>
            <w:r>
              <w:rPr>
                <w:rFonts w:ascii="Times New Roman" w:cs="Times New Roman" w:eastAsia="Times New Roman" w:hAnsi="Times New Roman"/>
                <w:sz w:val="20"/>
                <w:szCs w:val="20"/>
                <w:color w:val="auto"/>
              </w:rPr>
              <w:t>A reconciliation of changes in stockholders’ equity for the years ended September 30, are as follows: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80" w:type="dxa"/>
            <w:vAlign w:val="bottom"/>
          </w:tcPr>
          <w:p>
            <w:pPr>
              <w:spacing w:after="0"/>
              <w:rPr>
                <w:sz w:val="12"/>
                <w:szCs w:val="12"/>
                <w:color w:val="auto"/>
              </w:rPr>
            </w:pPr>
          </w:p>
        </w:tc>
        <w:tc>
          <w:tcPr>
            <w:tcW w:w="1200" w:type="dxa"/>
            <w:vAlign w:val="bottom"/>
            <w:vMerge w:val="restart"/>
          </w:tcPr>
          <w:p>
            <w:pPr>
              <w:jc w:val="right"/>
              <w:ind w:right="500"/>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6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Common stock and paid in capital</w:t>
            </w:r>
          </w:p>
        </w:tc>
        <w:tc>
          <w:tcPr>
            <w:tcW w:w="280" w:type="dxa"/>
            <w:vAlign w:val="bottom"/>
            <w:shd w:val="clear" w:color="auto" w:fill="D4EFF4"/>
          </w:tcPr>
          <w:p>
            <w:pPr>
              <w:spacing w:after="0"/>
              <w:rPr>
                <w:sz w:val="20"/>
                <w:szCs w:val="20"/>
                <w:color w:val="auto"/>
              </w:rPr>
            </w:pPr>
          </w:p>
        </w:tc>
        <w:tc>
          <w:tcPr>
            <w:tcW w:w="120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320" w:type="dxa"/>
            <w:vAlign w:val="bottom"/>
            <w:shd w:val="clear" w:color="auto" w:fill="D4EFF4"/>
          </w:tcPr>
          <w:p>
            <w:pPr>
              <w:spacing w:after="0"/>
              <w:rPr>
                <w:sz w:val="20"/>
                <w:szCs w:val="20"/>
                <w:color w:val="auto"/>
              </w:rPr>
            </w:pPr>
          </w:p>
        </w:tc>
        <w:tc>
          <w:tcPr>
            <w:tcW w:w="116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280" w:type="dxa"/>
            <w:vAlign w:val="bottom"/>
            <w:shd w:val="clear" w:color="auto" w:fill="D4EFF4"/>
          </w:tcPr>
          <w:p>
            <w:pPr>
              <w:spacing w:after="0"/>
              <w:rPr>
                <w:sz w:val="20"/>
                <w:szCs w:val="20"/>
                <w:color w:val="auto"/>
              </w:rPr>
            </w:pPr>
          </w:p>
        </w:tc>
        <w:tc>
          <w:tcPr>
            <w:tcW w:w="108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shd w:val="clear" w:color="auto" w:fill="D4EFF4"/>
          </w:tcPr>
          <w:p>
            <w:pPr>
              <w:spacing w:after="0" w:line="244" w:lineRule="exact"/>
              <w:rPr>
                <w:sz w:val="20"/>
                <w:szCs w:val="20"/>
                <w:color w:val="auto"/>
              </w:rPr>
            </w:pPr>
            <w:r>
              <w:rPr>
                <w:rFonts w:ascii="Times New Roman" w:cs="Times New Roman" w:eastAsia="Times New Roman" w:hAnsi="Times New Roman"/>
                <w:sz w:val="20"/>
                <w:szCs w:val="20"/>
                <w:color w:val="auto"/>
              </w:rPr>
              <w:t>Common shares issued under stock incentive and other plans</w:t>
            </w:r>
            <w:r>
              <w:rPr>
                <w:rFonts w:ascii="Times New Roman" w:cs="Times New Roman" w:eastAsia="Times New Roman" w:hAnsi="Times New Roman"/>
                <w:sz w:val="25"/>
                <w:szCs w:val="25"/>
                <w:color w:val="auto"/>
                <w:vertAlign w:val="superscript"/>
              </w:rPr>
              <w:t>(a)</w:t>
            </w:r>
          </w:p>
        </w:tc>
        <w:tc>
          <w:tcPr>
            <w:tcW w:w="280" w:type="dxa"/>
            <w:vAlign w:val="bottom"/>
            <w:shd w:val="clear" w:color="auto" w:fill="D4EFF4"/>
          </w:tcPr>
          <w:p>
            <w:pPr>
              <w:spacing w:after="0"/>
              <w:rPr>
                <w:sz w:val="21"/>
                <w:szCs w:val="21"/>
                <w:color w:val="auto"/>
              </w:rPr>
            </w:pPr>
          </w:p>
        </w:tc>
        <w:tc>
          <w:tcPr>
            <w:tcW w:w="120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16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c>
          <w:tcPr>
            <w:tcW w:w="160" w:type="dxa"/>
            <w:vAlign w:val="bottom"/>
            <w:shd w:val="clear" w:color="auto" w:fill="D4EFF4"/>
          </w:tcPr>
          <w:p>
            <w:pPr>
              <w:spacing w:after="0"/>
              <w:rPr>
                <w:sz w:val="21"/>
                <w:szCs w:val="21"/>
                <w:color w:val="auto"/>
              </w:rPr>
            </w:pPr>
          </w:p>
        </w:tc>
        <w:tc>
          <w:tcPr>
            <w:tcW w:w="280" w:type="dxa"/>
            <w:vAlign w:val="bottom"/>
            <w:shd w:val="clear" w:color="auto" w:fill="D4EFF4"/>
          </w:tcPr>
          <w:p>
            <w:pPr>
              <w:spacing w:after="0"/>
              <w:rPr>
                <w:sz w:val="21"/>
                <w:szCs w:val="21"/>
                <w:color w:val="auto"/>
              </w:rPr>
            </w:pPr>
          </w:p>
        </w:tc>
        <w:tc>
          <w:tcPr>
            <w:tcW w:w="10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D4EFF4"/>
            </w:tcBorders>
          </w:tcPr>
          <w:p>
            <w:pPr>
              <w:spacing w:after="0" w:line="244" w:lineRule="exact"/>
              <w:rPr>
                <w:sz w:val="20"/>
                <w:szCs w:val="20"/>
                <w:color w:val="auto"/>
              </w:rPr>
            </w:pPr>
            <w:r>
              <w:rPr>
                <w:rFonts w:ascii="Times New Roman" w:cs="Times New Roman" w:eastAsia="Times New Roman" w:hAnsi="Times New Roman"/>
                <w:sz w:val="20"/>
                <w:szCs w:val="20"/>
                <w:color w:val="auto"/>
              </w:rPr>
              <w:t>Common shares purchased under repurchase program</w:t>
            </w:r>
            <w:r>
              <w:rPr>
                <w:rFonts w:ascii="Times New Roman" w:cs="Times New Roman" w:eastAsia="Times New Roman" w:hAnsi="Times New Roman"/>
                <w:sz w:val="25"/>
                <w:szCs w:val="25"/>
                <w:color w:val="auto"/>
                <w:vertAlign w:val="superscript"/>
              </w:rPr>
              <w:t>(b)(c)</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tcBorders>
              <w:bottom w:val="single" w:sz="8" w:color="D4EFF4"/>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60" w:type="dxa"/>
            <w:vAlign w:val="bottom"/>
            <w:tcBorders>
              <w:bottom w:val="single" w:sz="8" w:color="D4EFF4"/>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59"/>
        </w:trPr>
        <w:tc>
          <w:tcPr>
            <w:tcW w:w="66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Balance, end of period</w:t>
            </w:r>
          </w:p>
        </w:tc>
        <w:tc>
          <w:tcPr>
            <w:tcW w:w="280" w:type="dxa"/>
            <w:vAlign w:val="bottom"/>
            <w:tcBorders>
              <w:bottom w:val="single" w:sz="8" w:color="D4EFF4"/>
            </w:tcBorders>
            <w:shd w:val="clear" w:color="auto" w:fill="D4EFF4"/>
          </w:tcPr>
          <w:p>
            <w:pPr>
              <w:spacing w:after="0"/>
              <w:rPr>
                <w:sz w:val="22"/>
                <w:szCs w:val="22"/>
                <w:color w:val="auto"/>
              </w:rPr>
            </w:pPr>
          </w:p>
        </w:tc>
        <w:tc>
          <w:tcPr>
            <w:tcW w:w="1200" w:type="dxa"/>
            <w:vAlign w:val="bottom"/>
            <w:tcBorders>
              <w:bottom w:val="single" w:sz="8" w:color="D4EFF4"/>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Borders>
              <w:bottom w:val="single" w:sz="8" w:color="D4EFF4"/>
            </w:tcBorders>
            <w:shd w:val="clear" w:color="auto" w:fill="D4EFF4"/>
          </w:tcPr>
          <w:p>
            <w:pPr>
              <w:spacing w:after="0"/>
              <w:rPr>
                <w:sz w:val="22"/>
                <w:szCs w:val="22"/>
                <w:color w:val="auto"/>
              </w:rPr>
            </w:pPr>
          </w:p>
        </w:tc>
        <w:tc>
          <w:tcPr>
            <w:tcW w:w="320" w:type="dxa"/>
            <w:vAlign w:val="bottom"/>
            <w:tcBorders>
              <w:bottom w:val="single" w:sz="8" w:color="D4EFF4"/>
            </w:tcBorders>
            <w:shd w:val="clear" w:color="auto" w:fill="D4EFF4"/>
          </w:tcPr>
          <w:p>
            <w:pPr>
              <w:spacing w:after="0"/>
              <w:rPr>
                <w:sz w:val="22"/>
                <w:szCs w:val="22"/>
                <w:color w:val="auto"/>
              </w:rPr>
            </w:pPr>
          </w:p>
        </w:tc>
        <w:tc>
          <w:tcPr>
            <w:tcW w:w="1160" w:type="dxa"/>
            <w:vAlign w:val="bottom"/>
            <w:tcBorders>
              <w:bottom w:val="single" w:sz="8" w:color="D4EFF4"/>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Borders>
              <w:bottom w:val="single" w:sz="8" w:color="D4EFF4"/>
            </w:tcBorders>
            <w:shd w:val="clear" w:color="auto" w:fill="D4EFF4"/>
          </w:tcPr>
          <w:p>
            <w:pPr>
              <w:spacing w:after="0"/>
              <w:rPr>
                <w:sz w:val="22"/>
                <w:szCs w:val="22"/>
                <w:color w:val="auto"/>
              </w:rPr>
            </w:pPr>
          </w:p>
        </w:tc>
        <w:tc>
          <w:tcPr>
            <w:tcW w:w="280" w:type="dxa"/>
            <w:vAlign w:val="bottom"/>
            <w:tcBorders>
              <w:bottom w:val="single" w:sz="8" w:color="auto"/>
            </w:tcBorders>
            <w:shd w:val="clear" w:color="auto" w:fill="D4EFF4"/>
          </w:tcPr>
          <w:p>
            <w:pPr>
              <w:spacing w:after="0"/>
              <w:rPr>
                <w:sz w:val="22"/>
                <w:szCs w:val="22"/>
                <w:color w:val="auto"/>
              </w:rPr>
            </w:pPr>
          </w:p>
        </w:tc>
        <w:tc>
          <w:tcPr>
            <w:tcW w:w="10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Borders>
              <w:bottom w:val="single" w:sz="8" w:color="auto"/>
            </w:tcBorders>
            <w:shd w:val="clear" w:color="auto" w:fill="D4EFF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6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Retained earnings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280" w:type="dxa"/>
            <w:vAlign w:val="bottom"/>
            <w:shd w:val="clear" w:color="auto" w:fill="D4EFF4"/>
          </w:tcPr>
          <w:p>
            <w:pPr>
              <w:spacing w:after="0"/>
              <w:rPr>
                <w:sz w:val="21"/>
                <w:szCs w:val="21"/>
                <w:color w:val="auto"/>
              </w:rPr>
            </w:pPr>
          </w:p>
        </w:tc>
        <w:tc>
          <w:tcPr>
            <w:tcW w:w="120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3,315</w:t>
            </w:r>
          </w:p>
        </w:tc>
        <w:tc>
          <w:tcPr>
            <w:tcW w:w="140" w:type="dxa"/>
            <w:vAlign w:val="bottom"/>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16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3,595</w:t>
            </w:r>
          </w:p>
        </w:tc>
        <w:tc>
          <w:tcPr>
            <w:tcW w:w="160" w:type="dxa"/>
            <w:vAlign w:val="bottom"/>
            <w:shd w:val="clear" w:color="auto" w:fill="D4EFF4"/>
          </w:tcPr>
          <w:p>
            <w:pPr>
              <w:spacing w:after="0"/>
              <w:rPr>
                <w:sz w:val="21"/>
                <w:szCs w:val="21"/>
                <w:color w:val="auto"/>
              </w:rPr>
            </w:pPr>
          </w:p>
        </w:tc>
        <w:tc>
          <w:tcPr>
            <w:tcW w:w="280" w:type="dxa"/>
            <w:vAlign w:val="bottom"/>
            <w:shd w:val="clear" w:color="auto" w:fill="D4EFF4"/>
          </w:tcPr>
          <w:p>
            <w:pPr>
              <w:spacing w:after="0"/>
              <w:rPr>
                <w:sz w:val="21"/>
                <w:szCs w:val="21"/>
                <w:color w:val="auto"/>
              </w:rPr>
            </w:pPr>
          </w:p>
        </w:tc>
        <w:tc>
          <w:tcPr>
            <w:tcW w:w="10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3,653</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Common shares purchased under repurchase program</w:t>
            </w:r>
            <w:r>
              <w:rPr>
                <w:rFonts w:ascii="Times New Roman" w:cs="Times New Roman" w:eastAsia="Times New Roman" w:hAnsi="Times New Roman"/>
                <w:sz w:val="25"/>
                <w:szCs w:val="25"/>
                <w:color w:val="auto"/>
                <w:vertAlign w:val="superscript"/>
              </w:rPr>
              <w:t>(b)</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(160)</w:t>
            </w:r>
          </w:p>
        </w:tc>
        <w:tc>
          <w:tcPr>
            <w:tcW w:w="0" w:type="dxa"/>
            <w:vAlign w:val="bottom"/>
          </w:tcPr>
          <w:p>
            <w:pPr>
              <w:spacing w:after="0"/>
              <w:rPr>
                <w:sz w:val="1"/>
                <w:szCs w:val="1"/>
                <w:color w:val="auto"/>
              </w:rPr>
            </w:pPr>
          </w:p>
        </w:tc>
      </w:tr>
      <w:tr>
        <w:trPr>
          <w:trHeight w:val="244"/>
        </w:trPr>
        <w:tc>
          <w:tcPr>
            <w:tcW w:w="6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shd w:val="clear" w:color="auto" w:fill="D4EFF4"/>
          </w:tcPr>
          <w:p>
            <w:pPr>
              <w:spacing w:after="0"/>
              <w:rPr>
                <w:sz w:val="21"/>
                <w:szCs w:val="21"/>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140" w:type="dxa"/>
            <w:vAlign w:val="bottom"/>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16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169</w:t>
            </w:r>
          </w:p>
        </w:tc>
        <w:tc>
          <w:tcPr>
            <w:tcW w:w="160" w:type="dxa"/>
            <w:vAlign w:val="bottom"/>
            <w:shd w:val="clear" w:color="auto" w:fill="D4EFF4"/>
          </w:tcPr>
          <w:p>
            <w:pPr>
              <w:spacing w:after="0"/>
              <w:rPr>
                <w:sz w:val="21"/>
                <w:szCs w:val="21"/>
                <w:color w:val="auto"/>
              </w:rPr>
            </w:pPr>
          </w:p>
        </w:tc>
        <w:tc>
          <w:tcPr>
            <w:tcW w:w="280" w:type="dxa"/>
            <w:vAlign w:val="bottom"/>
            <w:shd w:val="clear" w:color="auto" w:fill="D4EFF4"/>
          </w:tcPr>
          <w:p>
            <w:pPr>
              <w:spacing w:after="0"/>
              <w:rPr>
                <w:sz w:val="21"/>
                <w:szCs w:val="21"/>
                <w:color w:val="auto"/>
              </w:rPr>
            </w:pPr>
          </w:p>
        </w:tc>
        <w:tc>
          <w:tcPr>
            <w:tcW w:w="10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Dividends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40" w:type="dxa"/>
            <w:vAlign w:val="bottom"/>
            <w:tcBorders>
              <w:bottom w:val="single" w:sz="8" w:color="D4EFF4"/>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160" w:type="dxa"/>
            <w:vAlign w:val="bottom"/>
            <w:tcBorders>
              <w:bottom w:val="single" w:sz="8" w:color="D4EFF4"/>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59"/>
        </w:trPr>
        <w:tc>
          <w:tcPr>
            <w:tcW w:w="66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Balance, end of period</w:t>
            </w:r>
          </w:p>
        </w:tc>
        <w:tc>
          <w:tcPr>
            <w:tcW w:w="280" w:type="dxa"/>
            <w:vAlign w:val="bottom"/>
            <w:tcBorders>
              <w:bottom w:val="single" w:sz="8" w:color="D4EFF4"/>
            </w:tcBorders>
            <w:shd w:val="clear" w:color="auto" w:fill="D4EFF4"/>
          </w:tcPr>
          <w:p>
            <w:pPr>
              <w:spacing w:after="0"/>
              <w:rPr>
                <w:sz w:val="22"/>
                <w:szCs w:val="22"/>
                <w:color w:val="auto"/>
              </w:rPr>
            </w:pPr>
          </w:p>
        </w:tc>
        <w:tc>
          <w:tcPr>
            <w:tcW w:w="1200" w:type="dxa"/>
            <w:vAlign w:val="bottom"/>
            <w:tcBorders>
              <w:bottom w:val="single" w:sz="8" w:color="D4EFF4"/>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2,298</w:t>
            </w:r>
          </w:p>
        </w:tc>
        <w:tc>
          <w:tcPr>
            <w:tcW w:w="140" w:type="dxa"/>
            <w:vAlign w:val="bottom"/>
            <w:tcBorders>
              <w:bottom w:val="single" w:sz="8" w:color="D4EFF4"/>
            </w:tcBorders>
            <w:shd w:val="clear" w:color="auto" w:fill="D4EFF4"/>
          </w:tcPr>
          <w:p>
            <w:pPr>
              <w:spacing w:after="0"/>
              <w:rPr>
                <w:sz w:val="22"/>
                <w:szCs w:val="22"/>
                <w:color w:val="auto"/>
              </w:rPr>
            </w:pPr>
          </w:p>
        </w:tc>
        <w:tc>
          <w:tcPr>
            <w:tcW w:w="320" w:type="dxa"/>
            <w:vAlign w:val="bottom"/>
            <w:tcBorders>
              <w:bottom w:val="single" w:sz="8" w:color="D4EFF4"/>
            </w:tcBorders>
            <w:shd w:val="clear" w:color="auto" w:fill="D4EFF4"/>
          </w:tcPr>
          <w:p>
            <w:pPr>
              <w:spacing w:after="0"/>
              <w:rPr>
                <w:sz w:val="22"/>
                <w:szCs w:val="22"/>
                <w:color w:val="auto"/>
              </w:rPr>
            </w:pPr>
          </w:p>
        </w:tc>
        <w:tc>
          <w:tcPr>
            <w:tcW w:w="1160" w:type="dxa"/>
            <w:vAlign w:val="bottom"/>
            <w:tcBorders>
              <w:bottom w:val="single" w:sz="8" w:color="D4EFF4"/>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3,315</w:t>
            </w:r>
          </w:p>
        </w:tc>
        <w:tc>
          <w:tcPr>
            <w:tcW w:w="160" w:type="dxa"/>
            <w:vAlign w:val="bottom"/>
            <w:tcBorders>
              <w:bottom w:val="single" w:sz="8" w:color="D4EFF4"/>
            </w:tcBorders>
            <w:shd w:val="clear" w:color="auto" w:fill="D4EFF4"/>
          </w:tcPr>
          <w:p>
            <w:pPr>
              <w:spacing w:after="0"/>
              <w:rPr>
                <w:sz w:val="22"/>
                <w:szCs w:val="22"/>
                <w:color w:val="auto"/>
              </w:rPr>
            </w:pPr>
          </w:p>
        </w:tc>
        <w:tc>
          <w:tcPr>
            <w:tcW w:w="280" w:type="dxa"/>
            <w:vAlign w:val="bottom"/>
            <w:tcBorders>
              <w:bottom w:val="single" w:sz="8" w:color="auto"/>
            </w:tcBorders>
            <w:shd w:val="clear" w:color="auto" w:fill="D4EFF4"/>
          </w:tcPr>
          <w:p>
            <w:pPr>
              <w:spacing w:after="0"/>
              <w:rPr>
                <w:sz w:val="22"/>
                <w:szCs w:val="22"/>
                <w:color w:val="auto"/>
              </w:rPr>
            </w:pPr>
          </w:p>
        </w:tc>
        <w:tc>
          <w:tcPr>
            <w:tcW w:w="10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3,595</w:t>
            </w:r>
          </w:p>
        </w:tc>
        <w:tc>
          <w:tcPr>
            <w:tcW w:w="80" w:type="dxa"/>
            <w:vAlign w:val="bottom"/>
            <w:tcBorders>
              <w:bottom w:val="single" w:sz="8" w:color="auto"/>
            </w:tcBorders>
            <w:shd w:val="clear" w:color="auto" w:fill="D4EFF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6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Accumulated other comprehensive loss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280" w:type="dxa"/>
            <w:vAlign w:val="bottom"/>
            <w:shd w:val="clear" w:color="auto" w:fill="D4EFF4"/>
          </w:tcPr>
          <w:p>
            <w:pPr>
              <w:spacing w:after="0"/>
              <w:rPr>
                <w:sz w:val="21"/>
                <w:szCs w:val="21"/>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140" w:type="dxa"/>
            <w:vAlign w:val="bottom"/>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160" w:type="dxa"/>
            <w:vAlign w:val="bottom"/>
            <w:shd w:val="clear" w:color="auto" w:fill="D4EFF4"/>
          </w:tcPr>
          <w:p>
            <w:pPr>
              <w:spacing w:after="0"/>
              <w:rPr>
                <w:sz w:val="21"/>
                <w:szCs w:val="21"/>
                <w:color w:val="auto"/>
              </w:rPr>
            </w:pPr>
          </w:p>
        </w:tc>
        <w:tc>
          <w:tcPr>
            <w:tcW w:w="280" w:type="dxa"/>
            <w:vAlign w:val="bottom"/>
            <w:shd w:val="clear" w:color="auto" w:fill="D4EFF4"/>
          </w:tcPr>
          <w:p>
            <w:pPr>
              <w:spacing w:after="0"/>
              <w:rPr>
                <w:sz w:val="21"/>
                <w:szCs w:val="21"/>
                <w:color w:val="auto"/>
              </w:rPr>
            </w:pPr>
          </w:p>
        </w:tc>
        <w:tc>
          <w:tcPr>
            <w:tcW w:w="116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(569)</w:t>
            </w: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Unrealized translation gain</w:t>
            </w:r>
          </w:p>
        </w:tc>
        <w:tc>
          <w:tcPr>
            <w:tcW w:w="28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Unrealized gain (loss) on commodity hedges</w:t>
            </w:r>
          </w:p>
        </w:tc>
        <w:tc>
          <w:tcPr>
            <w:tcW w:w="280" w:type="dxa"/>
            <w:vAlign w:val="bottom"/>
            <w:tcBorders>
              <w:bottom w:val="single" w:sz="8" w:color="auto"/>
            </w:tcBorders>
            <w:shd w:val="clear" w:color="auto" w:fill="D4EFF4"/>
          </w:tcPr>
          <w:p>
            <w:pPr>
              <w:spacing w:after="0"/>
              <w:rPr>
                <w:sz w:val="22"/>
                <w:szCs w:val="22"/>
                <w:color w:val="auto"/>
              </w:rPr>
            </w:pPr>
          </w:p>
        </w:tc>
        <w:tc>
          <w:tcPr>
            <w:tcW w:w="120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Borders>
              <w:bottom w:val="single" w:sz="8" w:color="D4EFF4"/>
            </w:tcBorders>
            <w:shd w:val="clear" w:color="auto" w:fill="D4EFF4"/>
          </w:tcPr>
          <w:p>
            <w:pPr>
              <w:spacing w:after="0"/>
              <w:rPr>
                <w:sz w:val="22"/>
                <w:szCs w:val="22"/>
                <w:color w:val="auto"/>
              </w:rPr>
            </w:pPr>
          </w:p>
        </w:tc>
        <w:tc>
          <w:tcPr>
            <w:tcW w:w="320" w:type="dxa"/>
            <w:vAlign w:val="bottom"/>
            <w:tcBorders>
              <w:bottom w:val="single" w:sz="8" w:color="auto"/>
            </w:tcBorders>
            <w:shd w:val="clear" w:color="auto" w:fill="D4EFF4"/>
          </w:tcPr>
          <w:p>
            <w:pPr>
              <w:spacing w:after="0"/>
              <w:rPr>
                <w:sz w:val="22"/>
                <w:szCs w:val="22"/>
                <w:color w:val="auto"/>
              </w:rPr>
            </w:pPr>
          </w:p>
        </w:tc>
        <w:tc>
          <w:tcPr>
            <w:tcW w:w="116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Borders>
              <w:bottom w:val="single" w:sz="8" w:color="D4EFF4"/>
            </w:tcBorders>
            <w:shd w:val="clear" w:color="auto" w:fill="D4EFF4"/>
          </w:tcPr>
          <w:p>
            <w:pPr>
              <w:spacing w:after="0"/>
              <w:rPr>
                <w:sz w:val="22"/>
                <w:szCs w:val="22"/>
                <w:color w:val="auto"/>
              </w:rPr>
            </w:pPr>
          </w:p>
        </w:tc>
        <w:tc>
          <w:tcPr>
            <w:tcW w:w="280" w:type="dxa"/>
            <w:vAlign w:val="bottom"/>
            <w:tcBorders>
              <w:bottom w:val="single" w:sz="8" w:color="auto"/>
            </w:tcBorders>
            <w:shd w:val="clear" w:color="auto" w:fill="D4EFF4"/>
          </w:tcPr>
          <w:p>
            <w:pPr>
              <w:spacing w:after="0"/>
              <w:rPr>
                <w:sz w:val="22"/>
                <w:szCs w:val="22"/>
                <w:color w:val="auto"/>
              </w:rPr>
            </w:pPr>
          </w:p>
        </w:tc>
        <w:tc>
          <w:tcPr>
            <w:tcW w:w="116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19"/>
        </w:trPr>
        <w:tc>
          <w:tcPr>
            <w:tcW w:w="6660" w:type="dxa"/>
            <w:vAlign w:val="bottom"/>
            <w:tcBorders>
              <w:bottom w:val="single" w:sz="8" w:color="D4EFF4"/>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Balance, end of period</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(401)</w:t>
            </w:r>
          </w:p>
        </w:tc>
        <w:tc>
          <w:tcPr>
            <w:tcW w:w="140" w:type="dxa"/>
            <w:vAlign w:val="bottom"/>
            <w:tcBorders>
              <w:bottom w:val="single" w:sz="8" w:color="D4EFF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(448)</w:t>
            </w:r>
          </w:p>
        </w:tc>
        <w:tc>
          <w:tcPr>
            <w:tcW w:w="160" w:type="dxa"/>
            <w:vAlign w:val="bottom"/>
            <w:tcBorders>
              <w:bottom w:val="single" w:sz="8" w:color="D4EF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(503)</w:t>
            </w:r>
          </w:p>
        </w:tc>
        <w:tc>
          <w:tcPr>
            <w:tcW w:w="0" w:type="dxa"/>
            <w:vAlign w:val="bottom"/>
          </w:tcPr>
          <w:p>
            <w:pPr>
              <w:spacing w:after="0"/>
              <w:rPr>
                <w:sz w:val="1"/>
                <w:szCs w:val="1"/>
                <w:color w:val="auto"/>
              </w:rPr>
            </w:pPr>
          </w:p>
        </w:tc>
      </w:tr>
      <w:tr>
        <w:trPr>
          <w:trHeight w:val="259"/>
        </w:trPr>
        <w:tc>
          <w:tcPr>
            <w:tcW w:w="666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80" w:type="dxa"/>
            <w:vAlign w:val="bottom"/>
            <w:tcBorders>
              <w:bottom w:val="single" w:sz="8" w:color="auto"/>
            </w:tcBorders>
            <w:shd w:val="clear" w:color="auto" w:fill="D4EFF4"/>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1,904</w:t>
            </w:r>
          </w:p>
        </w:tc>
        <w:tc>
          <w:tcPr>
            <w:tcW w:w="140" w:type="dxa"/>
            <w:vAlign w:val="bottom"/>
            <w:tcBorders>
              <w:bottom w:val="single" w:sz="8" w:color="D4EFF4"/>
            </w:tcBorders>
            <w:shd w:val="clear" w:color="auto" w:fill="D4EFF4"/>
          </w:tcPr>
          <w:p>
            <w:pPr>
              <w:spacing w:after="0"/>
              <w:rPr>
                <w:sz w:val="22"/>
                <w:szCs w:val="22"/>
                <w:color w:val="auto"/>
              </w:rPr>
            </w:pPr>
          </w:p>
        </w:tc>
        <w:tc>
          <w:tcPr>
            <w:tcW w:w="320" w:type="dxa"/>
            <w:vAlign w:val="bottom"/>
            <w:tcBorders>
              <w:bottom w:val="single" w:sz="8" w:color="auto"/>
            </w:tcBorders>
            <w:shd w:val="clear" w:color="auto" w:fill="D4EFF4"/>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2,868</w:t>
            </w:r>
          </w:p>
        </w:tc>
        <w:tc>
          <w:tcPr>
            <w:tcW w:w="160" w:type="dxa"/>
            <w:vAlign w:val="bottom"/>
            <w:tcBorders>
              <w:bottom w:val="single" w:sz="8" w:color="D4EFF4"/>
            </w:tcBorders>
            <w:shd w:val="clear" w:color="auto" w:fill="D4EFF4"/>
          </w:tcPr>
          <w:p>
            <w:pPr>
              <w:spacing w:after="0"/>
              <w:rPr>
                <w:sz w:val="22"/>
                <w:szCs w:val="22"/>
                <w:color w:val="auto"/>
              </w:rPr>
            </w:pPr>
          </w:p>
        </w:tc>
        <w:tc>
          <w:tcPr>
            <w:tcW w:w="280" w:type="dxa"/>
            <w:vAlign w:val="bottom"/>
            <w:tcBorders>
              <w:bottom w:val="single" w:sz="8" w:color="auto"/>
            </w:tcBorders>
            <w:shd w:val="clear" w:color="auto" w:fill="D4EFF4"/>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3,097</w:t>
            </w:r>
          </w:p>
        </w:tc>
        <w:tc>
          <w:tcPr>
            <w:tcW w:w="80" w:type="dxa"/>
            <w:vAlign w:val="bottom"/>
            <w:tcBorders>
              <w:bottom w:val="single" w:sz="8" w:color="auto"/>
            </w:tcBorders>
            <w:shd w:val="clear" w:color="auto" w:fill="D4EF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dividends declared per common share</w:t>
            </w: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660" w:type="dxa"/>
            <w:vAlign w:val="bottom"/>
            <w:vMerge w:val="continue"/>
          </w:tcPr>
          <w:p>
            <w:pPr>
              <w:spacing w:after="0"/>
              <w:rPr>
                <w:sz w:val="20"/>
                <w:szCs w:val="20"/>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1.64</w:t>
            </w: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1.58</w:t>
            </w:r>
          </w:p>
        </w:tc>
        <w:tc>
          <w:tcPr>
            <w:tcW w:w="160" w:type="dxa"/>
            <w:vAlign w:val="bottom"/>
          </w:tcPr>
          <w:p>
            <w:pPr>
              <w:spacing w:after="0"/>
              <w:rPr>
                <w:sz w:val="20"/>
                <w:szCs w:val="20"/>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-3076575</wp:posOffset>
            </wp:positionV>
            <wp:extent cx="7207250"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474">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-2912110</wp:posOffset>
            </wp:positionV>
            <wp:extent cx="7207250"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475">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24130</wp:posOffset>
            </wp:positionV>
            <wp:extent cx="7242810"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476">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81" w:lineRule="exact"/>
        <w:rPr>
          <w:sz w:val="20"/>
          <w:szCs w:val="20"/>
          <w:color w:val="auto"/>
        </w:rPr>
      </w:pPr>
    </w:p>
    <w:p>
      <w:pPr>
        <w:ind w:left="568" w:hanging="568"/>
        <w:spacing w:after="0"/>
        <w:tabs>
          <w:tab w:leader="none" w:pos="568"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shares issued were 143,631, 137,799 and 193,767 for 2025, 2024 and 2023, respectively.</w:t>
      </w:r>
    </w:p>
    <w:p>
      <w:pPr>
        <w:spacing w:after="0" w:line="40"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shares repurchased were 1,541,320, 4,285,194 and 3,082,928 for 2025, 2024 and 2023, respectively.</w:t>
      </w:r>
    </w:p>
    <w:p>
      <w:pPr>
        <w:spacing w:after="0" w:line="40"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 million in 2025 and $3 million in both 2024 and 2023 in excise tax on stock repurchases.</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NOTE O – STOCK INCENTIVE PLANS</w:t>
      </w:r>
    </w:p>
    <w:p>
      <w:pPr>
        <w:spacing w:after="0" w:line="124" w:lineRule="exact"/>
        <w:rPr>
          <w:sz w:val="20"/>
          <w:szCs w:val="20"/>
          <w:color w:val="auto"/>
        </w:rPr>
      </w:pPr>
    </w:p>
    <w:p>
      <w:pPr>
        <w:jc w:val="both"/>
        <w:ind w:left="8" w:firstLine="360"/>
        <w:spacing w:after="0" w:line="273" w:lineRule="auto"/>
        <w:rPr>
          <w:sz w:val="20"/>
          <w:szCs w:val="20"/>
          <w:color w:val="auto"/>
        </w:rPr>
      </w:pPr>
      <w:r>
        <w:rPr>
          <w:rFonts w:ascii="Times New Roman" w:cs="Times New Roman" w:eastAsia="Times New Roman" w:hAnsi="Times New Roman"/>
          <w:sz w:val="20"/>
          <w:szCs w:val="20"/>
          <w:color w:val="auto"/>
        </w:rPr>
        <w:t>Ashland has stock incentive plans under which key employees or directors are granted performance share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requisite service period and accounts for forfeitures when they occur across all stock-based awards.</w:t>
      </w:r>
    </w:p>
    <w:p>
      <w:pPr>
        <w:spacing w:after="0" w:line="77" w:lineRule="exact"/>
        <w:rPr>
          <w:sz w:val="20"/>
          <w:szCs w:val="20"/>
          <w:color w:val="auto"/>
        </w:rPr>
      </w:pPr>
    </w:p>
    <w:p>
      <w:pPr>
        <w:jc w:val="both"/>
        <w:ind w:left="8" w:firstLine="360"/>
        <w:spacing w:after="0" w:line="301" w:lineRule="auto"/>
        <w:rPr>
          <w:sz w:val="20"/>
          <w:szCs w:val="20"/>
          <w:color w:val="auto"/>
        </w:rPr>
      </w:pPr>
      <w:r>
        <w:rPr>
          <w:rFonts w:ascii="Times New Roman" w:cs="Times New Roman" w:eastAsia="Times New Roman" w:hAnsi="Times New Roman"/>
          <w:sz w:val="20"/>
          <w:szCs w:val="20"/>
          <w:color w:val="auto"/>
        </w:rPr>
        <w:t>The components of Ashland's pretax compensation expense for stock-based awards (net of forfeitures) and associated income tax benefits for the years ended September 30,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2058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477">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25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80" w:type="dxa"/>
            <w:vAlign w:val="bottom"/>
          </w:tcPr>
          <w:p>
            <w:pPr>
              <w:jc w:val="right"/>
              <w:ind w:right="680"/>
              <w:spacing w:after="0" w:line="259" w:lineRule="exact"/>
              <w:rPr>
                <w:sz w:val="20"/>
                <w:szCs w:val="20"/>
                <w:color w:val="auto"/>
              </w:rPr>
            </w:pPr>
            <w:r>
              <w:rPr>
                <w:rFonts w:ascii="Times New Roman" w:cs="Times New Roman" w:eastAsia="Times New Roman" w:hAnsi="Times New Roman"/>
                <w:sz w:val="20"/>
                <w:szCs w:val="20"/>
                <w:color w:val="auto"/>
              </w:rPr>
              <w:t>2025</w:t>
            </w:r>
            <w:r>
              <w:rPr>
                <w:rFonts w:ascii="Times New Roman" w:cs="Times New Roman" w:eastAsia="Times New Roman" w:hAnsi="Times New Roman"/>
                <w:sz w:val="25"/>
                <w:szCs w:val="25"/>
                <w:color w:val="auto"/>
                <w:vertAlign w:val="superscript"/>
              </w:rPr>
              <w:t>(a)</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540"/>
              <w:spacing w:after="0" w:line="259" w:lineRule="exact"/>
              <w:rPr>
                <w:sz w:val="20"/>
                <w:szCs w:val="20"/>
                <w:color w:val="auto"/>
              </w:rPr>
            </w:pPr>
            <w:r>
              <w:rPr>
                <w:rFonts w:ascii="Times New Roman" w:cs="Times New Roman" w:eastAsia="Times New Roman" w:hAnsi="Times New Roman"/>
                <w:sz w:val="20"/>
                <w:szCs w:val="20"/>
                <w:color w:val="auto"/>
              </w:rPr>
              <w:t>2024</w:t>
            </w:r>
            <w:r>
              <w:rPr>
                <w:rFonts w:ascii="Times New Roman" w:cs="Times New Roman" w:eastAsia="Times New Roman" w:hAnsi="Times New Roman"/>
                <w:sz w:val="25"/>
                <w:szCs w:val="25"/>
                <w:color w:val="auto"/>
                <w:vertAlign w:val="superscript"/>
              </w:rPr>
              <w:t>(b)</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jc w:val="right"/>
              <w:ind w:right="540"/>
              <w:spacing w:after="0" w:line="259" w:lineRule="exact"/>
              <w:rPr>
                <w:sz w:val="20"/>
                <w:szCs w:val="20"/>
                <w:color w:val="auto"/>
              </w:rPr>
            </w:pPr>
            <w:r>
              <w:rPr>
                <w:rFonts w:ascii="Times New Roman" w:cs="Times New Roman" w:eastAsia="Times New Roman" w:hAnsi="Times New Roman"/>
                <w:sz w:val="20"/>
                <w:szCs w:val="20"/>
                <w:color w:val="auto"/>
              </w:rPr>
              <w:t>2023</w:t>
            </w:r>
            <w:r>
              <w:rPr>
                <w:rFonts w:ascii="Times New Roman" w:cs="Times New Roman" w:eastAsia="Times New Roman" w:hAnsi="Times New Roman"/>
                <w:sz w:val="25"/>
                <w:szCs w:val="25"/>
                <w:color w:val="auto"/>
                <w:vertAlign w:val="superscript"/>
              </w:rPr>
              <w:t>(c)</w:t>
            </w:r>
          </w:p>
        </w:tc>
        <w:tc>
          <w:tcPr>
            <w:tcW w:w="60" w:type="dxa"/>
            <w:vAlign w:val="bottom"/>
            <w:tcBorders>
              <w:top w:val="single" w:sz="8" w:color="auto"/>
              <w:bottom w:val="single" w:sz="8" w:color="auto"/>
            </w:tcBorders>
          </w:tcPr>
          <w:p>
            <w:pPr>
              <w:spacing w:after="0"/>
              <w:rPr>
                <w:sz w:val="22"/>
                <w:szCs w:val="22"/>
                <w:color w:val="auto"/>
              </w:rPr>
            </w:pPr>
          </w:p>
        </w:tc>
      </w:tr>
      <w:tr>
        <w:trPr>
          <w:trHeight w:val="239"/>
        </w:trPr>
        <w:tc>
          <w:tcPr>
            <w:tcW w:w="37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Nonvested stock awards</w:t>
            </w:r>
          </w:p>
        </w:tc>
        <w:tc>
          <w:tcPr>
            <w:tcW w:w="2040" w:type="dxa"/>
            <w:vAlign w:val="bottom"/>
            <w:gridSpan w:val="2"/>
            <w:shd w:val="clear" w:color="auto" w:fill="D4EFF4"/>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10</w:t>
            </w:r>
          </w:p>
        </w:tc>
        <w:tc>
          <w:tcPr>
            <w:tcW w:w="480" w:type="dxa"/>
            <w:vAlign w:val="bottom"/>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560" w:type="dxa"/>
            <w:vAlign w:val="bottom"/>
            <w:gridSpan w:val="2"/>
            <w:shd w:val="clear" w:color="auto" w:fill="D4EFF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shd w:val="clear" w:color="auto" w:fill="D4EFF4"/>
          </w:tcPr>
          <w:p>
            <w:pPr>
              <w:spacing w:after="0"/>
              <w:rPr>
                <w:sz w:val="20"/>
                <w:szCs w:val="20"/>
                <w:color w:val="auto"/>
              </w:rPr>
            </w:pPr>
          </w:p>
        </w:tc>
      </w:tr>
      <w:tr>
        <w:trPr>
          <w:trHeight w:val="244"/>
        </w:trPr>
        <w:tc>
          <w:tcPr>
            <w:tcW w:w="37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Performance share awards</w:t>
            </w:r>
          </w:p>
        </w:tc>
        <w:tc>
          <w:tcPr>
            <w:tcW w:w="1660" w:type="dxa"/>
            <w:vAlign w:val="bottom"/>
            <w:tcBorders>
              <w:bottom w:val="single" w:sz="8" w:color="D4EFF4"/>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4</w:t>
            </w:r>
          </w:p>
        </w:tc>
        <w:tc>
          <w:tcPr>
            <w:tcW w:w="180" w:type="dxa"/>
            <w:vAlign w:val="bottom"/>
            <w:tcBorders>
              <w:bottom w:val="single" w:sz="8" w:color="D4EFF4"/>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tcBorders>
              <w:bottom w:val="single" w:sz="8" w:color="D4EFF4"/>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Borders>
              <w:bottom w:val="single" w:sz="8" w:color="auto"/>
            </w:tcBorders>
          </w:tcPr>
          <w:p>
            <w:pPr>
              <w:spacing w:after="0"/>
              <w:rPr>
                <w:sz w:val="21"/>
                <w:szCs w:val="21"/>
                <w:color w:val="auto"/>
              </w:rPr>
            </w:pPr>
          </w:p>
        </w:tc>
      </w:tr>
      <w:tr>
        <w:trPr>
          <w:trHeight w:val="259"/>
        </w:trPr>
        <w:tc>
          <w:tcPr>
            <w:tcW w:w="3780" w:type="dxa"/>
            <w:vAlign w:val="bottom"/>
            <w:tcBorders>
              <w:bottom w:val="single" w:sz="8" w:color="D4EFF4"/>
            </w:tcBorders>
            <w:shd w:val="clear" w:color="auto" w:fill="D4EFF4"/>
          </w:tcPr>
          <w:p>
            <w:pPr>
              <w:spacing w:after="0"/>
              <w:rPr>
                <w:sz w:val="22"/>
                <w:szCs w:val="22"/>
                <w:color w:val="auto"/>
              </w:rPr>
            </w:pPr>
          </w:p>
        </w:tc>
        <w:tc>
          <w:tcPr>
            <w:tcW w:w="1660" w:type="dxa"/>
            <w:vAlign w:val="bottom"/>
            <w:tcBorders>
              <w:bottom w:val="single" w:sz="8" w:color="D4EFF4"/>
            </w:tcBorders>
            <w:shd w:val="clear" w:color="auto" w:fill="D4EFF4"/>
          </w:tcPr>
          <w:p>
            <w:pPr>
              <w:spacing w:after="0"/>
              <w:rPr>
                <w:sz w:val="22"/>
                <w:szCs w:val="22"/>
                <w:color w:val="auto"/>
              </w:rPr>
            </w:pPr>
          </w:p>
        </w:tc>
        <w:tc>
          <w:tcPr>
            <w:tcW w:w="380" w:type="dxa"/>
            <w:vAlign w:val="bottom"/>
            <w:tcBorders>
              <w:bottom w:val="single" w:sz="8" w:color="auto"/>
            </w:tcBorders>
            <w:shd w:val="clear" w:color="auto" w:fill="D4EFF4"/>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c>
          <w:tcPr>
            <w:tcW w:w="180" w:type="dxa"/>
            <w:vAlign w:val="bottom"/>
            <w:tcBorders>
              <w:bottom w:val="single" w:sz="8" w:color="D4EFF4"/>
            </w:tcBorders>
            <w:shd w:val="clear" w:color="auto" w:fill="D4EFF4"/>
          </w:tcPr>
          <w:p>
            <w:pPr>
              <w:spacing w:after="0"/>
              <w:rPr>
                <w:sz w:val="22"/>
                <w:szCs w:val="22"/>
                <w:color w:val="auto"/>
              </w:rPr>
            </w:pPr>
          </w:p>
        </w:tc>
        <w:tc>
          <w:tcPr>
            <w:tcW w:w="300" w:type="dxa"/>
            <w:vAlign w:val="bottom"/>
            <w:tcBorders>
              <w:bottom w:val="single" w:sz="8" w:color="auto"/>
            </w:tcBorders>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200" w:type="dxa"/>
            <w:vAlign w:val="bottom"/>
            <w:tcBorders>
              <w:bottom w:val="single" w:sz="8" w:color="D4EFF4"/>
            </w:tcBorders>
            <w:shd w:val="clear" w:color="auto" w:fill="D4EFF4"/>
          </w:tcPr>
          <w:p>
            <w:pPr>
              <w:spacing w:after="0"/>
              <w:rPr>
                <w:sz w:val="22"/>
                <w:szCs w:val="22"/>
                <w:color w:val="auto"/>
              </w:rPr>
            </w:pPr>
          </w:p>
        </w:tc>
        <w:tc>
          <w:tcPr>
            <w:tcW w:w="360" w:type="dxa"/>
            <w:vAlign w:val="bottom"/>
            <w:tcBorders>
              <w:bottom w:val="single" w:sz="8" w:color="auto"/>
            </w:tcBorders>
            <w:shd w:val="clear" w:color="auto" w:fill="D4EFF4"/>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Borders>
              <w:bottom w:val="single" w:sz="8" w:color="auto"/>
            </w:tcBorders>
            <w:shd w:val="clear" w:color="auto" w:fill="D4EFF4"/>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09"/>
        </w:trPr>
        <w:tc>
          <w:tcPr>
            <w:tcW w:w="3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4"/>
        </w:trPr>
        <w:tc>
          <w:tcPr>
            <w:tcW w:w="37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2040" w:type="dxa"/>
            <w:vAlign w:val="bottom"/>
            <w:gridSpan w:val="2"/>
            <w:shd w:val="clear" w:color="auto" w:fill="D4EFF4"/>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4</w:t>
            </w:r>
          </w:p>
        </w:tc>
        <w:tc>
          <w:tcPr>
            <w:tcW w:w="480" w:type="dxa"/>
            <w:vAlign w:val="bottom"/>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560" w:type="dxa"/>
            <w:vAlign w:val="bottom"/>
            <w:gridSpan w:val="2"/>
            <w:shd w:val="clear" w:color="auto" w:fill="D4EFF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shd w:val="clear" w:color="auto" w:fill="D4EFF4"/>
          </w:tcPr>
          <w:p>
            <w:pPr>
              <w:spacing w:after="0"/>
              <w:rPr>
                <w:sz w:val="22"/>
                <w:szCs w:val="22"/>
                <w:color w:val="auto"/>
              </w:rPr>
            </w:pPr>
          </w:p>
        </w:tc>
      </w:tr>
      <w:tr>
        <w:trPr>
          <w:trHeight w:val="20"/>
        </w:trPr>
        <w:tc>
          <w:tcPr>
            <w:tcW w:w="3780" w:type="dxa"/>
            <w:vAlign w:val="bottom"/>
            <w:tcBorders>
              <w:top w:val="single" w:sz="8" w:color="D4EFF4"/>
            </w:tcBorders>
          </w:tcPr>
          <w:p>
            <w:pPr>
              <w:spacing w:after="0" w:line="20" w:lineRule="exact"/>
              <w:rPr>
                <w:sz w:val="1"/>
                <w:szCs w:val="1"/>
                <w:color w:val="auto"/>
              </w:rPr>
            </w:pPr>
          </w:p>
        </w:tc>
        <w:tc>
          <w:tcPr>
            <w:tcW w:w="1660" w:type="dxa"/>
            <w:vAlign w:val="bottom"/>
            <w:tcBorders>
              <w:top w:val="single" w:sz="8" w:color="D4EFF4"/>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4EFF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4EFF4"/>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37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-926465</wp:posOffset>
            </wp:positionV>
            <wp:extent cx="722058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478">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2058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479">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5" w:lineRule="exact"/>
        <w:rPr>
          <w:sz w:val="20"/>
          <w:szCs w:val="20"/>
          <w:color w:val="auto"/>
        </w:rPr>
      </w:pPr>
    </w:p>
    <w:p>
      <w:pPr>
        <w:ind w:left="568" w:hanging="568"/>
        <w:spacing w:after="0" w:line="266" w:lineRule="auto"/>
        <w:tabs>
          <w:tab w:leader="none" w:pos="56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 ended September 30, 2025 included $1 million of expense and $1 million of income related to cash-settled nonvested restricted stock awards and cash-settled performance units, respectively.</w:t>
      </w:r>
    </w:p>
    <w:p>
      <w:pPr>
        <w:ind w:left="568" w:hanging="568"/>
        <w:spacing w:after="0" w:line="266" w:lineRule="auto"/>
        <w:tabs>
          <w:tab w:leader="none" w:pos="56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 ended September 30, 2024 included $2 million and less than $1 million of expense related to cash-settled nonvested restricted stock awards and cash-settled performance units, respectively.</w:t>
      </w:r>
    </w:p>
    <w:p>
      <w:pPr>
        <w:ind w:left="568" w:hanging="568"/>
        <w:spacing w:after="0" w:line="277" w:lineRule="auto"/>
        <w:tabs>
          <w:tab w:leader="none" w:pos="56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 ended September 30, 2023 included $1 million of expense and $1 million of income related to cash-settled nonvested restricted stock awards and cash-settled performance units, respectively.</w:t>
      </w:r>
    </w:p>
    <w:p>
      <w:pPr>
        <w:sectPr>
          <w:pgSz w:w="12240" w:h="15840" w:orient="portrait"/>
          <w:cols w:equalWidth="0" w:num="1">
            <w:col w:w="11368"/>
          </w:cols>
          <w:pgMar w:left="432" w:top="926"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F-48</w:t>
      </w:r>
    </w:p>
    <w:p>
      <w:pPr>
        <w:sectPr>
          <w:pgSz w:w="12240" w:h="15840" w:orient="portrait"/>
          <w:cols w:equalWidth="0" w:num="1">
            <w:col w:w="11368"/>
          </w:cols>
          <w:pgMar w:left="432" w:top="926" w:right="440" w:bottom="186" w:gutter="0" w:footer="0" w:header="0"/>
          <w:type w:val="continuous"/>
        </w:sectPr>
      </w:pPr>
    </w:p>
    <w:bookmarkStart w:id="150" w:name="page151"/>
    <w:bookmarkEnd w:id="150"/>
    <w:p>
      <w:pPr>
        <w:ind w:left="8"/>
        <w:spacing w:after="0"/>
        <w:rPr>
          <w:sz w:val="20"/>
          <w:szCs w:val="20"/>
          <w:color w:val="auto"/>
        </w:rPr>
      </w:pPr>
      <w:r>
        <w:rPr>
          <w:rFonts w:ascii="Times New Roman" w:cs="Times New Roman" w:eastAsia="Times New Roman" w:hAnsi="Times New Roman"/>
          <w:sz w:val="20"/>
          <w:szCs w:val="20"/>
          <w:b w:val="1"/>
          <w:bCs w:val="1"/>
          <w:color w:val="auto"/>
        </w:rPr>
        <w:t>Stock Appreciation Rights ("SARs")</w:t>
      </w:r>
    </w:p>
    <w:p>
      <w:pPr>
        <w:spacing w:after="0" w:line="170" w:lineRule="exact"/>
        <w:rPr>
          <w:sz w:val="20"/>
          <w:szCs w:val="20"/>
          <w:color w:val="auto"/>
        </w:rPr>
      </w:pPr>
    </w:p>
    <w:p>
      <w:pPr>
        <w:jc w:val="both"/>
        <w:ind w:left="8" w:firstLine="360"/>
        <w:spacing w:after="0" w:line="282" w:lineRule="auto"/>
        <w:rPr>
          <w:sz w:val="20"/>
          <w:szCs w:val="20"/>
          <w:color w:val="auto"/>
        </w:rPr>
      </w:pPr>
      <w:r>
        <w:rPr>
          <w:rFonts w:ascii="Times New Roman" w:cs="Times New Roman" w:eastAsia="Times New Roman" w:hAnsi="Times New Roman"/>
          <w:sz w:val="20"/>
          <w:szCs w:val="20"/>
          <w:color w:val="auto"/>
        </w:rPr>
        <w:t>SARs were granted to employees or directors at a price equal to the fair market value of the stock on the date of grant and typically become exercisable over periods of one to three years. Unexercised SARs lapse ten years after the date of grant. Ashland estimated the fair value of SARs granted using the Black-Scholes option-pricing model. Ashland has not granted any SARs since August 2020.</w:t>
      </w:r>
    </w:p>
    <w:p>
      <w:pPr>
        <w:spacing w:after="0" w:line="68"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A progression of activity and various other information relative to SARs and previously issued and vested stock options is presented in the following table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221220"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480">
                      <a:extLst>
                        <a:ext uri="{28A0092B-C50C-407E-A947-70E740481C1C}"/>
                      </a:extLst>
                    </a:blip>
                    <a:srcRect/>
                    <a:stretch>
                      <a:fillRect/>
                    </a:stretch>
                  </pic:blipFill>
                  <pic:spPr bwMode="auto">
                    <a:xfrm>
                      <a:off x="0" y="0"/>
                      <a:ext cx="7221220" cy="38100"/>
                    </a:xfrm>
                    <a:prstGeom prst="rect">
                      <a:avLst/>
                    </a:prstGeom>
                    <a:noFill/>
                  </pic:spPr>
                </pic:pic>
              </a:graphicData>
            </a:graphic>
          </wp:anchor>
        </w:drawing>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80" w:type="dxa"/>
            <w:vAlign w:val="bottom"/>
            <w:gridSpan w:val="2"/>
          </w:tcPr>
          <w:p>
            <w:pPr>
              <w:jc w:val="right"/>
              <w:ind w:right="1240"/>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0" w:type="dxa"/>
            <w:vAlign w:val="bottom"/>
            <w:gridSpan w:val="2"/>
          </w:tcPr>
          <w:p>
            <w:pPr>
              <w:jc w:val="right"/>
              <w:ind w:right="1240"/>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6"/>
        </w:trPr>
        <w:tc>
          <w:tcPr>
            <w:tcW w:w="3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jc w:val="center"/>
              <w:ind w:right="40"/>
              <w:spacing w:after="0" w:line="206" w:lineRule="exact"/>
              <w:rPr>
                <w:sz w:val="20"/>
                <w:szCs w:val="20"/>
                <w:color w:val="auto"/>
              </w:rPr>
            </w:pPr>
            <w:r>
              <w:rPr>
                <w:rFonts w:ascii="Times New Roman" w:cs="Times New Roman" w:eastAsia="Times New Roman" w:hAnsi="Times New Roman"/>
                <w:sz w:val="20"/>
                <w:szCs w:val="20"/>
                <w:color w:val="auto"/>
              </w:rPr>
              <w:t>Number</w:t>
            </w:r>
          </w:p>
        </w:tc>
        <w:tc>
          <w:tcPr>
            <w:tcW w:w="280" w:type="dxa"/>
            <w:vAlign w:val="bottom"/>
          </w:tcPr>
          <w:p>
            <w:pPr>
              <w:spacing w:after="0"/>
              <w:rPr>
                <w:sz w:val="17"/>
                <w:szCs w:val="17"/>
                <w:color w:val="auto"/>
              </w:rPr>
            </w:pPr>
          </w:p>
        </w:tc>
        <w:tc>
          <w:tcPr>
            <w:tcW w:w="1520" w:type="dxa"/>
            <w:vAlign w:val="bottom"/>
            <w:gridSpan w:val="2"/>
          </w:tcPr>
          <w:p>
            <w:pPr>
              <w:jc w:val="center"/>
              <w:ind w:right="400"/>
              <w:spacing w:after="0" w:line="206" w:lineRule="exact"/>
              <w:rPr>
                <w:sz w:val="20"/>
                <w:szCs w:val="20"/>
                <w:color w:val="auto"/>
              </w:rPr>
            </w:pPr>
            <w:r>
              <w:rPr>
                <w:rFonts w:ascii="Times New Roman" w:cs="Times New Roman" w:eastAsia="Times New Roman" w:hAnsi="Times New Roman"/>
                <w:sz w:val="20"/>
                <w:szCs w:val="20"/>
                <w:color w:val="auto"/>
                <w:w w:val="99"/>
              </w:rPr>
              <w:t>Weighted-</w:t>
            </w:r>
          </w:p>
        </w:tc>
        <w:tc>
          <w:tcPr>
            <w:tcW w:w="20" w:type="dxa"/>
            <w:vAlign w:val="bottom"/>
          </w:tcPr>
          <w:p>
            <w:pPr>
              <w:spacing w:after="0"/>
              <w:rPr>
                <w:sz w:val="17"/>
                <w:szCs w:val="17"/>
                <w:color w:val="auto"/>
              </w:rPr>
            </w:pPr>
          </w:p>
        </w:tc>
        <w:tc>
          <w:tcPr>
            <w:tcW w:w="940" w:type="dxa"/>
            <w:vAlign w:val="bottom"/>
          </w:tcPr>
          <w:p>
            <w:pPr>
              <w:jc w:val="center"/>
              <w:ind w:right="40"/>
              <w:spacing w:after="0" w:line="206" w:lineRule="exact"/>
              <w:rPr>
                <w:sz w:val="20"/>
                <w:szCs w:val="20"/>
                <w:color w:val="auto"/>
              </w:rPr>
            </w:pPr>
            <w:r>
              <w:rPr>
                <w:rFonts w:ascii="Times New Roman" w:cs="Times New Roman" w:eastAsia="Times New Roman" w:hAnsi="Times New Roman"/>
                <w:sz w:val="20"/>
                <w:szCs w:val="20"/>
                <w:color w:val="auto"/>
                <w:w w:val="97"/>
              </w:rPr>
              <w:t>Number</w:t>
            </w:r>
          </w:p>
        </w:tc>
        <w:tc>
          <w:tcPr>
            <w:tcW w:w="280" w:type="dxa"/>
            <w:vAlign w:val="bottom"/>
          </w:tcPr>
          <w:p>
            <w:pPr>
              <w:spacing w:after="0"/>
              <w:rPr>
                <w:sz w:val="17"/>
                <w:szCs w:val="17"/>
                <w:color w:val="auto"/>
              </w:rPr>
            </w:pPr>
          </w:p>
        </w:tc>
        <w:tc>
          <w:tcPr>
            <w:tcW w:w="1560" w:type="dxa"/>
            <w:vAlign w:val="bottom"/>
            <w:gridSpan w:val="3"/>
          </w:tcPr>
          <w:p>
            <w:pPr>
              <w:jc w:val="center"/>
              <w:ind w:right="440"/>
              <w:spacing w:after="0" w:line="206" w:lineRule="exact"/>
              <w:rPr>
                <w:sz w:val="20"/>
                <w:szCs w:val="20"/>
                <w:color w:val="auto"/>
              </w:rPr>
            </w:pPr>
            <w:r>
              <w:rPr>
                <w:rFonts w:ascii="Times New Roman" w:cs="Times New Roman" w:eastAsia="Times New Roman" w:hAnsi="Times New Roman"/>
                <w:sz w:val="20"/>
                <w:szCs w:val="20"/>
                <w:color w:val="auto"/>
                <w:w w:val="99"/>
              </w:rPr>
              <w:t>Weighted-</w:t>
            </w:r>
          </w:p>
        </w:tc>
        <w:tc>
          <w:tcPr>
            <w:tcW w:w="20" w:type="dxa"/>
            <w:vAlign w:val="bottom"/>
          </w:tcPr>
          <w:p>
            <w:pPr>
              <w:spacing w:after="0"/>
              <w:rPr>
                <w:sz w:val="17"/>
                <w:szCs w:val="17"/>
                <w:color w:val="auto"/>
              </w:rPr>
            </w:pPr>
          </w:p>
        </w:tc>
        <w:tc>
          <w:tcPr>
            <w:tcW w:w="900" w:type="dxa"/>
            <w:vAlign w:val="bottom"/>
          </w:tcPr>
          <w:p>
            <w:pPr>
              <w:jc w:val="center"/>
              <w:ind w:right="60"/>
              <w:spacing w:after="0" w:line="206" w:lineRule="exact"/>
              <w:rPr>
                <w:sz w:val="20"/>
                <w:szCs w:val="20"/>
                <w:color w:val="auto"/>
              </w:rPr>
            </w:pPr>
            <w:r>
              <w:rPr>
                <w:rFonts w:ascii="Times New Roman" w:cs="Times New Roman" w:eastAsia="Times New Roman" w:hAnsi="Times New Roman"/>
                <w:sz w:val="20"/>
                <w:szCs w:val="20"/>
                <w:color w:val="auto"/>
              </w:rPr>
              <w:t>Number</w:t>
            </w:r>
          </w:p>
        </w:tc>
        <w:tc>
          <w:tcPr>
            <w:tcW w:w="300" w:type="dxa"/>
            <w:vAlign w:val="bottom"/>
          </w:tcPr>
          <w:p>
            <w:pPr>
              <w:spacing w:after="0"/>
              <w:rPr>
                <w:sz w:val="17"/>
                <w:szCs w:val="17"/>
                <w:color w:val="auto"/>
              </w:rPr>
            </w:pPr>
          </w:p>
        </w:tc>
        <w:tc>
          <w:tcPr>
            <w:tcW w:w="1260" w:type="dxa"/>
            <w:vAlign w:val="bottom"/>
            <w:gridSpan w:val="2"/>
          </w:tcPr>
          <w:p>
            <w:pPr>
              <w:jc w:val="center"/>
              <w:ind w:right="180"/>
              <w:spacing w:after="0" w:line="206" w:lineRule="exact"/>
              <w:rPr>
                <w:sz w:val="20"/>
                <w:szCs w:val="20"/>
                <w:color w:val="auto"/>
              </w:rPr>
            </w:pPr>
            <w:r>
              <w:rPr>
                <w:rFonts w:ascii="Times New Roman" w:cs="Times New Roman" w:eastAsia="Times New Roman" w:hAnsi="Times New Roman"/>
                <w:sz w:val="20"/>
                <w:szCs w:val="20"/>
                <w:color w:val="auto"/>
                <w:w w:val="99"/>
              </w:rPr>
              <w:t>Weighted-</w:t>
            </w:r>
          </w:p>
        </w:tc>
        <w:tc>
          <w:tcPr>
            <w:tcW w:w="20" w:type="dxa"/>
            <w:vAlign w:val="bottom"/>
          </w:tcPr>
          <w:p>
            <w:pPr>
              <w:spacing w:after="0"/>
              <w:rPr>
                <w:sz w:val="17"/>
                <w:szCs w:val="17"/>
                <w:color w:val="auto"/>
              </w:rPr>
            </w:pPr>
          </w:p>
        </w:tc>
      </w:tr>
      <w:tr>
        <w:trPr>
          <w:trHeight w:val="230"/>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5"/>
              </w:rPr>
              <w:t>of</w:t>
            </w:r>
          </w:p>
        </w:tc>
        <w:tc>
          <w:tcPr>
            <w:tcW w:w="28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color w:val="auto"/>
                <w:w w:val="99"/>
              </w:rPr>
              <w:t>average</w:t>
            </w:r>
          </w:p>
        </w:tc>
        <w:tc>
          <w:tcPr>
            <w:tcW w:w="20" w:type="dxa"/>
            <w:vAlign w:val="bottom"/>
          </w:tcPr>
          <w:p>
            <w:pPr>
              <w:spacing w:after="0"/>
              <w:rPr>
                <w:sz w:val="20"/>
                <w:szCs w:val="20"/>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5"/>
              </w:rPr>
              <w:t>of</w:t>
            </w:r>
          </w:p>
        </w:tc>
        <w:tc>
          <w:tcPr>
            <w:tcW w:w="280" w:type="dxa"/>
            <w:vAlign w:val="bottom"/>
          </w:tcPr>
          <w:p>
            <w:pPr>
              <w:spacing w:after="0"/>
              <w:rPr>
                <w:sz w:val="20"/>
                <w:szCs w:val="20"/>
                <w:color w:val="auto"/>
              </w:rPr>
            </w:pPr>
          </w:p>
        </w:tc>
        <w:tc>
          <w:tcPr>
            <w:tcW w:w="1580" w:type="dxa"/>
            <w:vAlign w:val="bottom"/>
            <w:gridSpan w:val="4"/>
          </w:tcPr>
          <w:p>
            <w:pPr>
              <w:jc w:val="center"/>
              <w:ind w:right="440"/>
              <w:spacing w:after="0"/>
              <w:rPr>
                <w:sz w:val="20"/>
                <w:szCs w:val="20"/>
                <w:color w:val="auto"/>
              </w:rPr>
            </w:pPr>
            <w:r>
              <w:rPr>
                <w:rFonts w:ascii="Times New Roman" w:cs="Times New Roman" w:eastAsia="Times New Roman" w:hAnsi="Times New Roman"/>
                <w:sz w:val="20"/>
                <w:szCs w:val="20"/>
                <w:color w:val="auto"/>
                <w:w w:val="99"/>
              </w:rPr>
              <w:t>average</w:t>
            </w:r>
          </w:p>
        </w:tc>
        <w:tc>
          <w:tcPr>
            <w:tcW w:w="9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5"/>
              </w:rPr>
              <w:t>of</w:t>
            </w:r>
          </w:p>
        </w:tc>
        <w:tc>
          <w:tcPr>
            <w:tcW w:w="300" w:type="dxa"/>
            <w:vAlign w:val="bottom"/>
          </w:tcPr>
          <w:p>
            <w:pPr>
              <w:spacing w:after="0"/>
              <w:rPr>
                <w:sz w:val="20"/>
                <w:szCs w:val="20"/>
                <w:color w:val="auto"/>
              </w:rPr>
            </w:pP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color w:val="auto"/>
                <w:w w:val="99"/>
              </w:rPr>
              <w:t>average</w:t>
            </w:r>
          </w:p>
        </w:tc>
      </w:tr>
      <w:tr>
        <w:trPr>
          <w:trHeight w:val="230"/>
        </w:trPr>
        <w:tc>
          <w:tcPr>
            <w:tcW w:w="3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 thousands except per</w:t>
            </w:r>
          </w:p>
        </w:tc>
        <w:tc>
          <w:tcPr>
            <w:tcW w:w="9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9"/>
              </w:rPr>
              <w:t>common</w:t>
            </w:r>
          </w:p>
        </w:tc>
        <w:tc>
          <w:tcPr>
            <w:tcW w:w="28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color w:val="auto"/>
                <w:w w:val="99"/>
              </w:rPr>
              <w:t>exercise price</w:t>
            </w:r>
          </w:p>
        </w:tc>
        <w:tc>
          <w:tcPr>
            <w:tcW w:w="20" w:type="dxa"/>
            <w:vAlign w:val="bottom"/>
          </w:tcPr>
          <w:p>
            <w:pPr>
              <w:spacing w:after="0"/>
              <w:rPr>
                <w:sz w:val="20"/>
                <w:szCs w:val="20"/>
                <w:color w:val="auto"/>
              </w:rPr>
            </w:pPr>
          </w:p>
        </w:tc>
        <w:tc>
          <w:tcPr>
            <w:tcW w:w="9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9"/>
              </w:rPr>
              <w:t>common</w:t>
            </w:r>
          </w:p>
        </w:tc>
        <w:tc>
          <w:tcPr>
            <w:tcW w:w="280" w:type="dxa"/>
            <w:vAlign w:val="bottom"/>
          </w:tcPr>
          <w:p>
            <w:pPr>
              <w:spacing w:after="0"/>
              <w:rPr>
                <w:sz w:val="20"/>
                <w:szCs w:val="20"/>
                <w:color w:val="auto"/>
              </w:rPr>
            </w:pPr>
          </w:p>
        </w:tc>
        <w:tc>
          <w:tcPr>
            <w:tcW w:w="1580" w:type="dxa"/>
            <w:vAlign w:val="bottom"/>
            <w:gridSpan w:val="4"/>
          </w:tcPr>
          <w:p>
            <w:pPr>
              <w:jc w:val="center"/>
              <w:ind w:right="460"/>
              <w:spacing w:after="0"/>
              <w:rPr>
                <w:sz w:val="20"/>
                <w:szCs w:val="20"/>
                <w:color w:val="auto"/>
              </w:rPr>
            </w:pPr>
            <w:r>
              <w:rPr>
                <w:rFonts w:ascii="Times New Roman" w:cs="Times New Roman" w:eastAsia="Times New Roman" w:hAnsi="Times New Roman"/>
                <w:sz w:val="20"/>
                <w:szCs w:val="20"/>
                <w:color w:val="auto"/>
              </w:rPr>
              <w:t>exercise price</w:t>
            </w:r>
          </w:p>
        </w:tc>
        <w:tc>
          <w:tcPr>
            <w:tcW w:w="90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9"/>
              </w:rPr>
              <w:t>common</w:t>
            </w:r>
          </w:p>
        </w:tc>
        <w:tc>
          <w:tcPr>
            <w:tcW w:w="300" w:type="dxa"/>
            <w:vAlign w:val="bottom"/>
          </w:tcPr>
          <w:p>
            <w:pPr>
              <w:spacing w:after="0"/>
              <w:rPr>
                <w:sz w:val="20"/>
                <w:szCs w:val="20"/>
                <w:color w:val="auto"/>
              </w:rPr>
            </w:pP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color w:val="auto"/>
                <w:w w:val="99"/>
              </w:rPr>
              <w:t>exercise price</w:t>
            </w:r>
          </w:p>
        </w:tc>
      </w:tr>
      <w:tr>
        <w:trPr>
          <w:trHeight w:val="249"/>
        </w:trPr>
        <w:tc>
          <w:tcPr>
            <w:tcW w:w="3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share data)</w:t>
            </w:r>
          </w:p>
        </w:tc>
        <w:tc>
          <w:tcPr>
            <w:tcW w:w="9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9"/>
              </w:rPr>
              <w:t>shares</w:t>
            </w:r>
          </w:p>
        </w:tc>
        <w:tc>
          <w:tcPr>
            <w:tcW w:w="28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color w:val="auto"/>
                <w:w w:val="98"/>
              </w:rPr>
              <w:t>per share</w:t>
            </w:r>
          </w:p>
        </w:tc>
        <w:tc>
          <w:tcPr>
            <w:tcW w:w="20" w:type="dxa"/>
            <w:vAlign w:val="bottom"/>
          </w:tcPr>
          <w:p>
            <w:pPr>
              <w:spacing w:after="0"/>
              <w:rPr>
                <w:sz w:val="21"/>
                <w:szCs w:val="21"/>
                <w:color w:val="auto"/>
              </w:rPr>
            </w:pPr>
          </w:p>
        </w:tc>
        <w:tc>
          <w:tcPr>
            <w:tcW w:w="9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9"/>
              </w:rPr>
              <w:t>shares</w:t>
            </w:r>
          </w:p>
        </w:tc>
        <w:tc>
          <w:tcPr>
            <w:tcW w:w="280" w:type="dxa"/>
            <w:vAlign w:val="bottom"/>
          </w:tcPr>
          <w:p>
            <w:pPr>
              <w:spacing w:after="0"/>
              <w:rPr>
                <w:sz w:val="21"/>
                <w:szCs w:val="21"/>
                <w:color w:val="auto"/>
              </w:rPr>
            </w:pPr>
          </w:p>
        </w:tc>
        <w:tc>
          <w:tcPr>
            <w:tcW w:w="1580" w:type="dxa"/>
            <w:vAlign w:val="bottom"/>
            <w:gridSpan w:val="4"/>
          </w:tcPr>
          <w:p>
            <w:pPr>
              <w:jc w:val="center"/>
              <w:ind w:right="460"/>
              <w:spacing w:after="0"/>
              <w:rPr>
                <w:sz w:val="20"/>
                <w:szCs w:val="20"/>
                <w:color w:val="auto"/>
              </w:rPr>
            </w:pPr>
            <w:r>
              <w:rPr>
                <w:rFonts w:ascii="Times New Roman" w:cs="Times New Roman" w:eastAsia="Times New Roman" w:hAnsi="Times New Roman"/>
                <w:sz w:val="20"/>
                <w:szCs w:val="20"/>
                <w:color w:val="auto"/>
                <w:w w:val="98"/>
              </w:rPr>
              <w:t>per share</w:t>
            </w:r>
          </w:p>
        </w:tc>
        <w:tc>
          <w:tcPr>
            <w:tcW w:w="90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9"/>
              </w:rPr>
              <w:t>shares</w:t>
            </w:r>
          </w:p>
        </w:tc>
        <w:tc>
          <w:tcPr>
            <w:tcW w:w="3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per share</w:t>
            </w: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3320" w:type="dxa"/>
            <w:vAlign w:val="bottom"/>
            <w:gridSpan w:val="3"/>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Outstanding - beginning of year</w:t>
            </w:r>
          </w:p>
        </w:tc>
        <w:tc>
          <w:tcPr>
            <w:tcW w:w="9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819</w:t>
            </w:r>
          </w:p>
        </w:tc>
        <w:tc>
          <w:tcPr>
            <w:tcW w:w="2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D4EFF4"/>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66.16</w:t>
            </w:r>
          </w:p>
        </w:tc>
        <w:tc>
          <w:tcPr>
            <w:tcW w:w="20" w:type="dxa"/>
            <w:vAlign w:val="bottom"/>
            <w:shd w:val="clear" w:color="auto" w:fill="D4EFF4"/>
          </w:tcPr>
          <w:p>
            <w:pPr>
              <w:spacing w:after="0"/>
              <w:rPr>
                <w:sz w:val="19"/>
                <w:szCs w:val="19"/>
                <w:color w:val="auto"/>
              </w:rPr>
            </w:pPr>
          </w:p>
        </w:tc>
        <w:tc>
          <w:tcPr>
            <w:tcW w:w="960" w:type="dxa"/>
            <w:vAlign w:val="bottom"/>
            <w:gridSpan w:val="2"/>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1,023</w:t>
            </w:r>
          </w:p>
        </w:tc>
        <w:tc>
          <w:tcPr>
            <w:tcW w:w="2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D4EFF4"/>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65.22</w:t>
            </w: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9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1,142</w:t>
            </w:r>
          </w:p>
        </w:tc>
        <w:tc>
          <w:tcPr>
            <w:tcW w:w="3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63.85</w:t>
            </w:r>
          </w:p>
        </w:tc>
        <w:tc>
          <w:tcPr>
            <w:tcW w:w="20" w:type="dxa"/>
            <w:vAlign w:val="bottom"/>
            <w:shd w:val="clear" w:color="auto" w:fill="D4EFF4"/>
          </w:tcPr>
          <w:p>
            <w:pPr>
              <w:spacing w:after="0"/>
              <w:rPr>
                <w:sz w:val="19"/>
                <w:szCs w:val="19"/>
                <w:color w:val="auto"/>
              </w:rPr>
            </w:pPr>
          </w:p>
        </w:tc>
      </w:tr>
      <w:tr>
        <w:trPr>
          <w:trHeight w:val="230"/>
        </w:trPr>
        <w:tc>
          <w:tcPr>
            <w:tcW w:w="3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Exercised</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80" w:type="dxa"/>
            <w:vAlign w:val="bottom"/>
          </w:tcPr>
          <w:p>
            <w:pPr>
              <w:spacing w:after="0"/>
              <w:rPr>
                <w:sz w:val="20"/>
                <w:szCs w:val="20"/>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60.54</w:t>
            </w:r>
          </w:p>
        </w:tc>
        <w:tc>
          <w:tcPr>
            <w:tcW w:w="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280" w:type="dxa"/>
            <w:vAlign w:val="bottom"/>
          </w:tcPr>
          <w:p>
            <w:pPr>
              <w:spacing w:after="0"/>
              <w:rPr>
                <w:sz w:val="20"/>
                <w:szCs w:val="20"/>
                <w:color w:val="auto"/>
              </w:rPr>
            </w:pPr>
          </w:p>
        </w:tc>
        <w:tc>
          <w:tcPr>
            <w:tcW w:w="15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61.15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52.31</w:t>
            </w:r>
          </w:p>
        </w:tc>
        <w:tc>
          <w:tcPr>
            <w:tcW w:w="20" w:type="dxa"/>
            <w:vAlign w:val="bottom"/>
          </w:tcPr>
          <w:p>
            <w:pPr>
              <w:spacing w:after="0"/>
              <w:rPr>
                <w:sz w:val="20"/>
                <w:szCs w:val="20"/>
                <w:color w:val="auto"/>
              </w:rPr>
            </w:pPr>
          </w:p>
        </w:tc>
      </w:tr>
      <w:tr>
        <w:trPr>
          <w:trHeight w:val="230"/>
        </w:trPr>
        <w:tc>
          <w:tcPr>
            <w:tcW w:w="3320" w:type="dxa"/>
            <w:vAlign w:val="bottom"/>
            <w:gridSpan w:val="3"/>
            <w:shd w:val="clear" w:color="auto" w:fill="D4EFF4"/>
          </w:tcPr>
          <w:p>
            <w:pPr>
              <w:spacing w:after="0"/>
              <w:rPr>
                <w:sz w:val="20"/>
                <w:szCs w:val="20"/>
                <w:color w:val="auto"/>
              </w:rPr>
            </w:pPr>
            <w:r>
              <w:rPr>
                <w:rFonts w:ascii="Times New Roman" w:cs="Times New Roman" w:eastAsia="Times New Roman" w:hAnsi="Times New Roman"/>
                <w:sz w:val="20"/>
                <w:szCs w:val="20"/>
                <w:color w:val="auto"/>
              </w:rPr>
              <w:t>Forfeitures and expirations</w:t>
            </w: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80" w:type="dxa"/>
            <w:vAlign w:val="bottom"/>
            <w:shd w:val="clear" w:color="auto" w:fill="D4EFF4"/>
          </w:tcPr>
          <w:p>
            <w:pPr>
              <w:spacing w:after="0"/>
              <w:rPr>
                <w:sz w:val="20"/>
                <w:szCs w:val="20"/>
                <w:color w:val="auto"/>
              </w:rPr>
            </w:pPr>
          </w:p>
        </w:tc>
        <w:tc>
          <w:tcPr>
            <w:tcW w:w="1500" w:type="dxa"/>
            <w:vAlign w:val="bottom"/>
            <w:shd w:val="clear" w:color="auto" w:fill="D4EFF4"/>
          </w:tcPr>
          <w:p>
            <w:pPr>
              <w:jc w:val="right"/>
              <w:ind w:right="180"/>
              <w:spacing w:after="0"/>
              <w:rPr>
                <w:sz w:val="20"/>
                <w:szCs w:val="20"/>
                <w:color w:val="auto"/>
              </w:rPr>
            </w:pPr>
            <w:r>
              <w:rPr>
                <w:rFonts w:ascii="Times New Roman" w:cs="Times New Roman" w:eastAsia="Times New Roman" w:hAnsi="Times New Roman"/>
                <w:sz w:val="20"/>
                <w:szCs w:val="20"/>
                <w:color w:val="auto"/>
              </w:rPr>
              <w:t>79.47</w:t>
            </w:r>
          </w:p>
        </w:tc>
        <w:tc>
          <w:tcPr>
            <w:tcW w:w="20" w:type="dxa"/>
            <w:vAlign w:val="bottom"/>
            <w:shd w:val="clear" w:color="auto" w:fill="D4EFF4"/>
          </w:tcPr>
          <w:p>
            <w:pPr>
              <w:spacing w:after="0"/>
              <w:rPr>
                <w:sz w:val="20"/>
                <w:szCs w:val="20"/>
                <w:color w:val="auto"/>
              </w:rPr>
            </w:pPr>
          </w:p>
        </w:tc>
        <w:tc>
          <w:tcPr>
            <w:tcW w:w="96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80" w:type="dxa"/>
            <w:vAlign w:val="bottom"/>
            <w:shd w:val="clear" w:color="auto" w:fill="D4EFF4"/>
          </w:tcPr>
          <w:p>
            <w:pPr>
              <w:spacing w:after="0"/>
              <w:rPr>
                <w:sz w:val="20"/>
                <w:szCs w:val="20"/>
                <w:color w:val="auto"/>
              </w:rPr>
            </w:pPr>
          </w:p>
        </w:tc>
        <w:tc>
          <w:tcPr>
            <w:tcW w:w="1520" w:type="dxa"/>
            <w:vAlign w:val="bottom"/>
            <w:shd w:val="clear" w:color="auto" w:fill="D4EFF4"/>
          </w:tcPr>
          <w:p>
            <w:pPr>
              <w:jc w:val="right"/>
              <w:ind w:right="200"/>
              <w:spacing w:after="0"/>
              <w:rPr>
                <w:sz w:val="20"/>
                <w:szCs w:val="20"/>
                <w:color w:val="auto"/>
              </w:rPr>
            </w:pPr>
            <w:r>
              <w:rPr>
                <w:rFonts w:ascii="Times New Roman" w:cs="Times New Roman" w:eastAsia="Times New Roman" w:hAnsi="Times New Roman"/>
                <w:sz w:val="20"/>
                <w:szCs w:val="20"/>
                <w:color w:val="auto"/>
              </w:rPr>
              <w:t>71.33</w:t>
            </w: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9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00" w:type="dxa"/>
            <w:vAlign w:val="bottom"/>
            <w:shd w:val="clear" w:color="auto" w:fill="D4EFF4"/>
          </w:tcPr>
          <w:p>
            <w:pPr>
              <w:spacing w:after="0"/>
              <w:rPr>
                <w:sz w:val="20"/>
                <w:szCs w:val="20"/>
                <w:color w:val="auto"/>
              </w:rPr>
            </w:pPr>
          </w:p>
        </w:tc>
        <w:tc>
          <w:tcPr>
            <w:tcW w:w="126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46.67</w:t>
            </w:r>
          </w:p>
        </w:tc>
        <w:tc>
          <w:tcPr>
            <w:tcW w:w="20" w:type="dxa"/>
            <w:vAlign w:val="bottom"/>
            <w:shd w:val="clear" w:color="auto" w:fill="D4EFF4"/>
          </w:tcPr>
          <w:p>
            <w:pPr>
              <w:spacing w:after="0"/>
              <w:rPr>
                <w:sz w:val="20"/>
                <w:szCs w:val="20"/>
                <w:color w:val="auto"/>
              </w:rPr>
            </w:pPr>
          </w:p>
        </w:tc>
      </w:tr>
      <w:tr>
        <w:trPr>
          <w:trHeight w:val="265"/>
        </w:trPr>
        <w:tc>
          <w:tcPr>
            <w:tcW w:w="330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color w:val="auto"/>
              </w:rPr>
              <w:t>Outstanding - end of year</w:t>
            </w:r>
            <w:r>
              <w:rPr>
                <w:rFonts w:ascii="Times New Roman" w:cs="Times New Roman" w:eastAsia="Times New Roman" w:hAnsi="Times New Roman"/>
                <w:sz w:val="25"/>
                <w:szCs w:val="25"/>
                <w:color w:val="auto"/>
                <w:vertAlign w:val="superscript"/>
              </w:rPr>
              <w:t>(a)</w:t>
            </w:r>
          </w:p>
        </w:tc>
        <w:tc>
          <w:tcPr>
            <w:tcW w:w="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746</w:t>
            </w:r>
          </w:p>
        </w:tc>
        <w:tc>
          <w:tcPr>
            <w:tcW w:w="280" w:type="dxa"/>
            <w:vAlign w:val="bottom"/>
          </w:tcPr>
          <w:p>
            <w:pPr>
              <w:spacing w:after="0"/>
              <w:rPr>
                <w:sz w:val="23"/>
                <w:szCs w:val="23"/>
                <w:color w:val="auto"/>
              </w:rPr>
            </w:pPr>
          </w:p>
        </w:tc>
        <w:tc>
          <w:tcPr>
            <w:tcW w:w="1500" w:type="dxa"/>
            <w:vAlign w:val="bottom"/>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65.47</w:t>
            </w:r>
          </w:p>
        </w:tc>
        <w:tc>
          <w:tcPr>
            <w:tcW w:w="20" w:type="dxa"/>
            <w:vAlign w:val="bottom"/>
          </w:tcPr>
          <w:p>
            <w:pPr>
              <w:spacing w:after="0"/>
              <w:rPr>
                <w:sz w:val="23"/>
                <w:szCs w:val="23"/>
                <w:color w:val="auto"/>
              </w:rPr>
            </w:pPr>
          </w:p>
        </w:tc>
        <w:tc>
          <w:tcPr>
            <w:tcW w:w="960" w:type="dxa"/>
            <w:vAlign w:val="bottom"/>
            <w:tcBorders>
              <w:top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819</w:t>
            </w:r>
          </w:p>
        </w:tc>
        <w:tc>
          <w:tcPr>
            <w:tcW w:w="280" w:type="dxa"/>
            <w:vAlign w:val="bottom"/>
          </w:tcPr>
          <w:p>
            <w:pPr>
              <w:spacing w:after="0"/>
              <w:rPr>
                <w:sz w:val="23"/>
                <w:szCs w:val="23"/>
                <w:color w:val="auto"/>
              </w:rPr>
            </w:pPr>
          </w:p>
        </w:tc>
        <w:tc>
          <w:tcPr>
            <w:tcW w:w="1520" w:type="dxa"/>
            <w:vAlign w:val="bottom"/>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66.16</w:t>
            </w: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1,023</w:t>
            </w:r>
          </w:p>
        </w:tc>
        <w:tc>
          <w:tcPr>
            <w:tcW w:w="300" w:type="dxa"/>
            <w:vAlign w:val="bottom"/>
          </w:tcPr>
          <w:p>
            <w:pPr>
              <w:spacing w:after="0"/>
              <w:rPr>
                <w:sz w:val="23"/>
                <w:szCs w:val="23"/>
                <w:color w:val="auto"/>
              </w:rPr>
            </w:pPr>
          </w:p>
        </w:tc>
        <w:tc>
          <w:tcPr>
            <w:tcW w:w="126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65.22</w:t>
            </w:r>
          </w:p>
        </w:tc>
        <w:tc>
          <w:tcPr>
            <w:tcW w:w="20" w:type="dxa"/>
            <w:vAlign w:val="bottom"/>
          </w:tcPr>
          <w:p>
            <w:pPr>
              <w:spacing w:after="0"/>
              <w:rPr>
                <w:sz w:val="23"/>
                <w:szCs w:val="23"/>
                <w:color w:val="auto"/>
              </w:rPr>
            </w:pPr>
          </w:p>
        </w:tc>
      </w:tr>
      <w:tr>
        <w:trPr>
          <w:trHeight w:val="215"/>
        </w:trPr>
        <w:tc>
          <w:tcPr>
            <w:tcW w:w="3280" w:type="dxa"/>
            <w:vAlign w:val="bottom"/>
            <w:tcBorders>
              <w:top w:val="single" w:sz="8" w:color="D4EFF4"/>
            </w:tcBorders>
            <w:shd w:val="clear" w:color="auto" w:fill="D4EFF4"/>
          </w:tcPr>
          <w:p>
            <w:pPr>
              <w:spacing w:after="0" w:line="215" w:lineRule="exact"/>
              <w:rPr>
                <w:sz w:val="20"/>
                <w:szCs w:val="20"/>
                <w:color w:val="auto"/>
              </w:rPr>
            </w:pPr>
            <w:r>
              <w:rPr>
                <w:rFonts w:ascii="Times New Roman" w:cs="Times New Roman" w:eastAsia="Times New Roman" w:hAnsi="Times New Roman"/>
                <w:sz w:val="20"/>
                <w:szCs w:val="20"/>
                <w:color w:val="auto"/>
              </w:rPr>
              <w:t>Exercisable - end of year</w:t>
            </w:r>
          </w:p>
        </w:tc>
        <w:tc>
          <w:tcPr>
            <w:tcW w:w="40" w:type="dxa"/>
            <w:vAlign w:val="bottom"/>
            <w:tcBorders>
              <w:top w:val="single" w:sz="8" w:color="auto"/>
            </w:tcBorders>
            <w:gridSpan w:val="2"/>
            <w:shd w:val="clear" w:color="auto" w:fill="D4EFF4"/>
          </w:tcPr>
          <w:p>
            <w:pPr>
              <w:spacing w:after="0"/>
              <w:rPr>
                <w:sz w:val="18"/>
                <w:szCs w:val="18"/>
                <w:color w:val="auto"/>
              </w:rPr>
            </w:pPr>
          </w:p>
        </w:tc>
        <w:tc>
          <w:tcPr>
            <w:tcW w:w="960" w:type="dxa"/>
            <w:vAlign w:val="bottom"/>
            <w:tcBorders>
              <w:top w:val="single" w:sz="8" w:color="auto"/>
            </w:tcBorders>
            <w:shd w:val="clear" w:color="auto" w:fill="D4EFF4"/>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746</w:t>
            </w:r>
          </w:p>
        </w:tc>
        <w:tc>
          <w:tcPr>
            <w:tcW w:w="280" w:type="dxa"/>
            <w:vAlign w:val="bottom"/>
            <w:tcBorders>
              <w:top w:val="single" w:sz="8" w:color="D4EFF4"/>
            </w:tcBorders>
            <w:shd w:val="clear" w:color="auto" w:fill="D4EFF4"/>
          </w:tcPr>
          <w:p>
            <w:pPr>
              <w:spacing w:after="0"/>
              <w:rPr>
                <w:sz w:val="18"/>
                <w:szCs w:val="18"/>
                <w:color w:val="auto"/>
              </w:rPr>
            </w:pPr>
          </w:p>
        </w:tc>
        <w:tc>
          <w:tcPr>
            <w:tcW w:w="1500" w:type="dxa"/>
            <w:vAlign w:val="bottom"/>
            <w:tcBorders>
              <w:top w:val="single" w:sz="8" w:color="D4EFF4"/>
            </w:tcBorders>
            <w:shd w:val="clear" w:color="auto" w:fill="D4EFF4"/>
          </w:tcPr>
          <w:p>
            <w:pPr>
              <w:jc w:val="right"/>
              <w:ind w:right="180"/>
              <w:spacing w:after="0" w:line="215" w:lineRule="exact"/>
              <w:rPr>
                <w:sz w:val="20"/>
                <w:szCs w:val="20"/>
                <w:color w:val="auto"/>
              </w:rPr>
            </w:pPr>
            <w:r>
              <w:rPr>
                <w:rFonts w:ascii="Times New Roman" w:cs="Times New Roman" w:eastAsia="Times New Roman" w:hAnsi="Times New Roman"/>
                <w:sz w:val="20"/>
                <w:szCs w:val="20"/>
                <w:color w:val="auto"/>
              </w:rPr>
              <w:t>65.47</w:t>
            </w:r>
          </w:p>
        </w:tc>
        <w:tc>
          <w:tcPr>
            <w:tcW w:w="20" w:type="dxa"/>
            <w:vAlign w:val="bottom"/>
            <w:tcBorders>
              <w:top w:val="single" w:sz="8" w:color="auto"/>
            </w:tcBorders>
            <w:shd w:val="clear" w:color="auto" w:fill="D4EFF4"/>
          </w:tcPr>
          <w:p>
            <w:pPr>
              <w:spacing w:after="0"/>
              <w:rPr>
                <w:sz w:val="18"/>
                <w:szCs w:val="18"/>
                <w:color w:val="auto"/>
              </w:rPr>
            </w:pPr>
          </w:p>
        </w:tc>
        <w:tc>
          <w:tcPr>
            <w:tcW w:w="20" w:type="dxa"/>
            <w:vAlign w:val="bottom"/>
            <w:tcBorders>
              <w:top w:val="single" w:sz="8" w:color="auto"/>
            </w:tcBorders>
            <w:shd w:val="clear" w:color="auto" w:fill="D4EFF4"/>
          </w:tcPr>
          <w:p>
            <w:pPr>
              <w:spacing w:after="0"/>
              <w:rPr>
                <w:sz w:val="18"/>
                <w:szCs w:val="18"/>
                <w:color w:val="auto"/>
              </w:rPr>
            </w:pPr>
          </w:p>
        </w:tc>
        <w:tc>
          <w:tcPr>
            <w:tcW w:w="940" w:type="dxa"/>
            <w:vAlign w:val="bottom"/>
            <w:tcBorders>
              <w:top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819</w:t>
            </w:r>
          </w:p>
        </w:tc>
        <w:tc>
          <w:tcPr>
            <w:tcW w:w="280" w:type="dxa"/>
            <w:vAlign w:val="bottom"/>
            <w:tcBorders>
              <w:top w:val="single" w:sz="8" w:color="D4EFF4"/>
            </w:tcBorders>
            <w:shd w:val="clear" w:color="auto" w:fill="D4EFF4"/>
          </w:tcPr>
          <w:p>
            <w:pPr>
              <w:spacing w:after="0"/>
              <w:rPr>
                <w:sz w:val="18"/>
                <w:szCs w:val="18"/>
                <w:color w:val="auto"/>
              </w:rPr>
            </w:pPr>
          </w:p>
        </w:tc>
        <w:tc>
          <w:tcPr>
            <w:tcW w:w="1520" w:type="dxa"/>
            <w:vAlign w:val="bottom"/>
            <w:tcBorders>
              <w:top w:val="single" w:sz="8" w:color="D4EFF4"/>
            </w:tcBorders>
            <w:shd w:val="clear" w:color="auto" w:fill="D4EFF4"/>
          </w:tcPr>
          <w:p>
            <w:pPr>
              <w:jc w:val="right"/>
              <w:ind w:right="200"/>
              <w:spacing w:after="0" w:line="215" w:lineRule="exact"/>
              <w:rPr>
                <w:sz w:val="20"/>
                <w:szCs w:val="20"/>
                <w:color w:val="auto"/>
              </w:rPr>
            </w:pPr>
            <w:r>
              <w:rPr>
                <w:rFonts w:ascii="Times New Roman" w:cs="Times New Roman" w:eastAsia="Times New Roman" w:hAnsi="Times New Roman"/>
                <w:sz w:val="20"/>
                <w:szCs w:val="20"/>
                <w:color w:val="auto"/>
              </w:rPr>
              <w:t>66.16</w:t>
            </w:r>
          </w:p>
        </w:tc>
        <w:tc>
          <w:tcPr>
            <w:tcW w:w="20" w:type="dxa"/>
            <w:vAlign w:val="bottom"/>
            <w:tcBorders>
              <w:top w:val="single" w:sz="8" w:color="auto"/>
            </w:tcBorders>
            <w:shd w:val="clear" w:color="auto" w:fill="D4EFF4"/>
          </w:tcPr>
          <w:p>
            <w:pPr>
              <w:spacing w:after="0"/>
              <w:rPr>
                <w:sz w:val="18"/>
                <w:szCs w:val="18"/>
                <w:color w:val="auto"/>
              </w:rPr>
            </w:pPr>
          </w:p>
        </w:tc>
        <w:tc>
          <w:tcPr>
            <w:tcW w:w="20" w:type="dxa"/>
            <w:vAlign w:val="bottom"/>
            <w:tcBorders>
              <w:top w:val="single" w:sz="8" w:color="auto"/>
            </w:tcBorders>
            <w:shd w:val="clear" w:color="auto" w:fill="D4EFF4"/>
          </w:tcPr>
          <w:p>
            <w:pPr>
              <w:spacing w:after="0"/>
              <w:rPr>
                <w:sz w:val="18"/>
                <w:szCs w:val="18"/>
                <w:color w:val="auto"/>
              </w:rPr>
            </w:pPr>
          </w:p>
        </w:tc>
        <w:tc>
          <w:tcPr>
            <w:tcW w:w="20" w:type="dxa"/>
            <w:vAlign w:val="bottom"/>
            <w:tcBorders>
              <w:top w:val="single" w:sz="8" w:color="auto"/>
            </w:tcBorders>
            <w:shd w:val="clear" w:color="auto" w:fill="D4EFF4"/>
          </w:tcPr>
          <w:p>
            <w:pPr>
              <w:spacing w:after="0"/>
              <w:rPr>
                <w:sz w:val="18"/>
                <w:szCs w:val="18"/>
                <w:color w:val="auto"/>
              </w:rPr>
            </w:pPr>
          </w:p>
        </w:tc>
        <w:tc>
          <w:tcPr>
            <w:tcW w:w="900" w:type="dxa"/>
            <w:vAlign w:val="bottom"/>
            <w:tcBorders>
              <w:top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1,023</w:t>
            </w:r>
          </w:p>
        </w:tc>
        <w:tc>
          <w:tcPr>
            <w:tcW w:w="300" w:type="dxa"/>
            <w:vAlign w:val="bottom"/>
            <w:tcBorders>
              <w:top w:val="single" w:sz="8" w:color="D4EFF4"/>
            </w:tcBorders>
            <w:shd w:val="clear" w:color="auto" w:fill="D4EFF4"/>
          </w:tcPr>
          <w:p>
            <w:pPr>
              <w:spacing w:after="0"/>
              <w:rPr>
                <w:sz w:val="18"/>
                <w:szCs w:val="18"/>
                <w:color w:val="auto"/>
              </w:rPr>
            </w:pPr>
          </w:p>
        </w:tc>
        <w:tc>
          <w:tcPr>
            <w:tcW w:w="1260" w:type="dxa"/>
            <w:vAlign w:val="bottom"/>
            <w:tcBorders>
              <w:top w:val="single" w:sz="8" w:color="D4EFF4"/>
            </w:tcBorders>
            <w:gridSpan w:val="2"/>
            <w:shd w:val="clear" w:color="auto" w:fill="D4EFF4"/>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65.22</w:t>
            </w:r>
          </w:p>
        </w:tc>
        <w:tc>
          <w:tcPr>
            <w:tcW w:w="20" w:type="dxa"/>
            <w:vAlign w:val="bottom"/>
            <w:tcBorders>
              <w:top w:val="single" w:sz="8" w:color="D4EFF4"/>
            </w:tcBorders>
            <w:shd w:val="clear" w:color="auto" w:fill="D4EFF4"/>
          </w:tcPr>
          <w:p>
            <w:pPr>
              <w:spacing w:after="0"/>
              <w:rPr>
                <w:sz w:val="18"/>
                <w:szCs w:val="18"/>
                <w:color w:val="auto"/>
              </w:rPr>
            </w:pPr>
          </w:p>
        </w:tc>
      </w:tr>
      <w:tr>
        <w:trPr>
          <w:trHeight w:val="69"/>
        </w:trPr>
        <w:tc>
          <w:tcPr>
            <w:tcW w:w="3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-1438275</wp:posOffset>
            </wp:positionV>
            <wp:extent cx="3445510"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481">
                      <a:extLst>
                        <a:ext uri="{28A0092B-C50C-407E-A947-70E740481C1C}"/>
                      </a:extLst>
                    </a:blip>
                    <a:srcRect/>
                    <a:stretch>
                      <a:fillRect/>
                    </a:stretch>
                  </pic:blipFill>
                  <pic:spPr bwMode="auto">
                    <a:xfrm>
                      <a:off x="0" y="0"/>
                      <a:ext cx="344551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-844550</wp:posOffset>
            </wp:positionV>
            <wp:extent cx="7221220"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482">
                      <a:extLst>
                        <a:ext uri="{28A0092B-C50C-407E-A947-70E740481C1C}"/>
                      </a:extLst>
                    </a:blip>
                    <a:srcRect/>
                    <a:stretch>
                      <a:fillRect/>
                    </a:stretch>
                  </pic:blipFill>
                  <pic:spPr bwMode="auto">
                    <a:xfrm>
                      <a:off x="0" y="0"/>
                      <a:ext cx="722122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21220"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483">
                      <a:extLst>
                        <a:ext uri="{28A0092B-C50C-407E-A947-70E740481C1C}"/>
                      </a:extLst>
                    </a:blip>
                    <a:srcRect/>
                    <a:stretch>
                      <a:fillRect/>
                    </a:stretch>
                  </pic:blipFill>
                  <pic:spPr bwMode="auto">
                    <a:xfrm>
                      <a:off x="0" y="0"/>
                      <a:ext cx="7221220" cy="38100"/>
                    </a:xfrm>
                    <a:prstGeom prst="rect">
                      <a:avLst/>
                    </a:prstGeom>
                    <a:noFill/>
                  </pic:spPr>
                </pic:pic>
              </a:graphicData>
            </a:graphic>
          </wp:anchor>
        </w:drawing>
      </w:r>
    </w:p>
    <w:p>
      <w:pPr>
        <w:spacing w:after="0" w:line="5" w:lineRule="exact"/>
        <w:rPr>
          <w:sz w:val="20"/>
          <w:szCs w:val="20"/>
          <w:color w:val="auto"/>
        </w:rPr>
      </w:pPr>
    </w:p>
    <w:p>
      <w:pPr>
        <w:ind w:left="568" w:hanging="568"/>
        <w:spacing w:after="0" w:line="277" w:lineRule="auto"/>
        <w:tabs>
          <w:tab w:leader="none" w:pos="56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prices per share for SARs outstanding at September 30, 2025 ranged from $57.96 to $67.16 for 588 thousand shares and from $76.76 to $82.34 for 158 thousand shares. The weighted-average remaining contractual life of outstanding and exercisable SARs and stock options was 2.0 years.</w:t>
      </w:r>
    </w:p>
    <w:p>
      <w:pPr>
        <w:spacing w:after="0" w:line="59" w:lineRule="exact"/>
        <w:rPr>
          <w:sz w:val="20"/>
          <w:szCs w:val="20"/>
          <w:color w:val="auto"/>
        </w:rPr>
      </w:pPr>
    </w:p>
    <w:p>
      <w:pPr>
        <w:jc w:val="both"/>
        <w:ind w:left="8" w:firstLine="360"/>
        <w:spacing w:after="0" w:line="295" w:lineRule="auto"/>
        <w:rPr>
          <w:sz w:val="20"/>
          <w:szCs w:val="20"/>
          <w:color w:val="auto"/>
        </w:rPr>
      </w:pPr>
      <w:r>
        <w:rPr>
          <w:rFonts w:ascii="Times New Roman" w:cs="Times New Roman" w:eastAsia="Times New Roman" w:hAnsi="Times New Roman"/>
          <w:sz w:val="19"/>
          <w:szCs w:val="19"/>
          <w:color w:val="auto"/>
        </w:rPr>
        <w:t>The total intrinsic value of SARs exercised was less than $1 million in 2025, $6 million in 2024 and $6 million in 2023. The actual tax benefit realized from the exercised SARs was zero in 2025, $1 million in 2024 and $1 million in 2023. The total grant date fair value of SARs that vested during 2025, 2024 and 2023 was zero, zero and $1 million, respectively. As of September 30, 2025, there was zero unrecognized compensation costs related to SARs. As of September 30, 2025, the aggregate intrinsic value of outstanding and exercisable SARs was zero.</w:t>
      </w:r>
    </w:p>
    <w:p>
      <w:pPr>
        <w:spacing w:after="0" w:line="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Nonvested stock awards</w:t>
      </w:r>
    </w:p>
    <w:p>
      <w:pPr>
        <w:spacing w:after="0" w:line="147" w:lineRule="exact"/>
        <w:rPr>
          <w:sz w:val="20"/>
          <w:szCs w:val="20"/>
          <w:color w:val="auto"/>
        </w:rPr>
      </w:pPr>
    </w:p>
    <w:p>
      <w:pPr>
        <w:jc w:val="both"/>
        <w:ind w:left="8" w:firstLine="360"/>
        <w:spacing w:after="0" w:line="271" w:lineRule="auto"/>
        <w:rPr>
          <w:sz w:val="20"/>
          <w:szCs w:val="20"/>
          <w:color w:val="auto"/>
        </w:rPr>
      </w:pPr>
      <w:r>
        <w:rPr>
          <w:rFonts w:ascii="Times New Roman" w:cs="Times New Roman" w:eastAsia="Times New Roman" w:hAnsi="Times New Roman"/>
          <w:sz w:val="20"/>
          <w:szCs w:val="20"/>
          <w:color w:val="auto"/>
        </w:rPr>
        <w:t>Nonvested stock awards are granted to employees or directors at a price equal to the fair market value of the stock on the date of grant and generally vest over a one-to-three-year period. However, such shares or units are subject to forfeiture upon termination of service before the vesting period ends. Beginning in 2016, these awards were primarily granted as stock units that will convert to shares upon vesting, while the grants in prior years were generally made in nonvested shares.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80" w:lineRule="exact"/>
        <w:rPr>
          <w:sz w:val="20"/>
          <w:szCs w:val="20"/>
          <w:color w:val="auto"/>
        </w:rPr>
      </w:pPr>
    </w:p>
    <w:p>
      <w:pPr>
        <w:jc w:val="both"/>
        <w:ind w:left="8" w:firstLine="360"/>
        <w:spacing w:after="0" w:line="325" w:lineRule="auto"/>
        <w:rPr>
          <w:sz w:val="20"/>
          <w:szCs w:val="20"/>
          <w:color w:val="auto"/>
        </w:rPr>
      </w:pPr>
      <w:r>
        <w:rPr>
          <w:rFonts w:ascii="Times New Roman" w:cs="Times New Roman" w:eastAsia="Times New Roman" w:hAnsi="Times New Roman"/>
          <w:sz w:val="20"/>
          <w:szCs w:val="20"/>
          <w:color w:val="auto"/>
        </w:rPr>
        <w:t>A progression of activity and various other information relative to nonvested stock awards is presented in the following table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7192010"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48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3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106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6"/>
        </w:trPr>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jc w:val="center"/>
              <w:ind w:right="20"/>
              <w:spacing w:after="0" w:line="206" w:lineRule="exact"/>
              <w:rPr>
                <w:sz w:val="20"/>
                <w:szCs w:val="20"/>
                <w:color w:val="auto"/>
              </w:rPr>
            </w:pPr>
            <w:r>
              <w:rPr>
                <w:rFonts w:ascii="Times New Roman" w:cs="Times New Roman" w:eastAsia="Times New Roman" w:hAnsi="Times New Roman"/>
                <w:sz w:val="20"/>
                <w:szCs w:val="20"/>
                <w:color w:val="auto"/>
              </w:rPr>
              <w:t>Number</w:t>
            </w:r>
          </w:p>
        </w:tc>
        <w:tc>
          <w:tcPr>
            <w:tcW w:w="320" w:type="dxa"/>
            <w:vAlign w:val="bottom"/>
          </w:tcPr>
          <w:p>
            <w:pPr>
              <w:spacing w:after="0"/>
              <w:rPr>
                <w:sz w:val="17"/>
                <w:szCs w:val="17"/>
                <w:color w:val="auto"/>
              </w:rPr>
            </w:pPr>
          </w:p>
        </w:tc>
        <w:tc>
          <w:tcPr>
            <w:tcW w:w="1320" w:type="dxa"/>
            <w:vAlign w:val="bottom"/>
            <w:gridSpan w:val="2"/>
          </w:tcPr>
          <w:p>
            <w:pPr>
              <w:jc w:val="center"/>
              <w:ind w:right="440"/>
              <w:spacing w:after="0" w:line="206" w:lineRule="exact"/>
              <w:rPr>
                <w:sz w:val="20"/>
                <w:szCs w:val="20"/>
                <w:color w:val="auto"/>
              </w:rPr>
            </w:pPr>
            <w:r>
              <w:rPr>
                <w:rFonts w:ascii="Times New Roman" w:cs="Times New Roman" w:eastAsia="Times New Roman" w:hAnsi="Times New Roman"/>
                <w:sz w:val="20"/>
                <w:szCs w:val="20"/>
                <w:color w:val="auto"/>
                <w:w w:val="99"/>
              </w:rPr>
              <w:t>Weighted-</w:t>
            </w:r>
          </w:p>
        </w:tc>
        <w:tc>
          <w:tcPr>
            <w:tcW w:w="1180" w:type="dxa"/>
            <w:vAlign w:val="bottom"/>
          </w:tcPr>
          <w:p>
            <w:pPr>
              <w:jc w:val="center"/>
              <w:ind w:right="20"/>
              <w:spacing w:after="0" w:line="206" w:lineRule="exact"/>
              <w:rPr>
                <w:sz w:val="20"/>
                <w:szCs w:val="20"/>
                <w:color w:val="auto"/>
              </w:rPr>
            </w:pPr>
            <w:r>
              <w:rPr>
                <w:rFonts w:ascii="Times New Roman" w:cs="Times New Roman" w:eastAsia="Times New Roman" w:hAnsi="Times New Roman"/>
                <w:sz w:val="20"/>
                <w:szCs w:val="20"/>
                <w:color w:val="auto"/>
              </w:rPr>
              <w:t>Number</w:t>
            </w:r>
          </w:p>
        </w:tc>
        <w:tc>
          <w:tcPr>
            <w:tcW w:w="320" w:type="dxa"/>
            <w:vAlign w:val="bottom"/>
          </w:tcPr>
          <w:p>
            <w:pPr>
              <w:spacing w:after="0"/>
              <w:rPr>
                <w:sz w:val="17"/>
                <w:szCs w:val="17"/>
                <w:color w:val="auto"/>
              </w:rPr>
            </w:pPr>
          </w:p>
        </w:tc>
        <w:tc>
          <w:tcPr>
            <w:tcW w:w="1340" w:type="dxa"/>
            <w:vAlign w:val="bottom"/>
            <w:gridSpan w:val="3"/>
          </w:tcPr>
          <w:p>
            <w:pPr>
              <w:jc w:val="center"/>
              <w:ind w:right="480"/>
              <w:spacing w:after="0" w:line="206" w:lineRule="exact"/>
              <w:rPr>
                <w:sz w:val="20"/>
                <w:szCs w:val="20"/>
                <w:color w:val="auto"/>
              </w:rPr>
            </w:pPr>
            <w:r>
              <w:rPr>
                <w:rFonts w:ascii="Times New Roman" w:cs="Times New Roman" w:eastAsia="Times New Roman" w:hAnsi="Times New Roman"/>
                <w:sz w:val="20"/>
                <w:szCs w:val="20"/>
                <w:color w:val="auto"/>
              </w:rPr>
              <w:t>Weighted-</w:t>
            </w:r>
          </w:p>
        </w:tc>
        <w:tc>
          <w:tcPr>
            <w:tcW w:w="1160" w:type="dxa"/>
            <w:vAlign w:val="bottom"/>
          </w:tcPr>
          <w:p>
            <w:pPr>
              <w:jc w:val="center"/>
              <w:ind w:right="60"/>
              <w:spacing w:after="0" w:line="206" w:lineRule="exact"/>
              <w:rPr>
                <w:sz w:val="20"/>
                <w:szCs w:val="20"/>
                <w:color w:val="auto"/>
              </w:rPr>
            </w:pPr>
            <w:r>
              <w:rPr>
                <w:rFonts w:ascii="Times New Roman" w:cs="Times New Roman" w:eastAsia="Times New Roman" w:hAnsi="Times New Roman"/>
                <w:sz w:val="20"/>
                <w:szCs w:val="20"/>
                <w:color w:val="auto"/>
                <w:w w:val="97"/>
              </w:rPr>
              <w:t>Number</w:t>
            </w:r>
          </w:p>
        </w:tc>
        <w:tc>
          <w:tcPr>
            <w:tcW w:w="300" w:type="dxa"/>
            <w:vAlign w:val="bottom"/>
          </w:tcPr>
          <w:p>
            <w:pPr>
              <w:spacing w:after="0"/>
              <w:rPr>
                <w:sz w:val="17"/>
                <w:szCs w:val="17"/>
                <w:color w:val="auto"/>
              </w:rPr>
            </w:pPr>
          </w:p>
        </w:tc>
        <w:tc>
          <w:tcPr>
            <w:tcW w:w="1160" w:type="dxa"/>
            <w:vAlign w:val="bottom"/>
            <w:gridSpan w:val="2"/>
          </w:tcPr>
          <w:p>
            <w:pPr>
              <w:jc w:val="center"/>
              <w:ind w:right="280"/>
              <w:spacing w:after="0" w:line="206" w:lineRule="exact"/>
              <w:rPr>
                <w:sz w:val="20"/>
                <w:szCs w:val="20"/>
                <w:color w:val="auto"/>
              </w:rPr>
            </w:pPr>
            <w:r>
              <w:rPr>
                <w:rFonts w:ascii="Times New Roman" w:cs="Times New Roman" w:eastAsia="Times New Roman" w:hAnsi="Times New Roman"/>
                <w:sz w:val="20"/>
                <w:szCs w:val="20"/>
                <w:color w:val="auto"/>
                <w:w w:val="99"/>
              </w:rPr>
              <w:t>Weighted-</w:t>
            </w:r>
          </w:p>
        </w:tc>
        <w:tc>
          <w:tcPr>
            <w:tcW w:w="20" w:type="dxa"/>
            <w:vAlign w:val="bottom"/>
          </w:tcPr>
          <w:p>
            <w:pPr>
              <w:spacing w:after="0"/>
              <w:rPr>
                <w:sz w:val="17"/>
                <w:szCs w:val="17"/>
                <w:color w:val="auto"/>
              </w:rPr>
            </w:pPr>
          </w:p>
        </w:tc>
      </w:tr>
      <w:tr>
        <w:trPr>
          <w:trHeight w:val="230"/>
        </w:trPr>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5"/>
              </w:rPr>
              <w:t>of</w:t>
            </w:r>
          </w:p>
        </w:tc>
        <w:tc>
          <w:tcPr>
            <w:tcW w:w="3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9"/>
              </w:rPr>
              <w:t>average</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5"/>
              </w:rPr>
              <w:t>of</w:t>
            </w:r>
          </w:p>
        </w:tc>
        <w:tc>
          <w:tcPr>
            <w:tcW w:w="320" w:type="dxa"/>
            <w:vAlign w:val="bottom"/>
          </w:tcPr>
          <w:p>
            <w:pPr>
              <w:spacing w:after="0"/>
              <w:rPr>
                <w:sz w:val="20"/>
                <w:szCs w:val="20"/>
                <w:color w:val="auto"/>
              </w:rPr>
            </w:pPr>
          </w:p>
        </w:tc>
        <w:tc>
          <w:tcPr>
            <w:tcW w:w="1340" w:type="dxa"/>
            <w:vAlign w:val="bottom"/>
            <w:gridSpan w:val="3"/>
          </w:tcPr>
          <w:p>
            <w:pPr>
              <w:jc w:val="center"/>
              <w:ind w:right="480"/>
              <w:spacing w:after="0"/>
              <w:rPr>
                <w:sz w:val="20"/>
                <w:szCs w:val="20"/>
                <w:color w:val="auto"/>
              </w:rPr>
            </w:pPr>
            <w:r>
              <w:rPr>
                <w:rFonts w:ascii="Times New Roman" w:cs="Times New Roman" w:eastAsia="Times New Roman" w:hAnsi="Times New Roman"/>
                <w:sz w:val="20"/>
                <w:szCs w:val="20"/>
                <w:color w:val="auto"/>
                <w:w w:val="99"/>
              </w:rPr>
              <w:t>average</w:t>
            </w:r>
          </w:p>
        </w:tc>
        <w:tc>
          <w:tcPr>
            <w:tcW w:w="11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5"/>
              </w:rPr>
              <w:t>of</w:t>
            </w:r>
          </w:p>
        </w:tc>
        <w:tc>
          <w:tcPr>
            <w:tcW w:w="300" w:type="dxa"/>
            <w:vAlign w:val="bottom"/>
          </w:tcPr>
          <w:p>
            <w:pPr>
              <w:spacing w:after="0"/>
              <w:rPr>
                <w:sz w:val="20"/>
                <w:szCs w:val="20"/>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color w:val="auto"/>
                <w:w w:val="99"/>
              </w:rPr>
              <w:t>average</w:t>
            </w:r>
          </w:p>
        </w:tc>
      </w:tr>
      <w:tr>
        <w:trPr>
          <w:trHeight w:val="230"/>
        </w:trPr>
        <w:tc>
          <w:tcPr>
            <w:tcW w:w="3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thousands except per</w:t>
            </w:r>
          </w:p>
        </w:tc>
        <w:tc>
          <w:tcPr>
            <w:tcW w:w="11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common</w:t>
            </w:r>
          </w:p>
        </w:tc>
        <w:tc>
          <w:tcPr>
            <w:tcW w:w="3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rPr>
              <w:t>grant date</w:t>
            </w:r>
          </w:p>
        </w:tc>
        <w:tc>
          <w:tcPr>
            <w:tcW w:w="11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common</w:t>
            </w:r>
          </w:p>
        </w:tc>
        <w:tc>
          <w:tcPr>
            <w:tcW w:w="320" w:type="dxa"/>
            <w:vAlign w:val="bottom"/>
          </w:tcPr>
          <w:p>
            <w:pPr>
              <w:spacing w:after="0"/>
              <w:rPr>
                <w:sz w:val="20"/>
                <w:szCs w:val="20"/>
                <w:color w:val="auto"/>
              </w:rPr>
            </w:pPr>
          </w:p>
        </w:tc>
        <w:tc>
          <w:tcPr>
            <w:tcW w:w="1340" w:type="dxa"/>
            <w:vAlign w:val="bottom"/>
            <w:gridSpan w:val="3"/>
          </w:tcPr>
          <w:p>
            <w:pPr>
              <w:jc w:val="center"/>
              <w:ind w:right="480"/>
              <w:spacing w:after="0"/>
              <w:rPr>
                <w:sz w:val="20"/>
                <w:szCs w:val="20"/>
                <w:color w:val="auto"/>
              </w:rPr>
            </w:pPr>
            <w:r>
              <w:rPr>
                <w:rFonts w:ascii="Times New Roman" w:cs="Times New Roman" w:eastAsia="Times New Roman" w:hAnsi="Times New Roman"/>
                <w:sz w:val="20"/>
                <w:szCs w:val="20"/>
                <w:color w:val="auto"/>
                <w:w w:val="98"/>
              </w:rPr>
              <w:t>grant date</w:t>
            </w: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9"/>
              </w:rPr>
              <w:t>common</w:t>
            </w:r>
          </w:p>
        </w:tc>
        <w:tc>
          <w:tcPr>
            <w:tcW w:w="300" w:type="dxa"/>
            <w:vAlign w:val="bottom"/>
          </w:tcPr>
          <w:p>
            <w:pPr>
              <w:spacing w:after="0"/>
              <w:rPr>
                <w:sz w:val="20"/>
                <w:szCs w:val="20"/>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color w:val="auto"/>
              </w:rPr>
              <w:t>grant date</w:t>
            </w:r>
          </w:p>
        </w:tc>
      </w:tr>
      <w:tr>
        <w:trPr>
          <w:trHeight w:val="249"/>
        </w:trPr>
        <w:tc>
          <w:tcPr>
            <w:tcW w:w="3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 data)</w:t>
            </w:r>
          </w:p>
        </w:tc>
        <w:tc>
          <w:tcPr>
            <w:tcW w:w="11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shares</w:t>
            </w:r>
          </w:p>
        </w:tc>
        <w:tc>
          <w:tcPr>
            <w:tcW w:w="320" w:type="dxa"/>
            <w:vAlign w:val="bottom"/>
          </w:tcPr>
          <w:p>
            <w:pPr>
              <w:spacing w:after="0"/>
              <w:rPr>
                <w:sz w:val="21"/>
                <w:szCs w:val="21"/>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9"/>
              </w:rPr>
              <w:t>fair value</w:t>
            </w:r>
          </w:p>
        </w:tc>
        <w:tc>
          <w:tcPr>
            <w:tcW w:w="11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shares</w:t>
            </w:r>
          </w:p>
        </w:tc>
        <w:tc>
          <w:tcPr>
            <w:tcW w:w="320" w:type="dxa"/>
            <w:vAlign w:val="bottom"/>
          </w:tcPr>
          <w:p>
            <w:pPr>
              <w:spacing w:after="0"/>
              <w:rPr>
                <w:sz w:val="21"/>
                <w:szCs w:val="21"/>
                <w:color w:val="auto"/>
              </w:rPr>
            </w:pPr>
          </w:p>
        </w:tc>
        <w:tc>
          <w:tcPr>
            <w:tcW w:w="1340" w:type="dxa"/>
            <w:vAlign w:val="bottom"/>
            <w:gridSpan w:val="3"/>
          </w:tcPr>
          <w:p>
            <w:pPr>
              <w:jc w:val="center"/>
              <w:ind w:right="460"/>
              <w:spacing w:after="0"/>
              <w:rPr>
                <w:sz w:val="20"/>
                <w:szCs w:val="20"/>
                <w:color w:val="auto"/>
              </w:rPr>
            </w:pPr>
            <w:r>
              <w:rPr>
                <w:rFonts w:ascii="Times New Roman" w:cs="Times New Roman" w:eastAsia="Times New Roman" w:hAnsi="Times New Roman"/>
                <w:sz w:val="20"/>
                <w:szCs w:val="20"/>
                <w:color w:val="auto"/>
                <w:w w:val="99"/>
              </w:rPr>
              <w:t>fair value</w:t>
            </w: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9"/>
              </w:rPr>
              <w:t>shares</w:t>
            </w:r>
          </w:p>
        </w:tc>
        <w:tc>
          <w:tcPr>
            <w:tcW w:w="300" w:type="dxa"/>
            <w:vAlign w:val="bottom"/>
          </w:tcPr>
          <w:p>
            <w:pPr>
              <w:spacing w:after="0"/>
              <w:rPr>
                <w:sz w:val="21"/>
                <w:szCs w:val="21"/>
                <w:color w:val="auto"/>
              </w:rPr>
            </w:pPr>
          </w:p>
        </w:tc>
        <w:tc>
          <w:tcPr>
            <w:tcW w:w="106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9"/>
              </w:rPr>
              <w:t>fair value</w:t>
            </w:r>
          </w:p>
        </w:tc>
        <w:tc>
          <w:tcPr>
            <w:tcW w:w="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3080" w:type="dxa"/>
            <w:vAlign w:val="bottom"/>
            <w:gridSpan w:val="2"/>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Nonvested - beginning of year</w:t>
            </w:r>
          </w:p>
        </w:tc>
        <w:tc>
          <w:tcPr>
            <w:tcW w:w="118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216</w:t>
            </w:r>
          </w:p>
        </w:tc>
        <w:tc>
          <w:tcPr>
            <w:tcW w:w="3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4EFF4"/>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85.21</w:t>
            </w:r>
          </w:p>
        </w:tc>
        <w:tc>
          <w:tcPr>
            <w:tcW w:w="20" w:type="dxa"/>
            <w:vAlign w:val="bottom"/>
            <w:shd w:val="clear" w:color="auto" w:fill="D4EFF4"/>
          </w:tcPr>
          <w:p>
            <w:pPr>
              <w:spacing w:after="0"/>
              <w:rPr>
                <w:sz w:val="19"/>
                <w:szCs w:val="19"/>
                <w:color w:val="auto"/>
              </w:rPr>
            </w:pPr>
          </w:p>
        </w:tc>
        <w:tc>
          <w:tcPr>
            <w:tcW w:w="118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188</w:t>
            </w:r>
          </w:p>
        </w:tc>
        <w:tc>
          <w:tcPr>
            <w:tcW w:w="3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4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97.66</w:t>
            </w: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209</w:t>
            </w:r>
          </w:p>
        </w:tc>
        <w:tc>
          <w:tcPr>
            <w:tcW w:w="3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D4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82.55</w:t>
            </w:r>
          </w:p>
        </w:tc>
        <w:tc>
          <w:tcPr>
            <w:tcW w:w="20" w:type="dxa"/>
            <w:vAlign w:val="bottom"/>
            <w:shd w:val="clear" w:color="auto" w:fill="D4EFF4"/>
          </w:tcPr>
          <w:p>
            <w:pPr>
              <w:spacing w:after="0"/>
              <w:rPr>
                <w:sz w:val="19"/>
                <w:szCs w:val="19"/>
                <w:color w:val="auto"/>
              </w:rPr>
            </w:pPr>
          </w:p>
        </w:tc>
      </w:tr>
      <w:tr>
        <w:trPr>
          <w:trHeight w:val="230"/>
        </w:trPr>
        <w:tc>
          <w:tcPr>
            <w:tcW w:w="3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116</w:t>
            </w:r>
          </w:p>
        </w:tc>
        <w:tc>
          <w:tcPr>
            <w:tcW w:w="320" w:type="dxa"/>
            <w:vAlign w:val="bottom"/>
          </w:tcPr>
          <w:p>
            <w:pPr>
              <w:spacing w:after="0"/>
              <w:rPr>
                <w:sz w:val="20"/>
                <w:szCs w:val="20"/>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72.78</w:t>
            </w:r>
          </w:p>
        </w:tc>
        <w:tc>
          <w:tcPr>
            <w:tcW w:w="2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167</w:t>
            </w:r>
          </w:p>
        </w:tc>
        <w:tc>
          <w:tcPr>
            <w:tcW w:w="320" w:type="dxa"/>
            <w:vAlign w:val="bottom"/>
          </w:tcPr>
          <w:p>
            <w:pPr>
              <w:spacing w:after="0"/>
              <w:rPr>
                <w:sz w:val="20"/>
                <w:szCs w:val="20"/>
                <w:color w:val="auto"/>
              </w:rPr>
            </w:pP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78.93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92</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105.72</w:t>
            </w:r>
          </w:p>
        </w:tc>
        <w:tc>
          <w:tcPr>
            <w:tcW w:w="20" w:type="dxa"/>
            <w:vAlign w:val="bottom"/>
          </w:tcPr>
          <w:p>
            <w:pPr>
              <w:spacing w:after="0"/>
              <w:rPr>
                <w:sz w:val="20"/>
                <w:szCs w:val="20"/>
                <w:color w:val="auto"/>
              </w:rPr>
            </w:pPr>
          </w:p>
        </w:tc>
      </w:tr>
      <w:tr>
        <w:trPr>
          <w:trHeight w:val="230"/>
        </w:trPr>
        <w:tc>
          <w:tcPr>
            <w:tcW w:w="308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Vested</w:t>
            </w:r>
          </w:p>
        </w:tc>
        <w:tc>
          <w:tcPr>
            <w:tcW w:w="11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320" w:type="dxa"/>
            <w:vAlign w:val="bottom"/>
            <w:shd w:val="clear" w:color="auto" w:fill="D4EFF4"/>
          </w:tcPr>
          <w:p>
            <w:pPr>
              <w:spacing w:after="0"/>
              <w:rPr>
                <w:sz w:val="20"/>
                <w:szCs w:val="20"/>
                <w:color w:val="auto"/>
              </w:rPr>
            </w:pPr>
          </w:p>
        </w:tc>
        <w:tc>
          <w:tcPr>
            <w:tcW w:w="1300" w:type="dxa"/>
            <w:vAlign w:val="bottom"/>
            <w:shd w:val="clear" w:color="auto" w:fill="D4EFF4"/>
          </w:tcPr>
          <w:p>
            <w:pPr>
              <w:jc w:val="right"/>
              <w:ind w:right="120"/>
              <w:spacing w:after="0"/>
              <w:rPr>
                <w:sz w:val="20"/>
                <w:szCs w:val="20"/>
                <w:color w:val="auto"/>
              </w:rPr>
            </w:pPr>
            <w:r>
              <w:rPr>
                <w:rFonts w:ascii="Times New Roman" w:cs="Times New Roman" w:eastAsia="Times New Roman" w:hAnsi="Times New Roman"/>
                <w:sz w:val="20"/>
                <w:szCs w:val="20"/>
                <w:color w:val="auto"/>
              </w:rPr>
              <w:t>86.26</w:t>
            </w:r>
          </w:p>
        </w:tc>
        <w:tc>
          <w:tcPr>
            <w:tcW w:w="20" w:type="dxa"/>
            <w:vAlign w:val="bottom"/>
            <w:shd w:val="clear" w:color="auto" w:fill="D4EFF4"/>
          </w:tcPr>
          <w:p>
            <w:pPr>
              <w:spacing w:after="0"/>
              <w:rPr>
                <w:sz w:val="20"/>
                <w:szCs w:val="20"/>
                <w:color w:val="auto"/>
              </w:rPr>
            </w:pPr>
          </w:p>
        </w:tc>
        <w:tc>
          <w:tcPr>
            <w:tcW w:w="11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320" w:type="dxa"/>
            <w:vAlign w:val="bottom"/>
            <w:shd w:val="clear" w:color="auto" w:fill="D4EFF4"/>
          </w:tcPr>
          <w:p>
            <w:pPr>
              <w:spacing w:after="0"/>
              <w:rPr>
                <w:sz w:val="20"/>
                <w:szCs w:val="20"/>
                <w:color w:val="auto"/>
              </w:rPr>
            </w:pPr>
          </w:p>
        </w:tc>
        <w:tc>
          <w:tcPr>
            <w:tcW w:w="1300" w:type="dxa"/>
            <w:vAlign w:val="bottom"/>
            <w:shd w:val="clear" w:color="auto" w:fill="D4EFF4"/>
          </w:tcPr>
          <w:p>
            <w:pPr>
              <w:jc w:val="right"/>
              <w:ind w:right="140"/>
              <w:spacing w:after="0"/>
              <w:rPr>
                <w:sz w:val="20"/>
                <w:szCs w:val="20"/>
                <w:color w:val="auto"/>
              </w:rPr>
            </w:pPr>
            <w:r>
              <w:rPr>
                <w:rFonts w:ascii="Times New Roman" w:cs="Times New Roman" w:eastAsia="Times New Roman" w:hAnsi="Times New Roman"/>
                <w:sz w:val="20"/>
                <w:szCs w:val="20"/>
                <w:color w:val="auto"/>
              </w:rPr>
              <w:t>97.33</w:t>
            </w: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300" w:type="dxa"/>
            <w:vAlign w:val="bottom"/>
            <w:shd w:val="clear" w:color="auto" w:fill="D4EFF4"/>
          </w:tcPr>
          <w:p>
            <w:pPr>
              <w:spacing w:after="0"/>
              <w:rPr>
                <w:sz w:val="20"/>
                <w:szCs w:val="20"/>
                <w:color w:val="auto"/>
              </w:rPr>
            </w:pPr>
          </w:p>
        </w:tc>
        <w:tc>
          <w:tcPr>
            <w:tcW w:w="1160" w:type="dxa"/>
            <w:vAlign w:val="bottom"/>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82.04</w:t>
            </w:r>
          </w:p>
        </w:tc>
        <w:tc>
          <w:tcPr>
            <w:tcW w:w="20" w:type="dxa"/>
            <w:vAlign w:val="bottom"/>
            <w:shd w:val="clear" w:color="auto" w:fill="D4EFF4"/>
          </w:tcPr>
          <w:p>
            <w:pPr>
              <w:spacing w:after="0"/>
              <w:rPr>
                <w:sz w:val="20"/>
                <w:szCs w:val="20"/>
                <w:color w:val="auto"/>
              </w:rPr>
            </w:pPr>
          </w:p>
        </w:tc>
      </w:tr>
      <w:tr>
        <w:trPr>
          <w:trHeight w:val="230"/>
        </w:trPr>
        <w:tc>
          <w:tcPr>
            <w:tcW w:w="3080" w:type="dxa"/>
            <w:vAlign w:val="bottom"/>
            <w:tcBorders>
              <w:bottom w:val="single" w:sz="8" w:color="D4EFF4"/>
            </w:tcBorders>
            <w:gridSpan w:val="2"/>
          </w:tcPr>
          <w:p>
            <w:pPr>
              <w:spacing w:after="0"/>
              <w:rPr>
                <w:sz w:val="20"/>
                <w:szCs w:val="20"/>
                <w:color w:val="auto"/>
              </w:rPr>
            </w:pPr>
            <w:r>
              <w:rPr>
                <w:rFonts w:ascii="Times New Roman" w:cs="Times New Roman" w:eastAsia="Times New Roman" w:hAnsi="Times New Roman"/>
                <w:sz w:val="20"/>
                <w:szCs w:val="20"/>
                <w:color w:val="auto"/>
              </w:rPr>
              <w:t>Forfeitures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320" w:type="dxa"/>
            <w:vAlign w:val="bottom"/>
            <w:tcBorders>
              <w:bottom w:val="single" w:sz="8" w:color="D4EFF4"/>
            </w:tcBorders>
          </w:tcPr>
          <w:p>
            <w:pPr>
              <w:spacing w:after="0"/>
              <w:rPr>
                <w:sz w:val="19"/>
                <w:szCs w:val="19"/>
                <w:color w:val="auto"/>
              </w:rPr>
            </w:pPr>
          </w:p>
        </w:tc>
        <w:tc>
          <w:tcPr>
            <w:tcW w:w="1300" w:type="dxa"/>
            <w:vAlign w:val="bottom"/>
            <w:tcBorders>
              <w:bottom w:val="single" w:sz="8" w:color="D4EFF4"/>
            </w:tcBorders>
          </w:tcPr>
          <w:p>
            <w:pPr>
              <w:jc w:val="right"/>
              <w:ind w:right="120"/>
              <w:spacing w:after="0"/>
              <w:rPr>
                <w:sz w:val="20"/>
                <w:szCs w:val="20"/>
                <w:color w:val="auto"/>
              </w:rPr>
            </w:pPr>
            <w:r>
              <w:rPr>
                <w:rFonts w:ascii="Times New Roman" w:cs="Times New Roman" w:eastAsia="Times New Roman" w:hAnsi="Times New Roman"/>
                <w:sz w:val="20"/>
                <w:szCs w:val="20"/>
                <w:color w:val="auto"/>
              </w:rPr>
              <w:t>79.12</w:t>
            </w:r>
          </w:p>
        </w:tc>
        <w:tc>
          <w:tcPr>
            <w:tcW w:w="20" w:type="dxa"/>
            <w:vAlign w:val="bottom"/>
            <w:tcBorders>
              <w:bottom w:val="single" w:sz="8" w:color="D4EFF4"/>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320" w:type="dxa"/>
            <w:vAlign w:val="bottom"/>
            <w:tcBorders>
              <w:bottom w:val="single" w:sz="8" w:color="D4EFF4"/>
            </w:tcBorders>
          </w:tcPr>
          <w:p>
            <w:pPr>
              <w:spacing w:after="0"/>
              <w:rPr>
                <w:sz w:val="19"/>
                <w:szCs w:val="19"/>
                <w:color w:val="auto"/>
              </w:rPr>
            </w:pPr>
          </w:p>
        </w:tc>
        <w:tc>
          <w:tcPr>
            <w:tcW w:w="1300" w:type="dxa"/>
            <w:vAlign w:val="bottom"/>
            <w:tcBorders>
              <w:bottom w:val="single" w:sz="8" w:color="D4EFF4"/>
            </w:tcBorders>
          </w:tcPr>
          <w:p>
            <w:pPr>
              <w:jc w:val="right"/>
              <w:ind w:right="140"/>
              <w:spacing w:after="0"/>
              <w:rPr>
                <w:sz w:val="20"/>
                <w:szCs w:val="20"/>
                <w:color w:val="auto"/>
              </w:rPr>
            </w:pPr>
            <w:r>
              <w:rPr>
                <w:rFonts w:ascii="Times New Roman" w:cs="Times New Roman" w:eastAsia="Times New Roman" w:hAnsi="Times New Roman"/>
                <w:sz w:val="20"/>
                <w:szCs w:val="20"/>
                <w:color w:val="auto"/>
              </w:rPr>
              <w:t>84.96</w:t>
            </w:r>
          </w:p>
        </w:tc>
        <w:tc>
          <w:tcPr>
            <w:tcW w:w="20" w:type="dxa"/>
            <w:vAlign w:val="bottom"/>
            <w:tcBorders>
              <w:bottom w:val="single" w:sz="8" w:color="D4EFF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00" w:type="dxa"/>
            <w:vAlign w:val="bottom"/>
            <w:tcBorders>
              <w:bottom w:val="single" w:sz="8" w:color="D4EFF4"/>
            </w:tcBorders>
          </w:tcPr>
          <w:p>
            <w:pPr>
              <w:spacing w:after="0"/>
              <w:rPr>
                <w:sz w:val="19"/>
                <w:szCs w:val="19"/>
                <w:color w:val="auto"/>
              </w:rPr>
            </w:pPr>
          </w:p>
        </w:tc>
        <w:tc>
          <w:tcPr>
            <w:tcW w:w="1160" w:type="dxa"/>
            <w:vAlign w:val="bottom"/>
            <w:tcBorders>
              <w:bottom w:val="single" w:sz="8" w:color="D4EFF4"/>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106.25</w:t>
            </w:r>
          </w:p>
        </w:tc>
        <w:tc>
          <w:tcPr>
            <w:tcW w:w="20" w:type="dxa"/>
            <w:vAlign w:val="bottom"/>
            <w:tcBorders>
              <w:bottom w:val="single" w:sz="8" w:color="D4EFF4"/>
            </w:tcBorders>
          </w:tcPr>
          <w:p>
            <w:pPr>
              <w:spacing w:after="0"/>
              <w:rPr>
                <w:sz w:val="19"/>
                <w:szCs w:val="19"/>
                <w:color w:val="auto"/>
              </w:rPr>
            </w:pPr>
          </w:p>
        </w:tc>
      </w:tr>
      <w:tr>
        <w:trPr>
          <w:trHeight w:val="245"/>
        </w:trPr>
        <w:tc>
          <w:tcPr>
            <w:tcW w:w="3080" w:type="dxa"/>
            <w:vAlign w:val="bottom"/>
            <w:gridSpan w:val="2"/>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Nonvested - end of year</w:t>
            </w:r>
          </w:p>
        </w:tc>
        <w:tc>
          <w:tcPr>
            <w:tcW w:w="118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218</w:t>
            </w:r>
          </w:p>
        </w:tc>
        <w:tc>
          <w:tcPr>
            <w:tcW w:w="320" w:type="dxa"/>
            <w:vAlign w:val="bottom"/>
            <w:shd w:val="clear" w:color="auto" w:fill="D4EFF4"/>
          </w:tcPr>
          <w:p>
            <w:pPr>
              <w:spacing w:after="0"/>
              <w:rPr>
                <w:sz w:val="21"/>
                <w:szCs w:val="21"/>
                <w:color w:val="auto"/>
              </w:rPr>
            </w:pPr>
          </w:p>
        </w:tc>
        <w:tc>
          <w:tcPr>
            <w:tcW w:w="1300" w:type="dxa"/>
            <w:vAlign w:val="bottom"/>
            <w:shd w:val="clear" w:color="auto" w:fill="D4EFF4"/>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78.78</w:t>
            </w:r>
          </w:p>
        </w:tc>
        <w:tc>
          <w:tcPr>
            <w:tcW w:w="20" w:type="dxa"/>
            <w:vAlign w:val="bottom"/>
            <w:shd w:val="clear" w:color="auto" w:fill="D4EFF4"/>
          </w:tcPr>
          <w:p>
            <w:pPr>
              <w:spacing w:after="0"/>
              <w:rPr>
                <w:sz w:val="21"/>
                <w:szCs w:val="21"/>
                <w:color w:val="auto"/>
              </w:rPr>
            </w:pPr>
          </w:p>
        </w:tc>
        <w:tc>
          <w:tcPr>
            <w:tcW w:w="118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216</w:t>
            </w:r>
          </w:p>
        </w:tc>
        <w:tc>
          <w:tcPr>
            <w:tcW w:w="320" w:type="dxa"/>
            <w:vAlign w:val="bottom"/>
            <w:shd w:val="clear" w:color="auto" w:fill="D4EFF4"/>
          </w:tcPr>
          <w:p>
            <w:pPr>
              <w:spacing w:after="0"/>
              <w:rPr>
                <w:sz w:val="21"/>
                <w:szCs w:val="21"/>
                <w:color w:val="auto"/>
              </w:rPr>
            </w:pPr>
          </w:p>
        </w:tc>
        <w:tc>
          <w:tcPr>
            <w:tcW w:w="1300" w:type="dxa"/>
            <w:vAlign w:val="bottom"/>
            <w:shd w:val="clear" w:color="auto" w:fill="D4EFF4"/>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85.21</w:t>
            </w: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16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188</w:t>
            </w:r>
          </w:p>
        </w:tc>
        <w:tc>
          <w:tcPr>
            <w:tcW w:w="300" w:type="dxa"/>
            <w:vAlign w:val="bottom"/>
            <w:shd w:val="clear" w:color="auto" w:fill="D4EFF4"/>
          </w:tcPr>
          <w:p>
            <w:pPr>
              <w:spacing w:after="0"/>
              <w:rPr>
                <w:sz w:val="21"/>
                <w:szCs w:val="21"/>
                <w:color w:val="auto"/>
              </w:rPr>
            </w:pPr>
          </w:p>
        </w:tc>
        <w:tc>
          <w:tcPr>
            <w:tcW w:w="1160" w:type="dxa"/>
            <w:vAlign w:val="bottom"/>
            <w:gridSpan w:val="2"/>
            <w:shd w:val="clear" w:color="auto" w:fill="D4EFF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97.66</w:t>
            </w:r>
          </w:p>
        </w:tc>
        <w:tc>
          <w:tcPr>
            <w:tcW w:w="20" w:type="dxa"/>
            <w:vAlign w:val="bottom"/>
            <w:shd w:val="clear" w:color="auto" w:fill="D4EFF4"/>
          </w:tcPr>
          <w:p>
            <w:pPr>
              <w:spacing w:after="0"/>
              <w:rPr>
                <w:sz w:val="21"/>
                <w:szCs w:val="21"/>
                <w:color w:val="auto"/>
              </w:rPr>
            </w:pPr>
          </w:p>
        </w:tc>
      </w:tr>
      <w:tr>
        <w:trPr>
          <w:trHeight w:val="20"/>
        </w:trPr>
        <w:tc>
          <w:tcPr>
            <w:tcW w:w="306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4EFF4"/>
            </w:tcBorders>
          </w:tcPr>
          <w:p>
            <w:pPr>
              <w:spacing w:after="0" w:line="20" w:lineRule="exact"/>
              <w:rPr>
                <w:sz w:val="1"/>
                <w:szCs w:val="1"/>
                <w:color w:val="auto"/>
              </w:rPr>
            </w:pPr>
          </w:p>
        </w:tc>
        <w:tc>
          <w:tcPr>
            <w:tcW w:w="130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4EFF4"/>
            </w:tcBorders>
          </w:tcPr>
          <w:p>
            <w:pPr>
              <w:spacing w:after="0" w:line="20" w:lineRule="exact"/>
              <w:rPr>
                <w:sz w:val="1"/>
                <w:szCs w:val="1"/>
                <w:color w:val="auto"/>
              </w:rPr>
            </w:pPr>
          </w:p>
        </w:tc>
        <w:tc>
          <w:tcPr>
            <w:tcW w:w="130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4EFF4"/>
            </w:tcBorders>
          </w:tcPr>
          <w:p>
            <w:pPr>
              <w:spacing w:after="0" w:line="20" w:lineRule="exact"/>
              <w:rPr>
                <w:sz w:val="1"/>
                <w:szCs w:val="1"/>
                <w:color w:val="auto"/>
              </w:rPr>
            </w:pPr>
          </w:p>
        </w:tc>
        <w:tc>
          <w:tcPr>
            <w:tcW w:w="1060" w:type="dxa"/>
            <w:vAlign w:val="bottom"/>
            <w:tcBorders>
              <w:top w:val="single" w:sz="8" w:color="D4EFF4"/>
            </w:tcBorders>
          </w:tcPr>
          <w:p>
            <w:pPr>
              <w:spacing w:after="0" w:line="20" w:lineRule="exact"/>
              <w:rPr>
                <w:sz w:val="1"/>
                <w:szCs w:val="1"/>
                <w:color w:val="auto"/>
              </w:rPr>
            </w:pPr>
          </w:p>
        </w:tc>
        <w:tc>
          <w:tcPr>
            <w:tcW w:w="10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D4EFF4"/>
            </w:tcBorders>
          </w:tcPr>
          <w:p>
            <w:pPr>
              <w:spacing w:after="0" w:line="20" w:lineRule="exact"/>
              <w:rPr>
                <w:sz w:val="1"/>
                <w:szCs w:val="1"/>
                <w:color w:val="auto"/>
              </w:rPr>
            </w:pPr>
          </w:p>
        </w:tc>
      </w:tr>
      <w:tr>
        <w:trPr>
          <w:trHeight w:val="34"/>
        </w:trPr>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-1438275</wp:posOffset>
            </wp:positionV>
            <wp:extent cx="354139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485">
                      <a:extLst>
                        <a:ext uri="{28A0092B-C50C-407E-A947-70E740481C1C}"/>
                      </a:extLst>
                    </a:blip>
                    <a:srcRect/>
                    <a:stretch>
                      <a:fillRect/>
                    </a:stretch>
                  </pic:blipFill>
                  <pic:spPr bwMode="auto">
                    <a:xfrm>
                      <a:off x="0" y="0"/>
                      <a:ext cx="354139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-844550</wp:posOffset>
            </wp:positionV>
            <wp:extent cx="7192010"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486">
                      <a:extLst>
                        <a:ext uri="{28A0092B-C50C-407E-A947-70E740481C1C}"/>
                      </a:extLst>
                    </a:blip>
                    <a:srcRect/>
                    <a:stretch>
                      <a:fillRect/>
                    </a:stretch>
                  </pic:blipFill>
                  <pic:spPr bwMode="auto">
                    <a:xfrm>
                      <a:off x="0" y="0"/>
                      <a:ext cx="719201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192010"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48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pacing w:after="0" w:line="81"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The total grant date fair value of nonvested stock awards that vested during 2025, 2024 and 2023 was $10 million, $9 million and $8 million, respectively. As of September 30, 2025, there was $5 million of total unrecognized compensation costs related to nonvested stock awards. That cost is expected to be recognized over a weighted-average period of 1.6 years.</w:t>
      </w:r>
    </w:p>
    <w:p>
      <w:pPr>
        <w:sectPr>
          <w:pgSz w:w="12240" w:h="15840" w:orient="portrait"/>
          <w:cols w:equalWidth="0" w:num="1">
            <w:col w:w="11368"/>
          </w:cols>
          <w:pgMar w:left="432" w:top="926"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F-49</w:t>
      </w:r>
    </w:p>
    <w:p>
      <w:pPr>
        <w:sectPr>
          <w:pgSz w:w="12240" w:h="15840" w:orient="portrait"/>
          <w:cols w:equalWidth="0" w:num="1">
            <w:col w:w="11368"/>
          </w:cols>
          <w:pgMar w:left="432" w:top="926" w:right="440" w:bottom="186" w:gutter="0" w:footer="0" w:header="0"/>
          <w:type w:val="continuous"/>
        </w:sectPr>
      </w:pPr>
    </w:p>
    <w:bookmarkStart w:id="151" w:name="page152"/>
    <w:bookmarkEnd w:id="151"/>
    <w:p>
      <w:pPr>
        <w:ind w:left="8"/>
        <w:spacing w:after="0"/>
        <w:rPr>
          <w:sz w:val="20"/>
          <w:szCs w:val="20"/>
          <w:color w:val="auto"/>
        </w:rPr>
      </w:pPr>
      <w:r>
        <w:rPr>
          <w:rFonts w:ascii="Times New Roman" w:cs="Times New Roman" w:eastAsia="Times New Roman" w:hAnsi="Times New Roman"/>
          <w:sz w:val="20"/>
          <w:szCs w:val="20"/>
          <w:i w:val="1"/>
          <w:iCs w:val="1"/>
          <w:color w:val="auto"/>
        </w:rPr>
        <w:t>Cash-settled nonvested stock awards</w:t>
      </w:r>
    </w:p>
    <w:p>
      <w:pPr>
        <w:spacing w:after="0" w:line="164" w:lineRule="exact"/>
        <w:rPr>
          <w:sz w:val="20"/>
          <w:szCs w:val="20"/>
          <w:color w:val="auto"/>
        </w:rPr>
      </w:pPr>
    </w:p>
    <w:p>
      <w:pPr>
        <w:jc w:val="both"/>
        <w:ind w:left="8" w:firstLine="360"/>
        <w:spacing w:after="0" w:line="300" w:lineRule="auto"/>
        <w:rPr>
          <w:sz w:val="20"/>
          <w:szCs w:val="20"/>
          <w:color w:val="auto"/>
        </w:rPr>
      </w:pPr>
      <w:r>
        <w:rPr>
          <w:rFonts w:ascii="Times New Roman" w:cs="Times New Roman" w:eastAsia="Times New Roman" w:hAnsi="Times New Roman"/>
          <w:sz w:val="20"/>
          <w:szCs w:val="20"/>
          <w:color w:val="auto"/>
        </w:rPr>
        <w:t>Certain nonvested stock awards are granted to employees and are settled in cash upon vesting. As of September 30, 2025, 43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zero, $2 million, and zero during 2025, 2024 and 2023, respectively.</w:t>
      </w:r>
    </w:p>
    <w:p>
      <w:pPr>
        <w:spacing w:after="0" w:line="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Performance awards</w:t>
      </w:r>
    </w:p>
    <w:p>
      <w:pPr>
        <w:spacing w:after="0" w:line="170" w:lineRule="exact"/>
        <w:rPr>
          <w:sz w:val="20"/>
          <w:szCs w:val="20"/>
          <w:color w:val="auto"/>
        </w:rPr>
      </w:pPr>
    </w:p>
    <w:p>
      <w:pPr>
        <w:jc w:val="both"/>
        <w:ind w:left="8" w:firstLine="360"/>
        <w:spacing w:after="0" w:line="300" w:lineRule="auto"/>
        <w:rPr>
          <w:sz w:val="20"/>
          <w:szCs w:val="20"/>
          <w:color w:val="auto"/>
        </w:rPr>
      </w:pPr>
      <w:r>
        <w:rPr>
          <w:rFonts w:ascii="Times New Roman" w:cs="Times New Roman" w:eastAsia="Times New Roman" w:hAnsi="Times New Roman"/>
          <w:sz w:val="20"/>
          <w:szCs w:val="20"/>
          <w:color w:val="auto"/>
        </w:rPr>
        <w:t>Ashland sponsors a long-term incentive plan that awards performance shares/units to certain key employees that are tied to Ashland’s overall financial performance relative to the financial performance of selected industry peer groups and/or internal targets. Awards are granted annually, with each award covering a three-year measurement period and vesting over a one to three year period. Nonvested performance shares/units do not entitle employees to vote the shares or to receive any dividends thereon.</w:t>
      </w:r>
    </w:p>
    <w:p>
      <w:pPr>
        <w:spacing w:after="0" w:line="74" w:lineRule="exact"/>
        <w:rPr>
          <w:sz w:val="20"/>
          <w:szCs w:val="20"/>
          <w:color w:val="auto"/>
        </w:rPr>
      </w:pPr>
    </w:p>
    <w:p>
      <w:pPr>
        <w:jc w:val="both"/>
        <w:ind w:left="8" w:firstLine="360"/>
        <w:spacing w:after="0" w:line="294" w:lineRule="auto"/>
        <w:rPr>
          <w:sz w:val="20"/>
          <w:szCs w:val="20"/>
          <w:color w:val="auto"/>
        </w:rPr>
      </w:pPr>
      <w:r>
        <w:rPr>
          <w:rFonts w:ascii="Times New Roman" w:cs="Times New Roman" w:eastAsia="Times New Roman" w:hAnsi="Times New Roman"/>
          <w:sz w:val="20"/>
          <w:szCs w:val="20"/>
          <w:color w:val="auto"/>
        </w:rPr>
        <w:t>Each awarded performance share is convertible to one share of Ashland Common Stock and recorded as a component of stockholders’ equity. For fiscal year 2025, performance measures used to determine the actual number of performance shares issuable upon vesting include 60:20:20 weighting of Ashland’s total shareholder return ("TSR") performance, return on net assets ("RONA"), and Ashland’s EPS as compared to internal targets. TSR relative to peers is considered a market condition while EPS and RONA are considered performance conditions in accordance with U.S. GAAP. Beginning in 2025, each award includes a dividend equivalent feature that accrue dividends and are reinvested from the date of grant until the applicable vesting date. If the award is forfeited the employee is not entitled to the accrued reinvested dividends on those awards.</w:t>
      </w:r>
    </w:p>
    <w:p>
      <w:pPr>
        <w:spacing w:after="0" w:line="80"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For fiscal years 2024 and 2023, performance measures used to determine the actual number of performance shares issuable upon vesting includes 60:40 weighting of Ashland’s TSR performance and Ashland’s RONA performance as compared to internal targets. TSR relative to peers is considered a market condition while RONA is considered a performance condition in accordance with U.S. GAAP.</w:t>
      </w:r>
    </w:p>
    <w:p>
      <w:pPr>
        <w:spacing w:after="0" w:line="6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20"/>
          <w:szCs w:val="20"/>
          <w:color w:val="auto"/>
        </w:rPr>
        <w:t>The following table shows the performance shares/units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103505</wp:posOffset>
            </wp:positionV>
            <wp:extent cx="722058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488">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26"/>
        </w:trPr>
        <w:tc>
          <w:tcPr>
            <w:tcW w:w="22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center"/>
              <w:ind w:right="120"/>
              <w:spacing w:after="0" w:line="226" w:lineRule="exact"/>
              <w:rPr>
                <w:sz w:val="20"/>
                <w:szCs w:val="20"/>
                <w:color w:val="auto"/>
              </w:rPr>
            </w:pPr>
            <w:r>
              <w:rPr>
                <w:rFonts w:ascii="Times New Roman" w:cs="Times New Roman" w:eastAsia="Times New Roman" w:hAnsi="Times New Roman"/>
                <w:sz w:val="20"/>
                <w:szCs w:val="20"/>
                <w:color w:val="auto"/>
                <w:w w:val="99"/>
              </w:rPr>
              <w:t>Weighted-</w:t>
            </w:r>
          </w:p>
        </w:tc>
        <w:tc>
          <w:tcPr>
            <w:tcW w:w="60" w:type="dxa"/>
            <w:vAlign w:val="bottom"/>
            <w:tcBorders>
              <w:top w:val="single" w:sz="8" w:color="auto"/>
            </w:tcBorders>
          </w:tcPr>
          <w:p>
            <w:pPr>
              <w:spacing w:after="0"/>
              <w:rPr>
                <w:sz w:val="19"/>
                <w:szCs w:val="19"/>
                <w:color w:val="auto"/>
              </w:rPr>
            </w:pPr>
          </w:p>
        </w:tc>
      </w:tr>
      <w:tr>
        <w:trPr>
          <w:trHeight w:val="230"/>
        </w:trPr>
        <w:tc>
          <w:tcPr>
            <w:tcW w:w="22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100" w:type="dxa"/>
            <w:vAlign w:val="bottom"/>
          </w:tcPr>
          <w:p>
            <w:pPr>
              <w:jc w:val="center"/>
              <w:ind w:left="920"/>
              <w:spacing w:after="0"/>
              <w:rPr>
                <w:sz w:val="20"/>
                <w:szCs w:val="20"/>
                <w:color w:val="auto"/>
              </w:rPr>
            </w:pPr>
            <w:r>
              <w:rPr>
                <w:rFonts w:ascii="Times New Roman" w:cs="Times New Roman" w:eastAsia="Times New Roman" w:hAnsi="Times New Roman"/>
                <w:sz w:val="20"/>
                <w:szCs w:val="20"/>
                <w:color w:val="auto"/>
                <w:w w:val="99"/>
              </w:rPr>
              <w:t>Target</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9"/>
              </w:rPr>
              <w:t>average</w:t>
            </w: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(In thousands except per</w:t>
            </w:r>
          </w:p>
        </w:tc>
        <w:tc>
          <w:tcPr>
            <w:tcW w:w="4440" w:type="dxa"/>
            <w:vAlign w:val="bottom"/>
          </w:tcPr>
          <w:p>
            <w:pPr>
              <w:spacing w:after="0"/>
              <w:rPr>
                <w:sz w:val="20"/>
                <w:szCs w:val="20"/>
                <w:color w:val="auto"/>
              </w:rPr>
            </w:pPr>
          </w:p>
        </w:tc>
        <w:tc>
          <w:tcPr>
            <w:tcW w:w="2100" w:type="dxa"/>
            <w:vAlign w:val="bottom"/>
          </w:tcPr>
          <w:p>
            <w:pPr>
              <w:jc w:val="center"/>
              <w:ind w:left="900"/>
              <w:spacing w:after="0"/>
              <w:rPr>
                <w:sz w:val="20"/>
                <w:szCs w:val="20"/>
                <w:color w:val="auto"/>
              </w:rPr>
            </w:pPr>
            <w:r>
              <w:rPr>
                <w:rFonts w:ascii="Times New Roman" w:cs="Times New Roman" w:eastAsia="Times New Roman" w:hAnsi="Times New Roman"/>
                <w:sz w:val="20"/>
                <w:szCs w:val="20"/>
                <w:color w:val="auto"/>
                <w:w w:val="99"/>
              </w:rPr>
              <w:t>shares/units</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9"/>
              </w:rPr>
              <w:t>fair value per</w:t>
            </w:r>
          </w:p>
        </w:tc>
      </w:tr>
      <w:tr>
        <w:trPr>
          <w:trHeight w:val="249"/>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share data)</w:t>
            </w:r>
          </w:p>
        </w:tc>
        <w:tc>
          <w:tcPr>
            <w:tcW w:w="4440" w:type="dxa"/>
            <w:vAlign w:val="bottom"/>
          </w:tcPr>
          <w:p>
            <w:pPr>
              <w:ind w:left="1980"/>
              <w:spacing w:after="0"/>
              <w:rPr>
                <w:sz w:val="20"/>
                <w:szCs w:val="20"/>
                <w:color w:val="auto"/>
              </w:rPr>
            </w:pPr>
            <w:r>
              <w:rPr>
                <w:rFonts w:ascii="Times New Roman" w:cs="Times New Roman" w:eastAsia="Times New Roman" w:hAnsi="Times New Roman"/>
                <w:sz w:val="20"/>
                <w:szCs w:val="20"/>
                <w:color w:val="auto"/>
              </w:rPr>
              <w:t>Vesting period</w:t>
            </w:r>
          </w:p>
        </w:tc>
        <w:tc>
          <w:tcPr>
            <w:tcW w:w="2100" w:type="dxa"/>
            <w:vAlign w:val="bottom"/>
          </w:tcPr>
          <w:p>
            <w:pPr>
              <w:jc w:val="center"/>
              <w:ind w:left="900"/>
              <w:spacing w:after="0" w:line="250" w:lineRule="exact"/>
              <w:rPr>
                <w:sz w:val="20"/>
                <w:szCs w:val="20"/>
                <w:color w:val="auto"/>
              </w:rPr>
            </w:pPr>
            <w:r>
              <w:rPr>
                <w:rFonts w:ascii="Times New Roman" w:cs="Times New Roman" w:eastAsia="Times New Roman" w:hAnsi="Times New Roman"/>
                <w:sz w:val="20"/>
                <w:szCs w:val="20"/>
                <w:color w:val="auto"/>
                <w:w w:val="94"/>
              </w:rPr>
              <w:t>granted</w:t>
            </w:r>
            <w:r>
              <w:rPr>
                <w:rFonts w:ascii="Times New Roman" w:cs="Times New Roman" w:eastAsia="Times New Roman" w:hAnsi="Times New Roman"/>
                <w:sz w:val="25"/>
                <w:szCs w:val="25"/>
                <w:color w:val="auto"/>
                <w:w w:val="94"/>
                <w:vertAlign w:val="superscript"/>
              </w:rPr>
              <w:t>(a)</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center"/>
              <w:ind w:right="140"/>
              <w:spacing w:after="0" w:line="250" w:lineRule="exact"/>
              <w:rPr>
                <w:sz w:val="20"/>
                <w:szCs w:val="20"/>
                <w:color w:val="auto"/>
              </w:rPr>
            </w:pPr>
            <w:r>
              <w:rPr>
                <w:rFonts w:ascii="Times New Roman" w:cs="Times New Roman" w:eastAsia="Times New Roman" w:hAnsi="Times New Roman"/>
                <w:sz w:val="20"/>
                <w:szCs w:val="20"/>
                <w:color w:val="auto"/>
                <w:w w:val="96"/>
              </w:rPr>
              <w:t>share/unit</w:t>
            </w:r>
            <w:r>
              <w:rPr>
                <w:rFonts w:ascii="Times New Roman" w:cs="Times New Roman" w:eastAsia="Times New Roman" w:hAnsi="Times New Roman"/>
                <w:sz w:val="25"/>
                <w:szCs w:val="25"/>
                <w:color w:val="auto"/>
                <w:w w:val="96"/>
                <w:vertAlign w:val="superscript"/>
              </w:rPr>
              <w:t>(a)</w:t>
            </w:r>
          </w:p>
        </w:tc>
        <w:tc>
          <w:tcPr>
            <w:tcW w:w="60" w:type="dxa"/>
            <w:vAlign w:val="bottom"/>
            <w:tcBorders>
              <w:bottom w:val="single" w:sz="8" w:color="auto"/>
            </w:tcBorders>
          </w:tcPr>
          <w:p>
            <w:pPr>
              <w:spacing w:after="0"/>
              <w:rPr>
                <w:sz w:val="21"/>
                <w:szCs w:val="21"/>
                <w:color w:val="auto"/>
              </w:rPr>
            </w:pPr>
          </w:p>
        </w:tc>
      </w:tr>
      <w:tr>
        <w:trPr>
          <w:trHeight w:val="225"/>
        </w:trPr>
        <w:tc>
          <w:tcPr>
            <w:tcW w:w="224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Fiscal Year 2025</w:t>
            </w:r>
          </w:p>
        </w:tc>
        <w:tc>
          <w:tcPr>
            <w:tcW w:w="4440" w:type="dxa"/>
            <w:vAlign w:val="bottom"/>
            <w:shd w:val="clear" w:color="auto" w:fill="D4EFF4"/>
          </w:tcPr>
          <w:p>
            <w:pPr>
              <w:ind w:left="300"/>
              <w:spacing w:after="0" w:line="225" w:lineRule="exact"/>
              <w:rPr>
                <w:sz w:val="20"/>
                <w:szCs w:val="20"/>
                <w:color w:val="auto"/>
              </w:rPr>
            </w:pPr>
            <w:r>
              <w:rPr>
                <w:rFonts w:ascii="Times New Roman" w:cs="Times New Roman" w:eastAsia="Times New Roman" w:hAnsi="Times New Roman"/>
                <w:sz w:val="20"/>
                <w:szCs w:val="20"/>
                <w:color w:val="auto"/>
              </w:rPr>
              <w:t>October 1, 2024 - September 30, 2027</w:t>
            </w:r>
          </w:p>
        </w:tc>
        <w:tc>
          <w:tcPr>
            <w:tcW w:w="2100" w:type="dxa"/>
            <w:vAlign w:val="bottom"/>
            <w:shd w:val="clear" w:color="auto" w:fill="D4EFF4"/>
          </w:tcPr>
          <w:p>
            <w:pPr>
              <w:spacing w:after="0"/>
              <w:rPr>
                <w:sz w:val="19"/>
                <w:szCs w:val="19"/>
                <w:color w:val="auto"/>
              </w:rPr>
            </w:pPr>
          </w:p>
        </w:tc>
        <w:tc>
          <w:tcPr>
            <w:tcW w:w="540" w:type="dxa"/>
            <w:vAlign w:val="bottom"/>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142</w:t>
            </w:r>
          </w:p>
        </w:tc>
        <w:tc>
          <w:tcPr>
            <w:tcW w:w="400" w:type="dxa"/>
            <w:vAlign w:val="bottom"/>
            <w:shd w:val="clear" w:color="auto" w:fill="D4EFF4"/>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80.84</w:t>
            </w: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Fiscal Year 2024</w:t>
            </w:r>
          </w:p>
        </w:tc>
        <w:tc>
          <w:tcPr>
            <w:tcW w:w="44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October 1, 2023 - September 30, 2026</w:t>
            </w:r>
          </w:p>
        </w:tc>
        <w:tc>
          <w:tcPr>
            <w:tcW w:w="2100" w:type="dxa"/>
            <w:vAlign w:val="bottom"/>
          </w:tcPr>
          <w:p>
            <w:pPr>
              <w:spacing w:after="0"/>
              <w:rPr>
                <w:sz w:val="20"/>
                <w:szCs w:val="20"/>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140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81.29</w:t>
            </w:r>
          </w:p>
        </w:tc>
      </w:tr>
      <w:tr>
        <w:trPr>
          <w:trHeight w:val="230"/>
        </w:trPr>
        <w:tc>
          <w:tcPr>
            <w:tcW w:w="22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Fiscal Year 2023</w:t>
            </w:r>
          </w:p>
        </w:tc>
        <w:tc>
          <w:tcPr>
            <w:tcW w:w="4440" w:type="dxa"/>
            <w:vAlign w:val="bottom"/>
            <w:shd w:val="clear" w:color="auto" w:fill="D4EFF4"/>
          </w:tcPr>
          <w:p>
            <w:pPr>
              <w:ind w:left="300"/>
              <w:spacing w:after="0"/>
              <w:rPr>
                <w:sz w:val="20"/>
                <w:szCs w:val="20"/>
                <w:color w:val="auto"/>
              </w:rPr>
            </w:pPr>
            <w:r>
              <w:rPr>
                <w:rFonts w:ascii="Times New Roman" w:cs="Times New Roman" w:eastAsia="Times New Roman" w:hAnsi="Times New Roman"/>
                <w:sz w:val="20"/>
                <w:szCs w:val="20"/>
                <w:color w:val="auto"/>
              </w:rPr>
              <w:t>October 1, 2022 - September 30, 2025</w:t>
            </w:r>
          </w:p>
        </w:tc>
        <w:tc>
          <w:tcPr>
            <w:tcW w:w="2100" w:type="dxa"/>
            <w:vAlign w:val="bottom"/>
            <w:shd w:val="clear" w:color="auto" w:fill="D4EFF4"/>
          </w:tcPr>
          <w:p>
            <w:pPr>
              <w:spacing w:after="0"/>
              <w:rPr>
                <w:sz w:val="20"/>
                <w:szCs w:val="20"/>
                <w:color w:val="auto"/>
              </w:rPr>
            </w:pPr>
          </w:p>
        </w:tc>
        <w:tc>
          <w:tcPr>
            <w:tcW w:w="540" w:type="dxa"/>
            <w:vAlign w:val="bottom"/>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98</w:t>
            </w:r>
          </w:p>
        </w:tc>
        <w:tc>
          <w:tcPr>
            <w:tcW w:w="40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135.93</w:t>
            </w:r>
          </w:p>
        </w:tc>
      </w:tr>
      <w:tr>
        <w:trPr>
          <w:trHeight w:val="69"/>
        </w:trPr>
        <w:tc>
          <w:tcPr>
            <w:tcW w:w="22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-514350</wp:posOffset>
            </wp:positionV>
            <wp:extent cx="722058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489">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22058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490">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5" w:lineRule="exact"/>
        <w:rPr>
          <w:sz w:val="20"/>
          <w:szCs w:val="20"/>
          <w:color w:val="auto"/>
        </w:rPr>
      </w:pPr>
    </w:p>
    <w:p>
      <w:pPr>
        <w:ind w:left="568" w:hanging="568"/>
        <w:spacing w:after="0" w:line="277" w:lineRule="auto"/>
        <w:tabs>
          <w:tab w:leader="none" w:pos="56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end of the performance period, the actual number of shares/units awarded can range from zero to 200% of the target shares/units granted, which is assumed to be 100%. Both the shares granted and weighted-average fair value per share/unit are as of the grant date.</w:t>
      </w:r>
    </w:p>
    <w:p>
      <w:pPr>
        <w:spacing w:after="0" w:line="59"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For these awards, the fair value of the performance unit awards is equal to the fair market value of Ashland’s Common Stock as of the end of each reporting period. Compensation cost is recognized over the requisite service period if it is probable that the performance condition will be satisfied.</w:t>
      </w:r>
    </w:p>
    <w:p>
      <w:pPr>
        <w:spacing w:after="0" w:line="68" w:lineRule="exact"/>
        <w:rPr>
          <w:sz w:val="20"/>
          <w:szCs w:val="20"/>
          <w:color w:val="auto"/>
        </w:rPr>
      </w:pPr>
    </w:p>
    <w:p>
      <w:pPr>
        <w:jc w:val="both"/>
        <w:ind w:left="8" w:firstLine="360"/>
        <w:spacing w:after="0" w:line="306" w:lineRule="auto"/>
        <w:rPr>
          <w:sz w:val="20"/>
          <w:szCs w:val="20"/>
          <w:color w:val="auto"/>
        </w:rPr>
      </w:pPr>
      <w:r>
        <w:rPr>
          <w:rFonts w:ascii="Times New Roman" w:cs="Times New Roman" w:eastAsia="Times New Roman" w:hAnsi="Times New Roman"/>
          <w:sz w:val="20"/>
          <w:szCs w:val="20"/>
          <w:color w:val="auto"/>
        </w:rPr>
        <w:t>The fair values of the TSR portion of the performance share awards and TSR modifier of the performance unit awards are calculated using a Monte Carlo simulation valuation model using key assumptions for the years ended September 30, included in the following table. Compensation cost is recognized over the requisite service period regardless of whether the market condition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41275</wp:posOffset>
            </wp:positionV>
            <wp:extent cx="7242810"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491">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249"/>
        </w:trPr>
        <w:tc>
          <w:tcPr>
            <w:tcW w:w="6620" w:type="dxa"/>
            <w:vAlign w:val="bottom"/>
          </w:tcPr>
          <w:p>
            <w:pPr>
              <w:ind w:left="6060"/>
              <w:spacing w:after="0"/>
              <w:rPr>
                <w:sz w:val="20"/>
                <w:szCs w:val="20"/>
                <w:color w:val="auto"/>
              </w:rPr>
            </w:pPr>
            <w:r>
              <w:rPr>
                <w:rFonts w:ascii="Times New Roman" w:cs="Times New Roman" w:eastAsia="Times New Roman" w:hAnsi="Times New Roman"/>
                <w:sz w:val="20"/>
                <w:szCs w:val="20"/>
                <w:color w:val="auto"/>
              </w:rPr>
              <w:t>2025</w:t>
            </w:r>
          </w:p>
        </w:tc>
        <w:tc>
          <w:tcPr>
            <w:tcW w:w="1060" w:type="dxa"/>
            <w:vAlign w:val="bottom"/>
          </w:tcPr>
          <w:p>
            <w:pPr>
              <w:spacing w:after="0"/>
              <w:rPr>
                <w:sz w:val="21"/>
                <w:szCs w:val="21"/>
                <w:color w:val="auto"/>
              </w:rPr>
            </w:pPr>
          </w:p>
        </w:tc>
        <w:tc>
          <w:tcPr>
            <w:tcW w:w="1960" w:type="dxa"/>
            <w:vAlign w:val="bottom"/>
          </w:tcPr>
          <w:p>
            <w:pPr>
              <w:jc w:val="right"/>
              <w:ind w:right="1060"/>
              <w:spacing w:after="0"/>
              <w:rPr>
                <w:sz w:val="20"/>
                <w:szCs w:val="20"/>
                <w:color w:val="auto"/>
              </w:rPr>
            </w:pPr>
            <w:r>
              <w:rPr>
                <w:rFonts w:ascii="Times New Roman" w:cs="Times New Roman" w:eastAsia="Times New Roman" w:hAnsi="Times New Roman"/>
                <w:sz w:val="20"/>
                <w:szCs w:val="20"/>
                <w:color w:val="auto"/>
              </w:rPr>
              <w:t>2024</w:t>
            </w:r>
          </w:p>
        </w:tc>
        <w:tc>
          <w:tcPr>
            <w:tcW w:w="152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2023</w:t>
            </w:r>
          </w:p>
        </w:tc>
        <w:tc>
          <w:tcPr>
            <w:tcW w:w="200" w:type="dxa"/>
            <w:vAlign w:val="bottom"/>
            <w:tcBorders>
              <w:bottom w:val="single" w:sz="8" w:color="auto"/>
            </w:tcBorders>
          </w:tcPr>
          <w:p>
            <w:pPr>
              <w:spacing w:after="0"/>
              <w:rPr>
                <w:sz w:val="21"/>
                <w:szCs w:val="21"/>
                <w:color w:val="auto"/>
              </w:rPr>
            </w:pPr>
          </w:p>
        </w:tc>
      </w:tr>
      <w:tr>
        <w:trPr>
          <w:trHeight w:val="239"/>
        </w:trPr>
        <w:tc>
          <w:tcPr>
            <w:tcW w:w="66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060" w:type="dxa"/>
            <w:vAlign w:val="bottom"/>
            <w:shd w:val="clear" w:color="auto" w:fill="D4EFF4"/>
          </w:tcPr>
          <w:p>
            <w:pPr>
              <w:jc w:val="right"/>
              <w:ind w:right="280"/>
              <w:spacing w:after="0"/>
              <w:rPr>
                <w:sz w:val="20"/>
                <w:szCs w:val="20"/>
                <w:color w:val="auto"/>
              </w:rPr>
            </w:pPr>
            <w:r>
              <w:rPr>
                <w:rFonts w:ascii="Times New Roman" w:cs="Times New Roman" w:eastAsia="Times New Roman" w:hAnsi="Times New Roman"/>
                <w:sz w:val="20"/>
                <w:szCs w:val="20"/>
                <w:color w:val="auto"/>
              </w:rPr>
              <w:t>4.25%</w:t>
            </w:r>
          </w:p>
        </w:tc>
        <w:tc>
          <w:tcPr>
            <w:tcW w:w="1960" w:type="dxa"/>
            <w:vAlign w:val="bottom"/>
            <w:shd w:val="clear" w:color="auto" w:fill="D4EFF4"/>
          </w:tcPr>
          <w:p>
            <w:pPr>
              <w:jc w:val="right"/>
              <w:ind w:right="360"/>
              <w:spacing w:after="0"/>
              <w:rPr>
                <w:sz w:val="20"/>
                <w:szCs w:val="20"/>
                <w:color w:val="auto"/>
              </w:rPr>
            </w:pPr>
            <w:r>
              <w:rPr>
                <w:rFonts w:ascii="Times New Roman" w:cs="Times New Roman" w:eastAsia="Times New Roman" w:hAnsi="Times New Roman"/>
                <w:sz w:val="20"/>
                <w:szCs w:val="20"/>
                <w:color w:val="auto"/>
              </w:rPr>
              <w:t>4.59%</w:t>
            </w:r>
          </w:p>
        </w:tc>
        <w:tc>
          <w:tcPr>
            <w:tcW w:w="1720" w:type="dxa"/>
            <w:vAlign w:val="bottom"/>
            <w:gridSpan w:val="2"/>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4.22%</w:t>
            </w: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0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0.0%</w:t>
            </w:r>
          </w:p>
        </w:tc>
        <w:tc>
          <w:tcPr>
            <w:tcW w:w="19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1.9%</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w:t>
            </w:r>
          </w:p>
        </w:tc>
      </w:tr>
      <w:tr>
        <w:trPr>
          <w:trHeight w:val="244"/>
        </w:trPr>
        <w:tc>
          <w:tcPr>
            <w:tcW w:w="66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Expected life (in years)</w:t>
            </w:r>
          </w:p>
        </w:tc>
        <w:tc>
          <w:tcPr>
            <w:tcW w:w="1060" w:type="dxa"/>
            <w:vAlign w:val="bottom"/>
            <w:shd w:val="clear" w:color="auto" w:fill="D4EFF4"/>
          </w:tcPr>
          <w:p>
            <w:pPr>
              <w:jc w:val="right"/>
              <w:ind w:right="460"/>
              <w:spacing w:after="0"/>
              <w:rPr>
                <w:sz w:val="20"/>
                <w:szCs w:val="20"/>
                <w:color w:val="auto"/>
              </w:rPr>
            </w:pPr>
            <w:r>
              <w:rPr>
                <w:rFonts w:ascii="Times New Roman" w:cs="Times New Roman" w:eastAsia="Times New Roman" w:hAnsi="Times New Roman"/>
                <w:sz w:val="20"/>
                <w:szCs w:val="20"/>
                <w:color w:val="auto"/>
              </w:rPr>
              <w:t>3</w:t>
            </w:r>
          </w:p>
        </w:tc>
        <w:tc>
          <w:tcPr>
            <w:tcW w:w="1960" w:type="dxa"/>
            <w:vAlign w:val="bottom"/>
            <w:shd w:val="clear" w:color="auto" w:fill="D4EFF4"/>
          </w:tcPr>
          <w:p>
            <w:pPr>
              <w:jc w:val="right"/>
              <w:ind w:right="540"/>
              <w:spacing w:after="0"/>
              <w:rPr>
                <w:sz w:val="20"/>
                <w:szCs w:val="20"/>
                <w:color w:val="auto"/>
              </w:rPr>
            </w:pPr>
            <w:r>
              <w:rPr>
                <w:rFonts w:ascii="Times New Roman" w:cs="Times New Roman" w:eastAsia="Times New Roman" w:hAnsi="Times New Roman"/>
                <w:sz w:val="20"/>
                <w:szCs w:val="20"/>
                <w:color w:val="auto"/>
              </w:rPr>
              <w:t>3</w:t>
            </w:r>
          </w:p>
        </w:tc>
        <w:tc>
          <w:tcPr>
            <w:tcW w:w="15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0" w:type="dxa"/>
            <w:vAlign w:val="bottom"/>
            <w:shd w:val="clear" w:color="auto" w:fill="D4EFF4"/>
          </w:tcPr>
          <w:p>
            <w:pPr>
              <w:spacing w:after="0"/>
              <w:rPr>
                <w:sz w:val="21"/>
                <w:szCs w:val="21"/>
                <w:color w:val="auto"/>
              </w:rPr>
            </w:pPr>
          </w:p>
        </w:tc>
      </w:tr>
      <w:tr>
        <w:trPr>
          <w:trHeight w:val="266"/>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0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27.3%</w:t>
            </w:r>
          </w:p>
        </w:tc>
        <w:tc>
          <w:tcPr>
            <w:tcW w:w="19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26.0%</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35.1%</w:t>
            </w:r>
          </w:p>
        </w:tc>
      </w:tr>
      <w:tr>
        <w:trPr>
          <w:trHeight w:val="61"/>
        </w:trPr>
        <w:tc>
          <w:tcPr>
            <w:tcW w:w="6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-704850</wp:posOffset>
            </wp:positionV>
            <wp:extent cx="712533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492">
                      <a:extLst>
                        <a:ext uri="{28A0092B-C50C-407E-A947-70E740481C1C}"/>
                      </a:extLst>
                    </a:blip>
                    <a:srcRect/>
                    <a:stretch>
                      <a:fillRect/>
                    </a:stretch>
                  </pic:blipFill>
                  <pic:spPr bwMode="auto">
                    <a:xfrm>
                      <a:off x="0" y="0"/>
                      <a:ext cx="712533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-22860</wp:posOffset>
            </wp:positionV>
            <wp:extent cx="712533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493">
                      <a:extLst>
                        <a:ext uri="{28A0092B-C50C-407E-A947-70E740481C1C}"/>
                      </a:extLst>
                    </a:blip>
                    <a:srcRect/>
                    <a:stretch>
                      <a:fillRect/>
                    </a:stretch>
                  </pic:blipFill>
                  <pic:spPr bwMode="auto">
                    <a:xfrm>
                      <a:off x="0" y="0"/>
                      <a:ext cx="7125335" cy="38100"/>
                    </a:xfrm>
                    <a:prstGeom prst="rect">
                      <a:avLst/>
                    </a:prstGeom>
                    <a:noFill/>
                  </pic:spPr>
                </pic:pic>
              </a:graphicData>
            </a:graphic>
          </wp:anchor>
        </w:drawing>
      </w:r>
    </w:p>
    <w:p>
      <w:pPr>
        <w:sectPr>
          <w:pgSz w:w="12240" w:h="15840" w:orient="portrait"/>
          <w:cols w:equalWidth="0" w:num="1">
            <w:col w:w="11368"/>
          </w:cols>
          <w:pgMar w:left="432" w:top="932"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F-50</w:t>
      </w:r>
    </w:p>
    <w:p>
      <w:pPr>
        <w:sectPr>
          <w:pgSz w:w="12240" w:h="15840" w:orient="portrait"/>
          <w:cols w:equalWidth="0" w:num="1">
            <w:col w:w="11368"/>
          </w:cols>
          <w:pgMar w:left="432" w:top="932" w:right="440" w:bottom="186" w:gutter="0" w:footer="0" w:header="0"/>
          <w:type w:val="continuous"/>
        </w:sectPr>
      </w:pPr>
    </w:p>
    <w:bookmarkStart w:id="152" w:name="page153"/>
    <w:bookmarkEnd w:id="152"/>
    <w:p>
      <w:pPr>
        <w:ind w:left="360"/>
        <w:spacing w:after="0"/>
        <w:rPr>
          <w:sz w:val="20"/>
          <w:szCs w:val="20"/>
          <w:color w:val="auto"/>
        </w:rPr>
      </w:pPr>
      <w:r>
        <w:rPr>
          <w:rFonts w:ascii="Times New Roman" w:cs="Times New Roman" w:eastAsia="Times New Roman" w:hAnsi="Times New Roman"/>
          <w:sz w:val="20"/>
          <w:szCs w:val="20"/>
          <w:color w:val="auto"/>
        </w:rPr>
        <w:t>The following table shows changes in nonvested performance shares/units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103505</wp:posOffset>
            </wp:positionV>
            <wp:extent cx="7242810"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494">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60" w:type="dxa"/>
            <w:vAlign w:val="bottom"/>
            <w:gridSpan w:val="3"/>
          </w:tcPr>
          <w:p>
            <w:pPr>
              <w:jc w:val="right"/>
              <w:ind w:right="1140"/>
              <w:spacing w:after="0"/>
              <w:rPr>
                <w:sz w:val="20"/>
                <w:szCs w:val="20"/>
                <w:color w:val="auto"/>
              </w:rPr>
            </w:pPr>
            <w:r>
              <w:rPr>
                <w:rFonts w:ascii="Times New Roman" w:cs="Times New Roman" w:eastAsia="Times New Roman" w:hAnsi="Times New Roman"/>
                <w:sz w:val="20"/>
                <w:szCs w:val="20"/>
                <w:color w:val="auto"/>
                <w:w w:val="99"/>
              </w:rPr>
              <w:t>2025</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60" w:type="dxa"/>
            <w:vAlign w:val="bottom"/>
            <w:gridSpan w:val="3"/>
          </w:tcPr>
          <w:p>
            <w:pPr>
              <w:jc w:val="right"/>
              <w:ind w:right="1160"/>
              <w:spacing w:after="0"/>
              <w:rPr>
                <w:sz w:val="20"/>
                <w:szCs w:val="20"/>
                <w:color w:val="auto"/>
              </w:rPr>
            </w:pPr>
            <w:r>
              <w:rPr>
                <w:rFonts w:ascii="Times New Roman" w:cs="Times New Roman" w:eastAsia="Times New Roman" w:hAnsi="Times New Roman"/>
                <w:sz w:val="20"/>
                <w:szCs w:val="20"/>
                <w:color w:val="auto"/>
                <w:w w:val="94"/>
              </w:rPr>
              <w:t>2024</w:t>
            </w:r>
          </w:p>
        </w:tc>
        <w:tc>
          <w:tcPr>
            <w:tcW w:w="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9"/>
              </w:rPr>
              <w:t>Weighted-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9"/>
              </w:rPr>
              <w:t>Weighted-</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9"/>
              </w:rPr>
              <w:t>Weighted-</w:t>
            </w:r>
          </w:p>
        </w:tc>
        <w:tc>
          <w:tcPr>
            <w:tcW w:w="20" w:type="dxa"/>
            <w:vAlign w:val="bottom"/>
          </w:tcPr>
          <w:p>
            <w:pPr>
              <w:spacing w:after="0"/>
              <w:rPr>
                <w:sz w:val="20"/>
                <w:szCs w:val="20"/>
                <w:color w:val="auto"/>
              </w:rPr>
            </w:pPr>
          </w:p>
        </w:tc>
      </w:tr>
      <w:tr>
        <w:trPr>
          <w:trHeight w:val="244"/>
        </w:trPr>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9"/>
              </w:rPr>
              <w:t>average</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9"/>
              </w:rPr>
              <w:t>average</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color w:val="auto"/>
                <w:w w:val="99"/>
              </w:rPr>
              <w:t>average</w:t>
            </w:r>
          </w:p>
        </w:tc>
      </w:tr>
      <w:tr>
        <w:trPr>
          <w:trHeight w:val="244"/>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thousands except per</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Shares/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rPr>
              <w:t>grant date</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Shares/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rPr>
              <w:t>grant date</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Shares/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color w:val="auto"/>
              </w:rPr>
              <w:t>grant date</w:t>
            </w:r>
          </w:p>
        </w:tc>
      </w:tr>
      <w:tr>
        <w:trPr>
          <w:trHeight w:val="249"/>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 data)</w:t>
            </w:r>
          </w:p>
        </w:tc>
        <w:tc>
          <w:tcPr>
            <w:tcW w:w="9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Units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9"/>
              </w:rPr>
              <w:t>fair value</w:t>
            </w:r>
          </w:p>
        </w:tc>
        <w:tc>
          <w:tcPr>
            <w:tcW w:w="9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Units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9"/>
              </w:rPr>
              <w:t>fair value</w:t>
            </w:r>
          </w:p>
        </w:tc>
        <w:tc>
          <w:tcPr>
            <w:tcW w:w="8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Units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color w:val="auto"/>
                <w:w w:val="99"/>
              </w:rPr>
              <w:t>fair value</w:t>
            </w:r>
          </w:p>
        </w:tc>
      </w:tr>
      <w:tr>
        <w:trPr>
          <w:trHeight w:val="239"/>
        </w:trPr>
        <w:tc>
          <w:tcPr>
            <w:tcW w:w="390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Nonvested - beginning of year</w:t>
            </w:r>
          </w:p>
        </w:tc>
        <w:tc>
          <w:tcPr>
            <w:tcW w:w="9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34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D4EFF4"/>
          </w:tcPr>
          <w:p>
            <w:pPr>
              <w:jc w:val="right"/>
              <w:ind w:right="220"/>
              <w:spacing w:after="0"/>
              <w:rPr>
                <w:sz w:val="20"/>
                <w:szCs w:val="20"/>
                <w:color w:val="auto"/>
              </w:rPr>
            </w:pPr>
            <w:r>
              <w:rPr>
                <w:rFonts w:ascii="Times New Roman" w:cs="Times New Roman" w:eastAsia="Times New Roman" w:hAnsi="Times New Roman"/>
                <w:sz w:val="20"/>
                <w:szCs w:val="20"/>
                <w:color w:val="auto"/>
              </w:rPr>
              <w:t>111.16</w:t>
            </w:r>
          </w:p>
        </w:tc>
        <w:tc>
          <w:tcPr>
            <w:tcW w:w="20" w:type="dxa"/>
            <w:vAlign w:val="bottom"/>
            <w:shd w:val="clear" w:color="auto" w:fill="D4EFF4"/>
          </w:tcPr>
          <w:p>
            <w:pPr>
              <w:spacing w:after="0"/>
              <w:rPr>
                <w:sz w:val="20"/>
                <w:szCs w:val="20"/>
                <w:color w:val="auto"/>
              </w:rPr>
            </w:pPr>
          </w:p>
        </w:tc>
        <w:tc>
          <w:tcPr>
            <w:tcW w:w="9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34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D4EFF4"/>
          </w:tcPr>
          <w:p>
            <w:pPr>
              <w:jc w:val="right"/>
              <w:ind w:right="220"/>
              <w:spacing w:after="0"/>
              <w:rPr>
                <w:sz w:val="20"/>
                <w:szCs w:val="20"/>
                <w:color w:val="auto"/>
              </w:rPr>
            </w:pPr>
            <w:r>
              <w:rPr>
                <w:rFonts w:ascii="Times New Roman" w:cs="Times New Roman" w:eastAsia="Times New Roman" w:hAnsi="Times New Roman"/>
                <w:sz w:val="20"/>
                <w:szCs w:val="20"/>
                <w:color w:val="auto"/>
              </w:rPr>
              <w:t>118.43</w:t>
            </w:r>
          </w:p>
        </w:tc>
        <w:tc>
          <w:tcPr>
            <w:tcW w:w="20" w:type="dxa"/>
            <w:vAlign w:val="bottom"/>
            <w:shd w:val="clear" w:color="auto" w:fill="D4EFF4"/>
          </w:tcPr>
          <w:p>
            <w:pPr>
              <w:spacing w:after="0"/>
              <w:rPr>
                <w:sz w:val="20"/>
                <w:szCs w:val="20"/>
                <w:color w:val="auto"/>
              </w:rPr>
            </w:pPr>
          </w:p>
        </w:tc>
        <w:tc>
          <w:tcPr>
            <w:tcW w:w="8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36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105.78</w:t>
            </w:r>
          </w:p>
        </w:tc>
        <w:tc>
          <w:tcPr>
            <w:tcW w:w="60" w:type="dxa"/>
            <w:vAlign w:val="bottom"/>
            <w:tcBorders>
              <w:top w:val="single" w:sz="8" w:color="auto"/>
            </w:tcBorders>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r>
      <w:tr>
        <w:trPr>
          <w:trHeight w:val="244"/>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80.84</w:t>
            </w: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81.29</w:t>
            </w: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90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Reinvested dividends</w:t>
            </w:r>
          </w:p>
        </w:tc>
        <w:tc>
          <w:tcPr>
            <w:tcW w:w="9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340" w:type="dxa"/>
            <w:vAlign w:val="bottom"/>
            <w:gridSpan w:val="2"/>
            <w:shd w:val="clear" w:color="auto" w:fill="D4EFF4"/>
          </w:tcPr>
          <w:p>
            <w:pPr>
              <w:ind w:left="660"/>
              <w:spacing w:after="0"/>
              <w:rPr>
                <w:sz w:val="20"/>
                <w:szCs w:val="20"/>
                <w:color w:val="auto"/>
              </w:rPr>
            </w:pPr>
            <w:r>
              <w:rPr>
                <w:rFonts w:ascii="Times New Roman" w:cs="Times New Roman" w:eastAsia="Times New Roman" w:hAnsi="Times New Roman"/>
                <w:sz w:val="20"/>
                <w:szCs w:val="20"/>
                <w:color w:val="auto"/>
              </w:rPr>
              <w:t>N/A</w:t>
            </w:r>
          </w:p>
        </w:tc>
        <w:tc>
          <w:tcPr>
            <w:tcW w:w="9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340" w:type="dxa"/>
            <w:vAlign w:val="bottom"/>
            <w:gridSpan w:val="2"/>
            <w:shd w:val="clear" w:color="auto" w:fill="D4EFF4"/>
          </w:tcPr>
          <w:p>
            <w:pPr>
              <w:ind w:left="640"/>
              <w:spacing w:after="0"/>
              <w:rPr>
                <w:sz w:val="20"/>
                <w:szCs w:val="20"/>
                <w:color w:val="auto"/>
              </w:rPr>
            </w:pPr>
            <w:r>
              <w:rPr>
                <w:rFonts w:ascii="Times New Roman" w:cs="Times New Roman" w:eastAsia="Times New Roman" w:hAnsi="Times New Roman"/>
                <w:sz w:val="20"/>
                <w:szCs w:val="20"/>
                <w:color w:val="auto"/>
              </w:rPr>
              <w:t>N/A</w:t>
            </w:r>
          </w:p>
        </w:tc>
        <w:tc>
          <w:tcPr>
            <w:tcW w:w="8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080" w:type="dxa"/>
            <w:vAlign w:val="bottom"/>
            <w:gridSpan w:val="3"/>
            <w:shd w:val="clear" w:color="auto" w:fill="D4EFF4"/>
          </w:tcPr>
          <w:p>
            <w:pPr>
              <w:ind w:left="640"/>
              <w:spacing w:after="0"/>
              <w:rPr>
                <w:sz w:val="20"/>
                <w:szCs w:val="20"/>
                <w:color w:val="auto"/>
              </w:rPr>
            </w:pPr>
            <w:r>
              <w:rPr>
                <w:rFonts w:ascii="Times New Roman" w:cs="Times New Roman" w:eastAsia="Times New Roman" w:hAnsi="Times New Roman"/>
                <w:sz w:val="20"/>
                <w:szCs w:val="20"/>
                <w:color w:val="auto"/>
              </w:rPr>
              <w:t>N/A</w:t>
            </w:r>
          </w:p>
        </w:tc>
      </w:tr>
      <w:tr>
        <w:trPr>
          <w:trHeight w:val="244"/>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150.71</w:t>
            </w: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91.77</w:t>
            </w: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90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Forfeitures</w:t>
            </w:r>
          </w:p>
        </w:tc>
        <w:tc>
          <w:tcPr>
            <w:tcW w:w="9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 w:type="dxa"/>
            <w:vAlign w:val="bottom"/>
            <w:tcBorders>
              <w:bottom w:val="single" w:sz="8" w:color="auto"/>
            </w:tcBorders>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320" w:type="dxa"/>
            <w:vAlign w:val="bottom"/>
            <w:shd w:val="clear" w:color="auto" w:fill="D4EFF4"/>
          </w:tcPr>
          <w:p>
            <w:pPr>
              <w:jc w:val="right"/>
              <w:ind w:right="220"/>
              <w:spacing w:after="0"/>
              <w:rPr>
                <w:sz w:val="20"/>
                <w:szCs w:val="20"/>
                <w:color w:val="auto"/>
              </w:rPr>
            </w:pPr>
            <w:r>
              <w:rPr>
                <w:rFonts w:ascii="Times New Roman" w:cs="Times New Roman" w:eastAsia="Times New Roman" w:hAnsi="Times New Roman"/>
                <w:sz w:val="20"/>
                <w:szCs w:val="20"/>
                <w:color w:val="auto"/>
              </w:rPr>
              <w:t>106.61</w:t>
            </w:r>
          </w:p>
        </w:tc>
        <w:tc>
          <w:tcPr>
            <w:tcW w:w="20" w:type="dxa"/>
            <w:vAlign w:val="bottom"/>
            <w:shd w:val="clear" w:color="auto" w:fill="D4EFF4"/>
          </w:tcPr>
          <w:p>
            <w:pPr>
              <w:spacing w:after="0"/>
              <w:rPr>
                <w:sz w:val="21"/>
                <w:szCs w:val="21"/>
                <w:color w:val="auto"/>
              </w:rPr>
            </w:pPr>
          </w:p>
        </w:tc>
        <w:tc>
          <w:tcPr>
            <w:tcW w:w="9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Borders>
              <w:bottom w:val="single" w:sz="8" w:color="auto"/>
            </w:tcBorders>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320" w:type="dxa"/>
            <w:vAlign w:val="bottom"/>
            <w:shd w:val="clear" w:color="auto" w:fill="D4EFF4"/>
          </w:tcPr>
          <w:p>
            <w:pPr>
              <w:jc w:val="right"/>
              <w:ind w:right="220"/>
              <w:spacing w:after="0"/>
              <w:rPr>
                <w:sz w:val="20"/>
                <w:szCs w:val="20"/>
                <w:color w:val="auto"/>
              </w:rPr>
            </w:pPr>
            <w:r>
              <w:rPr>
                <w:rFonts w:ascii="Times New Roman" w:cs="Times New Roman" w:eastAsia="Times New Roman" w:hAnsi="Times New Roman"/>
                <w:sz w:val="20"/>
                <w:szCs w:val="20"/>
                <w:color w:val="auto"/>
              </w:rPr>
              <w:t>108.50</w:t>
            </w:r>
          </w:p>
        </w:tc>
        <w:tc>
          <w:tcPr>
            <w:tcW w:w="20" w:type="dxa"/>
            <w:vAlign w:val="bottom"/>
            <w:shd w:val="clear" w:color="auto" w:fill="D4EFF4"/>
          </w:tcPr>
          <w:p>
            <w:pPr>
              <w:spacing w:after="0"/>
              <w:rPr>
                <w:sz w:val="21"/>
                <w:szCs w:val="21"/>
                <w:color w:val="auto"/>
              </w:rPr>
            </w:pPr>
          </w:p>
        </w:tc>
        <w:tc>
          <w:tcPr>
            <w:tcW w:w="8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40" w:type="dxa"/>
            <w:vAlign w:val="bottom"/>
            <w:tcBorders>
              <w:bottom w:val="single" w:sz="8" w:color="auto"/>
            </w:tcBorders>
            <w:shd w:val="clear" w:color="auto" w:fill="D4EFF4"/>
          </w:tcPr>
          <w:p>
            <w:pPr>
              <w:spacing w:after="0"/>
              <w:rPr>
                <w:sz w:val="21"/>
                <w:szCs w:val="21"/>
                <w:color w:val="auto"/>
              </w:rPr>
            </w:pPr>
          </w:p>
        </w:tc>
        <w:tc>
          <w:tcPr>
            <w:tcW w:w="3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94.53</w:t>
            </w:r>
          </w:p>
        </w:tc>
        <w:tc>
          <w:tcPr>
            <w:tcW w:w="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r>
      <w:tr>
        <w:trPr>
          <w:trHeight w:val="239"/>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Nonvested - end of year</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94.41</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111.16</w:t>
            </w:r>
          </w:p>
        </w:tc>
        <w:tc>
          <w:tcPr>
            <w:tcW w:w="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
        </w:trPr>
        <w:tc>
          <w:tcPr>
            <w:tcW w:w="38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-1682750</wp:posOffset>
            </wp:positionV>
            <wp:extent cx="3181350"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495">
                      <a:extLst>
                        <a:ext uri="{28A0092B-C50C-407E-A947-70E740481C1C}"/>
                      </a:extLst>
                    </a:blip>
                    <a:srcRect/>
                    <a:stretch>
                      <a:fillRect/>
                    </a:stretch>
                  </pic:blipFill>
                  <pic:spPr bwMode="auto">
                    <a:xfrm>
                      <a:off x="0" y="0"/>
                      <a:ext cx="318135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-1053465</wp:posOffset>
            </wp:positionV>
            <wp:extent cx="722058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496">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-23495</wp:posOffset>
            </wp:positionV>
            <wp:extent cx="722058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497">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81"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 of September 30, 2025, there was $5 million of total unrecognized compensation costs related to nonvested performance share/unit awards. That cost is expected to be recognized over a weighted-average period of approximately 1.9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P – REVENUE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 receivables</w:t>
      </w:r>
    </w:p>
    <w:p>
      <w:pPr>
        <w:spacing w:after="0" w:line="170"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Trade receivables are defined as receivables arising from contracts with customers and are recorded within the accounts receivable, net caption within the Consolidated Balance Sheets. Ashland’s trade receivables were $200 million and $206 million as of September 30, 2025 and 2024, respectively. See Note H for additional information on Ashland's program to sell certain accounts receivable on a revolving basis to third party banks up to an aggregate purchase limit.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17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disaggregates its revenue from contracts with customers by reportable segment and geographical region, as Ashland believes these categories best depict how management reviews the financial performance of its operations for the years ended September 30, 2025, 2024 and 2023. Ashland includes only U.S. and Canada in its North America designation and includes Europe, the Middle East and Africa in its Europe designation. See the following tables for details (Intersegment sales eliminations have been excluded, see Note Q for additional information) for the years ended September 30:</w:t>
      </w:r>
    </w:p>
    <w:p>
      <w:pPr>
        <w:sectPr>
          <w:pgSz w:w="12240" w:h="15840" w:orient="portrait"/>
          <w:cols w:equalWidth="0" w:num="1">
            <w:col w:w="11360"/>
          </w:cols>
          <w:pgMar w:left="440"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F-51</w:t>
      </w:r>
    </w:p>
    <w:p>
      <w:pPr>
        <w:sectPr>
          <w:pgSz w:w="12240" w:h="15840" w:orient="portrait"/>
          <w:cols w:equalWidth="0" w:num="1">
            <w:col w:w="11360"/>
          </w:cols>
          <w:pgMar w:left="440" w:top="930" w:right="440" w:bottom="186"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33"/>
        </w:trPr>
        <w:tc>
          <w:tcPr>
            <w:tcW w:w="3320" w:type="dxa"/>
            <w:vAlign w:val="bottom"/>
          </w:tcPr>
          <w:p>
            <w:pPr>
              <w:spacing w:after="0"/>
              <w:rPr>
                <w:sz w:val="20"/>
                <w:szCs w:val="20"/>
                <w:color w:val="auto"/>
              </w:rPr>
            </w:pPr>
          </w:p>
        </w:tc>
        <w:tc>
          <w:tcPr>
            <w:tcW w:w="3300" w:type="dxa"/>
            <w:vAlign w:val="bottom"/>
            <w:gridSpan w:val="2"/>
          </w:tcPr>
          <w:p>
            <w:pPr>
              <w:jc w:val="center"/>
              <w:ind w:left="1265"/>
              <w:spacing w:after="0"/>
              <w:rPr>
                <w:sz w:val="20"/>
                <w:szCs w:val="20"/>
                <w:color w:val="auto"/>
              </w:rPr>
            </w:pPr>
            <w:r>
              <w:rPr>
                <w:rFonts w:ascii="Times New Roman" w:cs="Times New Roman" w:eastAsia="Times New Roman" w:hAnsi="Times New Roman"/>
                <w:sz w:val="19"/>
                <w:szCs w:val="19"/>
                <w:color w:val="auto"/>
              </w:rPr>
              <w:t>Sales by geography</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line="214" w:lineRule="exact"/>
              <w:rPr>
                <w:sz w:val="20"/>
                <w:szCs w:val="20"/>
                <w:color w:val="auto"/>
              </w:rPr>
            </w:pPr>
            <w:r>
              <w:rPr>
                <w:rFonts w:ascii="Times New Roman" w:cs="Times New Roman" w:eastAsia="Times New Roman" w:hAnsi="Times New Roman"/>
                <w:sz w:val="19"/>
                <w:szCs w:val="19"/>
                <w:color w:val="auto"/>
              </w:rPr>
              <w:t>(In millions)</w:t>
            </w:r>
          </w:p>
        </w:tc>
        <w:tc>
          <w:tcPr>
            <w:tcW w:w="3300" w:type="dxa"/>
            <w:vAlign w:val="bottom"/>
            <w:gridSpan w:val="2"/>
          </w:tcPr>
          <w:p>
            <w:pPr>
              <w:jc w:val="right"/>
              <w:ind w:right="85"/>
              <w:spacing w:after="0" w:line="214" w:lineRule="exact"/>
              <w:rPr>
                <w:sz w:val="20"/>
                <w:szCs w:val="20"/>
                <w:color w:val="auto"/>
              </w:rPr>
            </w:pPr>
            <w:r>
              <w:rPr>
                <w:rFonts w:ascii="Times New Roman" w:cs="Times New Roman" w:eastAsia="Times New Roman" w:hAnsi="Times New Roman"/>
                <w:sz w:val="19"/>
                <w:szCs w:val="19"/>
                <w:color w:val="auto"/>
              </w:rPr>
              <w:t>2025</w:t>
            </w:r>
          </w:p>
        </w:tc>
        <w:tc>
          <w:tcPr>
            <w:tcW w:w="600" w:type="dxa"/>
            <w:vAlign w:val="bottom"/>
          </w:tcPr>
          <w:p>
            <w:pPr>
              <w:spacing w:after="0"/>
              <w:rPr>
                <w:sz w:val="18"/>
                <w:szCs w:val="18"/>
                <w:color w:val="auto"/>
              </w:rPr>
            </w:pPr>
          </w:p>
        </w:tc>
        <w:tc>
          <w:tcPr>
            <w:tcW w:w="1500" w:type="dxa"/>
            <w:vAlign w:val="bottom"/>
            <w:gridSpan w:val="3"/>
          </w:tcPr>
          <w:p>
            <w:pPr>
              <w:jc w:val="right"/>
              <w:ind w:right="96"/>
              <w:spacing w:after="0" w:line="214" w:lineRule="exact"/>
              <w:rPr>
                <w:sz w:val="20"/>
                <w:szCs w:val="20"/>
                <w:color w:val="auto"/>
              </w:rPr>
            </w:pPr>
            <w:r>
              <w:rPr>
                <w:rFonts w:ascii="Times New Roman" w:cs="Times New Roman" w:eastAsia="Times New Roman" w:hAnsi="Times New Roman"/>
                <w:sz w:val="19"/>
                <w:szCs w:val="19"/>
                <w:color w:val="auto"/>
              </w:rPr>
              <w:t>2024</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564"/>
              <w:spacing w:after="0" w:line="214" w:lineRule="exact"/>
              <w:rPr>
                <w:sz w:val="20"/>
                <w:szCs w:val="20"/>
                <w:color w:val="auto"/>
              </w:rPr>
            </w:pPr>
            <w:r>
              <w:rPr>
                <w:rFonts w:ascii="Times New Roman" w:cs="Times New Roman" w:eastAsia="Times New Roman" w:hAnsi="Times New Roman"/>
                <w:sz w:val="19"/>
                <w:szCs w:val="19"/>
                <w:color w:val="auto"/>
              </w:rPr>
              <w:t>2023</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3300" w:type="dxa"/>
            <w:vAlign w:val="bottom"/>
            <w:gridSpan w:val="2"/>
          </w:tcPr>
          <w:p>
            <w:pPr>
              <w:jc w:val="center"/>
              <w:ind w:left="1265"/>
              <w:spacing w:after="0" w:line="214" w:lineRule="exact"/>
              <w:rPr>
                <w:sz w:val="20"/>
                <w:szCs w:val="20"/>
                <w:color w:val="auto"/>
              </w:rPr>
            </w:pPr>
            <w:r>
              <w:rPr>
                <w:rFonts w:ascii="Times New Roman" w:cs="Times New Roman" w:eastAsia="Times New Roman" w:hAnsi="Times New Roman"/>
                <w:sz w:val="19"/>
                <w:szCs w:val="19"/>
                <w:color w:val="auto"/>
                <w:w w:val="99"/>
              </w:rPr>
              <w:t>Life Sciences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shd w:val="clear" w:color="auto" w:fill="D4EFF4"/>
          </w:tcPr>
          <w:p>
            <w:pPr>
              <w:spacing w:after="0"/>
              <w:rPr>
                <w:sz w:val="20"/>
                <w:szCs w:val="20"/>
                <w:color w:val="auto"/>
              </w:rPr>
            </w:pPr>
            <w:r>
              <w:rPr>
                <w:rFonts w:ascii="Times New Roman" w:cs="Times New Roman" w:eastAsia="Times New Roman" w:hAnsi="Times New Roman"/>
                <w:sz w:val="19"/>
                <w:szCs w:val="19"/>
                <w:color w:val="auto"/>
              </w:rPr>
              <w:t>North America</w:t>
            </w:r>
          </w:p>
        </w:tc>
        <w:tc>
          <w:tcPr>
            <w:tcW w:w="3300" w:type="dxa"/>
            <w:vAlign w:val="bottom"/>
            <w:gridSpan w:val="2"/>
            <w:shd w:val="clear" w:color="auto" w:fill="D4EFF4"/>
          </w:tcPr>
          <w:p>
            <w:pPr>
              <w:jc w:val="right"/>
              <w:ind w:right="1045"/>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117</w:t>
            </w:r>
          </w:p>
        </w:tc>
        <w:tc>
          <w:tcPr>
            <w:tcW w:w="1500" w:type="dxa"/>
            <w:vAlign w:val="bottom"/>
            <w:gridSpan w:val="3"/>
            <w:shd w:val="clear" w:color="auto" w:fill="D4EFF4"/>
          </w:tcPr>
          <w:p>
            <w:pPr>
              <w:jc w:val="right"/>
              <w:ind w:right="1056"/>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241</w:t>
            </w:r>
          </w:p>
        </w:tc>
        <w:tc>
          <w:tcPr>
            <w:tcW w:w="640" w:type="dxa"/>
            <w:vAlign w:val="bottom"/>
            <w:gridSpan w:val="3"/>
            <w:shd w:val="clear" w:color="auto" w:fill="D4EFF4"/>
          </w:tcPr>
          <w:p>
            <w:pPr>
              <w:jc w:val="right"/>
              <w:ind w:right="195"/>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228</w:t>
            </w:r>
          </w:p>
        </w:tc>
        <w:tc>
          <w:tcPr>
            <w:tcW w:w="6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9"/>
                <w:szCs w:val="19"/>
                <w:color w:val="auto"/>
              </w:rPr>
              <w:t>Europe</w:t>
            </w: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240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269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D4EFF4"/>
          </w:tcPr>
          <w:p>
            <w:pPr>
              <w:spacing w:after="0"/>
              <w:rPr>
                <w:sz w:val="20"/>
                <w:szCs w:val="20"/>
                <w:color w:val="auto"/>
              </w:rPr>
            </w:pPr>
            <w:r>
              <w:rPr>
                <w:rFonts w:ascii="Times New Roman" w:cs="Times New Roman" w:eastAsia="Times New Roman" w:hAnsi="Times New Roman"/>
                <w:sz w:val="19"/>
                <w:szCs w:val="19"/>
                <w:color w:val="auto"/>
              </w:rPr>
              <w:t>Asia Pacific</w:t>
            </w:r>
          </w:p>
        </w:tc>
        <w:tc>
          <w:tcPr>
            <w:tcW w:w="2060" w:type="dxa"/>
            <w:vAlign w:val="bottom"/>
            <w:shd w:val="clear" w:color="auto" w:fill="D4EFF4"/>
          </w:tcPr>
          <w:p>
            <w:pPr>
              <w:spacing w:after="0"/>
              <w:rPr>
                <w:sz w:val="20"/>
                <w:szCs w:val="20"/>
                <w:color w:val="auto"/>
              </w:rPr>
            </w:pPr>
          </w:p>
        </w:tc>
        <w:tc>
          <w:tcPr>
            <w:tcW w:w="1240" w:type="dxa"/>
            <w:vAlign w:val="bottom"/>
            <w:shd w:val="clear" w:color="auto" w:fill="D4EFF4"/>
          </w:tcPr>
          <w:p>
            <w:pPr>
              <w:spacing w:after="0"/>
              <w:rPr>
                <w:sz w:val="20"/>
                <w:szCs w:val="20"/>
                <w:color w:val="auto"/>
              </w:rPr>
            </w:pP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207</w:t>
            </w:r>
          </w:p>
        </w:tc>
        <w:tc>
          <w:tcPr>
            <w:tcW w:w="2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20" w:type="dxa"/>
            <w:vAlign w:val="bottom"/>
            <w:shd w:val="clear" w:color="auto" w:fill="D4EFF4"/>
          </w:tcPr>
          <w:p>
            <w:pPr>
              <w:spacing w:after="0"/>
              <w:rPr>
                <w:sz w:val="20"/>
                <w:szCs w:val="20"/>
                <w:color w:val="auto"/>
              </w:rPr>
            </w:pP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225</w:t>
            </w:r>
          </w:p>
        </w:tc>
        <w:tc>
          <w:tcPr>
            <w:tcW w:w="2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233</w:t>
            </w:r>
          </w:p>
        </w:tc>
        <w:tc>
          <w:tcPr>
            <w:tcW w:w="6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9"/>
                <w:szCs w:val="19"/>
                <w:color w:val="auto"/>
              </w:rPr>
              <w:t>Latin America &amp; other</w:t>
            </w:r>
          </w:p>
        </w:tc>
        <w:tc>
          <w:tcPr>
            <w:tcW w:w="2060" w:type="dxa"/>
            <w:vAlign w:val="bottom"/>
            <w:tcBorders>
              <w:bottom w:val="single" w:sz="8" w:color="D4EFF4"/>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77</w:t>
            </w:r>
          </w:p>
        </w:tc>
        <w:tc>
          <w:tcPr>
            <w:tcW w:w="2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75</w:t>
            </w:r>
          </w:p>
        </w:tc>
        <w:tc>
          <w:tcPr>
            <w:tcW w:w="2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20" w:type="dxa"/>
            <w:vAlign w:val="bottom"/>
            <w:tcBorders>
              <w:bottom w:val="single" w:sz="8" w:color="D4EFF4"/>
            </w:tcBorders>
            <w:shd w:val="clear" w:color="auto" w:fill="D4EFF4"/>
          </w:tcPr>
          <w:p>
            <w:pPr>
              <w:spacing w:after="0"/>
              <w:rPr>
                <w:sz w:val="21"/>
                <w:szCs w:val="21"/>
                <w:color w:val="auto"/>
              </w:rPr>
            </w:pPr>
          </w:p>
        </w:tc>
        <w:tc>
          <w:tcPr>
            <w:tcW w:w="2060" w:type="dxa"/>
            <w:vAlign w:val="bottom"/>
            <w:tcBorders>
              <w:bottom w:val="single" w:sz="8" w:color="D4EFF4"/>
            </w:tcBorders>
            <w:shd w:val="clear" w:color="auto" w:fill="D4EFF4"/>
          </w:tcPr>
          <w:p>
            <w:pPr>
              <w:spacing w:after="0"/>
              <w:rPr>
                <w:sz w:val="21"/>
                <w:szCs w:val="21"/>
                <w:color w:val="auto"/>
              </w:rPr>
            </w:pPr>
          </w:p>
        </w:tc>
        <w:tc>
          <w:tcPr>
            <w:tcW w:w="1240" w:type="dxa"/>
            <w:vAlign w:val="bottom"/>
            <w:tcBorders>
              <w:bottom w:val="single" w:sz="8" w:color="auto"/>
            </w:tcBorders>
            <w:shd w:val="clear" w:color="auto" w:fill="D4EFF4"/>
          </w:tcPr>
          <w:p>
            <w:pPr>
              <w:jc w:val="right"/>
              <w:ind w:right="1045"/>
              <w:spacing w:after="0"/>
              <w:rPr>
                <w:sz w:val="20"/>
                <w:szCs w:val="20"/>
                <w:color w:val="auto"/>
              </w:rPr>
            </w:pPr>
            <w:r>
              <w:rPr>
                <w:rFonts w:ascii="Times New Roman" w:cs="Times New Roman" w:eastAsia="Times New Roman" w:hAnsi="Times New Roman"/>
                <w:sz w:val="19"/>
                <w:szCs w:val="19"/>
                <w:color w:val="auto"/>
                <w:w w:val="83"/>
              </w:rPr>
              <w:t>$</w:t>
            </w:r>
          </w:p>
        </w:tc>
        <w:tc>
          <w:tcPr>
            <w:tcW w:w="600" w:type="dxa"/>
            <w:vAlign w:val="bottom"/>
            <w:tcBorders>
              <w:bottom w:val="single" w:sz="8" w:color="auto"/>
            </w:tcBorders>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641</w:t>
            </w:r>
          </w:p>
        </w:tc>
        <w:tc>
          <w:tcPr>
            <w:tcW w:w="26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1220" w:type="dxa"/>
            <w:vAlign w:val="bottom"/>
            <w:tcBorders>
              <w:bottom w:val="single" w:sz="8" w:color="auto"/>
            </w:tcBorders>
            <w:shd w:val="clear" w:color="auto" w:fill="D4EFF4"/>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810</w:t>
            </w:r>
          </w:p>
        </w:tc>
        <w:tc>
          <w:tcPr>
            <w:tcW w:w="26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360" w:type="dxa"/>
            <w:vAlign w:val="bottom"/>
            <w:tcBorders>
              <w:bottom w:val="single" w:sz="8" w:color="auto"/>
            </w:tcBorders>
            <w:shd w:val="clear" w:color="auto" w:fill="D4EFF4"/>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869</w:t>
            </w:r>
          </w:p>
        </w:tc>
        <w:tc>
          <w:tcPr>
            <w:tcW w:w="60" w:type="dxa"/>
            <w:vAlign w:val="bottom"/>
            <w:tcBorders>
              <w:bottom w:val="single" w:sz="8" w:color="auto"/>
            </w:tcBorders>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(In millions)</w:t>
            </w:r>
          </w:p>
        </w:tc>
        <w:tc>
          <w:tcPr>
            <w:tcW w:w="330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9"/>
                <w:szCs w:val="19"/>
                <w:color w:val="auto"/>
              </w:rPr>
              <w:t>2025</w:t>
            </w:r>
          </w:p>
        </w:tc>
        <w:tc>
          <w:tcPr>
            <w:tcW w:w="600" w:type="dxa"/>
            <w:vAlign w:val="bottom"/>
          </w:tcPr>
          <w:p>
            <w:pPr>
              <w:spacing w:after="0"/>
              <w:rPr>
                <w:sz w:val="16"/>
                <w:szCs w:val="16"/>
                <w:color w:val="auto"/>
              </w:rPr>
            </w:pPr>
          </w:p>
        </w:tc>
        <w:tc>
          <w:tcPr>
            <w:tcW w:w="1500" w:type="dxa"/>
            <w:vAlign w:val="bottom"/>
            <w:gridSpan w:val="3"/>
            <w:vMerge w:val="restart"/>
          </w:tcPr>
          <w:p>
            <w:pPr>
              <w:jc w:val="right"/>
              <w:ind w:right="96"/>
              <w:spacing w:after="0"/>
              <w:rPr>
                <w:sz w:val="20"/>
                <w:szCs w:val="20"/>
                <w:color w:val="auto"/>
              </w:rPr>
            </w:pPr>
            <w:r>
              <w:rPr>
                <w:rFonts w:ascii="Times New Roman" w:cs="Times New Roman" w:eastAsia="Times New Roman" w:hAnsi="Times New Roman"/>
                <w:sz w:val="19"/>
                <w:szCs w:val="19"/>
                <w:color w:val="auto"/>
              </w:rPr>
              <w:t>2024</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vMerge w:val="restart"/>
          </w:tcPr>
          <w:p>
            <w:pPr>
              <w:jc w:val="right"/>
              <w:ind w:right="564"/>
              <w:spacing w:after="0"/>
              <w:rPr>
                <w:sz w:val="20"/>
                <w:szCs w:val="20"/>
                <w:color w:val="auto"/>
              </w:rPr>
            </w:pPr>
            <w:r>
              <w:rPr>
                <w:rFonts w:ascii="Times New Roman" w:cs="Times New Roman" w:eastAsia="Times New Roman" w:hAnsi="Times New Roman"/>
                <w:sz w:val="19"/>
                <w:szCs w:val="19"/>
                <w:color w:val="auto"/>
              </w:rPr>
              <w:t>2023</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vMerge w:val="continue"/>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3300" w:type="dxa"/>
            <w:vAlign w:val="bottom"/>
            <w:gridSpan w:val="2"/>
          </w:tcPr>
          <w:p>
            <w:pPr>
              <w:jc w:val="center"/>
              <w:ind w:left="1265"/>
              <w:spacing w:after="0" w:line="214" w:lineRule="exact"/>
              <w:rPr>
                <w:sz w:val="20"/>
                <w:szCs w:val="20"/>
                <w:color w:val="auto"/>
              </w:rPr>
            </w:pPr>
            <w:r>
              <w:rPr>
                <w:rFonts w:ascii="Times New Roman" w:cs="Times New Roman" w:eastAsia="Times New Roman" w:hAnsi="Times New Roman"/>
                <w:sz w:val="19"/>
                <w:szCs w:val="19"/>
                <w:color w:val="auto"/>
                <w:w w:val="99"/>
              </w:rPr>
              <w:t>Personal Care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shd w:val="clear" w:color="auto" w:fill="D4EFF4"/>
          </w:tcPr>
          <w:p>
            <w:pPr>
              <w:spacing w:after="0"/>
              <w:rPr>
                <w:sz w:val="20"/>
                <w:szCs w:val="20"/>
                <w:color w:val="auto"/>
              </w:rPr>
            </w:pPr>
            <w:r>
              <w:rPr>
                <w:rFonts w:ascii="Times New Roman" w:cs="Times New Roman" w:eastAsia="Times New Roman" w:hAnsi="Times New Roman"/>
                <w:sz w:val="19"/>
                <w:szCs w:val="19"/>
                <w:color w:val="auto"/>
              </w:rPr>
              <w:t>North America</w:t>
            </w:r>
          </w:p>
        </w:tc>
        <w:tc>
          <w:tcPr>
            <w:tcW w:w="3300" w:type="dxa"/>
            <w:vAlign w:val="bottom"/>
            <w:gridSpan w:val="2"/>
            <w:shd w:val="clear" w:color="auto" w:fill="D4EFF4"/>
          </w:tcPr>
          <w:p>
            <w:pPr>
              <w:jc w:val="right"/>
              <w:ind w:right="1045"/>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155</w:t>
            </w:r>
          </w:p>
        </w:tc>
        <w:tc>
          <w:tcPr>
            <w:tcW w:w="1500" w:type="dxa"/>
            <w:vAlign w:val="bottom"/>
            <w:gridSpan w:val="3"/>
            <w:shd w:val="clear" w:color="auto" w:fill="D4EFF4"/>
          </w:tcPr>
          <w:p>
            <w:pPr>
              <w:jc w:val="right"/>
              <w:ind w:right="1056"/>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183</w:t>
            </w:r>
          </w:p>
        </w:tc>
        <w:tc>
          <w:tcPr>
            <w:tcW w:w="640" w:type="dxa"/>
            <w:vAlign w:val="bottom"/>
            <w:gridSpan w:val="3"/>
            <w:shd w:val="clear" w:color="auto" w:fill="D4EFF4"/>
          </w:tcPr>
          <w:p>
            <w:pPr>
              <w:jc w:val="right"/>
              <w:ind w:right="195"/>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176</w:t>
            </w:r>
          </w:p>
        </w:tc>
        <w:tc>
          <w:tcPr>
            <w:tcW w:w="6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9"/>
                <w:szCs w:val="19"/>
                <w:color w:val="auto"/>
              </w:rPr>
              <w:t>Europe</w:t>
            </w: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219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238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D4EFF4"/>
          </w:tcPr>
          <w:p>
            <w:pPr>
              <w:spacing w:after="0"/>
              <w:rPr>
                <w:sz w:val="20"/>
                <w:szCs w:val="20"/>
                <w:color w:val="auto"/>
              </w:rPr>
            </w:pPr>
            <w:r>
              <w:rPr>
                <w:rFonts w:ascii="Times New Roman" w:cs="Times New Roman" w:eastAsia="Times New Roman" w:hAnsi="Times New Roman"/>
                <w:sz w:val="19"/>
                <w:szCs w:val="19"/>
                <w:color w:val="auto"/>
              </w:rPr>
              <w:t>Asia Pacific</w:t>
            </w:r>
          </w:p>
        </w:tc>
        <w:tc>
          <w:tcPr>
            <w:tcW w:w="2060" w:type="dxa"/>
            <w:vAlign w:val="bottom"/>
            <w:shd w:val="clear" w:color="auto" w:fill="D4EFF4"/>
          </w:tcPr>
          <w:p>
            <w:pPr>
              <w:spacing w:after="0"/>
              <w:rPr>
                <w:sz w:val="20"/>
                <w:szCs w:val="20"/>
                <w:color w:val="auto"/>
              </w:rPr>
            </w:pPr>
          </w:p>
        </w:tc>
        <w:tc>
          <w:tcPr>
            <w:tcW w:w="1240" w:type="dxa"/>
            <w:vAlign w:val="bottom"/>
            <w:shd w:val="clear" w:color="auto" w:fill="D4EFF4"/>
          </w:tcPr>
          <w:p>
            <w:pPr>
              <w:spacing w:after="0"/>
              <w:rPr>
                <w:sz w:val="20"/>
                <w:szCs w:val="20"/>
                <w:color w:val="auto"/>
              </w:rPr>
            </w:pP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128</w:t>
            </w:r>
          </w:p>
        </w:tc>
        <w:tc>
          <w:tcPr>
            <w:tcW w:w="2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20" w:type="dxa"/>
            <w:vAlign w:val="bottom"/>
            <w:shd w:val="clear" w:color="auto" w:fill="D4EFF4"/>
          </w:tcPr>
          <w:p>
            <w:pPr>
              <w:spacing w:after="0"/>
              <w:rPr>
                <w:sz w:val="20"/>
                <w:szCs w:val="20"/>
                <w:color w:val="auto"/>
              </w:rPr>
            </w:pP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128</w:t>
            </w:r>
          </w:p>
        </w:tc>
        <w:tc>
          <w:tcPr>
            <w:tcW w:w="2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6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9"/>
                <w:szCs w:val="19"/>
                <w:color w:val="auto"/>
              </w:rPr>
              <w:t>Latin America &amp; other</w:t>
            </w:r>
          </w:p>
        </w:tc>
        <w:tc>
          <w:tcPr>
            <w:tcW w:w="2060" w:type="dxa"/>
            <w:vAlign w:val="bottom"/>
            <w:tcBorders>
              <w:bottom w:val="single" w:sz="8" w:color="D4EFF4"/>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75</w:t>
            </w:r>
          </w:p>
        </w:tc>
        <w:tc>
          <w:tcPr>
            <w:tcW w:w="2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85</w:t>
            </w:r>
          </w:p>
        </w:tc>
        <w:tc>
          <w:tcPr>
            <w:tcW w:w="2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20" w:type="dxa"/>
            <w:vAlign w:val="bottom"/>
            <w:tcBorders>
              <w:bottom w:val="single" w:sz="8" w:color="D4EFF4"/>
            </w:tcBorders>
            <w:shd w:val="clear" w:color="auto" w:fill="D4EFF4"/>
          </w:tcPr>
          <w:p>
            <w:pPr>
              <w:spacing w:after="0"/>
              <w:rPr>
                <w:sz w:val="21"/>
                <w:szCs w:val="21"/>
                <w:color w:val="auto"/>
              </w:rPr>
            </w:pPr>
          </w:p>
        </w:tc>
        <w:tc>
          <w:tcPr>
            <w:tcW w:w="2060" w:type="dxa"/>
            <w:vAlign w:val="bottom"/>
            <w:tcBorders>
              <w:bottom w:val="single" w:sz="8" w:color="D4EFF4"/>
            </w:tcBorders>
            <w:shd w:val="clear" w:color="auto" w:fill="D4EFF4"/>
          </w:tcPr>
          <w:p>
            <w:pPr>
              <w:spacing w:after="0"/>
              <w:rPr>
                <w:sz w:val="21"/>
                <w:szCs w:val="21"/>
                <w:color w:val="auto"/>
              </w:rPr>
            </w:pPr>
          </w:p>
        </w:tc>
        <w:tc>
          <w:tcPr>
            <w:tcW w:w="1240" w:type="dxa"/>
            <w:vAlign w:val="bottom"/>
            <w:tcBorders>
              <w:bottom w:val="single" w:sz="8" w:color="auto"/>
            </w:tcBorders>
            <w:shd w:val="clear" w:color="auto" w:fill="D4EFF4"/>
          </w:tcPr>
          <w:p>
            <w:pPr>
              <w:jc w:val="right"/>
              <w:ind w:right="1045"/>
              <w:spacing w:after="0"/>
              <w:rPr>
                <w:sz w:val="20"/>
                <w:szCs w:val="20"/>
                <w:color w:val="auto"/>
              </w:rPr>
            </w:pPr>
            <w:r>
              <w:rPr>
                <w:rFonts w:ascii="Times New Roman" w:cs="Times New Roman" w:eastAsia="Times New Roman" w:hAnsi="Times New Roman"/>
                <w:sz w:val="19"/>
                <w:szCs w:val="19"/>
                <w:color w:val="auto"/>
                <w:w w:val="83"/>
              </w:rPr>
              <w:t>$</w:t>
            </w:r>
          </w:p>
        </w:tc>
        <w:tc>
          <w:tcPr>
            <w:tcW w:w="600" w:type="dxa"/>
            <w:vAlign w:val="bottom"/>
            <w:tcBorders>
              <w:bottom w:val="single" w:sz="8" w:color="auto"/>
            </w:tcBorders>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577</w:t>
            </w:r>
          </w:p>
        </w:tc>
        <w:tc>
          <w:tcPr>
            <w:tcW w:w="26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1220" w:type="dxa"/>
            <w:vAlign w:val="bottom"/>
            <w:tcBorders>
              <w:bottom w:val="single" w:sz="8" w:color="auto"/>
            </w:tcBorders>
            <w:shd w:val="clear" w:color="auto" w:fill="D4EFF4"/>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634</w:t>
            </w:r>
          </w:p>
        </w:tc>
        <w:tc>
          <w:tcPr>
            <w:tcW w:w="26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360" w:type="dxa"/>
            <w:vAlign w:val="bottom"/>
            <w:tcBorders>
              <w:bottom w:val="single" w:sz="8" w:color="auto"/>
            </w:tcBorders>
            <w:shd w:val="clear" w:color="auto" w:fill="D4EFF4"/>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598</w:t>
            </w:r>
          </w:p>
        </w:tc>
        <w:tc>
          <w:tcPr>
            <w:tcW w:w="60" w:type="dxa"/>
            <w:vAlign w:val="bottom"/>
            <w:tcBorders>
              <w:bottom w:val="single" w:sz="8" w:color="auto"/>
            </w:tcBorders>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3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(In millions)</w:t>
            </w:r>
          </w:p>
        </w:tc>
        <w:tc>
          <w:tcPr>
            <w:tcW w:w="330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9"/>
                <w:szCs w:val="19"/>
                <w:color w:val="auto"/>
              </w:rPr>
              <w:t>2025</w:t>
            </w:r>
          </w:p>
        </w:tc>
        <w:tc>
          <w:tcPr>
            <w:tcW w:w="600" w:type="dxa"/>
            <w:vAlign w:val="bottom"/>
          </w:tcPr>
          <w:p>
            <w:pPr>
              <w:spacing w:after="0"/>
              <w:rPr>
                <w:sz w:val="20"/>
                <w:szCs w:val="20"/>
                <w:color w:val="auto"/>
              </w:rPr>
            </w:pPr>
          </w:p>
        </w:tc>
        <w:tc>
          <w:tcPr>
            <w:tcW w:w="1500" w:type="dxa"/>
            <w:vAlign w:val="bottom"/>
            <w:gridSpan w:val="3"/>
            <w:vMerge w:val="restart"/>
          </w:tcPr>
          <w:p>
            <w:pPr>
              <w:jc w:val="right"/>
              <w:ind w:right="96"/>
              <w:spacing w:after="0"/>
              <w:rPr>
                <w:sz w:val="20"/>
                <w:szCs w:val="20"/>
                <w:color w:val="auto"/>
              </w:rPr>
            </w:pPr>
            <w:r>
              <w:rPr>
                <w:rFonts w:ascii="Times New Roman" w:cs="Times New Roman" w:eastAsia="Times New Roman" w:hAnsi="Times New Roman"/>
                <w:sz w:val="19"/>
                <w:szCs w:val="19"/>
                <w:color w:val="auto"/>
              </w:rPr>
              <w:t>2024</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vMerge w:val="restart"/>
          </w:tcPr>
          <w:p>
            <w:pPr>
              <w:jc w:val="right"/>
              <w:ind w:right="564"/>
              <w:spacing w:after="0"/>
              <w:rPr>
                <w:sz w:val="20"/>
                <w:szCs w:val="20"/>
                <w:color w:val="auto"/>
              </w:rPr>
            </w:pPr>
            <w:r>
              <w:rPr>
                <w:rFonts w:ascii="Times New Roman" w:cs="Times New Roman" w:eastAsia="Times New Roman" w:hAnsi="Times New Roman"/>
                <w:sz w:val="19"/>
                <w:szCs w:val="19"/>
                <w:color w:val="auto"/>
              </w:rPr>
              <w:t>2023</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20" w:type="dxa"/>
            <w:vAlign w:val="bottom"/>
            <w:vMerge w:val="continue"/>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3300" w:type="dxa"/>
            <w:vAlign w:val="bottom"/>
            <w:gridSpan w:val="2"/>
          </w:tcPr>
          <w:p>
            <w:pPr>
              <w:jc w:val="center"/>
              <w:ind w:left="1265"/>
              <w:spacing w:after="0" w:line="214" w:lineRule="exact"/>
              <w:rPr>
                <w:sz w:val="20"/>
                <w:szCs w:val="20"/>
                <w:color w:val="auto"/>
              </w:rPr>
            </w:pPr>
            <w:r>
              <w:rPr>
                <w:rFonts w:ascii="Times New Roman" w:cs="Times New Roman" w:eastAsia="Times New Roman" w:hAnsi="Times New Roman"/>
                <w:sz w:val="19"/>
                <w:szCs w:val="19"/>
                <w:color w:val="auto"/>
              </w:rPr>
              <w:t>Specialty Additives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shd w:val="clear" w:color="auto" w:fill="D4EFF4"/>
          </w:tcPr>
          <w:p>
            <w:pPr>
              <w:spacing w:after="0"/>
              <w:rPr>
                <w:sz w:val="20"/>
                <w:szCs w:val="20"/>
                <w:color w:val="auto"/>
              </w:rPr>
            </w:pPr>
            <w:r>
              <w:rPr>
                <w:rFonts w:ascii="Times New Roman" w:cs="Times New Roman" w:eastAsia="Times New Roman" w:hAnsi="Times New Roman"/>
                <w:sz w:val="19"/>
                <w:szCs w:val="19"/>
                <w:color w:val="auto"/>
              </w:rPr>
              <w:t>North America</w:t>
            </w:r>
          </w:p>
        </w:tc>
        <w:tc>
          <w:tcPr>
            <w:tcW w:w="3300" w:type="dxa"/>
            <w:vAlign w:val="bottom"/>
            <w:gridSpan w:val="2"/>
            <w:shd w:val="clear" w:color="auto" w:fill="D4EFF4"/>
          </w:tcPr>
          <w:p>
            <w:pPr>
              <w:jc w:val="right"/>
              <w:ind w:right="1045"/>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177</w:t>
            </w:r>
          </w:p>
        </w:tc>
        <w:tc>
          <w:tcPr>
            <w:tcW w:w="1500" w:type="dxa"/>
            <w:vAlign w:val="bottom"/>
            <w:gridSpan w:val="3"/>
            <w:shd w:val="clear" w:color="auto" w:fill="D4EFF4"/>
          </w:tcPr>
          <w:p>
            <w:pPr>
              <w:jc w:val="right"/>
              <w:ind w:right="1056"/>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183</w:t>
            </w:r>
          </w:p>
        </w:tc>
        <w:tc>
          <w:tcPr>
            <w:tcW w:w="640" w:type="dxa"/>
            <w:vAlign w:val="bottom"/>
            <w:gridSpan w:val="3"/>
            <w:shd w:val="clear" w:color="auto" w:fill="D4EFF4"/>
          </w:tcPr>
          <w:p>
            <w:pPr>
              <w:jc w:val="right"/>
              <w:ind w:right="195"/>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203</w:t>
            </w:r>
          </w:p>
        </w:tc>
        <w:tc>
          <w:tcPr>
            <w:tcW w:w="6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9"/>
                <w:szCs w:val="19"/>
                <w:color w:val="auto"/>
              </w:rPr>
              <w:t>Europe</w:t>
            </w: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178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208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D4EFF4"/>
          </w:tcPr>
          <w:p>
            <w:pPr>
              <w:spacing w:after="0"/>
              <w:rPr>
                <w:sz w:val="20"/>
                <w:szCs w:val="20"/>
                <w:color w:val="auto"/>
              </w:rPr>
            </w:pPr>
            <w:r>
              <w:rPr>
                <w:rFonts w:ascii="Times New Roman" w:cs="Times New Roman" w:eastAsia="Times New Roman" w:hAnsi="Times New Roman"/>
                <w:sz w:val="19"/>
                <w:szCs w:val="19"/>
                <w:color w:val="auto"/>
              </w:rPr>
              <w:t>Asia Pacific</w:t>
            </w:r>
          </w:p>
        </w:tc>
        <w:tc>
          <w:tcPr>
            <w:tcW w:w="2060" w:type="dxa"/>
            <w:vAlign w:val="bottom"/>
            <w:shd w:val="clear" w:color="auto" w:fill="D4EFF4"/>
          </w:tcPr>
          <w:p>
            <w:pPr>
              <w:spacing w:after="0"/>
              <w:rPr>
                <w:sz w:val="20"/>
                <w:szCs w:val="20"/>
                <w:color w:val="auto"/>
              </w:rPr>
            </w:pPr>
          </w:p>
        </w:tc>
        <w:tc>
          <w:tcPr>
            <w:tcW w:w="1240" w:type="dxa"/>
            <w:vAlign w:val="bottom"/>
            <w:shd w:val="clear" w:color="auto" w:fill="D4EFF4"/>
          </w:tcPr>
          <w:p>
            <w:pPr>
              <w:spacing w:after="0"/>
              <w:rPr>
                <w:sz w:val="20"/>
                <w:szCs w:val="20"/>
                <w:color w:val="auto"/>
              </w:rPr>
            </w:pP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128</w:t>
            </w:r>
          </w:p>
        </w:tc>
        <w:tc>
          <w:tcPr>
            <w:tcW w:w="2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20" w:type="dxa"/>
            <w:vAlign w:val="bottom"/>
            <w:shd w:val="clear" w:color="auto" w:fill="D4EFF4"/>
          </w:tcPr>
          <w:p>
            <w:pPr>
              <w:spacing w:after="0"/>
              <w:rPr>
                <w:sz w:val="20"/>
                <w:szCs w:val="20"/>
                <w:color w:val="auto"/>
              </w:rPr>
            </w:pP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153</w:t>
            </w:r>
          </w:p>
        </w:tc>
        <w:tc>
          <w:tcPr>
            <w:tcW w:w="2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6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9"/>
                <w:szCs w:val="19"/>
                <w:color w:val="auto"/>
              </w:rPr>
              <w:t>Latin America &amp; other</w:t>
            </w:r>
          </w:p>
        </w:tc>
        <w:tc>
          <w:tcPr>
            <w:tcW w:w="2060" w:type="dxa"/>
            <w:vAlign w:val="bottom"/>
            <w:tcBorders>
              <w:bottom w:val="single" w:sz="8" w:color="D4EFF4"/>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28</w:t>
            </w:r>
          </w:p>
        </w:tc>
        <w:tc>
          <w:tcPr>
            <w:tcW w:w="2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28</w:t>
            </w:r>
          </w:p>
        </w:tc>
        <w:tc>
          <w:tcPr>
            <w:tcW w:w="2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20" w:type="dxa"/>
            <w:vAlign w:val="bottom"/>
            <w:tcBorders>
              <w:bottom w:val="single" w:sz="8" w:color="D4EFF4"/>
            </w:tcBorders>
            <w:shd w:val="clear" w:color="auto" w:fill="D4EFF4"/>
          </w:tcPr>
          <w:p>
            <w:pPr>
              <w:spacing w:after="0"/>
              <w:rPr>
                <w:sz w:val="21"/>
                <w:szCs w:val="21"/>
                <w:color w:val="auto"/>
              </w:rPr>
            </w:pPr>
          </w:p>
        </w:tc>
        <w:tc>
          <w:tcPr>
            <w:tcW w:w="2060" w:type="dxa"/>
            <w:vAlign w:val="bottom"/>
            <w:tcBorders>
              <w:bottom w:val="single" w:sz="8" w:color="D4EFF4"/>
            </w:tcBorders>
            <w:shd w:val="clear" w:color="auto" w:fill="D4EFF4"/>
          </w:tcPr>
          <w:p>
            <w:pPr>
              <w:spacing w:after="0"/>
              <w:rPr>
                <w:sz w:val="21"/>
                <w:szCs w:val="21"/>
                <w:color w:val="auto"/>
              </w:rPr>
            </w:pPr>
          </w:p>
        </w:tc>
        <w:tc>
          <w:tcPr>
            <w:tcW w:w="1240" w:type="dxa"/>
            <w:vAlign w:val="bottom"/>
            <w:tcBorders>
              <w:bottom w:val="single" w:sz="8" w:color="auto"/>
            </w:tcBorders>
            <w:shd w:val="clear" w:color="auto" w:fill="D4EFF4"/>
          </w:tcPr>
          <w:p>
            <w:pPr>
              <w:jc w:val="right"/>
              <w:ind w:right="1045"/>
              <w:spacing w:after="0"/>
              <w:rPr>
                <w:sz w:val="20"/>
                <w:szCs w:val="20"/>
                <w:color w:val="auto"/>
              </w:rPr>
            </w:pPr>
            <w:r>
              <w:rPr>
                <w:rFonts w:ascii="Times New Roman" w:cs="Times New Roman" w:eastAsia="Times New Roman" w:hAnsi="Times New Roman"/>
                <w:sz w:val="19"/>
                <w:szCs w:val="19"/>
                <w:color w:val="auto"/>
                <w:w w:val="83"/>
              </w:rPr>
              <w:t>$</w:t>
            </w:r>
          </w:p>
        </w:tc>
        <w:tc>
          <w:tcPr>
            <w:tcW w:w="600" w:type="dxa"/>
            <w:vAlign w:val="bottom"/>
            <w:tcBorders>
              <w:bottom w:val="single" w:sz="8" w:color="auto"/>
            </w:tcBorders>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511</w:t>
            </w:r>
          </w:p>
        </w:tc>
        <w:tc>
          <w:tcPr>
            <w:tcW w:w="26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1220" w:type="dxa"/>
            <w:vAlign w:val="bottom"/>
            <w:tcBorders>
              <w:bottom w:val="single" w:sz="8" w:color="auto"/>
            </w:tcBorders>
            <w:shd w:val="clear" w:color="auto" w:fill="D4EFF4"/>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572</w:t>
            </w:r>
          </w:p>
        </w:tc>
        <w:tc>
          <w:tcPr>
            <w:tcW w:w="26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360" w:type="dxa"/>
            <w:vAlign w:val="bottom"/>
            <w:tcBorders>
              <w:bottom w:val="single" w:sz="8" w:color="auto"/>
            </w:tcBorders>
            <w:shd w:val="clear" w:color="auto" w:fill="D4EFF4"/>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600</w:t>
            </w:r>
          </w:p>
        </w:tc>
        <w:tc>
          <w:tcPr>
            <w:tcW w:w="60" w:type="dxa"/>
            <w:vAlign w:val="bottom"/>
            <w:tcBorders>
              <w:bottom w:val="single" w:sz="8" w:color="auto"/>
            </w:tcBorders>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3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(In millions)</w:t>
            </w:r>
          </w:p>
        </w:tc>
        <w:tc>
          <w:tcPr>
            <w:tcW w:w="330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9"/>
                <w:szCs w:val="19"/>
                <w:color w:val="auto"/>
              </w:rPr>
              <w:t>2025</w:t>
            </w:r>
          </w:p>
        </w:tc>
        <w:tc>
          <w:tcPr>
            <w:tcW w:w="600" w:type="dxa"/>
            <w:vAlign w:val="bottom"/>
          </w:tcPr>
          <w:p>
            <w:pPr>
              <w:spacing w:after="0"/>
              <w:rPr>
                <w:sz w:val="20"/>
                <w:szCs w:val="20"/>
                <w:color w:val="auto"/>
              </w:rPr>
            </w:pPr>
          </w:p>
        </w:tc>
        <w:tc>
          <w:tcPr>
            <w:tcW w:w="1500" w:type="dxa"/>
            <w:vAlign w:val="bottom"/>
            <w:gridSpan w:val="3"/>
            <w:vMerge w:val="restart"/>
          </w:tcPr>
          <w:p>
            <w:pPr>
              <w:jc w:val="right"/>
              <w:ind w:right="96"/>
              <w:spacing w:after="0"/>
              <w:rPr>
                <w:sz w:val="20"/>
                <w:szCs w:val="20"/>
                <w:color w:val="auto"/>
              </w:rPr>
            </w:pPr>
            <w:r>
              <w:rPr>
                <w:rFonts w:ascii="Times New Roman" w:cs="Times New Roman" w:eastAsia="Times New Roman" w:hAnsi="Times New Roman"/>
                <w:sz w:val="19"/>
                <w:szCs w:val="19"/>
                <w:color w:val="auto"/>
              </w:rPr>
              <w:t>2024</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vMerge w:val="restart"/>
          </w:tcPr>
          <w:p>
            <w:pPr>
              <w:jc w:val="right"/>
              <w:ind w:right="564"/>
              <w:spacing w:after="0"/>
              <w:rPr>
                <w:sz w:val="20"/>
                <w:szCs w:val="20"/>
                <w:color w:val="auto"/>
              </w:rPr>
            </w:pPr>
            <w:r>
              <w:rPr>
                <w:rFonts w:ascii="Times New Roman" w:cs="Times New Roman" w:eastAsia="Times New Roman" w:hAnsi="Times New Roman"/>
                <w:sz w:val="19"/>
                <w:szCs w:val="19"/>
                <w:color w:val="auto"/>
              </w:rPr>
              <w:t>2023</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20" w:type="dxa"/>
            <w:vAlign w:val="bottom"/>
            <w:vMerge w:val="continue"/>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3300" w:type="dxa"/>
            <w:vAlign w:val="bottom"/>
            <w:gridSpan w:val="2"/>
          </w:tcPr>
          <w:p>
            <w:pPr>
              <w:jc w:val="center"/>
              <w:ind w:left="1265"/>
              <w:spacing w:after="0" w:line="214" w:lineRule="exact"/>
              <w:rPr>
                <w:sz w:val="20"/>
                <w:szCs w:val="20"/>
                <w:color w:val="auto"/>
              </w:rPr>
            </w:pPr>
            <w:r>
              <w:rPr>
                <w:rFonts w:ascii="Times New Roman" w:cs="Times New Roman" w:eastAsia="Times New Roman" w:hAnsi="Times New Roman"/>
                <w:sz w:val="19"/>
                <w:szCs w:val="19"/>
                <w:color w:val="auto"/>
                <w:w w:val="98"/>
              </w:rPr>
              <w:t>Intermediates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shd w:val="clear" w:color="auto" w:fill="D4EFF4"/>
          </w:tcPr>
          <w:p>
            <w:pPr>
              <w:spacing w:after="0"/>
              <w:rPr>
                <w:sz w:val="20"/>
                <w:szCs w:val="20"/>
                <w:color w:val="auto"/>
              </w:rPr>
            </w:pPr>
            <w:r>
              <w:rPr>
                <w:rFonts w:ascii="Times New Roman" w:cs="Times New Roman" w:eastAsia="Times New Roman" w:hAnsi="Times New Roman"/>
                <w:sz w:val="19"/>
                <w:szCs w:val="19"/>
                <w:color w:val="auto"/>
              </w:rPr>
              <w:t>North America</w:t>
            </w:r>
          </w:p>
        </w:tc>
        <w:tc>
          <w:tcPr>
            <w:tcW w:w="3300" w:type="dxa"/>
            <w:vAlign w:val="bottom"/>
            <w:gridSpan w:val="2"/>
            <w:shd w:val="clear" w:color="auto" w:fill="D4EFF4"/>
          </w:tcPr>
          <w:p>
            <w:pPr>
              <w:jc w:val="right"/>
              <w:ind w:right="1045"/>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90</w:t>
            </w:r>
          </w:p>
        </w:tc>
        <w:tc>
          <w:tcPr>
            <w:tcW w:w="1500" w:type="dxa"/>
            <w:vAlign w:val="bottom"/>
            <w:gridSpan w:val="3"/>
            <w:shd w:val="clear" w:color="auto" w:fill="D4EFF4"/>
          </w:tcPr>
          <w:p>
            <w:pPr>
              <w:jc w:val="right"/>
              <w:ind w:right="1056"/>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103</w:t>
            </w:r>
          </w:p>
        </w:tc>
        <w:tc>
          <w:tcPr>
            <w:tcW w:w="640" w:type="dxa"/>
            <w:vAlign w:val="bottom"/>
            <w:gridSpan w:val="3"/>
            <w:shd w:val="clear" w:color="auto" w:fill="D4EFF4"/>
          </w:tcPr>
          <w:p>
            <w:pPr>
              <w:jc w:val="right"/>
              <w:ind w:right="195"/>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128</w:t>
            </w:r>
          </w:p>
        </w:tc>
        <w:tc>
          <w:tcPr>
            <w:tcW w:w="6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9"/>
                <w:szCs w:val="19"/>
                <w:color w:val="auto"/>
              </w:rPr>
              <w:t>Europe</w:t>
            </w: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D4EFF4"/>
          </w:tcPr>
          <w:p>
            <w:pPr>
              <w:spacing w:after="0"/>
              <w:rPr>
                <w:sz w:val="20"/>
                <w:szCs w:val="20"/>
                <w:color w:val="auto"/>
              </w:rPr>
            </w:pPr>
            <w:r>
              <w:rPr>
                <w:rFonts w:ascii="Times New Roman" w:cs="Times New Roman" w:eastAsia="Times New Roman" w:hAnsi="Times New Roman"/>
                <w:sz w:val="19"/>
                <w:szCs w:val="19"/>
                <w:color w:val="auto"/>
              </w:rPr>
              <w:t>Asia Pacific</w:t>
            </w:r>
          </w:p>
        </w:tc>
        <w:tc>
          <w:tcPr>
            <w:tcW w:w="2060" w:type="dxa"/>
            <w:vAlign w:val="bottom"/>
            <w:shd w:val="clear" w:color="auto" w:fill="D4EFF4"/>
          </w:tcPr>
          <w:p>
            <w:pPr>
              <w:spacing w:after="0"/>
              <w:rPr>
                <w:sz w:val="20"/>
                <w:szCs w:val="20"/>
                <w:color w:val="auto"/>
              </w:rPr>
            </w:pPr>
          </w:p>
        </w:tc>
        <w:tc>
          <w:tcPr>
            <w:tcW w:w="1240" w:type="dxa"/>
            <w:vAlign w:val="bottom"/>
            <w:shd w:val="clear" w:color="auto" w:fill="D4EFF4"/>
          </w:tcPr>
          <w:p>
            <w:pPr>
              <w:spacing w:after="0"/>
              <w:rPr>
                <w:sz w:val="20"/>
                <w:szCs w:val="20"/>
                <w:color w:val="auto"/>
              </w:rPr>
            </w:pP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14</w:t>
            </w:r>
          </w:p>
        </w:tc>
        <w:tc>
          <w:tcPr>
            <w:tcW w:w="2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20" w:type="dxa"/>
            <w:vAlign w:val="bottom"/>
            <w:shd w:val="clear" w:color="auto" w:fill="D4EFF4"/>
          </w:tcPr>
          <w:p>
            <w:pPr>
              <w:spacing w:after="0"/>
              <w:rPr>
                <w:sz w:val="20"/>
                <w:szCs w:val="20"/>
                <w:color w:val="auto"/>
              </w:rPr>
            </w:pPr>
          </w:p>
        </w:tc>
        <w:tc>
          <w:tcPr>
            <w:tcW w:w="600" w:type="dxa"/>
            <w:vAlign w:val="bottom"/>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16</w:t>
            </w:r>
          </w:p>
        </w:tc>
        <w:tc>
          <w:tcPr>
            <w:tcW w:w="2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360" w:type="dxa"/>
            <w:vAlign w:val="bottom"/>
            <w:shd w:val="clear" w:color="auto" w:fill="D4EFF4"/>
          </w:tcPr>
          <w:p>
            <w:pPr>
              <w:spacing w:after="0"/>
              <w:rPr>
                <w:sz w:val="20"/>
                <w:szCs w:val="20"/>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6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9"/>
                <w:szCs w:val="19"/>
                <w:color w:val="auto"/>
              </w:rPr>
              <w:t>Latin America &amp; other</w:t>
            </w:r>
          </w:p>
        </w:tc>
        <w:tc>
          <w:tcPr>
            <w:tcW w:w="2060" w:type="dxa"/>
            <w:vAlign w:val="bottom"/>
            <w:tcBorders>
              <w:bottom w:val="single" w:sz="8" w:color="D4EFF4"/>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7</w:t>
            </w:r>
          </w:p>
        </w:tc>
        <w:tc>
          <w:tcPr>
            <w:tcW w:w="2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4</w:t>
            </w:r>
          </w:p>
        </w:tc>
        <w:tc>
          <w:tcPr>
            <w:tcW w:w="2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20" w:type="dxa"/>
            <w:vAlign w:val="bottom"/>
            <w:tcBorders>
              <w:bottom w:val="single" w:sz="8" w:color="D4EFF4"/>
            </w:tcBorders>
            <w:shd w:val="clear" w:color="auto" w:fill="D4EFF4"/>
          </w:tcPr>
          <w:p>
            <w:pPr>
              <w:spacing w:after="0"/>
              <w:rPr>
                <w:sz w:val="21"/>
                <w:szCs w:val="21"/>
                <w:color w:val="auto"/>
              </w:rPr>
            </w:pPr>
          </w:p>
        </w:tc>
        <w:tc>
          <w:tcPr>
            <w:tcW w:w="2060" w:type="dxa"/>
            <w:vAlign w:val="bottom"/>
            <w:tcBorders>
              <w:bottom w:val="single" w:sz="8" w:color="D4EFF4"/>
            </w:tcBorders>
            <w:shd w:val="clear" w:color="auto" w:fill="D4EFF4"/>
          </w:tcPr>
          <w:p>
            <w:pPr>
              <w:spacing w:after="0"/>
              <w:rPr>
                <w:sz w:val="21"/>
                <w:szCs w:val="21"/>
                <w:color w:val="auto"/>
              </w:rPr>
            </w:pPr>
          </w:p>
        </w:tc>
        <w:tc>
          <w:tcPr>
            <w:tcW w:w="1240" w:type="dxa"/>
            <w:vAlign w:val="bottom"/>
            <w:tcBorders>
              <w:bottom w:val="single" w:sz="8" w:color="auto"/>
            </w:tcBorders>
            <w:shd w:val="clear" w:color="auto" w:fill="D4EFF4"/>
          </w:tcPr>
          <w:p>
            <w:pPr>
              <w:jc w:val="right"/>
              <w:ind w:right="1045"/>
              <w:spacing w:after="0"/>
              <w:rPr>
                <w:sz w:val="20"/>
                <w:szCs w:val="20"/>
                <w:color w:val="auto"/>
              </w:rPr>
            </w:pPr>
            <w:r>
              <w:rPr>
                <w:rFonts w:ascii="Times New Roman" w:cs="Times New Roman" w:eastAsia="Times New Roman" w:hAnsi="Times New Roman"/>
                <w:sz w:val="19"/>
                <w:szCs w:val="19"/>
                <w:color w:val="auto"/>
                <w:w w:val="83"/>
              </w:rPr>
              <w:t>$</w:t>
            </w:r>
          </w:p>
        </w:tc>
        <w:tc>
          <w:tcPr>
            <w:tcW w:w="600" w:type="dxa"/>
            <w:vAlign w:val="bottom"/>
            <w:tcBorders>
              <w:bottom w:val="single" w:sz="8" w:color="auto"/>
            </w:tcBorders>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137</w:t>
            </w:r>
          </w:p>
        </w:tc>
        <w:tc>
          <w:tcPr>
            <w:tcW w:w="26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1220" w:type="dxa"/>
            <w:vAlign w:val="bottom"/>
            <w:tcBorders>
              <w:bottom w:val="single" w:sz="8" w:color="auto"/>
            </w:tcBorders>
            <w:shd w:val="clear" w:color="auto" w:fill="D4EFF4"/>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D4EFF4"/>
          </w:tcPr>
          <w:p>
            <w:pPr>
              <w:jc w:val="right"/>
              <w:ind w:right="25"/>
              <w:spacing w:after="0"/>
              <w:rPr>
                <w:sz w:val="20"/>
                <w:szCs w:val="20"/>
                <w:color w:val="auto"/>
              </w:rPr>
            </w:pPr>
            <w:r>
              <w:rPr>
                <w:rFonts w:ascii="Times New Roman" w:cs="Times New Roman" w:eastAsia="Times New Roman" w:hAnsi="Times New Roman"/>
                <w:sz w:val="19"/>
                <w:szCs w:val="19"/>
                <w:color w:val="auto"/>
              </w:rPr>
              <w:t>144</w:t>
            </w:r>
          </w:p>
        </w:tc>
        <w:tc>
          <w:tcPr>
            <w:tcW w:w="26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360" w:type="dxa"/>
            <w:vAlign w:val="bottom"/>
            <w:tcBorders>
              <w:bottom w:val="single" w:sz="8" w:color="auto"/>
            </w:tcBorders>
            <w:shd w:val="clear" w:color="auto" w:fill="D4EFF4"/>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185</w:t>
            </w:r>
          </w:p>
        </w:tc>
        <w:tc>
          <w:tcPr>
            <w:tcW w:w="60" w:type="dxa"/>
            <w:vAlign w:val="bottom"/>
            <w:tcBorders>
              <w:bottom w:val="single" w:sz="8" w:color="auto"/>
            </w:tcBorders>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3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584200</wp:posOffset>
            </wp:positionV>
            <wp:extent cx="722058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498">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-4852035</wp:posOffset>
            </wp:positionV>
            <wp:extent cx="722058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499">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-4703445</wp:posOffset>
            </wp:positionV>
            <wp:extent cx="722058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500">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-4555490</wp:posOffset>
            </wp:positionV>
            <wp:extent cx="722058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501">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-3631565</wp:posOffset>
            </wp:positionV>
            <wp:extent cx="722058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502">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-3482975</wp:posOffset>
            </wp:positionV>
            <wp:extent cx="722058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503">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-3335020</wp:posOffset>
            </wp:positionV>
            <wp:extent cx="722058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504">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-2386330</wp:posOffset>
            </wp:positionV>
            <wp:extent cx="722058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505">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-2238375</wp:posOffset>
            </wp:positionV>
            <wp:extent cx="722058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506">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-2089785</wp:posOffset>
            </wp:positionV>
            <wp:extent cx="722058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507">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-1141095</wp:posOffset>
            </wp:positionV>
            <wp:extent cx="722058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508">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-993140</wp:posOffset>
            </wp:positionV>
            <wp:extent cx="722058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509">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-844550</wp:posOffset>
            </wp:positionV>
            <wp:extent cx="722058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510">
                      <a:extLst>
                        <a:ext uri="{28A0092B-C50C-407E-A947-70E740481C1C}"/>
                      </a:extLst>
                    </a:blip>
                    <a:srcRect/>
                    <a:stretch>
                      <a:fillRect/>
                    </a:stretch>
                  </pic:blipFill>
                  <pic:spPr bwMode="auto">
                    <a:xfrm>
                      <a:off x="0" y="0"/>
                      <a:ext cx="722058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-22860</wp:posOffset>
            </wp:positionV>
            <wp:extent cx="722058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511">
                      <a:extLst>
                        <a:ext uri="{28A0092B-C50C-407E-A947-70E740481C1C}"/>
                      </a:extLst>
                    </a:blip>
                    <a:srcRect/>
                    <a:stretch>
                      <a:fillRect/>
                    </a:stretch>
                  </pic:blipFill>
                  <pic:spPr bwMode="auto">
                    <a:xfrm>
                      <a:off x="0" y="0"/>
                      <a:ext cx="7220585" cy="38100"/>
                    </a:xfrm>
                    <a:prstGeom prst="rect">
                      <a:avLst/>
                    </a:prstGeom>
                    <a:noFill/>
                  </pic:spPr>
                </pic:pic>
              </a:graphicData>
            </a:graphic>
          </wp:anchor>
        </w:drawing>
      </w:r>
    </w:p>
    <w:p>
      <w:pPr>
        <w:spacing w:after="0" w:line="88"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Ashland has two product categories that represented 10% or greater of Ashland's total consolidated sales, which were cellulosics and polyvinylprrolidones (PVP). The following table summarizes the percentage of Ashland's total consolidated sales by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29210</wp:posOffset>
            </wp:positionV>
            <wp:extent cx="7242810"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512">
                      <a:extLst>
                        <a:ext uri="{28A0092B-C50C-407E-A947-70E740481C1C}"/>
                      </a:extLst>
                    </a:blip>
                    <a:srcRect/>
                    <a:stretch>
                      <a:fillRect/>
                    </a:stretch>
                  </pic:blipFill>
                  <pic:spPr bwMode="auto">
                    <a:xfrm>
                      <a:off x="0" y="0"/>
                      <a:ext cx="7242810" cy="3810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4240" w:type="dxa"/>
            <w:vAlign w:val="bottom"/>
            <w:gridSpan w:val="2"/>
          </w:tcPr>
          <w:p>
            <w:pPr>
              <w:jc w:val="right"/>
              <w:ind w:right="885"/>
              <w:spacing w:after="0"/>
              <w:rPr>
                <w:sz w:val="20"/>
                <w:szCs w:val="20"/>
                <w:color w:val="auto"/>
              </w:rPr>
            </w:pPr>
            <w:r>
              <w:rPr>
                <w:rFonts w:ascii="Times New Roman" w:cs="Times New Roman" w:eastAsia="Times New Roman" w:hAnsi="Times New Roman"/>
                <w:sz w:val="19"/>
                <w:szCs w:val="19"/>
                <w:color w:val="auto"/>
              </w:rPr>
              <w:t>Sales by product</w:t>
            </w: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9"/>
                <w:szCs w:val="19"/>
                <w:color w:val="auto"/>
              </w:rPr>
              <w:t>(In millions)</w:t>
            </w:r>
          </w:p>
        </w:tc>
        <w:tc>
          <w:tcPr>
            <w:tcW w:w="4240" w:type="dxa"/>
            <w:vAlign w:val="bottom"/>
            <w:gridSpan w:val="2"/>
          </w:tcPr>
          <w:p>
            <w:pPr>
              <w:jc w:val="right"/>
              <w:ind w:right="765"/>
              <w:spacing w:after="0"/>
              <w:rPr>
                <w:sz w:val="20"/>
                <w:szCs w:val="20"/>
                <w:color w:val="auto"/>
              </w:rPr>
            </w:pPr>
            <w:r>
              <w:rPr>
                <w:rFonts w:ascii="Times New Roman" w:cs="Times New Roman" w:eastAsia="Times New Roman" w:hAnsi="Times New Roman"/>
                <w:sz w:val="19"/>
                <w:szCs w:val="19"/>
                <w:color w:val="auto"/>
              </w:rPr>
              <w:t>2025</w:t>
            </w:r>
          </w:p>
        </w:tc>
        <w:tc>
          <w:tcPr>
            <w:tcW w:w="2100" w:type="dxa"/>
            <w:vAlign w:val="bottom"/>
            <w:gridSpan w:val="2"/>
          </w:tcPr>
          <w:p>
            <w:pPr>
              <w:jc w:val="right"/>
              <w:ind w:right="765"/>
              <w:spacing w:after="0"/>
              <w:rPr>
                <w:sz w:val="20"/>
                <w:szCs w:val="20"/>
                <w:color w:val="auto"/>
              </w:rPr>
            </w:pPr>
            <w:r>
              <w:rPr>
                <w:rFonts w:ascii="Times New Roman" w:cs="Times New Roman" w:eastAsia="Times New Roman" w:hAnsi="Times New Roman"/>
                <w:sz w:val="19"/>
                <w:szCs w:val="19"/>
                <w:color w:val="auto"/>
              </w:rPr>
              <w:t>2024</w:t>
            </w:r>
          </w:p>
        </w:tc>
        <w:tc>
          <w:tcPr>
            <w:tcW w:w="1880" w:type="dxa"/>
            <w:vAlign w:val="bottom"/>
            <w:gridSpan w:val="2"/>
          </w:tcPr>
          <w:p>
            <w:pPr>
              <w:jc w:val="right"/>
              <w:ind w:right="525"/>
              <w:spacing w:after="0"/>
              <w:rPr>
                <w:sz w:val="20"/>
                <w:szCs w:val="20"/>
                <w:color w:val="auto"/>
              </w:rPr>
            </w:pPr>
            <w:r>
              <w:rPr>
                <w:rFonts w:ascii="Times New Roman" w:cs="Times New Roman" w:eastAsia="Times New Roman" w:hAnsi="Times New Roman"/>
                <w:sz w:val="19"/>
                <w:szCs w:val="19"/>
                <w:color w:val="auto"/>
              </w:rPr>
              <w:t>2023</w:t>
            </w:r>
          </w:p>
        </w:tc>
        <w:tc>
          <w:tcPr>
            <w:tcW w:w="200" w:type="dxa"/>
            <w:vAlign w:val="bottom"/>
            <w:tcBorders>
              <w:bottom w:val="single" w:sz="8" w:color="auto"/>
            </w:tcBorders>
          </w:tcPr>
          <w:p>
            <w:pPr>
              <w:spacing w:after="0"/>
              <w:rPr>
                <w:sz w:val="19"/>
                <w:szCs w:val="19"/>
                <w:color w:val="auto"/>
              </w:rPr>
            </w:pPr>
          </w:p>
        </w:tc>
      </w:tr>
      <w:tr>
        <w:trPr>
          <w:trHeight w:val="278"/>
        </w:trPr>
        <w:tc>
          <w:tcPr>
            <w:tcW w:w="2940" w:type="dxa"/>
            <w:vAlign w:val="bottom"/>
            <w:shd w:val="clear" w:color="auto" w:fill="D4EFF4"/>
          </w:tcPr>
          <w:p>
            <w:pPr>
              <w:ind w:left="100"/>
              <w:spacing w:after="0"/>
              <w:rPr>
                <w:sz w:val="20"/>
                <w:szCs w:val="20"/>
                <w:color w:val="auto"/>
              </w:rPr>
            </w:pPr>
            <w:r>
              <w:rPr>
                <w:rFonts w:ascii="Times New Roman" w:cs="Times New Roman" w:eastAsia="Times New Roman" w:hAnsi="Times New Roman"/>
                <w:sz w:val="19"/>
                <w:szCs w:val="19"/>
                <w:color w:val="auto"/>
              </w:rPr>
              <w:t>Cellulosics</w:t>
            </w:r>
          </w:p>
        </w:tc>
        <w:tc>
          <w:tcPr>
            <w:tcW w:w="424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39%</w:t>
            </w:r>
          </w:p>
        </w:tc>
        <w:tc>
          <w:tcPr>
            <w:tcW w:w="210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2080" w:type="dxa"/>
            <w:vAlign w:val="bottom"/>
            <w:gridSpan w:val="3"/>
            <w:shd w:val="clear" w:color="auto" w:fill="D4EFF4"/>
          </w:tcPr>
          <w:p>
            <w:pPr>
              <w:jc w:val="right"/>
              <w:ind w:right="40"/>
              <w:spacing w:after="0"/>
              <w:rPr>
                <w:sz w:val="20"/>
                <w:szCs w:val="20"/>
                <w:color w:val="auto"/>
              </w:rPr>
            </w:pPr>
            <w:r>
              <w:rPr>
                <w:rFonts w:ascii="Times New Roman" w:cs="Times New Roman" w:eastAsia="Times New Roman" w:hAnsi="Times New Roman"/>
                <w:sz w:val="19"/>
                <w:szCs w:val="19"/>
                <w:color w:val="auto"/>
              </w:rPr>
              <w:t>37%</w:t>
            </w:r>
          </w:p>
        </w:tc>
      </w:tr>
      <w:tr>
        <w:trPr>
          <w:trHeight w:val="283"/>
        </w:trPr>
        <w:tc>
          <w:tcPr>
            <w:tcW w:w="2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PVP</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208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25%</w:t>
            </w:r>
          </w:p>
        </w:tc>
      </w:tr>
      <w:tr>
        <w:trPr>
          <w:trHeight w:val="298"/>
        </w:trPr>
        <w:tc>
          <w:tcPr>
            <w:tcW w:w="2940" w:type="dxa"/>
            <w:vAlign w:val="bottom"/>
            <w:tcBorders>
              <w:top w:val="single" w:sz="8" w:color="D4EFF4"/>
              <w:bottom w:val="single" w:sz="8" w:color="D4EFF4"/>
            </w:tcBorders>
            <w:shd w:val="clear" w:color="auto" w:fill="D4EFF4"/>
          </w:tcPr>
          <w:p>
            <w:pPr>
              <w:spacing w:after="0"/>
              <w:rPr>
                <w:sz w:val="24"/>
                <w:szCs w:val="24"/>
                <w:color w:val="auto"/>
              </w:rPr>
            </w:pPr>
          </w:p>
        </w:tc>
        <w:tc>
          <w:tcPr>
            <w:tcW w:w="2380" w:type="dxa"/>
            <w:vAlign w:val="bottom"/>
            <w:tcBorders>
              <w:top w:val="single" w:sz="8" w:color="D4EFF4"/>
              <w:bottom w:val="single" w:sz="8" w:color="D4EFF4"/>
            </w:tcBorders>
            <w:shd w:val="clear" w:color="auto" w:fill="D4EFF4"/>
          </w:tcPr>
          <w:p>
            <w:pPr>
              <w:spacing w:after="0"/>
              <w:rPr>
                <w:sz w:val="24"/>
                <w:szCs w:val="24"/>
                <w:color w:val="auto"/>
              </w:rPr>
            </w:pPr>
          </w:p>
        </w:tc>
        <w:tc>
          <w:tcPr>
            <w:tcW w:w="186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260" w:type="dxa"/>
            <w:vAlign w:val="bottom"/>
            <w:tcBorders>
              <w:top w:val="single" w:sz="8" w:color="D4EFF4"/>
              <w:bottom w:val="single" w:sz="8" w:color="D4EFF4"/>
            </w:tcBorders>
            <w:shd w:val="clear" w:color="auto" w:fill="D4EFF4"/>
          </w:tcPr>
          <w:p>
            <w:pPr>
              <w:spacing w:after="0"/>
              <w:rPr>
                <w:sz w:val="24"/>
                <w:szCs w:val="24"/>
                <w:color w:val="auto"/>
              </w:rPr>
            </w:pPr>
          </w:p>
        </w:tc>
        <w:tc>
          <w:tcPr>
            <w:tcW w:w="184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9"/>
                <w:szCs w:val="19"/>
                <w:color w:val="auto"/>
              </w:rPr>
              <w:t>60%</w:t>
            </w:r>
          </w:p>
        </w:tc>
        <w:tc>
          <w:tcPr>
            <w:tcW w:w="260" w:type="dxa"/>
            <w:vAlign w:val="bottom"/>
            <w:tcBorders>
              <w:top w:val="single" w:sz="8" w:color="D4EFF4"/>
              <w:bottom w:val="single" w:sz="8" w:color="D4EFF4"/>
            </w:tcBorders>
            <w:shd w:val="clear" w:color="auto" w:fill="D4EFF4"/>
          </w:tcPr>
          <w:p>
            <w:pPr>
              <w:spacing w:after="0"/>
              <w:rPr>
                <w:sz w:val="24"/>
                <w:szCs w:val="24"/>
                <w:color w:val="auto"/>
              </w:rPr>
            </w:pPr>
          </w:p>
        </w:tc>
        <w:tc>
          <w:tcPr>
            <w:tcW w:w="1820" w:type="dxa"/>
            <w:vAlign w:val="bottom"/>
            <w:tcBorders>
              <w:top w:val="single" w:sz="8" w:color="auto"/>
              <w:bottom w:val="single" w:sz="8" w:color="auto"/>
            </w:tcBorders>
            <w:gridSpan w:val="2"/>
            <w:shd w:val="clear" w:color="auto" w:fill="D4EFF4"/>
          </w:tcPr>
          <w:p>
            <w:pPr>
              <w:jc w:val="right"/>
              <w:ind w:right="40"/>
              <w:spacing w:after="0"/>
              <w:rPr>
                <w:sz w:val="20"/>
                <w:szCs w:val="20"/>
                <w:color w:val="auto"/>
              </w:rPr>
            </w:pPr>
            <w:r>
              <w:rPr>
                <w:rFonts w:ascii="Times New Roman" w:cs="Times New Roman" w:eastAsia="Times New Roman" w:hAnsi="Times New Roman"/>
                <w:sz w:val="19"/>
                <w:szCs w:val="19"/>
                <w:color w:val="auto"/>
              </w:rPr>
              <w:t>62%</w:t>
            </w:r>
          </w:p>
        </w:tc>
      </w:tr>
      <w:tr>
        <w:trPr>
          <w:trHeight w:val="20"/>
        </w:trPr>
        <w:tc>
          <w:tcPr>
            <w:tcW w:w="2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48"/>
        </w:trPr>
        <w:tc>
          <w:tcPr>
            <w:tcW w:w="29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-819150</wp:posOffset>
            </wp:positionV>
            <wp:extent cx="7132320"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513">
                      <a:extLst>
                        <a:ext uri="{28A0092B-C50C-407E-A947-70E740481C1C}"/>
                      </a:extLst>
                    </a:blip>
                    <a:srcRect/>
                    <a:stretch>
                      <a:fillRect/>
                    </a:stretch>
                  </pic:blipFill>
                  <pic:spPr bwMode="auto">
                    <a:xfrm>
                      <a:off x="0" y="0"/>
                      <a:ext cx="713232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-661670</wp:posOffset>
            </wp:positionV>
            <wp:extent cx="7132320"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514">
                      <a:extLst>
                        <a:ext uri="{28A0092B-C50C-407E-A947-70E740481C1C}"/>
                      </a:extLst>
                    </a:blip>
                    <a:srcRect/>
                    <a:stretch>
                      <a:fillRect/>
                    </a:stretch>
                  </pic:blipFill>
                  <pic:spPr bwMode="auto">
                    <a:xfrm>
                      <a:off x="0" y="0"/>
                      <a:ext cx="713232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-22860</wp:posOffset>
            </wp:positionV>
            <wp:extent cx="7132320"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515">
                      <a:extLst>
                        <a:ext uri="{28A0092B-C50C-407E-A947-70E740481C1C}"/>
                      </a:extLst>
                    </a:blip>
                    <a:srcRect/>
                    <a:stretch>
                      <a:fillRect/>
                    </a:stretch>
                  </pic:blipFill>
                  <pic:spPr bwMode="auto">
                    <a:xfrm>
                      <a:off x="0" y="0"/>
                      <a:ext cx="7132320" cy="3810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Q – REPORTABLE SEGMENT INFORMATION</w:t>
      </w:r>
    </w:p>
    <w:p>
      <w:pPr>
        <w:spacing w:after="0" w:line="170"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20"/>
          <w:szCs w:val="20"/>
          <w:color w:val="auto"/>
        </w:rPr>
        <w:t>Ashland determines its reportable segments based on how operations are managed internally for the products and services sold to customers, including how the results are reviewed by Guillermo Novo, Chair and Chief Executive Officer of the Company, which includes determining resource allocation methodologies used for reportable segments. Operating income (loss)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 business descriptions</w:t>
      </w:r>
    </w:p>
    <w:p>
      <w:pPr>
        <w:spacing w:after="0" w:line="170"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w:t>
      </w:r>
    </w:p>
    <w:p>
      <w:pPr>
        <w:sectPr>
          <w:pgSz w:w="12240" w:h="15840" w:orient="portrait"/>
          <w:cols w:equalWidth="0" w:num="1">
            <w:col w:w="11360"/>
          </w:cols>
          <w:pgMar w:left="440" w:top="922" w:right="440" w:bottom="186"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F-52</w:t>
      </w:r>
    </w:p>
    <w:p>
      <w:pPr>
        <w:sectPr>
          <w:pgSz w:w="12240" w:h="15840" w:orient="portrait"/>
          <w:cols w:equalWidth="0" w:num="1">
            <w:col w:w="11360"/>
          </w:cols>
          <w:pgMar w:left="440" w:top="922" w:right="440" w:bottom="186" w:gutter="0" w:footer="0" w:header="0"/>
          <w:type w:val="continuous"/>
        </w:sectPr>
      </w:pPr>
    </w:p>
    <w:bookmarkStart w:id="154" w:name="page155"/>
    <w:bookmarkEnd w:id="154"/>
    <w:p>
      <w:pPr>
        <w:jc w:val="both"/>
        <w:spacing w:after="0" w:line="325" w:lineRule="auto"/>
        <w:rPr>
          <w:sz w:val="20"/>
          <w:szCs w:val="20"/>
          <w:color w:val="auto"/>
        </w:rPr>
      </w:pPr>
      <w:r>
        <w:rPr>
          <w:rFonts w:ascii="Times New Roman" w:cs="Times New Roman" w:eastAsia="Times New Roman" w:hAnsi="Times New Roman"/>
          <w:sz w:val="20"/>
          <w:szCs w:val="20"/>
          <w:color w:val="auto"/>
        </w:rPr>
        <w:t>controlling moisture migration, reducing oil uptake and binding structured foods. Customers include pharmaceutical, food, beverage, hospitals and radiologists manufacturers. The nutraceuticals business was sold in August 2024. See Note B for additional details.</w:t>
      </w:r>
    </w:p>
    <w:p>
      <w:pPr>
        <w:spacing w:after="0" w:line="49" w:lineRule="exact"/>
        <w:rPr>
          <w:sz w:val="20"/>
          <w:szCs w:val="20"/>
          <w:color w:val="auto"/>
        </w:rPr>
      </w:pPr>
    </w:p>
    <w:p>
      <w:pPr>
        <w:jc w:val="both"/>
        <w:ind w:firstLine="360"/>
        <w:spacing w:after="0" w:line="294" w:lineRule="auto"/>
        <w:rPr>
          <w:sz w:val="20"/>
          <w:szCs w:val="20"/>
          <w:color w:val="auto"/>
        </w:rPr>
      </w:pPr>
      <w:r>
        <w:rPr>
          <w:rFonts w:ascii="Times New Roman" w:cs="Times New Roman" w:eastAsia="Times New Roman" w:hAnsi="Times New Roman"/>
          <w:sz w:val="20"/>
          <w:szCs w:val="20"/>
          <w:color w:val="auto"/>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 See Note B for additional details.</w:t>
      </w:r>
    </w:p>
    <w:p>
      <w:pPr>
        <w:spacing w:after="0" w:line="80" w:lineRule="exact"/>
        <w:rPr>
          <w:sz w:val="20"/>
          <w:szCs w:val="20"/>
          <w:color w:val="auto"/>
        </w:rPr>
      </w:pPr>
    </w:p>
    <w:p>
      <w:pPr>
        <w:jc w:val="both"/>
        <w:ind w:firstLine="360"/>
        <w:spacing w:after="0" w:line="309" w:lineRule="auto"/>
        <w:rPr>
          <w:sz w:val="20"/>
          <w:szCs w:val="20"/>
          <w:color w:val="auto"/>
        </w:rPr>
      </w:pPr>
      <w:r>
        <w:rPr>
          <w:rFonts w:ascii="Times New Roman" w:cs="Times New Roman" w:eastAsia="Times New Roman" w:hAnsi="Times New Roman"/>
          <w:sz w:val="19"/>
          <w:szCs w:val="19"/>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spacing w:after="0" w:line="72" w:lineRule="exact"/>
        <w:rPr>
          <w:sz w:val="20"/>
          <w:szCs w:val="20"/>
          <w:color w:val="auto"/>
        </w:rPr>
      </w:pPr>
    </w:p>
    <w:p>
      <w:pPr>
        <w:jc w:val="both"/>
        <w:ind w:firstLine="360"/>
        <w:spacing w:after="0" w:line="300" w:lineRule="auto"/>
        <w:rPr>
          <w:sz w:val="20"/>
          <w:szCs w:val="20"/>
          <w:color w:val="auto"/>
        </w:rPr>
      </w:pPr>
      <w:r>
        <w:rPr>
          <w:rFonts w:ascii="Times New Roman" w:cs="Times New Roman" w:eastAsia="Times New Roman" w:hAnsi="Times New Roman"/>
          <w:sz w:val="20"/>
          <w:szCs w:val="20"/>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spacing w:after="0" w:line="74"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International data</w:t>
      </w:r>
    </w:p>
    <w:p>
      <w:pPr>
        <w:spacing w:after="0" w:line="164" w:lineRule="exact"/>
        <w:rPr>
          <w:sz w:val="20"/>
          <w:szCs w:val="20"/>
          <w:color w:val="auto"/>
        </w:rPr>
      </w:pPr>
    </w:p>
    <w:p>
      <w:pPr>
        <w:jc w:val="both"/>
        <w:ind w:firstLine="360"/>
        <w:spacing w:after="0" w:line="325" w:lineRule="auto"/>
        <w:rPr>
          <w:sz w:val="20"/>
          <w:szCs w:val="20"/>
          <w:color w:val="auto"/>
        </w:rPr>
      </w:pPr>
      <w:r>
        <w:rPr>
          <w:rFonts w:ascii="Times New Roman" w:cs="Times New Roman" w:eastAsia="Times New Roman" w:hAnsi="Times New Roman"/>
          <w:sz w:val="20"/>
          <w:szCs w:val="20"/>
          <w:color w:val="auto"/>
        </w:rPr>
        <w:t>Information about Ashland’s domestic and international operations for the years ended September 30, are as follows. Ashland has no operations in any individual international country or single customer that represented more than 10% of sales in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29210</wp:posOffset>
            </wp:positionV>
            <wp:extent cx="7221220"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516">
                      <a:extLst>
                        <a:ext uri="{28A0092B-C50C-407E-A947-70E740481C1C}"/>
                      </a:extLst>
                    </a:blip>
                    <a:srcRect/>
                    <a:stretch>
                      <a:fillRect/>
                    </a:stretch>
                  </pic:blipFill>
                  <pic:spPr bwMode="auto">
                    <a:xfrm>
                      <a:off x="0" y="0"/>
                      <a:ext cx="7221220" cy="381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8"/>
          </w:tcPr>
          <w:p>
            <w:pPr>
              <w:jc w:val="right"/>
              <w:ind w:right="55"/>
              <w:spacing w:after="0" w:line="226" w:lineRule="exact"/>
              <w:rPr>
                <w:sz w:val="20"/>
                <w:szCs w:val="20"/>
                <w:color w:val="auto"/>
              </w:rPr>
            </w:pPr>
            <w:r>
              <w:rPr>
                <w:rFonts w:ascii="Times New Roman" w:cs="Times New Roman" w:eastAsia="Times New Roman" w:hAnsi="Times New Roman"/>
                <w:sz w:val="20"/>
                <w:szCs w:val="20"/>
                <w:color w:val="auto"/>
              </w:rPr>
              <w:t>Sales to external</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5"/>
          </w:tcPr>
          <w:p>
            <w:pPr>
              <w:jc w:val="right"/>
              <w:ind w:right="560"/>
              <w:spacing w:after="0" w:line="226" w:lineRule="exact"/>
              <w:rPr>
                <w:sz w:val="20"/>
                <w:szCs w:val="20"/>
                <w:color w:val="auto"/>
              </w:rPr>
            </w:pPr>
            <w:r>
              <w:rPr>
                <w:rFonts w:ascii="Times New Roman" w:cs="Times New Roman" w:eastAsia="Times New Roman" w:hAnsi="Times New Roman"/>
                <w:sz w:val="20"/>
                <w:szCs w:val="20"/>
                <w:color w:val="auto"/>
              </w:rPr>
              <w:t>Net assets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5"/>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Property, plant and</w:t>
            </w:r>
          </w:p>
        </w:tc>
        <w:tc>
          <w:tcPr>
            <w:tcW w:w="60" w:type="dxa"/>
            <w:vAlign w:val="bottom"/>
            <w:tcBorders>
              <w:top w:val="single" w:sz="8" w:color="auto"/>
            </w:tcBorders>
          </w:tcPr>
          <w:p>
            <w:pPr>
              <w:spacing w:after="0"/>
              <w:rPr>
                <w:sz w:val="19"/>
                <w:szCs w:val="19"/>
                <w:color w:val="auto"/>
              </w:rPr>
            </w:pPr>
          </w:p>
        </w:tc>
      </w:tr>
      <w:tr>
        <w:trPr>
          <w:trHeight w:val="250"/>
        </w:trPr>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5"/>
          </w:tcPr>
          <w:p>
            <w:pPr>
              <w:jc w:val="right"/>
              <w:ind w:right="520"/>
              <w:spacing w:after="0"/>
              <w:rPr>
                <w:sz w:val="20"/>
                <w:szCs w:val="20"/>
                <w:color w:val="auto"/>
              </w:rPr>
            </w:pPr>
            <w:r>
              <w:rPr>
                <w:rFonts w:ascii="Times New Roman" w:cs="Times New Roman" w:eastAsia="Times New Roman" w:hAnsi="Times New Roman"/>
                <w:sz w:val="20"/>
                <w:szCs w:val="20"/>
                <w:color w:val="auto"/>
              </w:rPr>
              <w:t>(liabilities)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20"/>
                <w:szCs w:val="20"/>
                <w:color w:val="auto"/>
              </w:rPr>
              <w:t>equipment - net</w:t>
            </w:r>
          </w:p>
        </w:tc>
      </w:tr>
      <w:tr>
        <w:trPr>
          <w:trHeight w:val="225"/>
        </w:trPr>
        <w:tc>
          <w:tcPr>
            <w:tcW w:w="41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(In millions)</w:t>
            </w:r>
          </w:p>
        </w:tc>
        <w:tc>
          <w:tcPr>
            <w:tcW w:w="160" w:type="dxa"/>
            <w:vAlign w:val="bottom"/>
          </w:tcPr>
          <w:p>
            <w:pPr>
              <w:spacing w:after="0"/>
              <w:rPr>
                <w:sz w:val="19"/>
                <w:szCs w:val="19"/>
                <w:color w:val="auto"/>
              </w:rPr>
            </w:pPr>
          </w:p>
        </w:tc>
        <w:tc>
          <w:tcPr>
            <w:tcW w:w="780" w:type="dxa"/>
            <w:vAlign w:val="bottom"/>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2023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40"/>
              <w:spacing w:after="0" w:line="225" w:lineRule="exact"/>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240"/>
              <w:spacing w:after="0" w:line="225" w:lineRule="exact"/>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bottom w:val="single" w:sz="8" w:color="auto"/>
            </w:tcBorders>
          </w:tcPr>
          <w:p>
            <w:pPr>
              <w:spacing w:after="0"/>
              <w:rPr>
                <w:sz w:val="19"/>
                <w:szCs w:val="19"/>
                <w:color w:val="auto"/>
              </w:rPr>
            </w:pPr>
          </w:p>
        </w:tc>
      </w:tr>
      <w:tr>
        <w:trPr>
          <w:trHeight w:val="225"/>
        </w:trPr>
        <w:tc>
          <w:tcPr>
            <w:tcW w:w="412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United States</w:t>
            </w:r>
          </w:p>
        </w:tc>
        <w:tc>
          <w:tcPr>
            <w:tcW w:w="1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464</w:t>
            </w:r>
          </w:p>
        </w:tc>
        <w:tc>
          <w:tcPr>
            <w:tcW w:w="280" w:type="dxa"/>
            <w:vAlign w:val="bottom"/>
            <w:gridSpan w:val="3"/>
            <w:shd w:val="clear" w:color="auto" w:fill="D4EFF4"/>
          </w:tcPr>
          <w:p>
            <w:pPr>
              <w:ind w:left="1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624</w:t>
            </w:r>
          </w:p>
        </w:tc>
        <w:tc>
          <w:tcPr>
            <w:tcW w:w="280" w:type="dxa"/>
            <w:vAlign w:val="bottom"/>
            <w:gridSpan w:val="3"/>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634</w:t>
            </w:r>
          </w:p>
        </w:tc>
        <w:tc>
          <w:tcPr>
            <w:tcW w:w="260" w:type="dxa"/>
            <w:vAlign w:val="bottom"/>
            <w:gridSpan w:val="3"/>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872</w:t>
            </w:r>
          </w:p>
        </w:tc>
        <w:tc>
          <w:tcPr>
            <w:tcW w:w="260" w:type="dxa"/>
            <w:vAlign w:val="bottom"/>
            <w:gridSpan w:val="3"/>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1,352</w:t>
            </w:r>
          </w:p>
        </w:tc>
        <w:tc>
          <w:tcPr>
            <w:tcW w:w="240" w:type="dxa"/>
            <w:vAlign w:val="bottom"/>
            <w:gridSpan w:val="3"/>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848</w:t>
            </w:r>
          </w:p>
        </w:tc>
        <w:tc>
          <w:tcPr>
            <w:tcW w:w="260" w:type="dxa"/>
            <w:vAlign w:val="bottom"/>
            <w:gridSpan w:val="3"/>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961</w:t>
            </w:r>
          </w:p>
        </w:tc>
      </w:tr>
      <w:tr>
        <w:trPr>
          <w:trHeight w:val="230"/>
        </w:trPr>
        <w:tc>
          <w:tcPr>
            <w:tcW w:w="41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1,360</w:t>
            </w:r>
          </w:p>
        </w:tc>
        <w:tc>
          <w:tcPr>
            <w:tcW w:w="1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1,489</w:t>
            </w:r>
          </w:p>
        </w:tc>
        <w:tc>
          <w:tcPr>
            <w:tcW w:w="1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1,557</w:t>
            </w: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1,516</w:t>
            </w: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353</w:t>
            </w: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342</w:t>
            </w:r>
          </w:p>
        </w:tc>
      </w:tr>
      <w:tr>
        <w:trPr>
          <w:trHeight w:val="225"/>
        </w:trPr>
        <w:tc>
          <w:tcPr>
            <w:tcW w:w="4120" w:type="dxa"/>
            <w:vAlign w:val="bottom"/>
            <w:shd w:val="clear" w:color="auto" w:fill="D4EFF4"/>
          </w:tcPr>
          <w:p>
            <w:pPr>
              <w:spacing w:after="0"/>
              <w:rPr>
                <w:sz w:val="19"/>
                <w:szCs w:val="19"/>
                <w:color w:val="auto"/>
              </w:rPr>
            </w:pPr>
          </w:p>
        </w:tc>
        <w:tc>
          <w:tcPr>
            <w:tcW w:w="16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1,824</w:t>
            </w:r>
          </w:p>
        </w:tc>
        <w:tc>
          <w:tcPr>
            <w:tcW w:w="120" w:type="dxa"/>
            <w:vAlign w:val="bottom"/>
            <w:shd w:val="clear" w:color="auto" w:fill="D4EFF4"/>
          </w:tcPr>
          <w:p>
            <w:pPr>
              <w:spacing w:after="0"/>
              <w:rPr>
                <w:sz w:val="19"/>
                <w:szCs w:val="19"/>
                <w:color w:val="auto"/>
              </w:rPr>
            </w:pPr>
          </w:p>
        </w:tc>
        <w:tc>
          <w:tcPr>
            <w:tcW w:w="20" w:type="dxa"/>
            <w:vAlign w:val="bottom"/>
            <w:tcBorders>
              <w:bottom w:val="single" w:sz="8" w:color="auto"/>
            </w:tcBorders>
            <w:shd w:val="clear" w:color="auto" w:fill="D4EFF4"/>
          </w:tcPr>
          <w:p>
            <w:pPr>
              <w:spacing w:after="0"/>
              <w:rPr>
                <w:sz w:val="19"/>
                <w:szCs w:val="19"/>
                <w:color w:val="auto"/>
              </w:rPr>
            </w:pPr>
          </w:p>
        </w:tc>
        <w:tc>
          <w:tcPr>
            <w:tcW w:w="140" w:type="dxa"/>
            <w:vAlign w:val="bottom"/>
            <w:tcBorders>
              <w:bottom w:val="single" w:sz="8" w:color="auto"/>
            </w:tcBorders>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2,113</w:t>
            </w:r>
          </w:p>
        </w:tc>
        <w:tc>
          <w:tcPr>
            <w:tcW w:w="120" w:type="dxa"/>
            <w:vAlign w:val="bottom"/>
            <w:shd w:val="clear" w:color="auto" w:fill="D4EFF4"/>
          </w:tcPr>
          <w:p>
            <w:pPr>
              <w:spacing w:after="0"/>
              <w:rPr>
                <w:sz w:val="19"/>
                <w:szCs w:val="19"/>
                <w:color w:val="auto"/>
              </w:rPr>
            </w:pPr>
          </w:p>
        </w:tc>
        <w:tc>
          <w:tcPr>
            <w:tcW w:w="20" w:type="dxa"/>
            <w:vAlign w:val="bottom"/>
            <w:tcBorders>
              <w:bottom w:val="single" w:sz="8" w:color="auto"/>
            </w:tcBorders>
            <w:shd w:val="clear" w:color="auto" w:fill="D4EFF4"/>
          </w:tcPr>
          <w:p>
            <w:pPr>
              <w:spacing w:after="0"/>
              <w:rPr>
                <w:sz w:val="19"/>
                <w:szCs w:val="19"/>
                <w:color w:val="auto"/>
              </w:rPr>
            </w:pPr>
          </w:p>
        </w:tc>
        <w:tc>
          <w:tcPr>
            <w:tcW w:w="1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2,191</w:t>
            </w:r>
          </w:p>
        </w:tc>
        <w:tc>
          <w:tcPr>
            <w:tcW w:w="100" w:type="dxa"/>
            <w:vAlign w:val="bottom"/>
            <w:shd w:val="clear" w:color="auto" w:fill="D4EFF4"/>
          </w:tcPr>
          <w:p>
            <w:pPr>
              <w:spacing w:after="0"/>
              <w:rPr>
                <w:sz w:val="19"/>
                <w:szCs w:val="19"/>
                <w:color w:val="auto"/>
              </w:rPr>
            </w:pPr>
          </w:p>
        </w:tc>
        <w:tc>
          <w:tcPr>
            <w:tcW w:w="20" w:type="dxa"/>
            <w:vAlign w:val="bottom"/>
            <w:tcBorders>
              <w:bottom w:val="single" w:sz="8" w:color="auto"/>
            </w:tcBorders>
            <w:shd w:val="clear" w:color="auto" w:fill="D4EFF4"/>
          </w:tcPr>
          <w:p>
            <w:pPr>
              <w:spacing w:after="0"/>
              <w:rPr>
                <w:sz w:val="19"/>
                <w:szCs w:val="19"/>
                <w:color w:val="auto"/>
              </w:rPr>
            </w:pPr>
          </w:p>
        </w:tc>
        <w:tc>
          <w:tcPr>
            <w:tcW w:w="1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1,904</w:t>
            </w:r>
          </w:p>
        </w:tc>
        <w:tc>
          <w:tcPr>
            <w:tcW w:w="100" w:type="dxa"/>
            <w:vAlign w:val="bottom"/>
            <w:shd w:val="clear" w:color="auto" w:fill="D4EFF4"/>
          </w:tcPr>
          <w:p>
            <w:pPr>
              <w:spacing w:after="0"/>
              <w:rPr>
                <w:sz w:val="19"/>
                <w:szCs w:val="19"/>
                <w:color w:val="auto"/>
              </w:rPr>
            </w:pPr>
          </w:p>
        </w:tc>
        <w:tc>
          <w:tcPr>
            <w:tcW w:w="20" w:type="dxa"/>
            <w:vAlign w:val="bottom"/>
            <w:tcBorders>
              <w:bottom w:val="single" w:sz="8" w:color="auto"/>
            </w:tcBorders>
            <w:shd w:val="clear" w:color="auto" w:fill="D4EFF4"/>
          </w:tcPr>
          <w:p>
            <w:pPr>
              <w:spacing w:after="0"/>
              <w:rPr>
                <w:sz w:val="19"/>
                <w:szCs w:val="19"/>
                <w:color w:val="auto"/>
              </w:rPr>
            </w:pPr>
          </w:p>
        </w:tc>
        <w:tc>
          <w:tcPr>
            <w:tcW w:w="1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2,868</w:t>
            </w:r>
          </w:p>
        </w:tc>
        <w:tc>
          <w:tcPr>
            <w:tcW w:w="100" w:type="dxa"/>
            <w:vAlign w:val="bottom"/>
            <w:shd w:val="clear" w:color="auto" w:fill="D4EFF4"/>
          </w:tcPr>
          <w:p>
            <w:pPr>
              <w:spacing w:after="0"/>
              <w:rPr>
                <w:sz w:val="19"/>
                <w:szCs w:val="19"/>
                <w:color w:val="auto"/>
              </w:rPr>
            </w:pPr>
          </w:p>
        </w:tc>
        <w:tc>
          <w:tcPr>
            <w:tcW w:w="20" w:type="dxa"/>
            <w:vAlign w:val="bottom"/>
            <w:tcBorders>
              <w:bottom w:val="single" w:sz="8" w:color="auto"/>
            </w:tcBorders>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1,201</w:t>
            </w:r>
          </w:p>
        </w:tc>
        <w:tc>
          <w:tcPr>
            <w:tcW w:w="100" w:type="dxa"/>
            <w:vAlign w:val="bottom"/>
            <w:shd w:val="clear" w:color="auto" w:fill="D4EFF4"/>
          </w:tcPr>
          <w:p>
            <w:pPr>
              <w:spacing w:after="0"/>
              <w:rPr>
                <w:sz w:val="19"/>
                <w:szCs w:val="19"/>
                <w:color w:val="auto"/>
              </w:rPr>
            </w:pPr>
          </w:p>
        </w:tc>
        <w:tc>
          <w:tcPr>
            <w:tcW w:w="20" w:type="dxa"/>
            <w:vAlign w:val="bottom"/>
            <w:tcBorders>
              <w:bottom w:val="single" w:sz="8" w:color="auto"/>
            </w:tcBorders>
            <w:shd w:val="clear" w:color="auto" w:fill="D4EFF4"/>
          </w:tcPr>
          <w:p>
            <w:pPr>
              <w:spacing w:after="0"/>
              <w:rPr>
                <w:sz w:val="19"/>
                <w:szCs w:val="19"/>
                <w:color w:val="auto"/>
              </w:rPr>
            </w:pPr>
          </w:p>
        </w:tc>
        <w:tc>
          <w:tcPr>
            <w:tcW w:w="1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740" w:type="dxa"/>
            <w:vAlign w:val="bottom"/>
            <w:tcBorders>
              <w:bottom w:val="single" w:sz="8" w:color="auto"/>
            </w:tcBorders>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1,303</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54"/>
        </w:trPr>
        <w:tc>
          <w:tcPr>
            <w:tcW w:w="4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-708025</wp:posOffset>
            </wp:positionV>
            <wp:extent cx="332803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517">
                      <a:extLst>
                        <a:ext uri="{28A0092B-C50C-407E-A947-70E740481C1C}"/>
                      </a:extLst>
                    </a:blip>
                    <a:srcRect/>
                    <a:stretch>
                      <a:fillRect/>
                    </a:stretch>
                  </pic:blipFill>
                  <pic:spPr bwMode="auto">
                    <a:xfrm>
                      <a:off x="0" y="0"/>
                      <a:ext cx="3328035"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-552450</wp:posOffset>
            </wp:positionV>
            <wp:extent cx="7221220"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518">
                      <a:extLst>
                        <a:ext uri="{28A0092B-C50C-407E-A947-70E740481C1C}"/>
                      </a:extLst>
                    </a:blip>
                    <a:srcRect/>
                    <a:stretch>
                      <a:fillRect/>
                    </a:stretch>
                  </pic:blipFill>
                  <pic:spPr bwMode="auto">
                    <a:xfrm>
                      <a:off x="0" y="0"/>
                      <a:ext cx="722122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-23495</wp:posOffset>
            </wp:positionV>
            <wp:extent cx="7221220"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519">
                      <a:extLst>
                        <a:ext uri="{28A0092B-C50C-407E-A947-70E740481C1C}"/>
                      </a:extLst>
                    </a:blip>
                    <a:srcRect/>
                    <a:stretch>
                      <a:fillRect/>
                    </a:stretch>
                  </pic:blipFill>
                  <pic:spPr bwMode="auto">
                    <a:xfrm>
                      <a:off x="0" y="0"/>
                      <a:ext cx="7221220" cy="3810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 results</w:t>
      </w:r>
    </w:p>
    <w:p>
      <w:pPr>
        <w:spacing w:after="0" w:line="124" w:lineRule="exact"/>
        <w:rPr>
          <w:sz w:val="20"/>
          <w:szCs w:val="20"/>
          <w:color w:val="auto"/>
        </w:rPr>
      </w:pPr>
    </w:p>
    <w:p>
      <w:pPr>
        <w:jc w:val="both"/>
        <w:ind w:firstLine="360"/>
        <w:spacing w:after="0" w:line="292"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of the Statements of Consolidated Comprehensive Income (loss). Ashland refines its expense allocation methodologies to the reportable segments from time to time as more refined information becomes available and the industry or market changes. Significant revisions to Ashland’s methodologies are adjusted for all reportable segments on a retrospective basis. There were no material changes in methodology for the years ended September 30, 2025, 2024 or 2023.</w:t>
      </w:r>
    </w:p>
    <w:p>
      <w:pPr>
        <w:sectPr>
          <w:pgSz w:w="12240" w:h="15840" w:orient="portrait"/>
          <w:cols w:equalWidth="0" w:num="1">
            <w:col w:w="11360"/>
          </w:cols>
          <w:pgMar w:left="440"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F-53</w:t>
      </w:r>
    </w:p>
    <w:p>
      <w:pPr>
        <w:sectPr>
          <w:pgSz w:w="12240" w:h="15840" w:orient="portrait"/>
          <w:cols w:equalWidth="0" w:num="1">
            <w:col w:w="11360"/>
          </w:cols>
          <w:pgMar w:left="440" w:top="930" w:right="440" w:bottom="186" w:gutter="0" w:footer="0" w:header="0"/>
          <w:type w:val="continuous"/>
        </w:sectPr>
      </w:pPr>
    </w:p>
    <w:bookmarkStart w:id="155" w:name="page156"/>
    <w:bookmarkEnd w:id="155"/>
    <w:p>
      <w:pPr>
        <w:jc w:val="both"/>
        <w:ind w:firstLine="360"/>
        <w:spacing w:after="0" w:line="306" w:lineRule="auto"/>
        <w:rPr>
          <w:sz w:val="20"/>
          <w:szCs w:val="20"/>
          <w:color w:val="auto"/>
        </w:rPr>
      </w:pPr>
      <w:r>
        <w:rPr>
          <w:rFonts w:ascii="Times New Roman" w:cs="Times New Roman" w:eastAsia="Times New Roman" w:hAnsi="Times New Roman"/>
          <w:sz w:val="20"/>
          <w:szCs w:val="20"/>
          <w:color w:val="auto"/>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various financial information for each reportable segment for the years ended September 30:</w:t>
      </w:r>
    </w:p>
    <w:p>
      <w:pPr>
        <w:sectPr>
          <w:pgSz w:w="12240" w:h="15840" w:orient="portrait"/>
          <w:cols w:equalWidth="0" w:num="1">
            <w:col w:w="11360"/>
          </w:cols>
          <w:pgMar w:left="440"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F-54</w:t>
      </w:r>
    </w:p>
    <w:p>
      <w:pPr>
        <w:sectPr>
          <w:pgSz w:w="12240" w:h="15840" w:orient="portrait"/>
          <w:cols w:equalWidth="0" w:num="1">
            <w:col w:w="11360"/>
          </w:cols>
          <w:pgMar w:left="440" w:top="930" w:right="440" w:bottom="186"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49"/>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Pr>
          <w:p>
            <w:pPr>
              <w:spacing w:after="0"/>
              <w:rPr>
                <w:sz w:val="21"/>
                <w:szCs w:val="21"/>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1"/>
                <w:szCs w:val="21"/>
                <w:color w:val="auto"/>
              </w:rPr>
            </w:pPr>
          </w:p>
        </w:tc>
      </w:tr>
      <w:tr>
        <w:trPr>
          <w:trHeight w:val="239"/>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Sales</w:t>
            </w: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220" w:type="dxa"/>
            <w:vAlign w:val="bottom"/>
            <w:shd w:val="clear" w:color="auto" w:fill="D4EFF4"/>
          </w:tcPr>
          <w:p>
            <w:pPr>
              <w:spacing w:after="0"/>
              <w:rPr>
                <w:sz w:val="20"/>
                <w:szCs w:val="20"/>
                <w:color w:val="auto"/>
              </w:rPr>
            </w:pPr>
          </w:p>
        </w:tc>
        <w:tc>
          <w:tcPr>
            <w:tcW w:w="9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641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810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577</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634</w:t>
            </w: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511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572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137</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144</w:t>
            </w: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Borders>
              <w:bottom w:val="single" w:sz="8" w:color="D4EFF4"/>
            </w:tcBorders>
          </w:tcPr>
          <w:p>
            <w:pPr>
              <w:ind w:left="200"/>
              <w:spacing w:after="0" w:line="244" w:lineRule="exact"/>
              <w:rPr>
                <w:sz w:val="20"/>
                <w:szCs w:val="20"/>
                <w:color w:val="auto"/>
              </w:rPr>
            </w:pPr>
            <w:r>
              <w:rPr>
                <w:rFonts w:ascii="Times New Roman" w:cs="Times New Roman" w:eastAsia="Times New Roman" w:hAnsi="Times New Roman"/>
                <w:sz w:val="20"/>
                <w:szCs w:val="20"/>
                <w:i w:val="1"/>
                <w:iCs w:val="1"/>
                <w:color w:val="auto"/>
              </w:rPr>
              <w:t>Intersegment sales</w:t>
            </w:r>
            <w:r>
              <w:rPr>
                <w:rFonts w:ascii="Times New Roman" w:cs="Times New Roman" w:eastAsia="Times New Roman" w:hAnsi="Times New Roman"/>
                <w:sz w:val="25"/>
                <w:szCs w:val="25"/>
                <w:i w:val="1"/>
                <w:iCs w:val="1"/>
                <w:color w:val="auto"/>
                <w:vertAlign w:val="superscript"/>
              </w:rPr>
              <w:t>(a)</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60" w:type="dxa"/>
            <w:vAlign w:val="bottom"/>
            <w:tcBorders>
              <w:bottom w:val="single" w:sz="8" w:color="D4EFF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(61)</w:t>
            </w:r>
          </w:p>
        </w:tc>
      </w:tr>
      <w:tr>
        <w:trPr>
          <w:trHeight w:val="239"/>
        </w:trPr>
        <w:tc>
          <w:tcPr>
            <w:tcW w:w="7300" w:type="dxa"/>
            <w:vAlign w:val="bottom"/>
            <w:shd w:val="clear" w:color="auto" w:fill="D4EFF4"/>
          </w:tcPr>
          <w:p>
            <w:pPr>
              <w:spacing w:after="0"/>
              <w:rPr>
                <w:sz w:val="20"/>
                <w:szCs w:val="20"/>
                <w:color w:val="auto"/>
              </w:rPr>
            </w:pPr>
          </w:p>
        </w:tc>
        <w:tc>
          <w:tcPr>
            <w:tcW w:w="24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1,824</w:t>
            </w:r>
          </w:p>
        </w:tc>
        <w:tc>
          <w:tcPr>
            <w:tcW w:w="160" w:type="dxa"/>
            <w:vAlign w:val="bottom"/>
            <w:shd w:val="clear" w:color="auto" w:fill="D4EFF4"/>
          </w:tcPr>
          <w:p>
            <w:pPr>
              <w:spacing w:after="0"/>
              <w:rPr>
                <w:sz w:val="20"/>
                <w:szCs w:val="20"/>
                <w:color w:val="auto"/>
              </w:rPr>
            </w:pPr>
          </w:p>
        </w:tc>
        <w:tc>
          <w:tcPr>
            <w:tcW w:w="24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2,113</w:t>
            </w:r>
          </w:p>
        </w:tc>
        <w:tc>
          <w:tcPr>
            <w:tcW w:w="160" w:type="dxa"/>
            <w:vAlign w:val="bottom"/>
            <w:shd w:val="clear" w:color="auto" w:fill="D4EFF4"/>
          </w:tcPr>
          <w:p>
            <w:pPr>
              <w:spacing w:after="0"/>
              <w:rPr>
                <w:sz w:val="20"/>
                <w:szCs w:val="20"/>
                <w:color w:val="auto"/>
              </w:rPr>
            </w:pPr>
          </w:p>
        </w:tc>
        <w:tc>
          <w:tcPr>
            <w:tcW w:w="2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2,191</w:t>
            </w:r>
          </w:p>
        </w:tc>
        <w:tc>
          <w:tcPr>
            <w:tcW w:w="80" w:type="dxa"/>
            <w:vAlign w:val="bottom"/>
            <w:shd w:val="clear" w:color="auto" w:fill="D4EFF4"/>
          </w:tcPr>
          <w:p>
            <w:pPr>
              <w:spacing w:after="0"/>
              <w:rPr>
                <w:sz w:val="20"/>
                <w:szCs w:val="20"/>
                <w:color w:val="auto"/>
              </w:rPr>
            </w:pPr>
          </w:p>
        </w:tc>
      </w:tr>
      <w:tr>
        <w:trPr>
          <w:trHeight w:val="244"/>
        </w:trPr>
        <w:tc>
          <w:tcPr>
            <w:tcW w:w="7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Cost of sales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40" w:type="dxa"/>
            <w:vAlign w:val="bottom"/>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418</w:t>
            </w:r>
          </w:p>
        </w:tc>
        <w:tc>
          <w:tcPr>
            <w:tcW w:w="400" w:type="dxa"/>
            <w:vAlign w:val="bottom"/>
            <w:gridSpan w:val="2"/>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515</w:t>
            </w:r>
          </w:p>
        </w:tc>
        <w:tc>
          <w:tcPr>
            <w:tcW w:w="38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568</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345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398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433</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522</w:t>
            </w: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121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80" w:type="dxa"/>
            <w:vAlign w:val="bottom"/>
          </w:tcPr>
          <w:p>
            <w:pPr>
              <w:spacing w:after="0"/>
              <w:rPr>
                <w:sz w:val="21"/>
                <w:szCs w:val="21"/>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Intersegment sales</w:t>
            </w:r>
          </w:p>
        </w:tc>
        <w:tc>
          <w:tcPr>
            <w:tcW w:w="240" w:type="dxa"/>
            <w:vAlign w:val="bottom"/>
            <w:tcBorders>
              <w:bottom w:val="single" w:sz="8" w:color="D4EFF4"/>
            </w:tcBorders>
            <w:shd w:val="clear" w:color="auto" w:fill="D4EFF4"/>
          </w:tcPr>
          <w:p>
            <w:pPr>
              <w:spacing w:after="0"/>
              <w:rPr>
                <w:sz w:val="22"/>
                <w:szCs w:val="22"/>
                <w:color w:val="auto"/>
              </w:rPr>
            </w:pPr>
          </w:p>
        </w:tc>
        <w:tc>
          <w:tcPr>
            <w:tcW w:w="102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D4EFF4"/>
            </w:tcBorders>
            <w:shd w:val="clear" w:color="auto" w:fill="D4EFF4"/>
          </w:tcPr>
          <w:p>
            <w:pPr>
              <w:spacing w:after="0"/>
              <w:rPr>
                <w:sz w:val="22"/>
                <w:szCs w:val="22"/>
                <w:color w:val="auto"/>
              </w:rPr>
            </w:pPr>
          </w:p>
        </w:tc>
        <w:tc>
          <w:tcPr>
            <w:tcW w:w="102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6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(61)</w:t>
            </w:r>
          </w:p>
        </w:tc>
      </w:tr>
      <w:tr>
        <w:trPr>
          <w:trHeight w:val="219"/>
        </w:trPr>
        <w:tc>
          <w:tcPr>
            <w:tcW w:w="7300" w:type="dxa"/>
            <w:vAlign w:val="bottom"/>
          </w:tcPr>
          <w:p>
            <w:pPr>
              <w:spacing w:after="0"/>
              <w:rPr>
                <w:sz w:val="19"/>
                <w:szCs w:val="19"/>
                <w:color w:val="auto"/>
              </w:rPr>
            </w:pPr>
          </w:p>
        </w:tc>
        <w:tc>
          <w:tcPr>
            <w:tcW w:w="240" w:type="dxa"/>
            <w:vAlign w:val="bottom"/>
            <w:tcBorders>
              <w:top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1,275</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1,495</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1,523</w:t>
            </w:r>
          </w:p>
        </w:tc>
        <w:tc>
          <w:tcPr>
            <w:tcW w:w="80" w:type="dxa"/>
            <w:vAlign w:val="bottom"/>
            <w:tcBorders>
              <w:top w:val="single" w:sz="8" w:color="auto"/>
            </w:tcBorders>
          </w:tcPr>
          <w:p>
            <w:pPr>
              <w:spacing w:after="0"/>
              <w:rPr>
                <w:sz w:val="19"/>
                <w:szCs w:val="19"/>
                <w:color w:val="auto"/>
              </w:rPr>
            </w:pPr>
          </w:p>
        </w:tc>
      </w:tr>
      <w:tr>
        <w:trPr>
          <w:trHeight w:val="244"/>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 expense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84</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95</w:t>
            </w: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64</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80" w:type="dxa"/>
            <w:vAlign w:val="bottom"/>
          </w:tcPr>
          <w:p>
            <w:pPr>
              <w:spacing w:after="0"/>
              <w:rPr>
                <w:sz w:val="21"/>
                <w:szCs w:val="21"/>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Borders>
              <w:bottom w:val="single" w:sz="8" w:color="auto"/>
            </w:tcBorders>
            <w:shd w:val="clear" w:color="auto" w:fill="D4EFF4"/>
          </w:tcPr>
          <w:p>
            <w:pPr>
              <w:spacing w:after="0"/>
              <w:rPr>
                <w:sz w:val="22"/>
                <w:szCs w:val="22"/>
                <w:color w:val="auto"/>
              </w:rPr>
            </w:pPr>
          </w:p>
        </w:tc>
      </w:tr>
      <w:tr>
        <w:trPr>
          <w:trHeight w:val="219"/>
        </w:trPr>
        <w:tc>
          <w:tcPr>
            <w:tcW w:w="7300" w:type="dxa"/>
            <w:vAlign w:val="bottom"/>
          </w:tcPr>
          <w:p>
            <w:pPr>
              <w:ind w:left="340"/>
              <w:spacing w:after="0" w:line="219" w:lineRule="exact"/>
              <w:rPr>
                <w:sz w:val="20"/>
                <w:szCs w:val="20"/>
                <w:color w:val="auto"/>
              </w:rPr>
            </w:pPr>
            <w:r>
              <w:rPr>
                <w:rFonts w:ascii="Times New Roman" w:cs="Times New Roman" w:eastAsia="Times New Roman" w:hAnsi="Times New Roman"/>
                <w:sz w:val="20"/>
                <w:szCs w:val="20"/>
                <w:i w:val="1"/>
                <w:iCs w:val="1"/>
                <w:color w:val="auto"/>
              </w:rPr>
              <w:t>Total operating segments</w:t>
            </w:r>
          </w:p>
        </w:tc>
        <w:tc>
          <w:tcPr>
            <w:tcW w:w="240" w:type="dxa"/>
            <w:vAlign w:val="bottom"/>
          </w:tcPr>
          <w:p>
            <w:pPr>
              <w:spacing w:after="0"/>
              <w:rPr>
                <w:sz w:val="19"/>
                <w:szCs w:val="19"/>
                <w:color w:val="auto"/>
              </w:rPr>
            </w:pP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232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252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243</w:t>
            </w:r>
          </w:p>
        </w:tc>
        <w:tc>
          <w:tcPr>
            <w:tcW w:w="80" w:type="dxa"/>
            <w:vAlign w:val="bottom"/>
          </w:tcPr>
          <w:p>
            <w:pPr>
              <w:spacing w:after="0"/>
              <w:rPr>
                <w:sz w:val="19"/>
                <w:szCs w:val="19"/>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Unallocated and other</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112</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152</w:t>
            </w:r>
          </w:p>
        </w:tc>
        <w:tc>
          <w:tcPr>
            <w:tcW w:w="16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Borders>
              <w:bottom w:val="single" w:sz="8" w:color="auto"/>
            </w:tcBorders>
            <w:shd w:val="clear" w:color="auto" w:fill="D4EFF4"/>
          </w:tcPr>
          <w:p>
            <w:pPr>
              <w:spacing w:after="0"/>
              <w:rPr>
                <w:sz w:val="22"/>
                <w:szCs w:val="22"/>
                <w:color w:val="auto"/>
              </w:rPr>
            </w:pPr>
          </w:p>
        </w:tc>
      </w:tr>
      <w:tr>
        <w:trPr>
          <w:trHeight w:val="219"/>
        </w:trPr>
        <w:tc>
          <w:tcPr>
            <w:tcW w:w="7300" w:type="dxa"/>
            <w:vAlign w:val="bottom"/>
          </w:tcPr>
          <w:p>
            <w:pPr>
              <w:spacing w:after="0"/>
              <w:rPr>
                <w:sz w:val="19"/>
                <w:szCs w:val="19"/>
                <w:color w:val="auto"/>
              </w:rPr>
            </w:pPr>
          </w:p>
        </w:tc>
        <w:tc>
          <w:tcPr>
            <w:tcW w:w="240" w:type="dxa"/>
            <w:vAlign w:val="bottom"/>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344</w:t>
            </w:r>
          </w:p>
        </w:tc>
        <w:tc>
          <w:tcPr>
            <w:tcW w:w="160" w:type="dxa"/>
            <w:vAlign w:val="bottom"/>
          </w:tcPr>
          <w:p>
            <w:pPr>
              <w:spacing w:after="0"/>
              <w:rPr>
                <w:sz w:val="19"/>
                <w:szCs w:val="19"/>
                <w:color w:val="auto"/>
              </w:rPr>
            </w:pPr>
          </w:p>
        </w:tc>
        <w:tc>
          <w:tcPr>
            <w:tcW w:w="240" w:type="dxa"/>
            <w:vAlign w:val="bottom"/>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404</w:t>
            </w:r>
          </w:p>
        </w:tc>
        <w:tc>
          <w:tcPr>
            <w:tcW w:w="160" w:type="dxa"/>
            <w:vAlign w:val="bottom"/>
          </w:tcPr>
          <w:p>
            <w:pPr>
              <w:spacing w:after="0"/>
              <w:rPr>
                <w:sz w:val="19"/>
                <w:szCs w:val="19"/>
                <w:color w:val="auto"/>
              </w:rPr>
            </w:pPr>
          </w:p>
        </w:tc>
        <w:tc>
          <w:tcPr>
            <w:tcW w:w="2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365</w:t>
            </w:r>
          </w:p>
        </w:tc>
        <w:tc>
          <w:tcPr>
            <w:tcW w:w="80" w:type="dxa"/>
            <w:vAlign w:val="bottom"/>
          </w:tcPr>
          <w:p>
            <w:pPr>
              <w:spacing w:after="0"/>
              <w:rPr>
                <w:sz w:val="19"/>
                <w:szCs w:val="19"/>
                <w:color w:val="auto"/>
              </w:rPr>
            </w:pPr>
          </w:p>
        </w:tc>
      </w:tr>
      <w:tr>
        <w:trPr>
          <w:trHeight w:val="244"/>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15</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25</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21"/>
                <w:szCs w:val="21"/>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7300" w:type="dxa"/>
            <w:vAlign w:val="bottom"/>
          </w:tcPr>
          <w:p>
            <w:pPr>
              <w:ind w:left="340"/>
              <w:spacing w:after="0" w:line="219" w:lineRule="exact"/>
              <w:rPr>
                <w:sz w:val="20"/>
                <w:szCs w:val="20"/>
                <w:color w:val="auto"/>
              </w:rPr>
            </w:pPr>
            <w:r>
              <w:rPr>
                <w:rFonts w:ascii="Times New Roman" w:cs="Times New Roman" w:eastAsia="Times New Roman" w:hAnsi="Times New Roman"/>
                <w:sz w:val="20"/>
                <w:szCs w:val="20"/>
                <w:i w:val="1"/>
                <w:iCs w:val="1"/>
                <w:color w:val="auto"/>
              </w:rPr>
              <w:t>Total operating segments</w:t>
            </w:r>
          </w:p>
        </w:tc>
        <w:tc>
          <w:tcPr>
            <w:tcW w:w="240" w:type="dxa"/>
            <w:vAlign w:val="bottom"/>
          </w:tcPr>
          <w:p>
            <w:pPr>
              <w:spacing w:after="0"/>
              <w:rPr>
                <w:sz w:val="19"/>
                <w:szCs w:val="19"/>
                <w:color w:val="auto"/>
              </w:rPr>
            </w:pP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49</w:t>
            </w:r>
          </w:p>
        </w:tc>
        <w:tc>
          <w:tcPr>
            <w:tcW w:w="80" w:type="dxa"/>
            <w:vAlign w:val="bottom"/>
          </w:tcPr>
          <w:p>
            <w:pPr>
              <w:spacing w:after="0"/>
              <w:rPr>
                <w:sz w:val="19"/>
                <w:szCs w:val="19"/>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Unallocated and other</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auto"/>
            </w:tcBorders>
            <w:shd w:val="clear" w:color="auto" w:fill="D4EFF4"/>
          </w:tcPr>
          <w:p>
            <w:pPr>
              <w:spacing w:after="0"/>
              <w:rPr>
                <w:sz w:val="22"/>
                <w:szCs w:val="22"/>
                <w:color w:val="auto"/>
              </w:rPr>
            </w:pPr>
          </w:p>
        </w:tc>
      </w:tr>
      <w:tr>
        <w:trPr>
          <w:trHeight w:val="219"/>
        </w:trPr>
        <w:tc>
          <w:tcPr>
            <w:tcW w:w="7300" w:type="dxa"/>
            <w:vAlign w:val="bottom"/>
          </w:tcPr>
          <w:p>
            <w:pPr>
              <w:spacing w:after="0"/>
              <w:rPr>
                <w:sz w:val="19"/>
                <w:szCs w:val="19"/>
                <w:color w:val="auto"/>
              </w:rPr>
            </w:pPr>
          </w:p>
        </w:tc>
        <w:tc>
          <w:tcPr>
            <w:tcW w:w="240" w:type="dxa"/>
            <w:vAlign w:val="bottom"/>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54</w:t>
            </w:r>
          </w:p>
        </w:tc>
        <w:tc>
          <w:tcPr>
            <w:tcW w:w="160" w:type="dxa"/>
            <w:vAlign w:val="bottom"/>
          </w:tcPr>
          <w:p>
            <w:pPr>
              <w:spacing w:after="0"/>
              <w:rPr>
                <w:sz w:val="19"/>
                <w:szCs w:val="19"/>
                <w:color w:val="auto"/>
              </w:rPr>
            </w:pPr>
          </w:p>
        </w:tc>
        <w:tc>
          <w:tcPr>
            <w:tcW w:w="240" w:type="dxa"/>
            <w:vAlign w:val="bottom"/>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55</w:t>
            </w:r>
          </w:p>
        </w:tc>
        <w:tc>
          <w:tcPr>
            <w:tcW w:w="160" w:type="dxa"/>
            <w:vAlign w:val="bottom"/>
          </w:tcPr>
          <w:p>
            <w:pPr>
              <w:spacing w:after="0"/>
              <w:rPr>
                <w:sz w:val="19"/>
                <w:szCs w:val="19"/>
                <w:color w:val="auto"/>
              </w:rPr>
            </w:pPr>
          </w:p>
        </w:tc>
        <w:tc>
          <w:tcPr>
            <w:tcW w:w="2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51</w:t>
            </w:r>
          </w:p>
        </w:tc>
        <w:tc>
          <w:tcPr>
            <w:tcW w:w="80" w:type="dxa"/>
            <w:vAlign w:val="bottom"/>
          </w:tcPr>
          <w:p>
            <w:pPr>
              <w:spacing w:after="0"/>
              <w:rPr>
                <w:sz w:val="19"/>
                <w:szCs w:val="19"/>
                <w:color w:val="auto"/>
              </w:rPr>
            </w:pPr>
          </w:p>
        </w:tc>
      </w:tr>
      <w:tr>
        <w:trPr>
          <w:trHeight w:val="244"/>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Amortization expense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35</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1"/>
                <w:szCs w:val="21"/>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7300" w:type="dxa"/>
            <w:vAlign w:val="bottom"/>
          </w:tcPr>
          <w:p>
            <w:pPr>
              <w:spacing w:after="0"/>
              <w:rPr>
                <w:sz w:val="19"/>
                <w:szCs w:val="19"/>
                <w:color w:val="auto"/>
              </w:rPr>
            </w:pPr>
          </w:p>
        </w:tc>
        <w:tc>
          <w:tcPr>
            <w:tcW w:w="240" w:type="dxa"/>
            <w:vAlign w:val="bottom"/>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63</w:t>
            </w:r>
          </w:p>
        </w:tc>
        <w:tc>
          <w:tcPr>
            <w:tcW w:w="160" w:type="dxa"/>
            <w:vAlign w:val="bottom"/>
          </w:tcPr>
          <w:p>
            <w:pPr>
              <w:spacing w:after="0"/>
              <w:rPr>
                <w:sz w:val="19"/>
                <w:szCs w:val="19"/>
                <w:color w:val="auto"/>
              </w:rPr>
            </w:pPr>
          </w:p>
        </w:tc>
        <w:tc>
          <w:tcPr>
            <w:tcW w:w="240" w:type="dxa"/>
            <w:vAlign w:val="bottom"/>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76</w:t>
            </w:r>
          </w:p>
        </w:tc>
        <w:tc>
          <w:tcPr>
            <w:tcW w:w="160" w:type="dxa"/>
            <w:vAlign w:val="bottom"/>
          </w:tcPr>
          <w:p>
            <w:pPr>
              <w:spacing w:after="0"/>
              <w:rPr>
                <w:sz w:val="19"/>
                <w:szCs w:val="19"/>
                <w:color w:val="auto"/>
              </w:rPr>
            </w:pPr>
          </w:p>
        </w:tc>
        <w:tc>
          <w:tcPr>
            <w:tcW w:w="2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93</w:t>
            </w:r>
          </w:p>
        </w:tc>
        <w:tc>
          <w:tcPr>
            <w:tcW w:w="80" w:type="dxa"/>
            <w:vAlign w:val="bottom"/>
          </w:tcPr>
          <w:p>
            <w:pPr>
              <w:spacing w:after="0"/>
              <w:rPr>
                <w:sz w:val="19"/>
                <w:szCs w:val="19"/>
                <w:color w:val="auto"/>
              </w:rPr>
            </w:pPr>
          </w:p>
        </w:tc>
      </w:tr>
      <w:tr>
        <w:trPr>
          <w:trHeight w:val="244"/>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Equity and other income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7300" w:type="dxa"/>
            <w:vAlign w:val="bottom"/>
          </w:tcPr>
          <w:p>
            <w:pPr>
              <w:ind w:left="340"/>
              <w:spacing w:after="0" w:line="219" w:lineRule="exact"/>
              <w:rPr>
                <w:sz w:val="20"/>
                <w:szCs w:val="20"/>
                <w:color w:val="auto"/>
              </w:rPr>
            </w:pPr>
            <w:r>
              <w:rPr>
                <w:rFonts w:ascii="Times New Roman" w:cs="Times New Roman" w:eastAsia="Times New Roman" w:hAnsi="Times New Roman"/>
                <w:sz w:val="20"/>
                <w:szCs w:val="20"/>
                <w:i w:val="1"/>
                <w:iCs w:val="1"/>
                <w:color w:val="auto"/>
              </w:rPr>
              <w:t>Total operating segments</w:t>
            </w:r>
          </w:p>
        </w:tc>
        <w:tc>
          <w:tcPr>
            <w:tcW w:w="240" w:type="dxa"/>
            <w:vAlign w:val="bottom"/>
          </w:tcPr>
          <w:p>
            <w:pPr>
              <w:spacing w:after="0"/>
              <w:rPr>
                <w:sz w:val="19"/>
                <w:szCs w:val="19"/>
                <w:color w:val="auto"/>
              </w:rPr>
            </w:pP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19"/>
                <w:szCs w:val="19"/>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Unallocated and other</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bottom w:val="single" w:sz="8" w:color="auto"/>
            </w:tcBorders>
            <w:shd w:val="clear" w:color="auto" w:fill="D4EFF4"/>
          </w:tcPr>
          <w:p>
            <w:pPr>
              <w:spacing w:after="0"/>
              <w:rPr>
                <w:sz w:val="22"/>
                <w:szCs w:val="22"/>
                <w:color w:val="auto"/>
              </w:rPr>
            </w:pPr>
          </w:p>
        </w:tc>
      </w:tr>
      <w:tr>
        <w:trPr>
          <w:trHeight w:val="219"/>
        </w:trPr>
        <w:tc>
          <w:tcPr>
            <w:tcW w:w="7300" w:type="dxa"/>
            <w:vAlign w:val="bottom"/>
          </w:tcPr>
          <w:p>
            <w:pPr>
              <w:spacing w:after="0"/>
              <w:rPr>
                <w:sz w:val="19"/>
                <w:szCs w:val="19"/>
                <w:color w:val="auto"/>
              </w:rPr>
            </w:pPr>
          </w:p>
        </w:tc>
        <w:tc>
          <w:tcPr>
            <w:tcW w:w="240" w:type="dxa"/>
            <w:vAlign w:val="bottom"/>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19"/>
                <w:szCs w:val="19"/>
                <w:color w:val="auto"/>
              </w:rPr>
            </w:pPr>
          </w:p>
        </w:tc>
        <w:tc>
          <w:tcPr>
            <w:tcW w:w="240" w:type="dxa"/>
            <w:vAlign w:val="bottom"/>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19"/>
                <w:szCs w:val="19"/>
                <w:color w:val="auto"/>
              </w:rPr>
            </w:pPr>
          </w:p>
        </w:tc>
        <w:tc>
          <w:tcPr>
            <w:tcW w:w="2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19"/>
                <w:szCs w:val="19"/>
                <w:color w:val="auto"/>
              </w:rPr>
            </w:pPr>
          </w:p>
        </w:tc>
      </w:tr>
      <w:tr>
        <w:trPr>
          <w:trHeight w:val="244"/>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Goodwill impairment and (income) loss on acquisitions and divestitures, net</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9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375</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1000" w:type="dxa"/>
            <w:vAlign w:val="bottom"/>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331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7300" w:type="dxa"/>
            <w:vAlign w:val="bottom"/>
          </w:tcPr>
          <w:p>
            <w:pPr>
              <w:ind w:left="340"/>
              <w:spacing w:after="0" w:line="219" w:lineRule="exact"/>
              <w:rPr>
                <w:sz w:val="20"/>
                <w:szCs w:val="20"/>
                <w:color w:val="auto"/>
              </w:rPr>
            </w:pPr>
            <w:r>
              <w:rPr>
                <w:rFonts w:ascii="Times New Roman" w:cs="Times New Roman" w:eastAsia="Times New Roman" w:hAnsi="Times New Roman"/>
                <w:sz w:val="20"/>
                <w:szCs w:val="20"/>
                <w:i w:val="1"/>
                <w:iCs w:val="1"/>
                <w:color w:val="auto"/>
              </w:rPr>
              <w:t>Total operating segments</w:t>
            </w:r>
          </w:p>
        </w:tc>
        <w:tc>
          <w:tcPr>
            <w:tcW w:w="240" w:type="dxa"/>
            <w:vAlign w:val="bottom"/>
          </w:tcPr>
          <w:p>
            <w:pPr>
              <w:spacing w:after="0"/>
              <w:rPr>
                <w:sz w:val="19"/>
                <w:szCs w:val="19"/>
                <w:color w:val="auto"/>
              </w:rPr>
            </w:pP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706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rPr>
              <w:t>—</w:t>
            </w: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Unallocated and other</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161</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115</w:t>
            </w:r>
          </w:p>
        </w:tc>
        <w:tc>
          <w:tcPr>
            <w:tcW w:w="160" w:type="dxa"/>
            <w:vAlign w:val="bottom"/>
            <w:tcBorders>
              <w:bottom w:val="single" w:sz="8" w:color="D4EFF4"/>
            </w:tcBorders>
            <w:shd w:val="clear" w:color="auto" w:fill="D4EFF4"/>
          </w:tcPr>
          <w:p>
            <w:pPr>
              <w:spacing w:after="0"/>
              <w:rPr>
                <w:sz w:val="22"/>
                <w:szCs w:val="22"/>
                <w:color w:val="auto"/>
              </w:rPr>
            </w:pPr>
          </w:p>
        </w:tc>
        <w:tc>
          <w:tcPr>
            <w:tcW w:w="22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r>
      <w:tr>
        <w:trPr>
          <w:trHeight w:val="241"/>
        </w:trPr>
        <w:tc>
          <w:tcPr>
            <w:tcW w:w="73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867</w:t>
            </w:r>
          </w:p>
        </w:tc>
        <w:tc>
          <w:tcPr>
            <w:tcW w:w="16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115</w:t>
            </w:r>
          </w:p>
        </w:tc>
        <w:tc>
          <w:tcPr>
            <w:tcW w:w="16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r>
      <w:tr>
        <w:trPr>
          <w:trHeight w:val="61"/>
        </w:trPr>
        <w:tc>
          <w:tcPr>
            <w:tcW w:w="7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589280</wp:posOffset>
            </wp:positionV>
            <wp:extent cx="7242810"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520">
                      <a:extLst>
                        <a:ext uri="{28A0092B-C50C-407E-A947-70E740481C1C}"/>
                      </a:extLst>
                    </a:blip>
                    <a:srcRect/>
                    <a:stretch>
                      <a:fillRect/>
                    </a:stretch>
                  </pic:blipFill>
                  <pic:spPr bwMode="auto">
                    <a:xfrm>
                      <a:off x="0" y="0"/>
                      <a:ext cx="724281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-8246745</wp:posOffset>
            </wp:positionV>
            <wp:extent cx="7207250"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521">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-22860</wp:posOffset>
            </wp:positionV>
            <wp:extent cx="7207250"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522">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ectPr>
          <w:pgSz w:w="12240" w:h="15840" w:orient="portrait"/>
          <w:cols w:equalWidth="0" w:num="1">
            <w:col w:w="11360"/>
          </w:cols>
          <w:pgMar w:left="440" w:top="959"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F-55</w:t>
      </w:r>
    </w:p>
    <w:p>
      <w:pPr>
        <w:sectPr>
          <w:pgSz w:w="12240" w:h="15840" w:orient="portrait"/>
          <w:cols w:equalWidth="0" w:num="1">
            <w:col w:w="11360"/>
          </w:cols>
          <w:pgMar w:left="440" w:top="959" w:right="440" w:bottom="186"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49"/>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40" w:type="dxa"/>
            <w:vAlign w:val="bottom"/>
          </w:tcPr>
          <w:p>
            <w:pPr>
              <w:spacing w:after="0"/>
              <w:rPr>
                <w:sz w:val="21"/>
                <w:szCs w:val="21"/>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1"/>
                <w:szCs w:val="21"/>
                <w:color w:val="auto"/>
              </w:rPr>
            </w:pPr>
          </w:p>
        </w:tc>
      </w:tr>
      <w:tr>
        <w:trPr>
          <w:trHeight w:val="239"/>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Operating income (loss)</w:t>
            </w: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0" w:type="dxa"/>
            <w:vAlign w:val="bottom"/>
            <w:shd w:val="clear" w:color="auto" w:fill="D4EFF4"/>
          </w:tcPr>
          <w:p>
            <w:pPr>
              <w:spacing w:after="0"/>
              <w:rPr>
                <w:sz w:val="20"/>
                <w:szCs w:val="20"/>
                <w:color w:val="auto"/>
              </w:rPr>
            </w:pPr>
          </w:p>
        </w:tc>
        <w:tc>
          <w:tcPr>
            <w:tcW w:w="9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r>
      <w:tr>
        <w:trPr>
          <w:trHeight w:val="244"/>
        </w:trPr>
        <w:tc>
          <w:tcPr>
            <w:tcW w:w="7300" w:type="dxa"/>
            <w:vAlign w:val="bottom"/>
          </w:tcPr>
          <w:p>
            <w:pPr>
              <w:ind w:left="200"/>
              <w:spacing w:after="0" w:line="244" w:lineRule="exact"/>
              <w:rPr>
                <w:sz w:val="20"/>
                <w:szCs w:val="20"/>
                <w:color w:val="auto"/>
              </w:rPr>
            </w:pPr>
            <w:r>
              <w:rPr>
                <w:rFonts w:ascii="Times New Roman" w:cs="Times New Roman" w:eastAsia="Times New Roman" w:hAnsi="Times New Roman"/>
                <w:sz w:val="20"/>
                <w:szCs w:val="20"/>
                <w:i w:val="1"/>
                <w:iCs w:val="1"/>
                <w:color w:val="auto"/>
              </w:rPr>
              <w:t>Life Sciences</w:t>
            </w:r>
            <w:r>
              <w:rPr>
                <w:rFonts w:ascii="Times New Roman" w:cs="Times New Roman" w:eastAsia="Times New Roman" w:hAnsi="Times New Roman"/>
                <w:sz w:val="25"/>
                <w:szCs w:val="25"/>
                <w:i w:val="1"/>
                <w:iCs w:val="1"/>
                <w:color w:val="auto"/>
                <w:vertAlign w:val="superscript"/>
              </w:rPr>
              <w:t>(b)</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168</w:t>
            </w:r>
          </w:p>
        </w:tc>
        <w:tc>
          <w:tcPr>
            <w:tcW w:w="38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line="244" w:lineRule="exact"/>
              <w:rPr>
                <w:sz w:val="20"/>
                <w:szCs w:val="20"/>
                <w:color w:val="auto"/>
              </w:rPr>
            </w:pPr>
            <w:r>
              <w:rPr>
                <w:rFonts w:ascii="Times New Roman" w:cs="Times New Roman" w:eastAsia="Times New Roman" w:hAnsi="Times New Roman"/>
                <w:sz w:val="20"/>
                <w:szCs w:val="20"/>
                <w:i w:val="1"/>
                <w:iCs w:val="1"/>
                <w:color w:val="auto"/>
              </w:rPr>
              <w:t>Personal Care</w:t>
            </w:r>
            <w:r>
              <w:rPr>
                <w:rFonts w:ascii="Times New Roman" w:cs="Times New Roman" w:eastAsia="Times New Roman" w:hAnsi="Times New Roman"/>
                <w:sz w:val="25"/>
                <w:szCs w:val="25"/>
                <w:i w:val="1"/>
                <w:iCs w:val="1"/>
                <w:color w:val="auto"/>
                <w:vertAlign w:val="superscript"/>
              </w:rPr>
              <w:t>(c)</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90</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73</w:t>
            </w: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line="244" w:lineRule="exact"/>
              <w:rPr>
                <w:sz w:val="20"/>
                <w:szCs w:val="20"/>
                <w:color w:val="auto"/>
              </w:rPr>
            </w:pPr>
            <w:r>
              <w:rPr>
                <w:rFonts w:ascii="Times New Roman" w:cs="Times New Roman" w:eastAsia="Times New Roman" w:hAnsi="Times New Roman"/>
                <w:sz w:val="20"/>
                <w:szCs w:val="20"/>
                <w:i w:val="1"/>
                <w:iCs w:val="1"/>
                <w:color w:val="auto"/>
              </w:rPr>
              <w:t>Specialty Additives</w:t>
            </w:r>
            <w:r>
              <w:rPr>
                <w:rFonts w:ascii="Times New Roman" w:cs="Times New Roman" w:eastAsia="Times New Roman" w:hAnsi="Times New Roman"/>
                <w:sz w:val="25"/>
                <w:szCs w:val="25"/>
                <w:i w:val="1"/>
                <w:iCs w:val="1"/>
                <w:color w:val="auto"/>
                <w:vertAlign w:val="superscript"/>
              </w:rPr>
              <w:t>(d)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1"/>
                <w:szCs w:val="21"/>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tcBorders>
              <w:bottom w:val="single" w:sz="8" w:color="D4EFF4"/>
            </w:tcBorders>
            <w:shd w:val="clear" w:color="auto" w:fill="D4EFF4"/>
          </w:tcPr>
          <w:p>
            <w:pPr>
              <w:spacing w:after="0"/>
              <w:rPr>
                <w:sz w:val="22"/>
                <w:szCs w:val="22"/>
                <w:color w:val="auto"/>
              </w:rPr>
            </w:pPr>
          </w:p>
        </w:tc>
        <w:tc>
          <w:tcPr>
            <w:tcW w:w="1020" w:type="dxa"/>
            <w:vAlign w:val="bottom"/>
            <w:tcBorders>
              <w:bottom w:val="single" w:sz="8" w:color="D4EFF4"/>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D4EFF4"/>
            </w:tcBorders>
            <w:shd w:val="clear" w:color="auto" w:fill="D4EFF4"/>
          </w:tcPr>
          <w:p>
            <w:pPr>
              <w:spacing w:after="0"/>
              <w:rPr>
                <w:sz w:val="22"/>
                <w:szCs w:val="22"/>
                <w:color w:val="auto"/>
              </w:rPr>
            </w:pPr>
          </w:p>
        </w:tc>
        <w:tc>
          <w:tcPr>
            <w:tcW w:w="1020" w:type="dxa"/>
            <w:vAlign w:val="bottom"/>
            <w:tcBorders>
              <w:bottom w:val="single" w:sz="8" w:color="D4EFF4"/>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29</w:t>
            </w:r>
          </w:p>
        </w:tc>
        <w:tc>
          <w:tcPr>
            <w:tcW w:w="16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spacing w:after="0"/>
              <w:rPr>
                <w:sz w:val="22"/>
                <w:szCs w:val="22"/>
                <w:color w:val="auto"/>
              </w:rPr>
            </w:pP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Borders>
              <w:bottom w:val="single" w:sz="8" w:color="auto"/>
            </w:tcBorders>
            <w:shd w:val="clear" w:color="auto" w:fill="D4EFF4"/>
          </w:tcPr>
          <w:p>
            <w:pPr>
              <w:spacing w:after="0"/>
              <w:rPr>
                <w:sz w:val="22"/>
                <w:szCs w:val="22"/>
                <w:color w:val="auto"/>
              </w:rPr>
            </w:pPr>
          </w:p>
        </w:tc>
      </w:tr>
      <w:tr>
        <w:trPr>
          <w:trHeight w:val="219"/>
        </w:trPr>
        <w:tc>
          <w:tcPr>
            <w:tcW w:w="7300" w:type="dxa"/>
            <w:vAlign w:val="bottom"/>
          </w:tcPr>
          <w:p>
            <w:pPr>
              <w:ind w:left="340"/>
              <w:spacing w:after="0" w:line="219" w:lineRule="exact"/>
              <w:rPr>
                <w:sz w:val="20"/>
                <w:szCs w:val="20"/>
                <w:color w:val="auto"/>
              </w:rPr>
            </w:pPr>
            <w:r>
              <w:rPr>
                <w:rFonts w:ascii="Times New Roman" w:cs="Times New Roman" w:eastAsia="Times New Roman" w:hAnsi="Times New Roman"/>
                <w:sz w:val="20"/>
                <w:szCs w:val="20"/>
                <w:i w:val="1"/>
                <w:iCs w:val="1"/>
                <w:color w:val="auto"/>
              </w:rPr>
              <w:t>Total operating segments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(502)</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238</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284</w:t>
            </w:r>
          </w:p>
        </w:tc>
        <w:tc>
          <w:tcPr>
            <w:tcW w:w="80" w:type="dxa"/>
            <w:vAlign w:val="bottom"/>
            <w:tcBorders>
              <w:top w:val="single" w:sz="8" w:color="auto"/>
            </w:tcBorders>
          </w:tcPr>
          <w:p>
            <w:pPr>
              <w:spacing w:after="0"/>
              <w:rPr>
                <w:sz w:val="19"/>
                <w:szCs w:val="19"/>
                <w:color w:val="auto"/>
              </w:rPr>
            </w:pPr>
          </w:p>
        </w:tc>
      </w:tr>
      <w:tr>
        <w:trPr>
          <w:trHeight w:val="264"/>
        </w:trPr>
        <w:tc>
          <w:tcPr>
            <w:tcW w:w="7300" w:type="dxa"/>
            <w:vAlign w:val="bottom"/>
            <w:tcBorders>
              <w:bottom w:val="single" w:sz="8" w:color="D4EFF4"/>
            </w:tcBorders>
            <w:shd w:val="clear" w:color="auto" w:fill="D4EFF4"/>
          </w:tcPr>
          <w:p>
            <w:pPr>
              <w:ind w:left="200"/>
              <w:spacing w:after="0" w:line="244" w:lineRule="exact"/>
              <w:rPr>
                <w:sz w:val="20"/>
                <w:szCs w:val="20"/>
                <w:color w:val="auto"/>
              </w:rPr>
            </w:pPr>
            <w:r>
              <w:rPr>
                <w:rFonts w:ascii="Times New Roman" w:cs="Times New Roman" w:eastAsia="Times New Roman" w:hAnsi="Times New Roman"/>
                <w:sz w:val="20"/>
                <w:szCs w:val="20"/>
                <w:i w:val="1"/>
                <w:iCs w:val="1"/>
                <w:color w:val="auto"/>
              </w:rPr>
              <w:t>Unallocated and other</w:t>
            </w:r>
            <w:r>
              <w:rPr>
                <w:rFonts w:ascii="Times New Roman" w:cs="Times New Roman" w:eastAsia="Times New Roman" w:hAnsi="Times New Roman"/>
                <w:sz w:val="25"/>
                <w:szCs w:val="25"/>
                <w:i w:val="1"/>
                <w:iCs w:val="1"/>
                <w:color w:val="auto"/>
                <w:vertAlign w:val="superscript"/>
              </w:rPr>
              <w:t>(e)</w:t>
            </w:r>
          </w:p>
        </w:tc>
        <w:tc>
          <w:tcPr>
            <w:tcW w:w="240" w:type="dxa"/>
            <w:vAlign w:val="bottom"/>
            <w:tcBorders>
              <w:bottom w:val="single" w:sz="8" w:color="D4EFF4"/>
            </w:tcBorders>
            <w:shd w:val="clear" w:color="auto" w:fill="D4EFF4"/>
          </w:tcPr>
          <w:p>
            <w:pPr>
              <w:spacing w:after="0"/>
              <w:rPr>
                <w:sz w:val="22"/>
                <w:szCs w:val="22"/>
                <w:color w:val="auto"/>
              </w:rPr>
            </w:pPr>
          </w:p>
        </w:tc>
        <w:tc>
          <w:tcPr>
            <w:tcW w:w="102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D4EFF4"/>
            </w:tcBorders>
            <w:shd w:val="clear" w:color="auto" w:fill="D4EFF4"/>
          </w:tcPr>
          <w:p>
            <w:pPr>
              <w:spacing w:after="0"/>
              <w:rPr>
                <w:sz w:val="22"/>
                <w:szCs w:val="22"/>
                <w:color w:val="auto"/>
              </w:rPr>
            </w:pPr>
          </w:p>
        </w:tc>
        <w:tc>
          <w:tcPr>
            <w:tcW w:w="102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6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(112)</w:t>
            </w:r>
          </w:p>
        </w:tc>
      </w:tr>
      <w:tr>
        <w:trPr>
          <w:trHeight w:val="219"/>
        </w:trPr>
        <w:tc>
          <w:tcPr>
            <w:tcW w:w="7300" w:type="dxa"/>
            <w:vAlign w:val="bottom"/>
          </w:tcPr>
          <w:p>
            <w:pPr>
              <w:ind w:left="340"/>
              <w:spacing w:after="0" w:line="219" w:lineRule="exact"/>
              <w:rPr>
                <w:sz w:val="20"/>
                <w:szCs w:val="20"/>
                <w:color w:val="auto"/>
              </w:rPr>
            </w:pPr>
            <w:r>
              <w:rPr>
                <w:rFonts w:ascii="Times New Roman" w:cs="Times New Roman" w:eastAsia="Times New Roman" w:hAnsi="Times New Roman"/>
                <w:sz w:val="20"/>
                <w:szCs w:val="20"/>
                <w:i w:val="1"/>
                <w:iCs w:val="1"/>
                <w:color w:val="auto"/>
              </w:rPr>
              <w:t>Total operating income (loss)</w:t>
            </w:r>
          </w:p>
        </w:tc>
        <w:tc>
          <w:tcPr>
            <w:tcW w:w="240" w:type="dxa"/>
            <w:vAlign w:val="bottom"/>
            <w:tcBorders>
              <w:top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(775)</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(26)</w:t>
            </w:r>
          </w:p>
        </w:tc>
        <w:tc>
          <w:tcPr>
            <w:tcW w:w="16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35"/>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172</w:t>
            </w:r>
          </w:p>
        </w:tc>
        <w:tc>
          <w:tcPr>
            <w:tcW w:w="80" w:type="dxa"/>
            <w:vAlign w:val="bottom"/>
            <w:tcBorders>
              <w:top w:val="single" w:sz="8" w:color="auto"/>
            </w:tcBorders>
          </w:tcPr>
          <w:p>
            <w:pPr>
              <w:spacing w:after="0"/>
              <w:rPr>
                <w:sz w:val="19"/>
                <w:szCs w:val="19"/>
                <w:color w:val="auto"/>
              </w:rPr>
            </w:pPr>
          </w:p>
        </w:tc>
      </w:tr>
      <w:tr>
        <w:trPr>
          <w:trHeight w:val="244"/>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Net interest and other expense (income)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33</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b w:val="1"/>
                <w:bCs w:val="1"/>
                <w:color w:val="auto"/>
              </w:rPr>
              <w:t>Other net periodic benefit loss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bottom w:val="single" w:sz="8" w:color="auto"/>
            </w:tcBorders>
          </w:tcPr>
          <w:p>
            <w:pPr>
              <w:spacing w:after="0"/>
              <w:rPr>
                <w:sz w:val="21"/>
                <w:szCs w:val="21"/>
                <w:color w:val="auto"/>
              </w:rPr>
            </w:pPr>
          </w:p>
        </w:tc>
      </w:tr>
      <w:tr>
        <w:trPr>
          <w:trHeight w:val="259"/>
        </w:trPr>
        <w:tc>
          <w:tcPr>
            <w:tcW w:w="730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Income (loss) from continuing operations before income taxes</w:t>
            </w:r>
          </w:p>
        </w:tc>
        <w:tc>
          <w:tcPr>
            <w:tcW w:w="24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6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80" w:type="dxa"/>
            <w:vAlign w:val="bottom"/>
            <w:tcBorders>
              <w:bottom w:val="single" w:sz="8" w:color="auto"/>
            </w:tcBorders>
            <w:shd w:val="clear" w:color="auto" w:fill="D4EFF4"/>
          </w:tcPr>
          <w:p>
            <w:pPr>
              <w:spacing w:after="0"/>
              <w:rPr>
                <w:sz w:val="22"/>
                <w:szCs w:val="22"/>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9"/>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7300" w:type="dxa"/>
            <w:vAlign w:val="bottom"/>
            <w:shd w:val="clear" w:color="auto" w:fill="D4EFF4"/>
          </w:tcPr>
          <w:p>
            <w:pPr>
              <w:spacing w:after="0" w:line="244" w:lineRule="exact"/>
              <w:rPr>
                <w:sz w:val="20"/>
                <w:szCs w:val="20"/>
                <w:color w:val="auto"/>
              </w:rPr>
            </w:pPr>
            <w:r>
              <w:rPr>
                <w:rFonts w:ascii="Times New Roman" w:cs="Times New Roman" w:eastAsia="Times New Roman" w:hAnsi="Times New Roman"/>
                <w:sz w:val="20"/>
                <w:szCs w:val="20"/>
                <w:b w:val="1"/>
                <w:bCs w:val="1"/>
                <w:color w:val="auto"/>
              </w:rPr>
              <w:t>EBITDA</w:t>
            </w:r>
            <w:r>
              <w:rPr>
                <w:rFonts w:ascii="Times New Roman" w:cs="Times New Roman" w:eastAsia="Times New Roman" w:hAnsi="Times New Roman"/>
                <w:sz w:val="25"/>
                <w:szCs w:val="25"/>
                <w:b w:val="1"/>
                <w:bCs w:val="1"/>
                <w:color w:val="auto"/>
                <w:vertAlign w:val="superscript"/>
              </w:rPr>
              <w:t>(f)</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9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229</w:t>
            </w:r>
          </w:p>
        </w:tc>
        <w:tc>
          <w:tcPr>
            <w:tcW w:w="38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155</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152</w:t>
            </w: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80" w:type="dxa"/>
            <w:vAlign w:val="bottom"/>
          </w:tcPr>
          <w:p>
            <w:pPr>
              <w:spacing w:after="0"/>
              <w:rPr>
                <w:sz w:val="21"/>
                <w:szCs w:val="21"/>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spacing w:after="0"/>
              <w:rPr>
                <w:sz w:val="22"/>
                <w:szCs w:val="22"/>
                <w:color w:val="auto"/>
              </w:rPr>
            </w:pP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Borders>
              <w:bottom w:val="single" w:sz="8" w:color="auto"/>
            </w:tcBorders>
            <w:shd w:val="clear" w:color="auto" w:fill="D4EFF4"/>
          </w:tcPr>
          <w:p>
            <w:pPr>
              <w:spacing w:after="0"/>
              <w:rPr>
                <w:sz w:val="22"/>
                <w:szCs w:val="22"/>
                <w:color w:val="auto"/>
              </w:rPr>
            </w:pPr>
          </w:p>
        </w:tc>
      </w:tr>
      <w:tr>
        <w:trPr>
          <w:trHeight w:val="219"/>
        </w:trPr>
        <w:tc>
          <w:tcPr>
            <w:tcW w:w="7300" w:type="dxa"/>
            <w:vAlign w:val="bottom"/>
          </w:tcPr>
          <w:p>
            <w:pPr>
              <w:ind w:left="340"/>
              <w:spacing w:after="0" w:line="219" w:lineRule="exact"/>
              <w:rPr>
                <w:sz w:val="20"/>
                <w:szCs w:val="20"/>
                <w:color w:val="auto"/>
              </w:rPr>
            </w:pPr>
            <w:r>
              <w:rPr>
                <w:rFonts w:ascii="Times New Roman" w:cs="Times New Roman" w:eastAsia="Times New Roman" w:hAnsi="Times New Roman"/>
                <w:sz w:val="20"/>
                <w:szCs w:val="20"/>
                <w:i w:val="1"/>
                <w:iCs w:val="1"/>
                <w:color w:val="auto"/>
              </w:rPr>
              <w:t>Total operating segments</w:t>
            </w:r>
          </w:p>
        </w:tc>
        <w:tc>
          <w:tcPr>
            <w:tcW w:w="240" w:type="dxa"/>
            <w:vAlign w:val="bottom"/>
          </w:tcPr>
          <w:p>
            <w:pPr>
              <w:spacing w:after="0"/>
              <w:rPr>
                <w:sz w:val="19"/>
                <w:szCs w:val="19"/>
                <w:color w:val="auto"/>
              </w:rPr>
            </w:pP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(265)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512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527</w:t>
            </w:r>
          </w:p>
        </w:tc>
        <w:tc>
          <w:tcPr>
            <w:tcW w:w="80" w:type="dxa"/>
            <w:vAlign w:val="bottom"/>
          </w:tcPr>
          <w:p>
            <w:pPr>
              <w:spacing w:after="0"/>
              <w:rPr>
                <w:sz w:val="19"/>
                <w:szCs w:val="19"/>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Unallocated and other</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6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(112)</w:t>
            </w:r>
          </w:p>
        </w:tc>
      </w:tr>
      <w:tr>
        <w:trPr>
          <w:trHeight w:val="219"/>
        </w:trPr>
        <w:tc>
          <w:tcPr>
            <w:tcW w:w="7300" w:type="dxa"/>
            <w:vAlign w:val="bottom"/>
            <w:tcBorders>
              <w:bottom w:val="single" w:sz="8" w:color="D4EFF4"/>
            </w:tcBorders>
          </w:tcPr>
          <w:p>
            <w:pPr>
              <w:ind w:left="340"/>
              <w:spacing w:after="0" w:line="219" w:lineRule="exact"/>
              <w:rPr>
                <w:sz w:val="20"/>
                <w:szCs w:val="20"/>
                <w:color w:val="auto"/>
              </w:rPr>
            </w:pPr>
            <w:r>
              <w:rPr>
                <w:rFonts w:ascii="Times New Roman" w:cs="Times New Roman" w:eastAsia="Times New Roman" w:hAnsi="Times New Roman"/>
                <w:sz w:val="20"/>
                <w:szCs w:val="20"/>
                <w:i w:val="1"/>
                <w:iCs w:val="1"/>
                <w:color w:val="auto"/>
              </w:rPr>
              <w:t>Total EBITDA</w:t>
            </w: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(538)</w:t>
            </w:r>
          </w:p>
        </w:tc>
        <w:tc>
          <w:tcPr>
            <w:tcW w:w="160" w:type="dxa"/>
            <w:vAlign w:val="bottom"/>
            <w:tcBorders>
              <w:bottom w:val="single" w:sz="8" w:color="D4EFF4"/>
            </w:tcBorders>
          </w:tcPr>
          <w:p>
            <w:pPr>
              <w:spacing w:after="0"/>
              <w:rPr>
                <w:sz w:val="19"/>
                <w:szCs w:val="19"/>
                <w:color w:val="auto"/>
              </w:rPr>
            </w:pP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248</w:t>
            </w:r>
          </w:p>
        </w:tc>
        <w:tc>
          <w:tcPr>
            <w:tcW w:w="160" w:type="dxa"/>
            <w:vAlign w:val="bottom"/>
            <w:tcBorders>
              <w:bottom w:val="single" w:sz="8" w:color="D4EFF4"/>
            </w:tcBorders>
          </w:tcPr>
          <w:p>
            <w:pPr>
              <w:spacing w:after="0"/>
              <w:rPr>
                <w:sz w:val="19"/>
                <w:szCs w:val="19"/>
                <w:color w:val="auto"/>
              </w:rPr>
            </w:pPr>
          </w:p>
        </w:tc>
        <w:tc>
          <w:tcPr>
            <w:tcW w:w="220" w:type="dxa"/>
            <w:vAlign w:val="bottom"/>
            <w:tcBorders>
              <w:bottom w:val="single" w:sz="8" w:color="auto"/>
            </w:tcBorders>
            <w:gridSpan w:val="2"/>
          </w:tcPr>
          <w:p>
            <w:pPr>
              <w:jc w:val="right"/>
              <w:ind w:right="35"/>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415</w:t>
            </w:r>
          </w:p>
        </w:tc>
        <w:tc>
          <w:tcPr>
            <w:tcW w:w="80" w:type="dxa"/>
            <w:vAlign w:val="bottom"/>
            <w:tcBorders>
              <w:bottom w:val="single" w:sz="8" w:color="auto"/>
            </w:tcBorders>
          </w:tcPr>
          <w:p>
            <w:pPr>
              <w:spacing w:after="0"/>
              <w:rPr>
                <w:sz w:val="19"/>
                <w:szCs w:val="19"/>
                <w:color w:val="auto"/>
              </w:rPr>
            </w:pPr>
          </w:p>
        </w:tc>
      </w:tr>
      <w:tr>
        <w:trPr>
          <w:trHeight w:val="239"/>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Depreciation expense</w:t>
            </w: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174</w:t>
            </w:r>
          </w:p>
        </w:tc>
        <w:tc>
          <w:tcPr>
            <w:tcW w:w="160" w:type="dxa"/>
            <w:vAlign w:val="bottom"/>
            <w:shd w:val="clear" w:color="auto" w:fill="D4EFF4"/>
          </w:tcPr>
          <w:p>
            <w:pPr>
              <w:spacing w:after="0"/>
              <w:rPr>
                <w:sz w:val="20"/>
                <w:szCs w:val="20"/>
                <w:color w:val="auto"/>
              </w:rPr>
            </w:pPr>
          </w:p>
        </w:tc>
        <w:tc>
          <w:tcPr>
            <w:tcW w:w="240" w:type="dxa"/>
            <w:vAlign w:val="bottom"/>
            <w:shd w:val="clear" w:color="auto" w:fill="D4EFF4"/>
          </w:tcPr>
          <w:p>
            <w:pPr>
              <w:spacing w:after="0"/>
              <w:rPr>
                <w:sz w:val="20"/>
                <w:szCs w:val="20"/>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198</w:t>
            </w:r>
          </w:p>
        </w:tc>
        <w:tc>
          <w:tcPr>
            <w:tcW w:w="1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0" w:type="dxa"/>
            <w:vAlign w:val="bottom"/>
            <w:shd w:val="clear" w:color="auto" w:fill="D4EFF4"/>
          </w:tcPr>
          <w:p>
            <w:pPr>
              <w:spacing w:after="0"/>
              <w:rPr>
                <w:sz w:val="20"/>
                <w:szCs w:val="20"/>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80" w:type="dxa"/>
            <w:vAlign w:val="bottom"/>
            <w:shd w:val="clear" w:color="auto" w:fill="D4EFF4"/>
          </w:tcPr>
          <w:p>
            <w:pPr>
              <w:spacing w:after="0"/>
              <w:rPr>
                <w:sz w:val="20"/>
                <w:szCs w:val="20"/>
                <w:color w:val="auto"/>
              </w:rPr>
            </w:pPr>
          </w:p>
        </w:tc>
      </w:tr>
      <w:tr>
        <w:trPr>
          <w:trHeight w:val="244"/>
        </w:trPr>
        <w:tc>
          <w:tcPr>
            <w:tcW w:w="7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Amortization expense</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Net interest and other expense (income)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33</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b w:val="1"/>
                <w:bCs w:val="1"/>
                <w:color w:val="auto"/>
              </w:rPr>
              <w:t>Other net periodic benefit loss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bottom w:val="single" w:sz="8" w:color="auto"/>
            </w:tcBorders>
          </w:tcPr>
          <w:p>
            <w:pPr>
              <w:spacing w:after="0"/>
              <w:rPr>
                <w:sz w:val="21"/>
                <w:szCs w:val="21"/>
                <w:color w:val="auto"/>
              </w:rPr>
            </w:pPr>
          </w:p>
        </w:tc>
      </w:tr>
      <w:tr>
        <w:trPr>
          <w:trHeight w:val="259"/>
        </w:trPr>
        <w:tc>
          <w:tcPr>
            <w:tcW w:w="730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Income (loss) from continuing operations before income taxes</w:t>
            </w:r>
          </w:p>
        </w:tc>
        <w:tc>
          <w:tcPr>
            <w:tcW w:w="24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6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80" w:type="dxa"/>
            <w:vAlign w:val="bottom"/>
            <w:tcBorders>
              <w:bottom w:val="single" w:sz="8" w:color="auto"/>
            </w:tcBorders>
            <w:shd w:val="clear" w:color="auto" w:fill="D4EFF4"/>
          </w:tcPr>
          <w:p>
            <w:pPr>
              <w:spacing w:after="0"/>
              <w:rPr>
                <w:sz w:val="22"/>
                <w:szCs w:val="22"/>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9"/>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Depreciation expense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9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line="244" w:lineRule="exact"/>
              <w:rPr>
                <w:sz w:val="20"/>
                <w:szCs w:val="20"/>
                <w:color w:val="auto"/>
              </w:rPr>
            </w:pPr>
            <w:r>
              <w:rPr>
                <w:rFonts w:ascii="Times New Roman" w:cs="Times New Roman" w:eastAsia="Times New Roman" w:hAnsi="Times New Roman"/>
                <w:sz w:val="20"/>
                <w:szCs w:val="20"/>
                <w:i w:val="1"/>
                <w:iCs w:val="1"/>
                <w:color w:val="auto"/>
              </w:rPr>
              <w:t>Life Sciences</w:t>
            </w:r>
            <w:r>
              <w:rPr>
                <w:rFonts w:ascii="Times New Roman" w:cs="Times New Roman" w:eastAsia="Times New Roman" w:hAnsi="Times New Roman"/>
                <w:sz w:val="25"/>
                <w:szCs w:val="25"/>
                <w:i w:val="1"/>
                <w:iCs w:val="1"/>
                <w:color w:val="auto"/>
                <w:vertAlign w:val="superscript"/>
              </w:rPr>
              <w:t>(g)</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38</w:t>
            </w:r>
          </w:p>
        </w:tc>
        <w:tc>
          <w:tcPr>
            <w:tcW w:w="38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line="244" w:lineRule="exact"/>
              <w:rPr>
                <w:sz w:val="20"/>
                <w:szCs w:val="20"/>
                <w:color w:val="auto"/>
              </w:rPr>
            </w:pPr>
            <w:r>
              <w:rPr>
                <w:rFonts w:ascii="Times New Roman" w:cs="Times New Roman" w:eastAsia="Times New Roman" w:hAnsi="Times New Roman"/>
                <w:sz w:val="20"/>
                <w:szCs w:val="20"/>
                <w:i w:val="1"/>
                <w:iCs w:val="1"/>
                <w:color w:val="auto"/>
              </w:rPr>
              <w:t>Personal Care</w:t>
            </w:r>
            <w:r>
              <w:rPr>
                <w:rFonts w:ascii="Times New Roman" w:cs="Times New Roman" w:eastAsia="Times New Roman" w:hAnsi="Times New Roman"/>
                <w:sz w:val="25"/>
                <w:szCs w:val="25"/>
                <w:i w:val="1"/>
                <w:iCs w:val="1"/>
                <w:color w:val="auto"/>
                <w:vertAlign w:val="superscript"/>
              </w:rPr>
              <w:t>(h)</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36</w:t>
            </w: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line="244" w:lineRule="exact"/>
              <w:rPr>
                <w:sz w:val="20"/>
                <w:szCs w:val="20"/>
                <w:color w:val="auto"/>
              </w:rPr>
            </w:pPr>
            <w:r>
              <w:rPr>
                <w:rFonts w:ascii="Times New Roman" w:cs="Times New Roman" w:eastAsia="Times New Roman" w:hAnsi="Times New Roman"/>
                <w:sz w:val="20"/>
                <w:szCs w:val="20"/>
                <w:i w:val="1"/>
                <w:iCs w:val="1"/>
                <w:color w:val="auto"/>
              </w:rPr>
              <w:t>Specialty Additives</w:t>
            </w:r>
            <w:r>
              <w:rPr>
                <w:rFonts w:ascii="Times New Roman" w:cs="Times New Roman" w:eastAsia="Times New Roman" w:hAnsi="Times New Roman"/>
                <w:sz w:val="25"/>
                <w:szCs w:val="25"/>
                <w:i w:val="1"/>
                <w:iCs w:val="1"/>
                <w:color w:val="auto"/>
                <w:vertAlign w:val="superscript"/>
              </w:rPr>
              <w:t>(i)</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Pr>
          <w:p>
            <w:pPr>
              <w:spacing w:after="0"/>
              <w:rPr>
                <w:sz w:val="21"/>
                <w:szCs w:val="21"/>
                <w:color w:val="auto"/>
              </w:rPr>
            </w:pPr>
          </w:p>
        </w:tc>
      </w:tr>
      <w:tr>
        <w:trPr>
          <w:trHeight w:val="264"/>
        </w:trPr>
        <w:tc>
          <w:tcPr>
            <w:tcW w:w="73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spacing w:after="0"/>
              <w:rPr>
                <w:sz w:val="22"/>
                <w:szCs w:val="22"/>
                <w:color w:val="auto"/>
              </w:rPr>
            </w:pP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16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spacing w:after="0"/>
              <w:rPr>
                <w:sz w:val="22"/>
                <w:szCs w:val="22"/>
                <w:color w:val="auto"/>
              </w:rPr>
            </w:pP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Borders>
              <w:bottom w:val="single" w:sz="8" w:color="auto"/>
            </w:tcBorders>
            <w:shd w:val="clear" w:color="auto" w:fill="D4EFF4"/>
          </w:tcPr>
          <w:p>
            <w:pPr>
              <w:spacing w:after="0"/>
              <w:rPr>
                <w:sz w:val="22"/>
                <w:szCs w:val="22"/>
                <w:color w:val="auto"/>
              </w:rPr>
            </w:pPr>
          </w:p>
        </w:tc>
      </w:tr>
      <w:tr>
        <w:trPr>
          <w:trHeight w:val="259"/>
        </w:trPr>
        <w:tc>
          <w:tcPr>
            <w:tcW w:w="7300" w:type="dxa"/>
            <w:vAlign w:val="bottom"/>
            <w:tcBorders>
              <w:bottom w:val="single" w:sz="8" w:color="D4EFF4"/>
            </w:tcBorders>
          </w:tcPr>
          <w:p>
            <w:pPr>
              <w:spacing w:after="0"/>
              <w:rPr>
                <w:sz w:val="22"/>
                <w:szCs w:val="22"/>
                <w:color w:val="auto"/>
              </w:rPr>
            </w:pP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174</w:t>
            </w:r>
          </w:p>
        </w:tc>
        <w:tc>
          <w:tcPr>
            <w:tcW w:w="160" w:type="dxa"/>
            <w:vAlign w:val="bottom"/>
            <w:tcBorders>
              <w:bottom w:val="single" w:sz="8" w:color="D4EFF4"/>
            </w:tcBorders>
          </w:tcPr>
          <w:p>
            <w:pPr>
              <w:spacing w:after="0"/>
              <w:rPr>
                <w:sz w:val="22"/>
                <w:szCs w:val="22"/>
                <w:color w:val="auto"/>
              </w:rPr>
            </w:pP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198</w:t>
            </w:r>
          </w:p>
        </w:tc>
        <w:tc>
          <w:tcPr>
            <w:tcW w:w="160" w:type="dxa"/>
            <w:vAlign w:val="bottom"/>
            <w:tcBorders>
              <w:bottom w:val="single" w:sz="8" w:color="D4EFF4"/>
            </w:tcBorders>
          </w:tcPr>
          <w:p>
            <w:pPr>
              <w:spacing w:after="0"/>
              <w:rPr>
                <w:sz w:val="22"/>
                <w:szCs w:val="22"/>
                <w:color w:val="auto"/>
              </w:rPr>
            </w:pPr>
          </w:p>
        </w:tc>
        <w:tc>
          <w:tcPr>
            <w:tcW w:w="220" w:type="dxa"/>
            <w:vAlign w:val="bottom"/>
            <w:tcBorders>
              <w:bottom w:val="single" w:sz="8" w:color="auto"/>
            </w:tcBorders>
            <w:gridSpan w:val="2"/>
          </w:tcPr>
          <w:p>
            <w:pPr>
              <w:jc w:val="right"/>
              <w:ind w:right="35"/>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150</w:t>
            </w:r>
          </w:p>
        </w:tc>
        <w:tc>
          <w:tcPr>
            <w:tcW w:w="80" w:type="dxa"/>
            <w:vAlign w:val="bottom"/>
            <w:tcBorders>
              <w:bottom w:val="single" w:sz="8" w:color="auto"/>
            </w:tcBorders>
          </w:tcPr>
          <w:p>
            <w:pPr>
              <w:spacing w:after="0"/>
              <w:rPr>
                <w:sz w:val="22"/>
                <w:szCs w:val="22"/>
                <w:color w:val="auto"/>
              </w:rPr>
            </w:pPr>
          </w:p>
        </w:tc>
      </w:tr>
      <w:tr>
        <w:trPr>
          <w:trHeight w:val="229"/>
        </w:trPr>
        <w:tc>
          <w:tcPr>
            <w:tcW w:w="73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Additions to property, plant and equipment</w:t>
            </w:r>
          </w:p>
        </w:tc>
        <w:tc>
          <w:tcPr>
            <w:tcW w:w="24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9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49</w:t>
            </w:r>
          </w:p>
        </w:tc>
        <w:tc>
          <w:tcPr>
            <w:tcW w:w="16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61</w:t>
            </w:r>
          </w:p>
        </w:tc>
        <w:tc>
          <w:tcPr>
            <w:tcW w:w="180" w:type="dxa"/>
            <w:vAlign w:val="bottom"/>
            <w:gridSpan w:val="2"/>
          </w:tcPr>
          <w:p>
            <w:pPr>
              <w:spacing w:after="0"/>
              <w:rPr>
                <w:sz w:val="21"/>
                <w:szCs w:val="21"/>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80" w:type="dxa"/>
            <w:vAlign w:val="bottom"/>
          </w:tcPr>
          <w:p>
            <w:pPr>
              <w:spacing w:after="0"/>
              <w:rPr>
                <w:sz w:val="21"/>
                <w:szCs w:val="21"/>
                <w:color w:val="auto"/>
              </w:rPr>
            </w:pPr>
          </w:p>
        </w:tc>
      </w:tr>
      <w:tr>
        <w:trPr>
          <w:trHeight w:val="244"/>
        </w:trPr>
        <w:tc>
          <w:tcPr>
            <w:tcW w:w="73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shd w:val="clear" w:color="auto" w:fill="D4EFF4"/>
          </w:tcPr>
          <w:p>
            <w:pPr>
              <w:spacing w:after="0"/>
              <w:rPr>
                <w:sz w:val="21"/>
                <w:szCs w:val="21"/>
                <w:color w:val="auto"/>
              </w:rPr>
            </w:pPr>
          </w:p>
        </w:tc>
        <w:tc>
          <w:tcPr>
            <w:tcW w:w="240" w:type="dxa"/>
            <w:vAlign w:val="bottom"/>
            <w:shd w:val="clear" w:color="auto" w:fill="D4EFF4"/>
          </w:tcPr>
          <w:p>
            <w:pPr>
              <w:spacing w:after="0"/>
              <w:rPr>
                <w:sz w:val="21"/>
                <w:szCs w:val="21"/>
                <w:color w:val="auto"/>
              </w:rPr>
            </w:pPr>
          </w:p>
        </w:tc>
        <w:tc>
          <w:tcPr>
            <w:tcW w:w="10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9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shd w:val="clear" w:color="auto" w:fill="D4EFF4"/>
          </w:tcPr>
          <w:p>
            <w:pPr>
              <w:spacing w:after="0"/>
              <w:rPr>
                <w:sz w:val="21"/>
                <w:szCs w:val="21"/>
                <w:color w:val="auto"/>
              </w:rPr>
            </w:pPr>
          </w:p>
        </w:tc>
      </w:tr>
      <w:tr>
        <w:trPr>
          <w:trHeight w:val="244"/>
        </w:trPr>
        <w:tc>
          <w:tcPr>
            <w:tcW w:w="73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i w:val="1"/>
                <w:iCs w:val="1"/>
                <w:color w:val="auto"/>
              </w:rPr>
              <w:t>Unallocated and other</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Borders>
              <w:bottom w:val="single" w:sz="8" w:color="D4EFF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auto"/>
            </w:tcBorders>
          </w:tcPr>
          <w:p>
            <w:pPr>
              <w:spacing w:after="0"/>
              <w:rPr>
                <w:sz w:val="21"/>
                <w:szCs w:val="21"/>
                <w:color w:val="auto"/>
              </w:rPr>
            </w:pPr>
          </w:p>
        </w:tc>
      </w:tr>
      <w:tr>
        <w:trPr>
          <w:trHeight w:val="259"/>
        </w:trPr>
        <w:tc>
          <w:tcPr>
            <w:tcW w:w="730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98</w:t>
            </w:r>
          </w:p>
        </w:tc>
        <w:tc>
          <w:tcPr>
            <w:tcW w:w="160" w:type="dxa"/>
            <w:vAlign w:val="bottom"/>
            <w:tcBorders>
              <w:bottom w:val="single" w:sz="8" w:color="D4EFF4"/>
            </w:tcBorders>
            <w:shd w:val="clear" w:color="auto" w:fill="D4EFF4"/>
          </w:tcPr>
          <w:p>
            <w:pPr>
              <w:spacing w:after="0"/>
              <w:rPr>
                <w:sz w:val="22"/>
                <w:szCs w:val="22"/>
                <w:color w:val="auto"/>
              </w:rPr>
            </w:pPr>
          </w:p>
        </w:tc>
        <w:tc>
          <w:tcPr>
            <w:tcW w:w="240" w:type="dxa"/>
            <w:vAlign w:val="bottom"/>
            <w:tcBorders>
              <w:bottom w:val="single" w:sz="8" w:color="auto"/>
            </w:tcBorders>
            <w:shd w:val="clear" w:color="auto" w:fill="D4EFF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137</w:t>
            </w:r>
          </w:p>
        </w:tc>
        <w:tc>
          <w:tcPr>
            <w:tcW w:w="16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200" w:type="dxa"/>
            <w:vAlign w:val="bottom"/>
            <w:tcBorders>
              <w:bottom w:val="single" w:sz="8" w:color="auto"/>
            </w:tcBorders>
            <w:shd w:val="clear" w:color="auto" w:fill="D4EFF4"/>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80" w:type="dxa"/>
            <w:vAlign w:val="bottom"/>
            <w:tcBorders>
              <w:bottom w:val="single" w:sz="8" w:color="auto"/>
            </w:tcBorders>
            <w:shd w:val="clear" w:color="auto" w:fill="D4EFF4"/>
          </w:tcPr>
          <w:p>
            <w:pPr>
              <w:spacing w:after="0"/>
              <w:rPr>
                <w:sz w:val="22"/>
                <w:szCs w:val="22"/>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8"/>
        </w:trPr>
        <w:tc>
          <w:tcPr>
            <w:tcW w:w="7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589280</wp:posOffset>
            </wp:positionV>
            <wp:extent cx="7242810"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523">
                      <a:extLst>
                        <a:ext uri="{28A0092B-C50C-407E-A947-70E740481C1C}"/>
                      </a:extLst>
                    </a:blip>
                    <a:srcRect/>
                    <a:stretch>
                      <a:fillRect/>
                    </a:stretch>
                  </pic:blipFill>
                  <pic:spPr bwMode="auto">
                    <a:xfrm>
                      <a:off x="0" y="0"/>
                      <a:ext cx="724281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-6327775</wp:posOffset>
            </wp:positionV>
            <wp:extent cx="7207250"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524">
                      <a:extLst>
                        <a:ext uri="{28A0092B-C50C-407E-A947-70E740481C1C}"/>
                      </a:extLst>
                    </a:blip>
                    <a:srcRect/>
                    <a:stretch>
                      <a:fillRect/>
                    </a:stretch>
                  </pic:blipFill>
                  <pic:spPr bwMode="auto">
                    <a:xfrm>
                      <a:off x="0" y="0"/>
                      <a:ext cx="7207250" cy="381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-22860</wp:posOffset>
            </wp:positionV>
            <wp:extent cx="7207250"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525">
                      <a:extLst>
                        <a:ext uri="{28A0092B-C50C-407E-A947-70E740481C1C}"/>
                      </a:extLst>
                    </a:blip>
                    <a:srcRect/>
                    <a:stretch>
                      <a:fillRect/>
                    </a:stretch>
                  </pic:blipFill>
                  <pic:spPr bwMode="auto">
                    <a:xfrm>
                      <a:off x="0" y="0"/>
                      <a:ext cx="7207250" cy="38100"/>
                    </a:xfrm>
                    <a:prstGeom prst="rect">
                      <a:avLst/>
                    </a:prstGeom>
                    <a:noFill/>
                  </pic:spPr>
                </pic:pic>
              </a:graphicData>
            </a:graphic>
          </wp:anchor>
        </w:drawing>
      </w:r>
    </w:p>
    <w:p>
      <w:pPr>
        <w:sectPr>
          <w:pgSz w:w="12240" w:h="15840" w:orient="portrait"/>
          <w:cols w:equalWidth="0" w:num="1">
            <w:col w:w="11360"/>
          </w:cols>
          <w:pgMar w:left="440" w:top="959"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F-56</w:t>
      </w:r>
    </w:p>
    <w:p>
      <w:pPr>
        <w:sectPr>
          <w:pgSz w:w="12240" w:h="15840" w:orient="portrait"/>
          <w:cols w:equalWidth="0" w:num="1">
            <w:col w:w="11360"/>
          </w:cols>
          <w:pgMar w:left="440" w:top="959" w:right="440" w:bottom="186" w:gutter="0" w:footer="0" w:header="0"/>
          <w:type w:val="continuous"/>
        </w:sectPr>
      </w:pPr>
    </w:p>
    <w:bookmarkStart w:id="158" w:name="page159"/>
    <w:bookmarkEnd w:id="158"/>
    <w:tbl>
      <w:tblPr>
        <w:tblLayout w:type="fixed"/>
        <w:tblInd w:w="8" w:type="dxa"/>
        <w:tblCellMar>
          <w:top w:w="0" w:type="dxa"/>
          <w:left w:w="0" w:type="dxa"/>
          <w:bottom w:w="0" w:type="dxa"/>
          <w:right w:w="0" w:type="dxa"/>
        </w:tblCellMar>
      </w:tblPr>
      <w:tr>
        <w:trPr>
          <w:trHeight w:val="245"/>
        </w:trPr>
        <w:tc>
          <w:tcPr>
            <w:tcW w:w="8120" w:type="dxa"/>
            <w:vAlign w:val="bottom"/>
          </w:tcPr>
          <w:p>
            <w:pPr>
              <w:spacing w:after="0"/>
              <w:rPr>
                <w:sz w:val="20"/>
                <w:szCs w:val="20"/>
                <w:color w:val="auto"/>
              </w:rPr>
            </w:pPr>
            <w:r>
              <w:rPr>
                <w:rFonts w:ascii="Times New Roman" w:cs="Times New Roman" w:eastAsia="Times New Roman" w:hAnsi="Times New Roman"/>
                <w:sz w:val="20"/>
                <w:szCs w:val="20"/>
                <w:color w:val="auto"/>
              </w:rPr>
              <w:t>(In millions)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2025</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2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shd w:val="clear" w:color="auto" w:fill="D4EFF4"/>
          </w:tcPr>
          <w:p>
            <w:pPr>
              <w:spacing w:after="0"/>
              <w:rPr>
                <w:sz w:val="19"/>
                <w:szCs w:val="19"/>
                <w:color w:val="auto"/>
              </w:rPr>
            </w:pPr>
          </w:p>
        </w:tc>
        <w:tc>
          <w:tcPr>
            <w:tcW w:w="260" w:type="dxa"/>
            <w:vAlign w:val="bottom"/>
            <w:shd w:val="clear" w:color="auto" w:fill="D4EFF4"/>
          </w:tcPr>
          <w:p>
            <w:pPr>
              <w:spacing w:after="0"/>
              <w:rPr>
                <w:sz w:val="19"/>
                <w:szCs w:val="19"/>
                <w:color w:val="auto"/>
              </w:rPr>
            </w:pPr>
          </w:p>
        </w:tc>
        <w:tc>
          <w:tcPr>
            <w:tcW w:w="1120" w:type="dxa"/>
            <w:vAlign w:val="bottom"/>
            <w:shd w:val="clear" w:color="auto" w:fill="D4EFF4"/>
          </w:tcPr>
          <w:p>
            <w:pPr>
              <w:spacing w:after="0"/>
              <w:rPr>
                <w:sz w:val="19"/>
                <w:szCs w:val="19"/>
                <w:color w:val="auto"/>
              </w:rPr>
            </w:pPr>
          </w:p>
        </w:tc>
        <w:tc>
          <w:tcPr>
            <w:tcW w:w="560" w:type="dxa"/>
            <w:vAlign w:val="bottom"/>
            <w:shd w:val="clear" w:color="auto" w:fill="D4EFF4"/>
          </w:tcPr>
          <w:p>
            <w:pPr>
              <w:spacing w:after="0"/>
              <w:rPr>
                <w:sz w:val="19"/>
                <w:szCs w:val="19"/>
                <w:color w:val="auto"/>
              </w:rPr>
            </w:pPr>
          </w:p>
        </w:tc>
        <w:tc>
          <w:tcPr>
            <w:tcW w:w="260" w:type="dxa"/>
            <w:vAlign w:val="bottom"/>
            <w:shd w:val="clear" w:color="auto" w:fill="D4EFF4"/>
          </w:tcPr>
          <w:p>
            <w:pPr>
              <w:spacing w:after="0"/>
              <w:rPr>
                <w:sz w:val="19"/>
                <w:szCs w:val="19"/>
                <w:color w:val="auto"/>
              </w:rPr>
            </w:pPr>
          </w:p>
        </w:tc>
        <w:tc>
          <w:tcPr>
            <w:tcW w:w="960" w:type="dxa"/>
            <w:vAlign w:val="bottom"/>
            <w:shd w:val="clear" w:color="auto" w:fill="D4EFF4"/>
          </w:tcPr>
          <w:p>
            <w:pPr>
              <w:spacing w:after="0"/>
              <w:rPr>
                <w:sz w:val="19"/>
                <w:szCs w:val="19"/>
                <w:color w:val="auto"/>
              </w:rPr>
            </w:pPr>
          </w:p>
        </w:tc>
        <w:tc>
          <w:tcPr>
            <w:tcW w:w="6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1,498</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1,778</w:t>
            </w:r>
          </w:p>
        </w:tc>
        <w:tc>
          <w:tcPr>
            <w:tcW w:w="0" w:type="dxa"/>
            <w:vAlign w:val="bottom"/>
          </w:tcPr>
          <w:p>
            <w:pPr>
              <w:spacing w:after="0"/>
              <w:rPr>
                <w:sz w:val="1"/>
                <w:szCs w:val="1"/>
                <w:color w:val="auto"/>
              </w:rPr>
            </w:pPr>
          </w:p>
        </w:tc>
      </w:tr>
      <w:tr>
        <w:trPr>
          <w:trHeight w:val="230"/>
        </w:trPr>
        <w:tc>
          <w:tcPr>
            <w:tcW w:w="812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0" w:type="dxa"/>
            <w:vAlign w:val="bottom"/>
            <w:shd w:val="clear" w:color="auto" w:fill="D4EFF4"/>
          </w:tcPr>
          <w:p>
            <w:pPr>
              <w:spacing w:after="0"/>
              <w:rPr>
                <w:sz w:val="20"/>
                <w:szCs w:val="20"/>
                <w:color w:val="auto"/>
              </w:rPr>
            </w:pPr>
          </w:p>
        </w:tc>
        <w:tc>
          <w:tcPr>
            <w:tcW w:w="260" w:type="dxa"/>
            <w:vAlign w:val="bottom"/>
            <w:shd w:val="clear" w:color="auto" w:fill="D4EFF4"/>
          </w:tcPr>
          <w:p>
            <w:pPr>
              <w:spacing w:after="0"/>
              <w:rPr>
                <w:sz w:val="20"/>
                <w:szCs w:val="20"/>
                <w:color w:val="auto"/>
              </w:rPr>
            </w:pPr>
          </w:p>
        </w:tc>
        <w:tc>
          <w:tcPr>
            <w:tcW w:w="11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751</w:t>
            </w:r>
          </w:p>
        </w:tc>
        <w:tc>
          <w:tcPr>
            <w:tcW w:w="560" w:type="dxa"/>
            <w:vAlign w:val="bottom"/>
            <w:shd w:val="clear" w:color="auto" w:fill="D4EFF4"/>
          </w:tcPr>
          <w:p>
            <w:pPr>
              <w:spacing w:after="0"/>
              <w:rPr>
                <w:sz w:val="20"/>
                <w:szCs w:val="20"/>
                <w:color w:val="auto"/>
              </w:rPr>
            </w:pPr>
          </w:p>
        </w:tc>
        <w:tc>
          <w:tcPr>
            <w:tcW w:w="260" w:type="dxa"/>
            <w:vAlign w:val="bottom"/>
            <w:shd w:val="clear" w:color="auto" w:fill="D4EFF4"/>
          </w:tcPr>
          <w:p>
            <w:pPr>
              <w:spacing w:after="0"/>
              <w:rPr>
                <w:sz w:val="20"/>
                <w:szCs w:val="20"/>
                <w:color w:val="auto"/>
              </w:rPr>
            </w:pPr>
          </w:p>
        </w:tc>
        <w:tc>
          <w:tcPr>
            <w:tcW w:w="102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950</w:t>
            </w: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1,020</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1,516</w:t>
            </w:r>
          </w:p>
        </w:tc>
        <w:tc>
          <w:tcPr>
            <w:tcW w:w="0" w:type="dxa"/>
            <w:vAlign w:val="bottom"/>
          </w:tcPr>
          <w:p>
            <w:pPr>
              <w:spacing w:after="0"/>
              <w:rPr>
                <w:sz w:val="1"/>
                <w:szCs w:val="1"/>
                <w:color w:val="auto"/>
              </w:rPr>
            </w:pPr>
          </w:p>
        </w:tc>
      </w:tr>
      <w:tr>
        <w:trPr>
          <w:trHeight w:val="230"/>
        </w:trPr>
        <w:tc>
          <w:tcPr>
            <w:tcW w:w="812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0" w:type="dxa"/>
            <w:vAlign w:val="bottom"/>
            <w:shd w:val="clear" w:color="auto" w:fill="D4EFF4"/>
          </w:tcPr>
          <w:p>
            <w:pPr>
              <w:spacing w:after="0"/>
              <w:rPr>
                <w:sz w:val="20"/>
                <w:szCs w:val="20"/>
                <w:color w:val="auto"/>
              </w:rPr>
            </w:pPr>
          </w:p>
        </w:tc>
        <w:tc>
          <w:tcPr>
            <w:tcW w:w="260" w:type="dxa"/>
            <w:vAlign w:val="bottom"/>
            <w:shd w:val="clear" w:color="auto" w:fill="D4EFF4"/>
          </w:tcPr>
          <w:p>
            <w:pPr>
              <w:spacing w:after="0"/>
              <w:rPr>
                <w:sz w:val="20"/>
                <w:szCs w:val="20"/>
                <w:color w:val="auto"/>
              </w:rPr>
            </w:pPr>
          </w:p>
        </w:tc>
        <w:tc>
          <w:tcPr>
            <w:tcW w:w="11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116</w:t>
            </w:r>
          </w:p>
        </w:tc>
        <w:tc>
          <w:tcPr>
            <w:tcW w:w="560" w:type="dxa"/>
            <w:vAlign w:val="bottom"/>
            <w:shd w:val="clear" w:color="auto" w:fill="D4EFF4"/>
          </w:tcPr>
          <w:p>
            <w:pPr>
              <w:spacing w:after="0"/>
              <w:rPr>
                <w:sz w:val="20"/>
                <w:szCs w:val="20"/>
                <w:color w:val="auto"/>
              </w:rPr>
            </w:pPr>
          </w:p>
        </w:tc>
        <w:tc>
          <w:tcPr>
            <w:tcW w:w="260" w:type="dxa"/>
            <w:vAlign w:val="bottom"/>
            <w:shd w:val="clear" w:color="auto" w:fill="D4EFF4"/>
          </w:tcPr>
          <w:p>
            <w:pPr>
              <w:spacing w:after="0"/>
              <w:rPr>
                <w:sz w:val="20"/>
                <w:szCs w:val="20"/>
                <w:color w:val="auto"/>
              </w:rPr>
            </w:pPr>
          </w:p>
        </w:tc>
        <w:tc>
          <w:tcPr>
            <w:tcW w:w="102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i w:val="1"/>
                <w:iCs w:val="1"/>
                <w:color w:val="auto"/>
              </w:rPr>
              <w:t>Unallocated and other</w:t>
            </w:r>
          </w:p>
        </w:tc>
        <w:tc>
          <w:tcPr>
            <w:tcW w:w="20" w:type="dxa"/>
            <w:vAlign w:val="bottom"/>
            <w:tcBorders>
              <w:bottom w:val="single" w:sz="8" w:color="D4EF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1,226</w:t>
            </w:r>
          </w:p>
        </w:tc>
        <w:tc>
          <w:tcPr>
            <w:tcW w:w="560" w:type="dxa"/>
            <w:vAlign w:val="bottom"/>
            <w:tcBorders>
              <w:bottom w:val="single" w:sz="8" w:color="D4EF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25"/>
        </w:trPr>
        <w:tc>
          <w:tcPr>
            <w:tcW w:w="8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60" w:type="dxa"/>
            <w:vAlign w:val="bottom"/>
            <w:tcBorders>
              <w:bottom w:val="single" w:sz="8" w:color="auto"/>
            </w:tcBorders>
            <w:shd w:val="clear" w:color="auto" w:fill="D4EFF4"/>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D4EFF4"/>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4,611</w:t>
            </w:r>
          </w:p>
        </w:tc>
        <w:tc>
          <w:tcPr>
            <w:tcW w:w="560" w:type="dxa"/>
            <w:vAlign w:val="bottom"/>
            <w:shd w:val="clear" w:color="auto" w:fill="D4EFF4"/>
          </w:tcPr>
          <w:p>
            <w:pPr>
              <w:spacing w:after="0"/>
              <w:rPr>
                <w:sz w:val="19"/>
                <w:szCs w:val="19"/>
                <w:color w:val="auto"/>
              </w:rPr>
            </w:pPr>
          </w:p>
        </w:tc>
        <w:tc>
          <w:tcPr>
            <w:tcW w:w="260" w:type="dxa"/>
            <w:vAlign w:val="bottom"/>
            <w:tcBorders>
              <w:bottom w:val="single" w:sz="8" w:color="auto"/>
            </w:tcBorders>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gridSpan w:val="2"/>
            <w:shd w:val="clear" w:color="auto" w:fill="D4EFF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5,645</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 - net</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Life Sciences</w:t>
            </w:r>
          </w:p>
        </w:tc>
        <w:tc>
          <w:tcPr>
            <w:tcW w:w="280" w:type="dxa"/>
            <w:vAlign w:val="bottom"/>
            <w:gridSpan w:val="2"/>
            <w:shd w:val="clear" w:color="auto" w:fill="D4EFF4"/>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481</w:t>
            </w:r>
          </w:p>
        </w:tc>
        <w:tc>
          <w:tcPr>
            <w:tcW w:w="82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415</w:t>
            </w: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Personal Care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101</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146</w:t>
            </w:r>
          </w:p>
        </w:tc>
        <w:tc>
          <w:tcPr>
            <w:tcW w:w="0" w:type="dxa"/>
            <w:vAlign w:val="bottom"/>
          </w:tcPr>
          <w:p>
            <w:pPr>
              <w:spacing w:after="0"/>
              <w:rPr>
                <w:sz w:val="1"/>
                <w:szCs w:val="1"/>
                <w:color w:val="auto"/>
              </w:rPr>
            </w:pPr>
          </w:p>
        </w:tc>
      </w:tr>
      <w:tr>
        <w:trPr>
          <w:trHeight w:val="230"/>
        </w:trPr>
        <w:tc>
          <w:tcPr>
            <w:tcW w:w="812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Specialty Additives</w:t>
            </w:r>
          </w:p>
        </w:tc>
        <w:tc>
          <w:tcPr>
            <w:tcW w:w="20" w:type="dxa"/>
            <w:vAlign w:val="bottom"/>
            <w:shd w:val="clear" w:color="auto" w:fill="D4EFF4"/>
          </w:tcPr>
          <w:p>
            <w:pPr>
              <w:spacing w:after="0"/>
              <w:rPr>
                <w:sz w:val="20"/>
                <w:szCs w:val="20"/>
                <w:color w:val="auto"/>
              </w:rPr>
            </w:pPr>
          </w:p>
        </w:tc>
        <w:tc>
          <w:tcPr>
            <w:tcW w:w="260" w:type="dxa"/>
            <w:vAlign w:val="bottom"/>
            <w:shd w:val="clear" w:color="auto" w:fill="D4EFF4"/>
          </w:tcPr>
          <w:p>
            <w:pPr>
              <w:spacing w:after="0"/>
              <w:rPr>
                <w:sz w:val="20"/>
                <w:szCs w:val="20"/>
                <w:color w:val="auto"/>
              </w:rPr>
            </w:pPr>
          </w:p>
        </w:tc>
        <w:tc>
          <w:tcPr>
            <w:tcW w:w="112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484</w:t>
            </w:r>
          </w:p>
        </w:tc>
        <w:tc>
          <w:tcPr>
            <w:tcW w:w="560" w:type="dxa"/>
            <w:vAlign w:val="bottom"/>
            <w:shd w:val="clear" w:color="auto" w:fill="D4EFF4"/>
          </w:tcPr>
          <w:p>
            <w:pPr>
              <w:spacing w:after="0"/>
              <w:rPr>
                <w:sz w:val="20"/>
                <w:szCs w:val="20"/>
                <w:color w:val="auto"/>
              </w:rPr>
            </w:pPr>
          </w:p>
        </w:tc>
        <w:tc>
          <w:tcPr>
            <w:tcW w:w="260" w:type="dxa"/>
            <w:vAlign w:val="bottom"/>
            <w:shd w:val="clear" w:color="auto" w:fill="D4EFF4"/>
          </w:tcPr>
          <w:p>
            <w:pPr>
              <w:spacing w:after="0"/>
              <w:rPr>
                <w:sz w:val="20"/>
                <w:szCs w:val="20"/>
                <w:color w:val="auto"/>
              </w:rPr>
            </w:pPr>
          </w:p>
        </w:tc>
        <w:tc>
          <w:tcPr>
            <w:tcW w:w="1020" w:type="dxa"/>
            <w:vAlign w:val="bottom"/>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603</w:t>
            </w: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Intermediates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30"/>
        </w:trPr>
        <w:tc>
          <w:tcPr>
            <w:tcW w:w="812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i w:val="1"/>
                <w:iCs w:val="1"/>
                <w:color w:val="auto"/>
              </w:rPr>
              <w:t>Unallocated and other</w:t>
            </w:r>
          </w:p>
        </w:tc>
        <w:tc>
          <w:tcPr>
            <w:tcW w:w="20" w:type="dxa"/>
            <w:vAlign w:val="bottom"/>
            <w:shd w:val="clear" w:color="auto" w:fill="D4EFF4"/>
          </w:tcPr>
          <w:p>
            <w:pPr>
              <w:spacing w:after="0"/>
              <w:rPr>
                <w:sz w:val="20"/>
                <w:szCs w:val="20"/>
                <w:color w:val="auto"/>
              </w:rPr>
            </w:pPr>
          </w:p>
        </w:tc>
        <w:tc>
          <w:tcPr>
            <w:tcW w:w="260" w:type="dxa"/>
            <w:vAlign w:val="bottom"/>
            <w:tcBorders>
              <w:bottom w:val="single" w:sz="8" w:color="auto"/>
            </w:tcBorders>
            <w:shd w:val="clear" w:color="auto" w:fill="D4EFF4"/>
          </w:tcPr>
          <w:p>
            <w:pPr>
              <w:spacing w:after="0"/>
              <w:rPr>
                <w:sz w:val="20"/>
                <w:szCs w:val="20"/>
                <w:color w:val="auto"/>
              </w:rPr>
            </w:pPr>
          </w:p>
        </w:tc>
        <w:tc>
          <w:tcPr>
            <w:tcW w:w="11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105</w:t>
            </w:r>
          </w:p>
        </w:tc>
        <w:tc>
          <w:tcPr>
            <w:tcW w:w="560" w:type="dxa"/>
            <w:vAlign w:val="bottom"/>
            <w:shd w:val="clear" w:color="auto" w:fill="D4EFF4"/>
          </w:tcPr>
          <w:p>
            <w:pPr>
              <w:spacing w:after="0"/>
              <w:rPr>
                <w:sz w:val="20"/>
                <w:szCs w:val="20"/>
                <w:color w:val="auto"/>
              </w:rPr>
            </w:pPr>
          </w:p>
        </w:tc>
        <w:tc>
          <w:tcPr>
            <w:tcW w:w="260" w:type="dxa"/>
            <w:vAlign w:val="bottom"/>
            <w:tcBorders>
              <w:bottom w:val="single" w:sz="8" w:color="auto"/>
            </w:tcBorders>
            <w:shd w:val="clear" w:color="auto" w:fill="D4EFF4"/>
          </w:tcPr>
          <w:p>
            <w:pPr>
              <w:spacing w:after="0"/>
              <w:rPr>
                <w:sz w:val="20"/>
                <w:szCs w:val="20"/>
                <w:color w:val="auto"/>
              </w:rPr>
            </w:pPr>
          </w:p>
        </w:tc>
        <w:tc>
          <w:tcPr>
            <w:tcW w:w="1020" w:type="dxa"/>
            <w:vAlign w:val="bottom"/>
            <w:tcBorders>
              <w:bottom w:val="single" w:sz="8" w:color="auto"/>
            </w:tcBorders>
            <w:gridSpan w:val="2"/>
            <w:shd w:val="clear" w:color="auto" w:fill="D4EFF4"/>
          </w:tcPr>
          <w:p>
            <w:pPr>
              <w:jc w:val="right"/>
              <w:ind w:right="60"/>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25"/>
        </w:trPr>
        <w:tc>
          <w:tcPr>
            <w:tcW w:w="8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1,201</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1,303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8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589280</wp:posOffset>
            </wp:positionV>
            <wp:extent cx="72129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526">
                      <a:extLst>
                        <a:ext uri="{28A0092B-C50C-407E-A947-70E740481C1C}"/>
                      </a:extLst>
                    </a:blip>
                    <a:srcRect/>
                    <a:stretch>
                      <a:fillRect/>
                    </a:stretch>
                  </pic:blipFill>
                  <pic:spPr bwMode="auto">
                    <a:xfrm>
                      <a:off x="0" y="0"/>
                      <a:ext cx="721296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-2197735</wp:posOffset>
            </wp:positionV>
            <wp:extent cx="72129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527">
                      <a:extLst>
                        <a:ext uri="{28A0092B-C50C-407E-A947-70E740481C1C}"/>
                      </a:extLst>
                    </a:blip>
                    <a:srcRect/>
                    <a:stretch>
                      <a:fillRect/>
                    </a:stretch>
                  </pic:blipFill>
                  <pic:spPr bwMode="auto">
                    <a:xfrm>
                      <a:off x="0" y="0"/>
                      <a:ext cx="721296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-23495</wp:posOffset>
            </wp:positionV>
            <wp:extent cx="72129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528">
                      <a:extLst>
                        <a:ext uri="{28A0092B-C50C-407E-A947-70E740481C1C}"/>
                      </a:extLst>
                    </a:blip>
                    <a:srcRect/>
                    <a:stretch>
                      <a:fillRect/>
                    </a:stretch>
                  </pic:blipFill>
                  <pic:spPr bwMode="auto">
                    <a:xfrm>
                      <a:off x="0" y="0"/>
                      <a:ext cx="7212965" cy="38100"/>
                    </a:xfrm>
                    <a:prstGeom prst="rect">
                      <a:avLst/>
                    </a:prstGeom>
                    <a:noFill/>
                  </pic:spPr>
                </pic:pic>
              </a:graphicData>
            </a:graphic>
          </wp:anchor>
        </w:drawing>
      </w:r>
    </w:p>
    <w:p>
      <w:pPr>
        <w:spacing w:after="0" w:line="5" w:lineRule="exact"/>
        <w:rPr>
          <w:sz w:val="20"/>
          <w:szCs w:val="20"/>
          <w:color w:val="auto"/>
        </w:rPr>
      </w:pPr>
    </w:p>
    <w:p>
      <w:pPr>
        <w:ind w:left="568" w:hanging="568"/>
        <w:spacing w:after="0"/>
        <w:tabs>
          <w:tab w:leader="none" w:pos="56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Intersegment sales from Intermediates are accounted for at prices that approximate market value. All other intersegment sales are accounted for at cost.</w:t>
      </w:r>
    </w:p>
    <w:p>
      <w:pPr>
        <w:spacing w:after="0" w:line="40"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goodwill impairment of $375 million for Life Sciences in 2025.</w:t>
      </w:r>
    </w:p>
    <w:p>
      <w:pPr>
        <w:spacing w:after="0" w:line="40"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capital project impairment charge of $11 million for Personal Care in 2024.</w:t>
      </w:r>
    </w:p>
    <w:p>
      <w:pPr>
        <w:spacing w:after="0" w:line="40"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goodwill impairment of $331 million in 2025 and a $4 million impairment charge related to a facility in 2023 for Specialty Additives.</w:t>
      </w:r>
    </w:p>
    <w:p>
      <w:pPr>
        <w:spacing w:after="0" w:line="40" w:lineRule="exact"/>
        <w:rPr>
          <w:rFonts w:ascii="Times New Roman" w:cs="Times New Roman" w:eastAsia="Times New Roman" w:hAnsi="Times New Roman"/>
          <w:sz w:val="16"/>
          <w:szCs w:val="16"/>
          <w:color w:val="auto"/>
        </w:rPr>
      </w:pPr>
    </w:p>
    <w:p>
      <w:pPr>
        <w:ind w:left="568" w:hanging="568"/>
        <w:spacing w:after="0" w:line="266" w:lineRule="auto"/>
        <w:tabs>
          <w:tab w:leader="none" w:pos="56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$8 million gain on sale and a $183 million impairment charge related to the divestiture of the Avoca business in 2025, and a $8 million loss on sale and a $99 million impairment charge related to the divestiture of the Nutraceuticals business in 2024 within the income (loss) on acquisitions and divestitures, net.</w:t>
      </w:r>
    </w:p>
    <w:p>
      <w:pPr>
        <w:ind w:left="568" w:hanging="568"/>
        <w:spacing w:after="0" w:line="266" w:lineRule="auto"/>
        <w:tabs>
          <w:tab w:leader="none" w:pos="56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income (loss) from discontinued operations, net of income taxes and other net periodic benefit loss. See the Statements of Consolidated Comprehensive Income (Loss) for applicable amounts excluded.</w:t>
      </w:r>
    </w:p>
    <w:p>
      <w:pPr>
        <w:ind w:left="568" w:hanging="568"/>
        <w:spacing w:after="0"/>
        <w:tabs>
          <w:tab w:leader="none" w:pos="56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includes accelerated depreciation of $21 million for Life Sciences in 2025.</w:t>
      </w:r>
    </w:p>
    <w:p>
      <w:pPr>
        <w:spacing w:after="0" w:line="40"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includes accelerated depreciation of $1 million and $2 million for Personal Care in 2025 and 2024, respectively.</w:t>
      </w:r>
    </w:p>
    <w:p>
      <w:pPr>
        <w:spacing w:after="0" w:line="40" w:lineRule="exact"/>
        <w:rPr>
          <w:rFonts w:ascii="Times New Roman" w:cs="Times New Roman" w:eastAsia="Times New Roman" w:hAnsi="Times New Roman"/>
          <w:sz w:val="16"/>
          <w:szCs w:val="16"/>
          <w:color w:val="auto"/>
        </w:rPr>
      </w:pPr>
    </w:p>
    <w:p>
      <w:pPr>
        <w:ind w:left="568" w:hanging="568"/>
        <w:spacing w:after="0"/>
        <w:tabs>
          <w:tab w:leader="none" w:pos="56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includes accelerated depreciation of $19 million and $55 million for Specialty Additives in 2025 and 2024, respectively.</w:t>
      </w:r>
    </w:p>
    <w:p>
      <w:pPr>
        <w:sectPr>
          <w:pgSz w:w="12240" w:h="15840" w:orient="portrait"/>
          <w:cols w:equalWidth="0" w:num="1">
            <w:col w:w="11368"/>
          </w:cols>
          <w:pgMar w:left="432" w:top="930" w:right="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F-57</w:t>
      </w:r>
    </w:p>
    <w:p>
      <w:pPr>
        <w:sectPr>
          <w:pgSz w:w="12240" w:h="15840" w:orient="portrait"/>
          <w:cols w:equalWidth="0" w:num="1">
            <w:col w:w="11368"/>
          </w:cols>
          <w:pgMar w:left="432" w:top="930" w:right="440" w:bottom="186" w:gutter="0" w:footer="0" w:header="0"/>
          <w:type w:val="continuous"/>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F-58</w:t>
      </w:r>
    </w:p>
    <w:p>
      <w:pPr>
        <w:sectPr>
          <w:pgSz w:w="12240" w:h="15840" w:orient="portrait"/>
          <w:cols w:equalWidth="0" w:num="1">
            <w:col w:w="9360"/>
          </w:cols>
          <w:pgMar w:left="1440" w:top="1440" w:right="1440" w:bottom="186" w:gutter="0" w:footer="0" w:header="0"/>
          <w:type w:val="continuous"/>
        </w:sectPr>
      </w:pPr>
    </w:p>
    <w:bookmarkStart w:id="160" w:name="page161"/>
    <w:bookmarkEnd w:id="160"/>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wp:posOffset>
            </wp:positionH>
            <wp:positionV relativeFrom="page">
              <wp:posOffset>0</wp:posOffset>
            </wp:positionV>
            <wp:extent cx="7746365" cy="100577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529">
                      <a:extLst>
                        <a:ext uri="{28A0092B-C50C-407E-A947-70E740481C1C}"/>
                      </a:extLst>
                    </a:blip>
                    <a:srcRect/>
                    <a:stretch>
                      <a:fillRect/>
                    </a:stretch>
                  </pic:blipFill>
                  <pic:spPr bwMode="auto">
                    <a:xfrm>
                      <a:off x="0" y="0"/>
                      <a:ext cx="7746365" cy="10057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88"/>
        </w:trPr>
        <w:tc>
          <w:tcPr>
            <w:tcW w:w="3160" w:type="dxa"/>
            <w:vAlign w:val="bottom"/>
            <w:tcBorders>
              <w:bottom w:val="single" w:sz="8" w:color="60BD98"/>
            </w:tcBorders>
            <w:shd w:val="clear" w:color="auto" w:fill="60BD98"/>
          </w:tcPr>
          <w:p>
            <w:pPr>
              <w:ind w:left="680"/>
              <w:spacing w:after="0" w:line="267" w:lineRule="exact"/>
              <w:rPr>
                <w:sz w:val="20"/>
                <w:szCs w:val="20"/>
                <w:color w:val="auto"/>
              </w:rPr>
            </w:pPr>
            <w:r>
              <w:rPr>
                <w:rFonts w:ascii="Arial" w:cs="Arial" w:eastAsia="Arial" w:hAnsi="Arial"/>
                <w:sz w:val="22"/>
                <w:szCs w:val="22"/>
                <w:color w:val="FFFFFF"/>
              </w:rPr>
              <w:t>`m_pb</w:t>
            </w:r>
            <w:r>
              <w:rPr>
                <w:rFonts w:ascii="PMingLiU" w:cs="PMingLiU" w:eastAsia="PMingLiU" w:hAnsi="PMingLiU"/>
                <w:sz w:val="22"/>
                <w:szCs w:val="22"/>
                <w:color w:val="FFFFFF"/>
              </w:rPr>
              <w:t/>
            </w:r>
            <w:r>
              <w:rPr>
                <w:rFonts w:ascii="Arial" w:cs="Arial" w:eastAsia="Arial" w:hAnsi="Arial"/>
                <w:sz w:val="22"/>
                <w:szCs w:val="22"/>
                <w:color w:val="FFFFFF"/>
              </w:rPr>
              <w:t>md</w:t>
            </w:r>
            <w:r>
              <w:rPr>
                <w:rFonts w:ascii="PMingLiU" w:cs="PMingLiU" w:eastAsia="PMingLiU" w:hAnsi="PMingLiU"/>
                <w:sz w:val="22"/>
                <w:szCs w:val="22"/>
                <w:color w:val="FFFFFF"/>
              </w:rPr>
              <w:t/>
            </w:r>
            <w:r>
              <w:rPr>
                <w:rFonts w:ascii="Arial" w:cs="Arial" w:eastAsia="Arial" w:hAnsi="Arial"/>
                <w:sz w:val="22"/>
                <w:szCs w:val="22"/>
                <w:color w:val="FFFFFF"/>
              </w:rPr>
              <w:t>bgpcarmpq</w:t>
            </w:r>
          </w:p>
        </w:tc>
        <w:tc>
          <w:tcPr>
            <w:tcW w:w="360" w:type="dxa"/>
            <w:vAlign w:val="bottom"/>
          </w:tcPr>
          <w:p>
            <w:pPr>
              <w:spacing w:after="0"/>
              <w:rPr>
                <w:sz w:val="24"/>
                <w:szCs w:val="24"/>
                <w:color w:val="auto"/>
              </w:rPr>
            </w:pPr>
          </w:p>
        </w:tc>
        <w:tc>
          <w:tcPr>
            <w:tcW w:w="3160" w:type="dxa"/>
            <w:vAlign w:val="bottom"/>
            <w:tcBorders>
              <w:bottom w:val="single" w:sz="8" w:color="60BD98"/>
            </w:tcBorders>
            <w:shd w:val="clear" w:color="auto" w:fill="60BD98"/>
          </w:tcPr>
          <w:p>
            <w:pPr>
              <w:ind w:left="720"/>
              <w:spacing w:after="0" w:line="267" w:lineRule="exact"/>
              <w:rPr>
                <w:sz w:val="20"/>
                <w:szCs w:val="20"/>
                <w:color w:val="auto"/>
              </w:rPr>
            </w:pPr>
            <w:r>
              <w:rPr>
                <w:rFonts w:ascii="Arial" w:cs="Arial" w:eastAsia="Arial" w:hAnsi="Arial"/>
                <w:sz w:val="22"/>
                <w:szCs w:val="22"/>
                <w:color w:val="FFFFFF"/>
              </w:rPr>
              <w:t>cvcasrgtc</w:t>
            </w:r>
            <w:r>
              <w:rPr>
                <w:rFonts w:ascii="PMingLiU" w:cs="PMingLiU" w:eastAsia="PMingLiU" w:hAnsi="PMingLiU"/>
                <w:sz w:val="22"/>
                <w:szCs w:val="22"/>
                <w:color w:val="FFFFFF"/>
              </w:rPr>
              <w:t/>
            </w:r>
            <w:r>
              <w:rPr>
                <w:rFonts w:ascii="Arial" w:cs="Arial" w:eastAsia="Arial" w:hAnsi="Arial"/>
                <w:sz w:val="22"/>
                <w:szCs w:val="22"/>
                <w:color w:val="FFFFFF"/>
              </w:rPr>
              <w:t>offiacpq</w:t>
            </w:r>
          </w:p>
        </w:tc>
        <w:tc>
          <w:tcPr>
            <w:tcW w:w="0" w:type="dxa"/>
            <w:vAlign w:val="bottom"/>
          </w:tcPr>
          <w:p>
            <w:pPr>
              <w:spacing w:after="0"/>
              <w:rPr>
                <w:sz w:val="1"/>
                <w:szCs w:val="1"/>
                <w:color w:val="auto"/>
              </w:rPr>
            </w:pPr>
          </w:p>
        </w:tc>
      </w:tr>
      <w:tr>
        <w:trPr>
          <w:trHeight w:val="417"/>
        </w:trPr>
        <w:tc>
          <w:tcPr>
            <w:tcW w:w="3160" w:type="dxa"/>
            <w:vAlign w:val="bottom"/>
          </w:tcPr>
          <w:p>
            <w:pPr>
              <w:spacing w:after="0" w:line="207" w:lineRule="exact"/>
              <w:rPr>
                <w:sz w:val="20"/>
                <w:szCs w:val="20"/>
                <w:color w:val="auto"/>
              </w:rPr>
            </w:pPr>
            <w:r>
              <w:rPr>
                <w:rFonts w:ascii="Arial" w:cs="Arial" w:eastAsia="Arial" w:hAnsi="Arial"/>
                <w:sz w:val="16"/>
                <w:szCs w:val="16"/>
                <w:b w:val="1"/>
                <w:bCs w:val="1"/>
                <w:color w:val="625352"/>
              </w:rPr>
              <w:t>Ksgjjcpkm</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Rmtm</w:t>
            </w:r>
            <w:r>
              <w:rPr>
                <w:rFonts w:ascii="PMingLiU" w:cs="PMingLiU" w:eastAsia="PMingLiU" w:hAnsi="PMingLiU"/>
                <w:sz w:val="16"/>
                <w:szCs w:val="16"/>
                <w:b w:val="1"/>
                <w:bCs w:val="1"/>
                <w:color w:val="625352"/>
              </w:rPr>
              <w:t/>
            </w:r>
            <w:r>
              <w:rPr>
                <w:rFonts w:ascii="Arial" w:cs="Arial" w:eastAsia="Arial" w:hAnsi="Arial"/>
                <w:sz w:val="18"/>
                <w:szCs w:val="18"/>
                <w:b w:val="1"/>
                <w:bCs w:val="1"/>
                <w:color w:val="625352"/>
                <w:vertAlign w:val="superscript"/>
              </w:rPr>
              <w:t>+`,</w:t>
            </w:r>
            <w:r>
              <w:rPr>
                <w:rFonts w:ascii="PMingLiU" w:cs="PMingLiU" w:eastAsia="PMingLiU" w:hAnsi="PMingLiU"/>
                <w:sz w:val="16"/>
                <w:szCs w:val="16"/>
                <w:b w:val="1"/>
                <w:bCs w:val="1"/>
                <w:color w:val="625352"/>
              </w:rPr>
              <w:t/>
            </w:r>
          </w:p>
        </w:tc>
        <w:tc>
          <w:tcPr>
            <w:tcW w:w="360" w:type="dxa"/>
            <w:vAlign w:val="bottom"/>
          </w:tcPr>
          <w:p>
            <w:pPr>
              <w:spacing w:after="0"/>
              <w:rPr>
                <w:sz w:val="24"/>
                <w:szCs w:val="24"/>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b w:val="1"/>
                <w:bCs w:val="1"/>
                <w:color w:val="625352"/>
              </w:rPr>
              <w:t>Ksgjjcpkm</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Rmtm</w:t>
            </w:r>
            <w:r>
              <w:rPr>
                <w:rFonts w:ascii="PMingLiU" w:cs="PMingLiU" w:eastAsia="PMingLiU" w:hAnsi="PMingLiU"/>
                <w:sz w:val="16"/>
                <w:szCs w:val="16"/>
                <w:b w:val="1"/>
                <w:bCs w:val="1"/>
                <w:color w:val="625352"/>
              </w:rPr>
              <w:t/>
            </w:r>
          </w:p>
        </w:tc>
        <w:tc>
          <w:tcPr>
            <w:tcW w:w="0" w:type="dxa"/>
            <w:vAlign w:val="bottom"/>
          </w:tcPr>
          <w:p>
            <w:pPr>
              <w:spacing w:after="0"/>
              <w:rPr>
                <w:sz w:val="1"/>
                <w:szCs w:val="1"/>
                <w:color w:val="auto"/>
              </w:rPr>
            </w:pPr>
          </w:p>
        </w:tc>
      </w:tr>
      <w:tr>
        <w:trPr>
          <w:trHeight w:val="192"/>
        </w:trPr>
        <w:tc>
          <w:tcPr>
            <w:tcW w:w="3160" w:type="dxa"/>
            <w:vAlign w:val="bottom"/>
          </w:tcPr>
          <w:p>
            <w:pPr>
              <w:spacing w:after="0" w:line="192" w:lineRule="exact"/>
              <w:rPr>
                <w:sz w:val="20"/>
                <w:szCs w:val="20"/>
                <w:color w:val="auto"/>
              </w:rPr>
            </w:pPr>
            <w:r>
              <w:rPr>
                <w:rFonts w:ascii="Arial" w:cs="Arial" w:eastAsia="Arial" w:hAnsi="Arial"/>
                <w:sz w:val="16"/>
                <w:szCs w:val="16"/>
                <w:color w:val="625352"/>
              </w:rPr>
              <w:t>Gf_gp</w:t>
            </w:r>
            <w:r>
              <w:rPr>
                <w:rFonts w:ascii="PMingLiU" w:cs="PMingLiU" w:eastAsia="PMingLiU" w:hAnsi="PMingLiU"/>
                <w:sz w:val="16"/>
                <w:szCs w:val="16"/>
                <w:color w:val="625352"/>
              </w:rPr>
              <w:t/>
            </w: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GIS</w:t>
            </w:r>
            <w:r>
              <w:rPr>
                <w:rFonts w:ascii="PMingLiU" w:cs="PMingLiU" w:eastAsia="PMingLiU" w:hAnsi="PMingLiU"/>
                <w:sz w:val="16"/>
                <w:szCs w:val="16"/>
                <w:color w:val="625352"/>
              </w:rPr>
              <w:t/>
            </w:r>
          </w:p>
        </w:tc>
        <w:tc>
          <w:tcPr>
            <w:tcW w:w="360" w:type="dxa"/>
            <w:vAlign w:val="bottom"/>
          </w:tcPr>
          <w:p>
            <w:pPr>
              <w:spacing w:after="0"/>
              <w:rPr>
                <w:sz w:val="16"/>
                <w:szCs w:val="16"/>
                <w:color w:val="auto"/>
              </w:rPr>
            </w:pPr>
          </w:p>
        </w:tc>
        <w:tc>
          <w:tcPr>
            <w:tcW w:w="3160" w:type="dxa"/>
            <w:vAlign w:val="bottom"/>
          </w:tcPr>
          <w:p>
            <w:pPr>
              <w:spacing w:after="0" w:line="192" w:lineRule="exact"/>
              <w:rPr>
                <w:sz w:val="20"/>
                <w:szCs w:val="20"/>
                <w:color w:val="auto"/>
              </w:rPr>
            </w:pPr>
            <w:r>
              <w:rPr>
                <w:rFonts w:ascii="Arial" w:cs="Arial" w:eastAsia="Arial" w:hAnsi="Arial"/>
                <w:sz w:val="16"/>
                <w:szCs w:val="16"/>
                <w:color w:val="625352"/>
              </w:rPr>
              <w:t>Gf_gp</w:t>
            </w:r>
            <w:r>
              <w:rPr>
                <w:rFonts w:ascii="PMingLiU" w:cs="PMingLiU" w:eastAsia="PMingLiU" w:hAnsi="PMingLiU"/>
                <w:sz w:val="16"/>
                <w:szCs w:val="16"/>
                <w:color w:val="625352"/>
              </w:rPr>
              <w:t/>
            </w: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GIS</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202"/>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Eqfj_lb</w:t>
            </w:r>
            <w:r>
              <w:rPr>
                <w:rFonts w:ascii="PMingLiU" w:cs="PMingLiU" w:eastAsia="PMingLiU" w:hAnsi="PMingLiU"/>
                <w:sz w:val="16"/>
                <w:szCs w:val="16"/>
                <w:color w:val="625352"/>
              </w:rPr>
              <w:t/>
            </w:r>
            <w:r>
              <w:rPr>
                <w:rFonts w:ascii="Arial" w:cs="Arial" w:eastAsia="Arial" w:hAnsi="Arial"/>
                <w:sz w:val="16"/>
                <w:szCs w:val="16"/>
                <w:color w:val="625352"/>
              </w:rPr>
              <w:t>Mla</w:t>
            </w:r>
            <w:r>
              <w:rPr>
                <w:rFonts w:ascii="PMingLiU" w:cs="PMingLiU" w:eastAsia="PMingLiU" w:hAnsi="PMingLiU"/>
                <w:sz w:val="16"/>
                <w:szCs w:val="16"/>
                <w:color w:val="625352"/>
              </w:rPr>
              <w:t/>
            </w:r>
          </w:p>
        </w:tc>
        <w:tc>
          <w:tcPr>
            <w:tcW w:w="360" w:type="dxa"/>
            <w:vAlign w:val="bottom"/>
          </w:tcPr>
          <w:p>
            <w:pPr>
              <w:spacing w:after="0"/>
              <w:rPr>
                <w:sz w:val="17"/>
                <w:szCs w:val="17"/>
                <w:color w:val="auto"/>
              </w:rPr>
            </w:pPr>
          </w:p>
        </w:tc>
        <w:tc>
          <w:tcPr>
            <w:tcW w:w="3160" w:type="dxa"/>
            <w:vAlign w:val="bottom"/>
            <w:vMerge w:val="restart"/>
          </w:tcPr>
          <w:p>
            <w:pPr>
              <w:spacing w:after="0" w:line="194" w:lineRule="exact"/>
              <w:rPr>
                <w:sz w:val="20"/>
                <w:szCs w:val="20"/>
                <w:color w:val="auto"/>
              </w:rPr>
            </w:pPr>
            <w:r>
              <w:rPr>
                <w:rFonts w:ascii="Arial" w:cs="Arial" w:eastAsia="Arial" w:hAnsi="Arial"/>
                <w:sz w:val="16"/>
                <w:szCs w:val="16"/>
                <w:b w:val="1"/>
                <w:bCs w:val="1"/>
                <w:color w:val="625352"/>
              </w:rPr>
              <w:t>H_em</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G_acpcq</w:t>
            </w:r>
            <w:r>
              <w:rPr>
                <w:rFonts w:ascii="PMingLiU" w:cs="PMingLiU" w:eastAsia="PMingLiU" w:hAnsi="PMingLiU"/>
                <w:sz w:val="16"/>
                <w:szCs w:val="16"/>
                <w:b w:val="1"/>
                <w:bCs w:val="1"/>
                <w:color w:val="625352"/>
              </w:rPr>
              <w:t/>
            </w: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line="213" w:lineRule="exact"/>
              <w:rPr>
                <w:sz w:val="20"/>
                <w:szCs w:val="20"/>
                <w:color w:val="auto"/>
              </w:rPr>
            </w:pPr>
            <w:r>
              <w:rPr>
                <w:rFonts w:ascii="Arial" w:cs="Arial" w:eastAsia="Arial" w:hAnsi="Arial"/>
                <w:sz w:val="16"/>
                <w:szCs w:val="16"/>
                <w:b w:val="1"/>
                <w:bCs w:val="1"/>
                <w:color w:val="625352"/>
              </w:rPr>
              <w:t>Wrctcl</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H</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Fgqfmn</w:t>
            </w:r>
            <w:r>
              <w:rPr>
                <w:rFonts w:ascii="PMingLiU" w:cs="PMingLiU" w:eastAsia="PMingLiU" w:hAnsi="PMingLiU"/>
                <w:sz w:val="16"/>
                <w:szCs w:val="16"/>
                <w:b w:val="1"/>
                <w:bCs w:val="1"/>
                <w:color w:val="625352"/>
              </w:rPr>
              <w:t/>
            </w:r>
            <w:r>
              <w:rPr>
                <w:rFonts w:ascii="Arial" w:cs="Arial" w:eastAsia="Arial" w:hAnsi="Arial"/>
                <w:sz w:val="18"/>
                <w:szCs w:val="18"/>
                <w:b w:val="1"/>
                <w:bCs w:val="1"/>
                <w:color w:val="625352"/>
                <w:vertAlign w:val="superscript"/>
              </w:rPr>
              <w:t>+˧</w:t>
            </w:r>
            <w:r>
              <w:rPr>
                <w:rFonts w:ascii="PMingLiU" w:cs="PMingLiU" w:eastAsia="PMingLiU" w:hAnsi="PMingLiU"/>
                <w:sz w:val="18"/>
                <w:szCs w:val="18"/>
                <w:b w:val="1"/>
                <w:bCs w:val="1"/>
                <w:color w:val="625352"/>
                <w:vertAlign w:val="superscript"/>
              </w:rPr>
              <w:t/>
            </w:r>
            <w:r>
              <w:rPr>
                <w:rFonts w:ascii="Arial" w:cs="Arial" w:eastAsia="Arial" w:hAnsi="Arial"/>
                <w:sz w:val="18"/>
                <w:szCs w:val="18"/>
                <w:b w:val="1"/>
                <w:bCs w:val="1"/>
                <w:color w:val="625352"/>
                <w:vertAlign w:val="superscript"/>
              </w:rPr>
              <w:t>˩,</w:t>
            </w:r>
            <w:r>
              <w:rPr>
                <w:rFonts w:ascii="PMingLiU" w:cs="PMingLiU" w:eastAsia="PMingLiU" w:hAnsi="PMingLiU"/>
                <w:sz w:val="16"/>
                <w:szCs w:val="16"/>
                <w:b w:val="1"/>
                <w:bCs w:val="1"/>
                <w:color w:val="625352"/>
              </w:rPr>
              <w:t/>
            </w:r>
          </w:p>
        </w:tc>
        <w:tc>
          <w:tcPr>
            <w:tcW w:w="360" w:type="dxa"/>
            <w:vAlign w:val="bottom"/>
          </w:tcPr>
          <w:p>
            <w:pPr>
              <w:spacing w:after="0"/>
              <w:rPr>
                <w:sz w:val="18"/>
                <w:szCs w:val="18"/>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Wclgmp</w:t>
            </w:r>
            <w:r>
              <w:rPr>
                <w:rFonts w:ascii="PMingLiU" w:cs="PMingLiU" w:eastAsia="PMingLiU" w:hAnsi="PMingLiU"/>
                <w:sz w:val="16"/>
                <w:szCs w:val="16"/>
                <w:color w:val="625352"/>
              </w:rPr>
              <w:t/>
            </w:r>
            <w:r>
              <w:rPr>
                <w:rFonts w:ascii="Arial" w:cs="Arial" w:eastAsia="Arial" w:hAnsi="Arial"/>
                <w:sz w:val="16"/>
                <w:szCs w:val="16"/>
                <w:color w:val="625352"/>
              </w:rPr>
              <w:t>Zgac</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192"/>
        </w:trPr>
        <w:tc>
          <w:tcPr>
            <w:tcW w:w="3160" w:type="dxa"/>
            <w:vAlign w:val="bottom"/>
          </w:tcPr>
          <w:p>
            <w:pPr>
              <w:spacing w:after="0" w:line="192" w:lineRule="exact"/>
              <w:rPr>
                <w:sz w:val="20"/>
                <w:szCs w:val="20"/>
                <w:color w:val="auto"/>
              </w:rPr>
            </w:pPr>
            <w:r>
              <w:rPr>
                <w:rFonts w:ascii="Arial" w:cs="Arial" w:eastAsia="Arial" w:hAnsi="Arial"/>
                <w:sz w:val="16"/>
                <w:szCs w:val="16"/>
                <w:color w:val="625352"/>
              </w:rPr>
              <w:t>Jmpkcp</w:t>
            </w:r>
            <w:r>
              <w:rPr>
                <w:rFonts w:ascii="PMingLiU" w:cs="PMingLiU" w:eastAsia="PMingLiU" w:hAnsi="PMingLiU"/>
                <w:sz w:val="16"/>
                <w:szCs w:val="16"/>
                <w:color w:val="625352"/>
              </w:rPr>
              <w:t/>
            </w:r>
            <w:r>
              <w:rPr>
                <w:rFonts w:ascii="Arial" w:cs="Arial" w:eastAsia="Arial" w:hAnsi="Arial"/>
                <w:sz w:val="16"/>
                <w:szCs w:val="16"/>
                <w:color w:val="625352"/>
              </w:rPr>
              <w:t>GIS</w:t>
            </w:r>
            <w:r>
              <w:rPr>
                <w:rFonts w:ascii="PMingLiU" w:cs="PMingLiU" w:eastAsia="PMingLiU" w:hAnsi="PMingLiU"/>
                <w:sz w:val="16"/>
                <w:szCs w:val="16"/>
                <w:color w:val="625352"/>
              </w:rPr>
              <w:t/>
            </w:r>
            <w:r>
              <w:rPr>
                <w:rFonts w:ascii="Arial" w:cs="Arial" w:eastAsia="Arial" w:hAnsi="Arial"/>
                <w:sz w:val="16"/>
                <w:szCs w:val="16"/>
                <w:color w:val="625352"/>
              </w:rPr>
              <w:t>Tpmarcp</w:t>
            </w:r>
            <w:r>
              <w:rPr>
                <w:rFonts w:ascii="PMingLiU" w:cs="PMingLiU" w:eastAsia="PMingLiU" w:hAnsi="PMingLiU"/>
                <w:sz w:val="16"/>
                <w:szCs w:val="16"/>
                <w:color w:val="625352"/>
              </w:rPr>
              <w:t/>
            </w:r>
            <w:r>
              <w:rPr>
                <w:rFonts w:ascii="Arial" w:cs="Arial" w:eastAsia="Arial" w:hAnsi="Arial"/>
                <w:sz w:val="16"/>
                <w:szCs w:val="16"/>
                <w:color w:val="625352"/>
              </w:rPr>
              <w:t>;</w:t>
            </w:r>
            <w:r>
              <w:rPr>
                <w:rFonts w:ascii="PMingLiU" w:cs="PMingLiU" w:eastAsia="PMingLiU" w:hAnsi="PMingLiU"/>
                <w:sz w:val="16"/>
                <w:szCs w:val="16"/>
                <w:color w:val="625352"/>
              </w:rPr>
              <w:t/>
            </w:r>
            <w:r>
              <w:rPr>
                <w:rFonts w:ascii="Arial" w:cs="Arial" w:eastAsia="Arial" w:hAnsi="Arial"/>
                <w:sz w:val="16"/>
                <w:szCs w:val="16"/>
                <w:color w:val="625352"/>
              </w:rPr>
              <w:t>K_k`jc</w:t>
            </w:r>
            <w:r>
              <w:rPr>
                <w:rFonts w:ascii="PMingLiU" w:cs="PMingLiU" w:eastAsia="PMingLiU" w:hAnsi="PMingLiU"/>
                <w:sz w:val="16"/>
                <w:szCs w:val="16"/>
                <w:color w:val="625352"/>
              </w:rPr>
              <w:t/>
            </w:r>
          </w:p>
        </w:tc>
        <w:tc>
          <w:tcPr>
            <w:tcW w:w="360" w:type="dxa"/>
            <w:vAlign w:val="bottom"/>
          </w:tcPr>
          <w:p>
            <w:pPr>
              <w:spacing w:after="0"/>
              <w:rPr>
                <w:sz w:val="16"/>
                <w:szCs w:val="16"/>
                <w:color w:val="auto"/>
              </w:rPr>
            </w:pPr>
          </w:p>
        </w:tc>
        <w:tc>
          <w:tcPr>
            <w:tcW w:w="3160" w:type="dxa"/>
            <w:vAlign w:val="bottom"/>
          </w:tcPr>
          <w:p>
            <w:pPr>
              <w:spacing w:after="0" w:line="192" w:lineRule="exact"/>
              <w:rPr>
                <w:sz w:val="20"/>
                <w:szCs w:val="20"/>
                <w:color w:val="auto"/>
              </w:rPr>
            </w:pP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Kclcp_j</w:t>
            </w:r>
            <w:r>
              <w:rPr>
                <w:rFonts w:ascii="PMingLiU" w:cs="PMingLiU" w:eastAsia="PMingLiU" w:hAnsi="PMingLiU"/>
                <w:sz w:val="16"/>
                <w:szCs w:val="16"/>
                <w:color w:val="625352"/>
              </w:rPr>
              <w:t/>
            </w:r>
            <w:r>
              <w:rPr>
                <w:rFonts w:ascii="Arial" w:cs="Arial" w:eastAsia="Arial" w:hAnsi="Arial"/>
                <w:sz w:val="16"/>
                <w:szCs w:val="16"/>
                <w:color w:val="625352"/>
              </w:rPr>
              <w:t>Q_l_ecp</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202"/>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Gmlqskcp</w:t>
            </w:r>
            <w:r>
              <w:rPr>
                <w:rFonts w:ascii="PMingLiU" w:cs="PMingLiU" w:eastAsia="PMingLiU" w:hAnsi="PMingLiU"/>
                <w:sz w:val="16"/>
                <w:szCs w:val="16"/>
                <w:color w:val="625352"/>
              </w:rPr>
              <w:t/>
            </w:r>
            <w:r>
              <w:rPr>
                <w:rFonts w:ascii="Arial" w:cs="Arial" w:eastAsia="Arial" w:hAnsi="Arial"/>
                <w:sz w:val="16"/>
                <w:szCs w:val="16"/>
                <w:color w:val="625352"/>
              </w:rPr>
              <w:t>Lc_jrf</w:t>
            </w:r>
            <w:r>
              <w:rPr>
                <w:rFonts w:ascii="PMingLiU" w:cs="PMingLiU" w:eastAsia="PMingLiU" w:hAnsi="PMingLiU"/>
                <w:sz w:val="16"/>
                <w:szCs w:val="16"/>
                <w:color w:val="625352"/>
              </w:rPr>
              <w:t/>
            </w:r>
            <w:r>
              <w:rPr>
                <w:rFonts w:ascii="Arial" w:cs="Arial" w:eastAsia="Arial" w:hAnsi="Arial"/>
                <w:sz w:val="16"/>
                <w:szCs w:val="16"/>
                <w:color w:val="625352"/>
              </w:rPr>
              <w:t>G_pc</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Wncag_jrw</w:t>
            </w:r>
            <w:r>
              <w:rPr>
                <w:rFonts w:ascii="PMingLiU" w:cs="PMingLiU" w:eastAsia="PMingLiU" w:hAnsi="PMingLiU"/>
                <w:sz w:val="16"/>
                <w:szCs w:val="16"/>
                <w:color w:val="625352"/>
              </w:rPr>
              <w:t/>
            </w:r>
            <w:r>
              <w:rPr>
                <w:rFonts w:ascii="Arial" w:cs="Arial" w:eastAsia="Arial" w:hAnsi="Arial"/>
                <w:sz w:val="16"/>
                <w:szCs w:val="16"/>
                <w:color w:val="625352"/>
              </w:rPr>
              <w:t>Ebbgrgtcq</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395"/>
        </w:trPr>
        <w:tc>
          <w:tcPr>
            <w:tcW w:w="3160" w:type="dxa"/>
            <w:vAlign w:val="bottom"/>
          </w:tcPr>
          <w:p>
            <w:pPr>
              <w:spacing w:after="0" w:line="219" w:lineRule="exact"/>
              <w:rPr>
                <w:sz w:val="20"/>
                <w:szCs w:val="20"/>
                <w:color w:val="auto"/>
              </w:rPr>
            </w:pPr>
            <w:r>
              <w:rPr>
                <w:rFonts w:ascii="Arial" w:cs="Arial" w:eastAsia="Arial" w:hAnsi="Arial"/>
                <w:sz w:val="16"/>
                <w:szCs w:val="16"/>
                <w:b w:val="1"/>
                <w:bCs w:val="1"/>
                <w:color w:val="625352"/>
              </w:rPr>
              <w:t>W_l_r</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Gf_rrmn_bfw_w</w:t>
            </w:r>
            <w:r>
              <w:rPr>
                <w:rFonts w:ascii="PMingLiU" w:cs="PMingLiU" w:eastAsia="PMingLiU" w:hAnsi="PMingLiU"/>
                <w:sz w:val="16"/>
                <w:szCs w:val="16"/>
                <w:b w:val="1"/>
                <w:bCs w:val="1"/>
                <w:color w:val="625352"/>
              </w:rPr>
              <w:t/>
            </w:r>
            <w:r>
              <w:rPr>
                <w:rFonts w:ascii="Arial" w:cs="Arial" w:eastAsia="Arial" w:hAnsi="Arial"/>
                <w:sz w:val="18"/>
                <w:szCs w:val="18"/>
                <w:b w:val="1"/>
                <w:bCs w:val="1"/>
                <w:color w:val="625352"/>
                <w:vertAlign w:val="superscript"/>
              </w:rPr>
              <w:t>+˧</w:t>
            </w:r>
            <w:r>
              <w:rPr>
                <w:rFonts w:ascii="PMingLiU" w:cs="PMingLiU" w:eastAsia="PMingLiU" w:hAnsi="PMingLiU"/>
                <w:sz w:val="18"/>
                <w:szCs w:val="18"/>
                <w:b w:val="1"/>
                <w:bCs w:val="1"/>
                <w:color w:val="625352"/>
                <w:vertAlign w:val="superscript"/>
              </w:rPr>
              <w:t/>
            </w:r>
            <w:r>
              <w:rPr>
                <w:rFonts w:ascii="Arial" w:cs="Arial" w:eastAsia="Arial" w:hAnsi="Arial"/>
                <w:sz w:val="18"/>
                <w:szCs w:val="18"/>
                <w:b w:val="1"/>
                <w:bCs w:val="1"/>
                <w:color w:val="625352"/>
                <w:vertAlign w:val="superscript"/>
              </w:rPr>
              <w:t>˨,</w:t>
            </w:r>
            <w:r>
              <w:rPr>
                <w:rFonts w:ascii="PMingLiU" w:cs="PMingLiU" w:eastAsia="PMingLiU" w:hAnsi="PMingLiU"/>
                <w:sz w:val="16"/>
                <w:szCs w:val="16"/>
                <w:b w:val="1"/>
                <w:bCs w:val="1"/>
                <w:color w:val="625352"/>
              </w:rPr>
              <w:t/>
            </w:r>
          </w:p>
        </w:tc>
        <w:tc>
          <w:tcPr>
            <w:tcW w:w="360" w:type="dxa"/>
            <w:vAlign w:val="bottom"/>
          </w:tcPr>
          <w:p>
            <w:pPr>
              <w:spacing w:after="0"/>
              <w:rPr>
                <w:sz w:val="24"/>
                <w:szCs w:val="24"/>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b w:val="1"/>
                <w:bCs w:val="1"/>
                <w:color w:val="625352"/>
              </w:rPr>
              <w:t>Igjccl</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Q</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Hpspw</w:t>
            </w:r>
            <w:r>
              <w:rPr>
                <w:rFonts w:ascii="PMingLiU" w:cs="PMingLiU" w:eastAsia="PMingLiU" w:hAnsi="PMingLiU"/>
                <w:sz w:val="16"/>
                <w:szCs w:val="16"/>
                <w:b w:val="1"/>
                <w:bCs w:val="1"/>
                <w:color w:val="625352"/>
              </w:rPr>
              <w:t/>
            </w:r>
          </w:p>
        </w:tc>
        <w:tc>
          <w:tcPr>
            <w:tcW w:w="0" w:type="dxa"/>
            <w:vAlign w:val="bottom"/>
          </w:tcPr>
          <w:p>
            <w:pPr>
              <w:spacing w:after="0"/>
              <w:rPr>
                <w:sz w:val="1"/>
                <w:szCs w:val="1"/>
                <w:color w:val="auto"/>
              </w:rPr>
            </w:pPr>
          </w:p>
        </w:tc>
      </w:tr>
      <w:tr>
        <w:trPr>
          <w:trHeight w:val="192"/>
        </w:trPr>
        <w:tc>
          <w:tcPr>
            <w:tcW w:w="3160" w:type="dxa"/>
            <w:vAlign w:val="bottom"/>
          </w:tcPr>
          <w:p>
            <w:pPr>
              <w:spacing w:after="0" w:line="192" w:lineRule="exact"/>
              <w:rPr>
                <w:sz w:val="20"/>
                <w:szCs w:val="20"/>
                <w:color w:val="auto"/>
              </w:rPr>
            </w:pPr>
            <w:r>
              <w:rPr>
                <w:rFonts w:ascii="Arial" w:cs="Arial" w:eastAsia="Arial" w:hAnsi="Arial"/>
                <w:sz w:val="16"/>
                <w:szCs w:val="16"/>
                <w:color w:val="625352"/>
              </w:rPr>
              <w:t>Ivcasrgtc</w:t>
            </w:r>
            <w:r>
              <w:rPr>
                <w:rFonts w:ascii="PMingLiU" w:cs="PMingLiU" w:eastAsia="PMingLiU" w:hAnsi="PMingLiU"/>
                <w:sz w:val="16"/>
                <w:szCs w:val="16"/>
                <w:color w:val="625352"/>
              </w:rPr>
              <w:t/>
            </w:r>
            <w:r>
              <w:rPr>
                <w:rFonts w:ascii="Arial" w:cs="Arial" w:eastAsia="Arial" w:hAnsi="Arial"/>
                <w:sz w:val="16"/>
                <w:szCs w:val="16"/>
                <w:color w:val="625352"/>
              </w:rPr>
              <w:t>Zgac</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p>
        </w:tc>
        <w:tc>
          <w:tcPr>
            <w:tcW w:w="360" w:type="dxa"/>
            <w:vAlign w:val="bottom"/>
          </w:tcPr>
          <w:p>
            <w:pPr>
              <w:spacing w:after="0"/>
              <w:rPr>
                <w:sz w:val="16"/>
                <w:szCs w:val="16"/>
                <w:color w:val="auto"/>
              </w:rPr>
            </w:pPr>
          </w:p>
        </w:tc>
        <w:tc>
          <w:tcPr>
            <w:tcW w:w="3160" w:type="dxa"/>
            <w:vAlign w:val="bottom"/>
          </w:tcPr>
          <w:p>
            <w:pPr>
              <w:spacing w:after="0" w:line="192" w:lineRule="exact"/>
              <w:rPr>
                <w:sz w:val="20"/>
                <w:szCs w:val="20"/>
                <w:color w:val="auto"/>
              </w:rPr>
            </w:pPr>
            <w:r>
              <w:rPr>
                <w:rFonts w:ascii="Arial" w:cs="Arial" w:eastAsia="Arial" w:hAnsi="Arial"/>
                <w:sz w:val="16"/>
                <w:szCs w:val="16"/>
                <w:color w:val="625352"/>
              </w:rPr>
              <w:t>Wclgmp</w:t>
            </w:r>
            <w:r>
              <w:rPr>
                <w:rFonts w:ascii="PMingLiU" w:cs="PMingLiU" w:eastAsia="PMingLiU" w:hAnsi="PMingLiU"/>
                <w:sz w:val="16"/>
                <w:szCs w:val="16"/>
                <w:color w:val="625352"/>
              </w:rPr>
              <w:t/>
            </w:r>
            <w:r>
              <w:rPr>
                <w:rFonts w:ascii="Arial" w:cs="Arial" w:eastAsia="Arial" w:hAnsi="Arial"/>
                <w:sz w:val="16"/>
                <w:szCs w:val="16"/>
                <w:color w:val="625352"/>
              </w:rPr>
              <w:t>Zgac</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r>
              <w:rPr>
                <w:rFonts w:ascii="Arial" w:cs="Arial" w:eastAsia="Arial" w:hAnsi="Arial"/>
                <w:sz w:val="16"/>
                <w:szCs w:val="16"/>
                <w:color w:val="625352"/>
              </w:rPr>
              <w:t>_lb</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202"/>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Qcpai</w:t>
            </w:r>
            <w:r>
              <w:rPr>
                <w:rFonts w:ascii="PMingLiU" w:cs="PMingLiU" w:eastAsia="PMingLiU" w:hAnsi="PMingLiU"/>
                <w:sz w:val="16"/>
                <w:szCs w:val="16"/>
                <w:color w:val="625352"/>
              </w:rPr>
              <w:t/>
            </w:r>
            <w:r>
              <w:rPr>
                <w:rFonts w:ascii="Arial" w:cs="Arial" w:eastAsia="Arial" w:hAnsi="Arial"/>
                <w:sz w:val="16"/>
                <w:szCs w:val="16"/>
                <w:color w:val="625352"/>
              </w:rPr>
              <w:t>;</w:t>
            </w:r>
            <w:r>
              <w:rPr>
                <w:rFonts w:ascii="PMingLiU" w:cs="PMingLiU" w:eastAsia="PMingLiU" w:hAnsi="PMingLiU"/>
                <w:sz w:val="16"/>
                <w:szCs w:val="16"/>
                <w:color w:val="625352"/>
              </w:rPr>
              <w:t/>
            </w:r>
            <w:r>
              <w:rPr>
                <w:rFonts w:ascii="Arial" w:cs="Arial" w:eastAsia="Arial" w:hAnsi="Arial"/>
                <w:sz w:val="16"/>
                <w:szCs w:val="16"/>
                <w:color w:val="625352"/>
              </w:rPr>
              <w:t>Gm</w:t>
            </w:r>
            <w:r>
              <w:rPr>
                <w:rFonts w:ascii="PMingLiU" w:cs="PMingLiU" w:eastAsia="PMingLiU" w:hAnsi="PMingLiU"/>
                <w:sz w:val="16"/>
                <w:szCs w:val="16"/>
                <w:color w:val="625352"/>
              </w:rPr>
              <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Gfgcd</w:t>
            </w:r>
            <w:r>
              <w:rPr>
                <w:rFonts w:ascii="PMingLiU" w:cs="PMingLiU" w:eastAsia="PMingLiU" w:hAnsi="PMingLiU"/>
                <w:sz w:val="16"/>
                <w:szCs w:val="16"/>
                <w:color w:val="625352"/>
              </w:rPr>
              <w:t/>
            </w:r>
            <w:r>
              <w:rPr>
                <w:rFonts w:ascii="Arial" w:cs="Arial" w:eastAsia="Arial" w:hAnsi="Arial"/>
                <w:sz w:val="16"/>
                <w:szCs w:val="16"/>
                <w:color w:val="625352"/>
              </w:rPr>
              <w:t>Lsk_l</w:t>
            </w:r>
            <w:r>
              <w:rPr>
                <w:rFonts w:ascii="PMingLiU" w:cs="PMingLiU" w:eastAsia="PMingLiU" w:hAnsi="PMingLiU"/>
                <w:sz w:val="16"/>
                <w:szCs w:val="16"/>
                <w:color w:val="625352"/>
              </w:rPr>
              <w:t/>
            </w:r>
            <w:r>
              <w:rPr>
                <w:rFonts w:ascii="Arial" w:cs="Arial" w:eastAsia="Arial" w:hAnsi="Arial"/>
                <w:sz w:val="16"/>
                <w:szCs w:val="16"/>
                <w:color w:val="625352"/>
              </w:rPr>
              <w:t>Vcqmspacq</w:t>
            </w:r>
            <w:r>
              <w:rPr>
                <w:rFonts w:ascii="PMingLiU" w:cs="PMingLiU" w:eastAsia="PMingLiU" w:hAnsi="PMingLiU"/>
                <w:sz w:val="16"/>
                <w:szCs w:val="16"/>
                <w:color w:val="625352"/>
              </w:rPr>
              <w:t/>
            </w:r>
            <w:r>
              <w:rPr>
                <w:rFonts w:ascii="Arial" w:cs="Arial" w:eastAsia="Arial" w:hAnsi="Arial"/>
                <w:sz w:val="16"/>
                <w:szCs w:val="16"/>
                <w:color w:val="625352"/>
              </w:rPr>
              <w:t>Sffiacp</w:t>
            </w:r>
          </w:p>
        </w:tc>
        <w:tc>
          <w:tcPr>
            <w:tcW w:w="0" w:type="dxa"/>
            <w:vAlign w:val="bottom"/>
          </w:tcPr>
          <w:p>
            <w:pPr>
              <w:spacing w:after="0"/>
              <w:rPr>
                <w:sz w:val="1"/>
                <w:szCs w:val="1"/>
                <w:color w:val="auto"/>
              </w:rPr>
            </w:pPr>
          </w:p>
        </w:tc>
      </w:tr>
      <w:tr>
        <w:trPr>
          <w:trHeight w:val="395"/>
        </w:trPr>
        <w:tc>
          <w:tcPr>
            <w:tcW w:w="3160" w:type="dxa"/>
            <w:vAlign w:val="bottom"/>
          </w:tcPr>
          <w:p>
            <w:pPr>
              <w:spacing w:after="0" w:line="219" w:lineRule="exact"/>
              <w:rPr>
                <w:sz w:val="20"/>
                <w:szCs w:val="20"/>
                <w:color w:val="auto"/>
              </w:rPr>
            </w:pPr>
            <w:r>
              <w:rPr>
                <w:rFonts w:ascii="Arial" w:cs="Arial" w:eastAsia="Arial" w:hAnsi="Arial"/>
                <w:sz w:val="16"/>
                <w:szCs w:val="16"/>
                <w:b w:val="1"/>
                <w:bCs w:val="1"/>
                <w:color w:val="625352"/>
              </w:rPr>
              <w:t>Eqfgqf</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O</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Osji_plg</w:t>
            </w:r>
            <w:r>
              <w:rPr>
                <w:rFonts w:ascii="PMingLiU" w:cs="PMingLiU" w:eastAsia="PMingLiU" w:hAnsi="PMingLiU"/>
                <w:sz w:val="16"/>
                <w:szCs w:val="16"/>
                <w:b w:val="1"/>
                <w:bCs w:val="1"/>
                <w:color w:val="625352"/>
              </w:rPr>
              <w:t/>
            </w:r>
            <w:r>
              <w:rPr>
                <w:rFonts w:ascii="Arial" w:cs="Arial" w:eastAsia="Arial" w:hAnsi="Arial"/>
                <w:sz w:val="18"/>
                <w:szCs w:val="18"/>
                <w:b w:val="1"/>
                <w:bCs w:val="1"/>
                <w:color w:val="625352"/>
                <w:vertAlign w:val="superscript"/>
              </w:rPr>
              <w:t>+˧</w:t>
            </w:r>
            <w:r>
              <w:rPr>
                <w:rFonts w:ascii="PMingLiU" w:cs="PMingLiU" w:eastAsia="PMingLiU" w:hAnsi="PMingLiU"/>
                <w:sz w:val="18"/>
                <w:szCs w:val="18"/>
                <w:b w:val="1"/>
                <w:bCs w:val="1"/>
                <w:color w:val="625352"/>
                <w:vertAlign w:val="superscript"/>
              </w:rPr>
              <w:t/>
            </w:r>
            <w:r>
              <w:rPr>
                <w:rFonts w:ascii="Arial" w:cs="Arial" w:eastAsia="Arial" w:hAnsi="Arial"/>
                <w:sz w:val="18"/>
                <w:szCs w:val="18"/>
                <w:b w:val="1"/>
                <w:bCs w:val="1"/>
                <w:color w:val="625352"/>
                <w:vertAlign w:val="superscript"/>
              </w:rPr>
              <w:t>˨,</w:t>
            </w:r>
          </w:p>
        </w:tc>
        <w:tc>
          <w:tcPr>
            <w:tcW w:w="3520" w:type="dxa"/>
            <w:vAlign w:val="bottom"/>
            <w:gridSpan w:val="2"/>
          </w:tcPr>
          <w:p>
            <w:pPr>
              <w:ind w:left="360"/>
              <w:spacing w:after="0" w:line="194" w:lineRule="exact"/>
              <w:rPr>
                <w:sz w:val="20"/>
                <w:szCs w:val="20"/>
                <w:color w:val="auto"/>
              </w:rPr>
            </w:pPr>
            <w:r>
              <w:rPr>
                <w:rFonts w:ascii="Arial" w:cs="Arial" w:eastAsia="Arial" w:hAnsi="Arial"/>
                <w:sz w:val="16"/>
                <w:szCs w:val="16"/>
                <w:b w:val="1"/>
                <w:bCs w:val="1"/>
                <w:color w:val="625352"/>
              </w:rPr>
              <w:t>Ejcqq_lbp_</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J_aagl</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Eqqgq</w:t>
            </w:r>
            <w:r>
              <w:rPr>
                <w:rFonts w:ascii="PMingLiU" w:cs="PMingLiU" w:eastAsia="PMingLiU" w:hAnsi="PMingLiU"/>
                <w:sz w:val="16"/>
                <w:szCs w:val="16"/>
                <w:b w:val="1"/>
                <w:bCs w:val="1"/>
                <w:color w:val="625352"/>
              </w:rPr>
              <w:t/>
            </w:r>
          </w:p>
        </w:tc>
        <w:tc>
          <w:tcPr>
            <w:tcW w:w="0" w:type="dxa"/>
            <w:vAlign w:val="bottom"/>
          </w:tcPr>
          <w:p>
            <w:pPr>
              <w:spacing w:after="0"/>
              <w:rPr>
                <w:sz w:val="1"/>
                <w:szCs w:val="1"/>
                <w:color w:val="auto"/>
              </w:rPr>
            </w:pPr>
          </w:p>
        </w:tc>
      </w:tr>
      <w:tr>
        <w:trPr>
          <w:trHeight w:val="192"/>
        </w:trPr>
        <w:tc>
          <w:tcPr>
            <w:tcW w:w="3160" w:type="dxa"/>
            <w:vAlign w:val="bottom"/>
          </w:tcPr>
          <w:p>
            <w:pPr>
              <w:spacing w:after="0" w:line="192" w:lineRule="exact"/>
              <w:rPr>
                <w:sz w:val="20"/>
                <w:szCs w:val="20"/>
                <w:color w:val="auto"/>
              </w:rPr>
            </w:pPr>
            <w:r>
              <w:rPr>
                <w:rFonts w:ascii="Arial" w:cs="Arial" w:eastAsia="Arial" w:hAnsi="Arial"/>
                <w:sz w:val="16"/>
                <w:szCs w:val="16"/>
                <w:color w:val="625352"/>
              </w:rPr>
              <w:t>Jmpkcp</w:t>
            </w:r>
            <w:r>
              <w:rPr>
                <w:rFonts w:ascii="PMingLiU" w:cs="PMingLiU" w:eastAsia="PMingLiU" w:hAnsi="PMingLiU"/>
                <w:sz w:val="16"/>
                <w:szCs w:val="16"/>
                <w:color w:val="625352"/>
              </w:rPr>
              <w:t/>
            </w:r>
            <w:r>
              <w:rPr>
                <w:rFonts w:ascii="Arial" w:cs="Arial" w:eastAsia="Arial" w:hAnsi="Arial"/>
                <w:sz w:val="16"/>
                <w:szCs w:val="16"/>
                <w:color w:val="625352"/>
              </w:rPr>
              <w:t>GIS</w:t>
            </w:r>
            <w:r>
              <w:rPr>
                <w:rFonts w:ascii="PMingLiU" w:cs="PMingLiU" w:eastAsia="PMingLiU" w:hAnsi="PMingLiU"/>
                <w:sz w:val="16"/>
                <w:szCs w:val="16"/>
                <w:color w:val="625352"/>
              </w:rPr>
              <w:t/>
            </w:r>
          </w:p>
        </w:tc>
        <w:tc>
          <w:tcPr>
            <w:tcW w:w="360" w:type="dxa"/>
            <w:vAlign w:val="bottom"/>
          </w:tcPr>
          <w:p>
            <w:pPr>
              <w:spacing w:after="0"/>
              <w:rPr>
                <w:sz w:val="16"/>
                <w:szCs w:val="16"/>
                <w:color w:val="auto"/>
              </w:rPr>
            </w:pPr>
          </w:p>
        </w:tc>
        <w:tc>
          <w:tcPr>
            <w:tcW w:w="3160" w:type="dxa"/>
            <w:vAlign w:val="bottom"/>
          </w:tcPr>
          <w:p>
            <w:pPr>
              <w:spacing w:after="0" w:line="192" w:lineRule="exact"/>
              <w:rPr>
                <w:sz w:val="20"/>
                <w:szCs w:val="20"/>
                <w:color w:val="auto"/>
              </w:rPr>
            </w:pPr>
            <w:r>
              <w:rPr>
                <w:rFonts w:ascii="Arial" w:cs="Arial" w:eastAsia="Arial" w:hAnsi="Arial"/>
                <w:sz w:val="16"/>
                <w:szCs w:val="16"/>
                <w:color w:val="625352"/>
              </w:rPr>
              <w:t>Wclgmp</w:t>
            </w:r>
            <w:r>
              <w:rPr>
                <w:rFonts w:ascii="PMingLiU" w:cs="PMingLiU" w:eastAsia="PMingLiU" w:hAnsi="PMingLiU"/>
                <w:sz w:val="16"/>
                <w:szCs w:val="16"/>
                <w:color w:val="625352"/>
              </w:rPr>
              <w:t/>
            </w:r>
            <w:r>
              <w:rPr>
                <w:rFonts w:ascii="Arial" w:cs="Arial" w:eastAsia="Arial" w:hAnsi="Arial"/>
                <w:sz w:val="16"/>
                <w:szCs w:val="16"/>
                <w:color w:val="625352"/>
              </w:rPr>
              <w:t>Zgac</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202"/>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Oc`mrgv</w:t>
            </w:r>
            <w:r>
              <w:rPr>
                <w:rFonts w:ascii="PMingLiU" w:cs="PMingLiU" w:eastAsia="PMingLiU" w:hAnsi="PMingLiU"/>
                <w:sz w:val="16"/>
                <w:szCs w:val="16"/>
                <w:color w:val="625352"/>
              </w:rPr>
              <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Kclcp_j</w:t>
            </w:r>
            <w:r>
              <w:rPr>
                <w:rFonts w:ascii="PMingLiU" w:cs="PMingLiU" w:eastAsia="PMingLiU" w:hAnsi="PMingLiU"/>
                <w:sz w:val="16"/>
                <w:szCs w:val="16"/>
                <w:color w:val="625352"/>
              </w:rPr>
              <w:t/>
            </w:r>
            <w:r>
              <w:rPr>
                <w:rFonts w:ascii="Arial" w:cs="Arial" w:eastAsia="Arial" w:hAnsi="Arial"/>
                <w:sz w:val="16"/>
                <w:szCs w:val="16"/>
                <w:color w:val="625352"/>
              </w:rPr>
              <w:t>Q_l_ecp</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202"/>
        </w:trPr>
        <w:tc>
          <w:tcPr>
            <w:tcW w:w="3160" w:type="dxa"/>
            <w:vAlign w:val="bottom"/>
            <w:vMerge w:val="restart"/>
          </w:tcPr>
          <w:p>
            <w:pPr>
              <w:spacing w:after="0" w:line="219" w:lineRule="exact"/>
              <w:rPr>
                <w:sz w:val="20"/>
                <w:szCs w:val="20"/>
                <w:color w:val="auto"/>
              </w:rPr>
            </w:pPr>
            <w:r>
              <w:rPr>
                <w:rFonts w:ascii="Arial" w:cs="Arial" w:eastAsia="Arial" w:hAnsi="Arial"/>
                <w:sz w:val="16"/>
                <w:szCs w:val="16"/>
                <w:b w:val="1"/>
                <w:bCs w:val="1"/>
                <w:color w:val="625352"/>
              </w:rPr>
              <w:t>Wsx_l</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J</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L_ppgqml</w:t>
            </w:r>
            <w:r>
              <w:rPr>
                <w:rFonts w:ascii="PMingLiU" w:cs="PMingLiU" w:eastAsia="PMingLiU" w:hAnsi="PMingLiU"/>
                <w:sz w:val="16"/>
                <w:szCs w:val="16"/>
                <w:b w:val="1"/>
                <w:bCs w:val="1"/>
                <w:color w:val="625352"/>
              </w:rPr>
              <w:t/>
            </w:r>
            <w:r>
              <w:rPr>
                <w:rFonts w:ascii="Arial" w:cs="Arial" w:eastAsia="Arial" w:hAnsi="Arial"/>
                <w:sz w:val="18"/>
                <w:szCs w:val="18"/>
                <w:b w:val="1"/>
                <w:bCs w:val="1"/>
                <w:color w:val="625352"/>
                <w:vertAlign w:val="superscript"/>
              </w:rPr>
              <w:t>+˨</w:t>
            </w:r>
            <w:r>
              <w:rPr>
                <w:rFonts w:ascii="PMingLiU" w:cs="PMingLiU" w:eastAsia="PMingLiU" w:hAnsi="PMingLiU"/>
                <w:sz w:val="18"/>
                <w:szCs w:val="18"/>
                <w:b w:val="1"/>
                <w:bCs w:val="1"/>
                <w:color w:val="625352"/>
                <w:vertAlign w:val="superscript"/>
              </w:rPr>
              <w:t/>
            </w:r>
            <w:r>
              <w:rPr>
                <w:rFonts w:ascii="Arial" w:cs="Arial" w:eastAsia="Arial" w:hAnsi="Arial"/>
                <w:sz w:val="18"/>
                <w:szCs w:val="18"/>
                <w:b w:val="1"/>
                <w:bCs w:val="1"/>
                <w:color w:val="625352"/>
                <w:vertAlign w:val="superscript"/>
              </w:rPr>
              <w:t>˩_,</w:t>
            </w:r>
            <w:r>
              <w:rPr>
                <w:rFonts w:ascii="PMingLiU" w:cs="PMingLiU" w:eastAsia="PMingLiU" w:hAnsi="PMingLiU"/>
                <w:sz w:val="16"/>
                <w:szCs w:val="16"/>
                <w:b w:val="1"/>
                <w:bCs w:val="1"/>
                <w:color w:val="625352"/>
              </w:rPr>
              <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Pgdc</w:t>
            </w:r>
            <w:r>
              <w:rPr>
                <w:rFonts w:ascii="PMingLiU" w:cs="PMingLiU" w:eastAsia="PMingLiU" w:hAnsi="PMingLiU"/>
                <w:sz w:val="16"/>
                <w:szCs w:val="16"/>
                <w:color w:val="625352"/>
              </w:rPr>
              <w:t/>
            </w:r>
            <w:r>
              <w:rPr>
                <w:rFonts w:ascii="Arial" w:cs="Arial" w:eastAsia="Arial" w:hAnsi="Arial"/>
                <w:sz w:val="16"/>
                <w:szCs w:val="16"/>
                <w:color w:val="625352"/>
              </w:rPr>
              <w:t>Wagclacq</w:t>
            </w:r>
            <w:r>
              <w:rPr>
                <w:rFonts w:ascii="PMingLiU" w:cs="PMingLiU" w:eastAsia="PMingLiU" w:hAnsi="PMingLiU"/>
                <w:sz w:val="16"/>
                <w:szCs w:val="16"/>
                <w:color w:val="625352"/>
              </w:rPr>
              <w:t/>
            </w: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Mlrcpkcbg_rcq</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Jmpkcp</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b w:val="1"/>
                <w:bCs w:val="1"/>
                <w:color w:val="625352"/>
              </w:rPr>
              <w:t>Vm`gl</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I</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P_knigl</w:t>
            </w:r>
            <w:r>
              <w:rPr>
                <w:rFonts w:ascii="PMingLiU" w:cs="PMingLiU" w:eastAsia="PMingLiU" w:hAnsi="PMingLiU"/>
                <w:sz w:val="16"/>
                <w:szCs w:val="16"/>
                <w:b w:val="1"/>
                <w:bCs w:val="1"/>
                <w:color w:val="625352"/>
              </w:rPr>
              <w:t/>
            </w:r>
          </w:p>
        </w:tc>
        <w:tc>
          <w:tcPr>
            <w:tcW w:w="0" w:type="dxa"/>
            <w:vAlign w:val="bottom"/>
          </w:tcPr>
          <w:p>
            <w:pPr>
              <w:spacing w:after="0"/>
              <w:rPr>
                <w:sz w:val="1"/>
                <w:szCs w:val="1"/>
                <w:color w:val="auto"/>
              </w:rPr>
            </w:pPr>
          </w:p>
        </w:tc>
      </w:tr>
      <w:tr>
        <w:trPr>
          <w:trHeight w:val="202"/>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Gmje_rc&amp;T_jkmjgtc</w:t>
            </w:r>
            <w:r>
              <w:rPr>
                <w:rFonts w:ascii="PMingLiU" w:cs="PMingLiU" w:eastAsia="PMingLiU" w:hAnsi="PMingLiU"/>
                <w:sz w:val="16"/>
                <w:szCs w:val="16"/>
                <w:color w:val="625352"/>
              </w:rPr>
              <w:t/>
            </w:r>
            <w:r>
              <w:rPr>
                <w:rFonts w:ascii="Arial" w:cs="Arial" w:eastAsia="Arial" w:hAnsi="Arial"/>
                <w:sz w:val="16"/>
                <w:szCs w:val="16"/>
                <w:color w:val="625352"/>
              </w:rPr>
              <w:t>Kjm`_j</w:t>
            </w:r>
            <w:r>
              <w:rPr>
                <w:rFonts w:ascii="PMingLiU" w:cs="PMingLiU" w:eastAsia="PMingLiU" w:hAnsi="PMingLiU"/>
                <w:sz w:val="16"/>
                <w:szCs w:val="16"/>
                <w:color w:val="625352"/>
              </w:rPr>
              <w:t/>
            </w:r>
            <w:r>
              <w:rPr>
                <w:rFonts w:ascii="Arial" w:cs="Arial" w:eastAsia="Arial" w:hAnsi="Arial"/>
                <w:sz w:val="16"/>
                <w:szCs w:val="16"/>
                <w:color w:val="625352"/>
              </w:rPr>
              <w:t>Sp_j</w:t>
            </w:r>
            <w:r>
              <w:rPr>
                <w:rFonts w:ascii="PMingLiU" w:cs="PMingLiU" w:eastAsia="PMingLiU" w:hAnsi="PMingLiU"/>
                <w:sz w:val="16"/>
                <w:szCs w:val="16"/>
                <w:color w:val="625352"/>
              </w:rPr>
              <w:t/>
            </w:r>
            <w:r>
              <w:rPr>
                <w:rFonts w:ascii="Arial" w:cs="Arial" w:eastAsia="Arial" w:hAnsi="Arial"/>
                <w:sz w:val="16"/>
                <w:szCs w:val="16"/>
                <w:color w:val="625352"/>
              </w:rPr>
              <w:t>G_pc</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Wclgmp</w:t>
            </w:r>
            <w:r>
              <w:rPr>
                <w:rFonts w:ascii="PMingLiU" w:cs="PMingLiU" w:eastAsia="PMingLiU" w:hAnsi="PMingLiU"/>
                <w:sz w:val="16"/>
                <w:szCs w:val="16"/>
                <w:color w:val="625352"/>
              </w:rPr>
              <w:t/>
            </w:r>
            <w:r>
              <w:rPr>
                <w:rFonts w:ascii="Arial" w:cs="Arial" w:eastAsia="Arial" w:hAnsi="Arial"/>
                <w:sz w:val="16"/>
                <w:szCs w:val="16"/>
                <w:color w:val="625352"/>
              </w:rPr>
              <w:t>Zgac</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202"/>
        </w:trPr>
        <w:tc>
          <w:tcPr>
            <w:tcW w:w="3160" w:type="dxa"/>
            <w:vAlign w:val="bottom"/>
            <w:vMerge w:val="restart"/>
          </w:tcPr>
          <w:p>
            <w:pPr>
              <w:spacing w:after="0" w:line="219" w:lineRule="exact"/>
              <w:rPr>
                <w:sz w:val="20"/>
                <w:szCs w:val="20"/>
                <w:color w:val="auto"/>
              </w:rPr>
            </w:pPr>
            <w:r>
              <w:rPr>
                <w:rFonts w:ascii="Arial" w:cs="Arial" w:eastAsia="Arial" w:hAnsi="Arial"/>
                <w:sz w:val="16"/>
                <w:szCs w:val="16"/>
                <w:b w:val="1"/>
                <w:bCs w:val="1"/>
                <w:color w:val="625352"/>
              </w:rPr>
              <w:t>Wsq_l</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P</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Q_gl</w:t>
            </w:r>
            <w:r>
              <w:rPr>
                <w:rFonts w:ascii="PMingLiU" w:cs="PMingLiU" w:eastAsia="PMingLiU" w:hAnsi="PMingLiU"/>
                <w:sz w:val="16"/>
                <w:szCs w:val="16"/>
                <w:b w:val="1"/>
                <w:bCs w:val="1"/>
                <w:color w:val="625352"/>
              </w:rPr>
              <w:t/>
            </w:r>
            <w:r>
              <w:rPr>
                <w:rFonts w:ascii="Arial" w:cs="Arial" w:eastAsia="Arial" w:hAnsi="Arial"/>
                <w:sz w:val="18"/>
                <w:szCs w:val="18"/>
                <w:b w:val="1"/>
                <w:bCs w:val="1"/>
                <w:color w:val="625352"/>
                <w:vertAlign w:val="superscript"/>
              </w:rPr>
              <w:t>+˦</w:t>
            </w:r>
            <w:r>
              <w:rPr>
                <w:rFonts w:ascii="PMingLiU" w:cs="PMingLiU" w:eastAsia="PMingLiU" w:hAnsi="PMingLiU"/>
                <w:sz w:val="18"/>
                <w:szCs w:val="18"/>
                <w:b w:val="1"/>
                <w:bCs w:val="1"/>
                <w:color w:val="625352"/>
                <w:vertAlign w:val="superscript"/>
              </w:rPr>
              <w:t/>
            </w:r>
            <w:r>
              <w:rPr>
                <w:rFonts w:ascii="Arial" w:cs="Arial" w:eastAsia="Arial" w:hAnsi="Arial"/>
                <w:sz w:val="18"/>
                <w:szCs w:val="18"/>
                <w:b w:val="1"/>
                <w:bCs w:val="1"/>
                <w:color w:val="625352"/>
                <w:vertAlign w:val="superscript"/>
              </w:rPr>
              <w:t>˩a,</w:t>
            </w:r>
            <w:r>
              <w:rPr>
                <w:rFonts w:ascii="PMingLiU" w:cs="PMingLiU" w:eastAsia="PMingLiU" w:hAnsi="PMingLiU"/>
                <w:sz w:val="16"/>
                <w:szCs w:val="16"/>
                <w:b w:val="1"/>
                <w:bCs w:val="1"/>
                <w:color w:val="625352"/>
              </w:rPr>
              <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Kclcp_j</w:t>
            </w:r>
            <w:r>
              <w:rPr>
                <w:rFonts w:ascii="PMingLiU" w:cs="PMingLiU" w:eastAsia="PMingLiU" w:hAnsi="PMingLiU"/>
                <w:sz w:val="16"/>
                <w:szCs w:val="16"/>
                <w:color w:val="625352"/>
              </w:rPr>
              <w:t/>
            </w:r>
            <w:r>
              <w:rPr>
                <w:rFonts w:ascii="Arial" w:cs="Arial" w:eastAsia="Arial" w:hAnsi="Arial"/>
                <w:sz w:val="16"/>
                <w:szCs w:val="16"/>
                <w:color w:val="625352"/>
              </w:rPr>
              <w:t>Gmslqcj</w:t>
            </w:r>
            <w:r>
              <w:rPr>
                <w:rFonts w:ascii="PMingLiU" w:cs="PMingLiU" w:eastAsia="PMingLiU" w:hAnsi="PMingLiU"/>
                <w:sz w:val="16"/>
                <w:szCs w:val="16"/>
                <w:color w:val="625352"/>
              </w:rPr>
              <w:t/>
            </w: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Wcapcr_pw</w:t>
            </w:r>
          </w:p>
        </w:tc>
        <w:tc>
          <w:tcPr>
            <w:tcW w:w="0" w:type="dxa"/>
            <w:vAlign w:val="bottom"/>
          </w:tcPr>
          <w:p>
            <w:pPr>
              <w:spacing w:after="0"/>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Jmpkcp</w:t>
            </w:r>
            <w:r>
              <w:rPr>
                <w:rFonts w:ascii="PMingLiU" w:cs="PMingLiU" w:eastAsia="PMingLiU" w:hAnsi="PMingLiU"/>
                <w:sz w:val="16"/>
                <w:szCs w:val="16"/>
                <w:color w:val="625352"/>
              </w:rPr>
              <w:t/>
            </w:r>
            <w:r>
              <w:rPr>
                <w:rFonts w:ascii="Arial" w:cs="Arial" w:eastAsia="Arial" w:hAnsi="Arial"/>
                <w:sz w:val="16"/>
                <w:szCs w:val="16"/>
                <w:color w:val="625352"/>
              </w:rPr>
              <w:t>Wclgmp</w:t>
            </w:r>
            <w:r>
              <w:rPr>
                <w:rFonts w:ascii="PMingLiU" w:cs="PMingLiU" w:eastAsia="PMingLiU" w:hAnsi="PMingLiU"/>
                <w:sz w:val="16"/>
                <w:szCs w:val="16"/>
                <w:color w:val="625352"/>
              </w:rPr>
              <w:t/>
            </w:r>
            <w:r>
              <w:rPr>
                <w:rFonts w:ascii="Arial" w:cs="Arial" w:eastAsia="Arial" w:hAnsi="Arial"/>
                <w:sz w:val="16"/>
                <w:szCs w:val="16"/>
                <w:color w:val="625352"/>
              </w:rPr>
              <w:t>Zgac</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r>
              <w:rPr>
                <w:rFonts w:ascii="Arial" w:cs="Arial" w:eastAsia="Arial" w:hAnsi="Arial"/>
                <w:sz w:val="16"/>
                <w:szCs w:val="16"/>
                <w:color w:val="625352"/>
              </w:rPr>
              <w:t>_lb</w:t>
            </w:r>
            <w:r>
              <w:rPr>
                <w:rFonts w:ascii="PMingLiU" w:cs="PMingLiU" w:eastAsia="PMingLiU" w:hAnsi="PMingLiU"/>
                <w:sz w:val="16"/>
                <w:szCs w:val="16"/>
                <w:color w:val="625352"/>
              </w:rPr>
              <w:t/>
            </w:r>
          </w:p>
        </w:tc>
        <w:tc>
          <w:tcPr>
            <w:tcW w:w="3520" w:type="dxa"/>
            <w:vAlign w:val="bottom"/>
            <w:gridSpan w:val="2"/>
          </w:tcPr>
          <w:p>
            <w:pPr>
              <w:ind w:left="360"/>
              <w:spacing w:after="0" w:line="194" w:lineRule="exact"/>
              <w:rPr>
                <w:sz w:val="20"/>
                <w:szCs w:val="20"/>
                <w:color w:val="auto"/>
              </w:rPr>
            </w:pPr>
            <w:r>
              <w:rPr>
                <w:rFonts w:ascii="Arial" w:cs="Arial" w:eastAsia="Arial" w:hAnsi="Arial"/>
                <w:sz w:val="16"/>
                <w:szCs w:val="16"/>
                <w:b w:val="1"/>
                <w:bCs w:val="1"/>
                <w:color w:val="625352"/>
              </w:rPr>
              <w:t>N_kcq</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Qglgasaag</w:t>
            </w:r>
            <w:r>
              <w:rPr>
                <w:rFonts w:ascii="PMingLiU" w:cs="PMingLiU" w:eastAsia="PMingLiU" w:hAnsi="PMingLiU"/>
                <w:sz w:val="16"/>
                <w:szCs w:val="16"/>
                <w:b w:val="1"/>
                <w:bCs w:val="1"/>
                <w:color w:val="625352"/>
              </w:rPr>
              <w:t/>
            </w:r>
          </w:p>
        </w:tc>
        <w:tc>
          <w:tcPr>
            <w:tcW w:w="0" w:type="dxa"/>
            <w:vAlign w:val="bottom"/>
          </w:tcPr>
          <w:p>
            <w:pPr>
              <w:spacing w:after="0"/>
              <w:rPr>
                <w:sz w:val="1"/>
                <w:szCs w:val="1"/>
                <w:color w:val="auto"/>
              </w:rPr>
            </w:pPr>
          </w:p>
        </w:tc>
      </w:tr>
      <w:tr>
        <w:trPr>
          <w:trHeight w:val="202"/>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Gfgcd</w:t>
            </w:r>
            <w:r>
              <w:rPr>
                <w:rFonts w:ascii="PMingLiU" w:cs="PMingLiU" w:eastAsia="PMingLiU" w:hAnsi="PMingLiU"/>
                <w:sz w:val="16"/>
                <w:szCs w:val="16"/>
                <w:color w:val="625352"/>
              </w:rPr>
              <w:t/>
            </w:r>
            <w:r>
              <w:rPr>
                <w:rFonts w:ascii="Arial" w:cs="Arial" w:eastAsia="Arial" w:hAnsi="Arial"/>
                <w:sz w:val="16"/>
                <w:szCs w:val="16"/>
                <w:color w:val="625352"/>
              </w:rPr>
              <w:t>Jgl_lag_j</w:t>
            </w:r>
            <w:r>
              <w:rPr>
                <w:rFonts w:ascii="PMingLiU" w:cs="PMingLiU" w:eastAsia="PMingLiU" w:hAnsi="PMingLiU"/>
                <w:sz w:val="16"/>
                <w:szCs w:val="16"/>
                <w:color w:val="625352"/>
              </w:rPr>
              <w:t/>
            </w:r>
            <w:r>
              <w:rPr>
                <w:rFonts w:ascii="Arial" w:cs="Arial" w:eastAsia="Arial" w:hAnsi="Arial"/>
                <w:sz w:val="16"/>
                <w:szCs w:val="16"/>
                <w:color w:val="625352"/>
              </w:rPr>
              <w:t>Sffiacp</w:t>
            </w:r>
            <w:r>
              <w:rPr>
                <w:rFonts w:ascii="PMingLiU" w:cs="PMingLiU" w:eastAsia="PMingLiU" w:hAnsi="PMingLiU"/>
                <w:sz w:val="16"/>
                <w:szCs w:val="16"/>
                <w:color w:val="625352"/>
              </w:rPr>
              <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Wclgmp</w:t>
            </w:r>
            <w:r>
              <w:rPr>
                <w:rFonts w:ascii="PMingLiU" w:cs="PMingLiU" w:eastAsia="PMingLiU" w:hAnsi="PMingLiU"/>
                <w:sz w:val="16"/>
                <w:szCs w:val="16"/>
                <w:color w:val="625352"/>
              </w:rPr>
              <w:t/>
            </w:r>
            <w:r>
              <w:rPr>
                <w:rFonts w:ascii="Arial" w:cs="Arial" w:eastAsia="Arial" w:hAnsi="Arial"/>
                <w:sz w:val="16"/>
                <w:szCs w:val="16"/>
                <w:color w:val="625352"/>
              </w:rPr>
              <w:t>Zgac</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202"/>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Xcjcbwlc</w:t>
            </w:r>
            <w:r>
              <w:rPr>
                <w:rFonts w:ascii="PMingLiU" w:cs="PMingLiU" w:eastAsia="PMingLiU" w:hAnsi="PMingLiU"/>
                <w:sz w:val="16"/>
                <w:szCs w:val="16"/>
                <w:color w:val="625352"/>
              </w:rPr>
              <w:t/>
            </w:r>
            <w:r>
              <w:rPr>
                <w:rFonts w:ascii="Arial" w:cs="Arial" w:eastAsia="Arial" w:hAnsi="Arial"/>
                <w:sz w:val="16"/>
                <w:szCs w:val="16"/>
                <w:color w:val="625352"/>
              </w:rPr>
              <w:t>Xcaflmjmegcq</w:t>
            </w:r>
            <w:r>
              <w:rPr>
                <w:rFonts w:ascii="PMingLiU" w:cs="PMingLiU" w:eastAsia="PMingLiU" w:hAnsi="PMingLiU"/>
                <w:sz w:val="16"/>
                <w:szCs w:val="16"/>
                <w:color w:val="625352"/>
              </w:rPr>
              <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Kclcp_j</w:t>
            </w:r>
            <w:r>
              <w:rPr>
                <w:rFonts w:ascii="PMingLiU" w:cs="PMingLiU" w:eastAsia="PMingLiU" w:hAnsi="PMingLiU"/>
                <w:sz w:val="16"/>
                <w:szCs w:val="16"/>
                <w:color w:val="625352"/>
              </w:rPr>
              <w:t/>
            </w:r>
            <w:r>
              <w:rPr>
                <w:rFonts w:ascii="Arial" w:cs="Arial" w:eastAsia="Arial" w:hAnsi="Arial"/>
                <w:sz w:val="16"/>
                <w:szCs w:val="16"/>
                <w:color w:val="625352"/>
              </w:rPr>
              <w:t>Q_l_ecp</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202"/>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Mlampnmp_rcb</w:t>
            </w:r>
            <w:r>
              <w:rPr>
                <w:rFonts w:ascii="PMingLiU" w:cs="PMingLiU" w:eastAsia="PMingLiU" w:hAnsi="PMingLiU"/>
                <w:sz w:val="16"/>
                <w:szCs w:val="16"/>
                <w:color w:val="625352"/>
              </w:rPr>
              <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Tcpqml_j</w:t>
            </w:r>
            <w:r>
              <w:rPr>
                <w:rFonts w:ascii="PMingLiU" w:cs="PMingLiU" w:eastAsia="PMingLiU" w:hAnsi="PMingLiU"/>
                <w:sz w:val="16"/>
                <w:szCs w:val="16"/>
                <w:color w:val="625352"/>
              </w:rPr>
              <w:t/>
            </w:r>
            <w:r>
              <w:rPr>
                <w:rFonts w:ascii="Arial" w:cs="Arial" w:eastAsia="Arial" w:hAnsi="Arial"/>
                <w:sz w:val="16"/>
                <w:szCs w:val="16"/>
                <w:color w:val="625352"/>
              </w:rPr>
              <w:t>G_pc</w:t>
            </w:r>
          </w:p>
        </w:tc>
        <w:tc>
          <w:tcPr>
            <w:tcW w:w="0" w:type="dxa"/>
            <w:vAlign w:val="bottom"/>
          </w:tcPr>
          <w:p>
            <w:pPr>
              <w:spacing w:after="0"/>
              <w:rPr>
                <w:sz w:val="1"/>
                <w:szCs w:val="1"/>
                <w:color w:val="auto"/>
              </w:rPr>
            </w:pPr>
          </w:p>
        </w:tc>
      </w:tr>
      <w:tr>
        <w:trPr>
          <w:trHeight w:val="395"/>
        </w:trPr>
        <w:tc>
          <w:tcPr>
            <w:tcW w:w="3160" w:type="dxa"/>
            <w:vAlign w:val="bottom"/>
          </w:tcPr>
          <w:p>
            <w:pPr>
              <w:spacing w:after="0" w:line="219" w:lineRule="exact"/>
              <w:rPr>
                <w:sz w:val="20"/>
                <w:szCs w:val="20"/>
                <w:color w:val="auto"/>
              </w:rPr>
            </w:pPr>
            <w:r>
              <w:rPr>
                <w:rFonts w:ascii="Arial" w:cs="Arial" w:eastAsia="Arial" w:hAnsi="Arial"/>
                <w:sz w:val="16"/>
                <w:szCs w:val="16"/>
                <w:b w:val="1"/>
                <w:bCs w:val="1"/>
                <w:color w:val="625352"/>
              </w:rPr>
              <w:t>Ncpmkc</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E</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Tcpg`cpc</w:t>
            </w:r>
            <w:r>
              <w:rPr>
                <w:rFonts w:ascii="PMingLiU" w:cs="PMingLiU" w:eastAsia="PMingLiU" w:hAnsi="PMingLiU"/>
                <w:sz w:val="16"/>
                <w:szCs w:val="16"/>
                <w:b w:val="1"/>
                <w:bCs w:val="1"/>
                <w:color w:val="625352"/>
              </w:rPr>
              <w:t/>
            </w:r>
            <w:r>
              <w:rPr>
                <w:rFonts w:ascii="Arial" w:cs="Arial" w:eastAsia="Arial" w:hAnsi="Arial"/>
                <w:sz w:val="18"/>
                <w:szCs w:val="18"/>
                <w:b w:val="1"/>
                <w:bCs w:val="1"/>
                <w:color w:val="625352"/>
                <w:vertAlign w:val="superscript"/>
              </w:rPr>
              <w:t>+˦</w:t>
            </w:r>
            <w:r>
              <w:rPr>
                <w:rFonts w:ascii="PMingLiU" w:cs="PMingLiU" w:eastAsia="PMingLiU" w:hAnsi="PMingLiU"/>
                <w:sz w:val="18"/>
                <w:szCs w:val="18"/>
                <w:b w:val="1"/>
                <w:bCs w:val="1"/>
                <w:color w:val="625352"/>
                <w:vertAlign w:val="superscript"/>
              </w:rPr>
              <w:t/>
            </w:r>
            <w:r>
              <w:rPr>
                <w:rFonts w:ascii="Arial" w:cs="Arial" w:eastAsia="Arial" w:hAnsi="Arial"/>
                <w:sz w:val="18"/>
                <w:szCs w:val="18"/>
                <w:b w:val="1"/>
                <w:bCs w:val="1"/>
                <w:color w:val="625352"/>
                <w:vertAlign w:val="superscript"/>
              </w:rPr>
              <w:t>˨_,</w:t>
            </w:r>
            <w:r>
              <w:rPr>
                <w:rFonts w:ascii="PMingLiU" w:cs="PMingLiU" w:eastAsia="PMingLiU" w:hAnsi="PMingLiU"/>
                <w:sz w:val="16"/>
                <w:szCs w:val="16"/>
                <w:b w:val="1"/>
                <w:bCs w:val="1"/>
                <w:color w:val="625352"/>
              </w:rPr>
              <w:t/>
            </w:r>
          </w:p>
        </w:tc>
        <w:tc>
          <w:tcPr>
            <w:tcW w:w="360" w:type="dxa"/>
            <w:vAlign w:val="bottom"/>
          </w:tcPr>
          <w:p>
            <w:pPr>
              <w:spacing w:after="0"/>
              <w:rPr>
                <w:sz w:val="24"/>
                <w:szCs w:val="24"/>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b w:val="1"/>
                <w:bCs w:val="1"/>
                <w:color w:val="625352"/>
              </w:rPr>
              <w:t>Hp</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Sq_k_</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Qsq_</w:t>
            </w:r>
            <w:r>
              <w:rPr>
                <w:rFonts w:ascii="PMingLiU" w:cs="PMingLiU" w:eastAsia="PMingLiU" w:hAnsi="PMingLiU"/>
                <w:sz w:val="16"/>
                <w:szCs w:val="16"/>
                <w:b w:val="1"/>
                <w:bCs w:val="1"/>
                <w:color w:val="625352"/>
              </w:rPr>
              <w:t/>
            </w:r>
          </w:p>
        </w:tc>
        <w:tc>
          <w:tcPr>
            <w:tcW w:w="0" w:type="dxa"/>
            <w:vAlign w:val="bottom"/>
          </w:tcPr>
          <w:p>
            <w:pPr>
              <w:spacing w:after="0"/>
              <w:rPr>
                <w:sz w:val="1"/>
                <w:szCs w:val="1"/>
                <w:color w:val="auto"/>
              </w:rPr>
            </w:pPr>
          </w:p>
        </w:tc>
      </w:tr>
      <w:tr>
        <w:trPr>
          <w:trHeight w:val="192"/>
        </w:trPr>
        <w:tc>
          <w:tcPr>
            <w:tcW w:w="3160" w:type="dxa"/>
            <w:vAlign w:val="bottom"/>
          </w:tcPr>
          <w:p>
            <w:pPr>
              <w:spacing w:after="0" w:line="192" w:lineRule="exact"/>
              <w:rPr>
                <w:sz w:val="20"/>
                <w:szCs w:val="20"/>
                <w:color w:val="auto"/>
              </w:rPr>
            </w:pPr>
            <w:r>
              <w:rPr>
                <w:rFonts w:ascii="Arial" w:cs="Arial" w:eastAsia="Arial" w:hAnsi="Arial"/>
                <w:sz w:val="16"/>
                <w:szCs w:val="16"/>
                <w:color w:val="625352"/>
              </w:rPr>
              <w:t>Jmpkcp</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GIS</w:t>
            </w:r>
            <w:r>
              <w:rPr>
                <w:rFonts w:ascii="PMingLiU" w:cs="PMingLiU" w:eastAsia="PMingLiU" w:hAnsi="PMingLiU"/>
                <w:sz w:val="16"/>
                <w:szCs w:val="16"/>
                <w:color w:val="625352"/>
              </w:rPr>
              <w:t/>
            </w:r>
          </w:p>
        </w:tc>
        <w:tc>
          <w:tcPr>
            <w:tcW w:w="360" w:type="dxa"/>
            <w:vAlign w:val="bottom"/>
          </w:tcPr>
          <w:p>
            <w:pPr>
              <w:spacing w:after="0"/>
              <w:rPr>
                <w:sz w:val="16"/>
                <w:szCs w:val="16"/>
                <w:color w:val="auto"/>
              </w:rPr>
            </w:pPr>
          </w:p>
        </w:tc>
        <w:tc>
          <w:tcPr>
            <w:tcW w:w="3160" w:type="dxa"/>
            <w:vAlign w:val="bottom"/>
          </w:tcPr>
          <w:p>
            <w:pPr>
              <w:spacing w:after="0" w:line="192" w:lineRule="exact"/>
              <w:rPr>
                <w:sz w:val="20"/>
                <w:szCs w:val="20"/>
                <w:color w:val="auto"/>
              </w:rPr>
            </w:pPr>
            <w:r>
              <w:rPr>
                <w:rFonts w:ascii="Arial" w:cs="Arial" w:eastAsia="Arial" w:hAnsi="Arial"/>
                <w:sz w:val="16"/>
                <w:szCs w:val="16"/>
                <w:color w:val="625352"/>
              </w:rPr>
              <w:t>Wclgmp</w:t>
            </w:r>
            <w:r>
              <w:rPr>
                <w:rFonts w:ascii="PMingLiU" w:cs="PMingLiU" w:eastAsia="PMingLiU" w:hAnsi="PMingLiU"/>
                <w:sz w:val="16"/>
                <w:szCs w:val="16"/>
                <w:color w:val="625352"/>
              </w:rPr>
              <w:t/>
            </w:r>
            <w:r>
              <w:rPr>
                <w:rFonts w:ascii="Arial" w:cs="Arial" w:eastAsia="Arial" w:hAnsi="Arial"/>
                <w:sz w:val="16"/>
                <w:szCs w:val="16"/>
                <w:color w:val="625352"/>
              </w:rPr>
              <w:t>Zgac</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r>
              <w:rPr>
                <w:rFonts w:ascii="Arial" w:cs="Arial" w:eastAsia="Arial" w:hAnsi="Arial"/>
                <w:sz w:val="16"/>
                <w:szCs w:val="16"/>
                <w:color w:val="625352"/>
              </w:rPr>
              <w:t>_lb</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202"/>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Wc_jcb</w:t>
            </w:r>
            <w:r>
              <w:rPr>
                <w:rFonts w:ascii="PMingLiU" w:cs="PMingLiU" w:eastAsia="PMingLiU" w:hAnsi="PMingLiU"/>
                <w:sz w:val="16"/>
                <w:szCs w:val="16"/>
                <w:color w:val="625352"/>
              </w:rPr>
              <w:t/>
            </w:r>
            <w:r>
              <w:rPr>
                <w:rFonts w:ascii="Arial" w:cs="Arial" w:eastAsia="Arial" w:hAnsi="Arial"/>
                <w:sz w:val="16"/>
                <w:szCs w:val="16"/>
                <w:color w:val="625352"/>
              </w:rPr>
              <w:t>Egp</w:t>
            </w:r>
            <w:r>
              <w:rPr>
                <w:rFonts w:ascii="PMingLiU" w:cs="PMingLiU" w:eastAsia="PMingLiU" w:hAnsi="PMingLiU"/>
                <w:sz w:val="16"/>
                <w:szCs w:val="16"/>
                <w:color w:val="625352"/>
              </w:rPr>
              <w:t/>
            </w:r>
            <w:r>
              <w:rPr>
                <w:rFonts w:ascii="Arial" w:cs="Arial" w:eastAsia="Arial" w:hAnsi="Arial"/>
                <w:sz w:val="16"/>
                <w:szCs w:val="16"/>
                <w:color w:val="625352"/>
              </w:rPr>
              <w:t>Gmpn</w:t>
            </w:r>
            <w:r>
              <w:rPr>
                <w:rFonts w:ascii="PMingLiU" w:cs="PMingLiU" w:eastAsia="PMingLiU" w:hAnsi="PMingLiU"/>
                <w:sz w:val="16"/>
                <w:szCs w:val="16"/>
                <w:color w:val="625352"/>
              </w:rPr>
              <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Gfgcd</w:t>
            </w:r>
            <w:r>
              <w:rPr>
                <w:rFonts w:ascii="PMingLiU" w:cs="PMingLiU" w:eastAsia="PMingLiU" w:hAnsi="PMingLiU"/>
                <w:sz w:val="16"/>
                <w:szCs w:val="16"/>
                <w:color w:val="625352"/>
              </w:rPr>
              <w:t/>
            </w:r>
            <w:r>
              <w:rPr>
                <w:rFonts w:ascii="Arial" w:cs="Arial" w:eastAsia="Arial" w:hAnsi="Arial"/>
                <w:sz w:val="16"/>
                <w:szCs w:val="16"/>
                <w:color w:val="625352"/>
              </w:rPr>
              <w:t>Xcaflmjmew</w:t>
            </w:r>
            <w:r>
              <w:rPr>
                <w:rFonts w:ascii="PMingLiU" w:cs="PMingLiU" w:eastAsia="PMingLiU" w:hAnsi="PMingLiU"/>
                <w:sz w:val="16"/>
                <w:szCs w:val="16"/>
                <w:color w:val="625352"/>
              </w:rPr>
              <w:t/>
            </w:r>
            <w:r>
              <w:rPr>
                <w:rFonts w:ascii="Arial" w:cs="Arial" w:eastAsia="Arial" w:hAnsi="Arial"/>
                <w:sz w:val="16"/>
                <w:szCs w:val="16"/>
                <w:color w:val="625352"/>
              </w:rPr>
              <w:t>Sffiacp</w:t>
            </w:r>
          </w:p>
        </w:tc>
        <w:tc>
          <w:tcPr>
            <w:tcW w:w="0" w:type="dxa"/>
            <w:vAlign w:val="bottom"/>
          </w:tcPr>
          <w:p>
            <w:pPr>
              <w:spacing w:after="0"/>
              <w:rPr>
                <w:sz w:val="1"/>
                <w:szCs w:val="1"/>
                <w:color w:val="auto"/>
              </w:rPr>
            </w:pPr>
          </w:p>
        </w:tc>
      </w:tr>
      <w:tr>
        <w:trPr>
          <w:trHeight w:val="288"/>
        </w:trPr>
        <w:tc>
          <w:tcPr>
            <w:tcW w:w="3160" w:type="dxa"/>
            <w:vAlign w:val="bottom"/>
          </w:tcPr>
          <w:p>
            <w:pPr>
              <w:ind w:left="1200"/>
              <w:spacing w:after="0" w:line="110" w:lineRule="exact"/>
              <w:rPr>
                <w:sz w:val="20"/>
                <w:szCs w:val="20"/>
                <w:color w:val="auto"/>
              </w:rPr>
            </w:pPr>
            <w:r>
              <w:rPr>
                <w:rFonts w:ascii="Arial" w:cs="Arial" w:eastAsia="Arial" w:hAnsi="Arial"/>
                <w:sz w:val="9"/>
                <w:szCs w:val="9"/>
                <w:b w:val="1"/>
                <w:bCs w:val="1"/>
                <w:color w:val="625352"/>
              </w:rPr>
              <w:t>+˦_</w:t>
            </w:r>
            <w:r>
              <w:rPr>
                <w:rFonts w:ascii="PMingLiU" w:cs="PMingLiU" w:eastAsia="PMingLiU" w:hAnsi="PMingLiU"/>
                <w:sz w:val="9"/>
                <w:szCs w:val="9"/>
                <w:b w:val="1"/>
                <w:bCs w:val="1"/>
                <w:color w:val="625352"/>
              </w:rPr>
              <w:t/>
            </w:r>
            <w:r>
              <w:rPr>
                <w:rFonts w:ascii="Arial" w:cs="Arial" w:eastAsia="Arial" w:hAnsi="Arial"/>
                <w:sz w:val="9"/>
                <w:szCs w:val="9"/>
                <w:b w:val="1"/>
                <w:bCs w:val="1"/>
                <w:color w:val="625352"/>
              </w:rPr>
              <w:t>˧,</w:t>
            </w:r>
          </w:p>
        </w:tc>
        <w:tc>
          <w:tcPr>
            <w:tcW w:w="360" w:type="dxa"/>
            <w:vAlign w:val="bottom"/>
          </w:tcPr>
          <w:p>
            <w:pPr>
              <w:spacing w:after="0"/>
              <w:rPr>
                <w:sz w:val="24"/>
                <w:szCs w:val="24"/>
                <w:color w:val="auto"/>
              </w:rPr>
            </w:pPr>
          </w:p>
        </w:tc>
        <w:tc>
          <w:tcPr>
            <w:tcW w:w="3160" w:type="dxa"/>
            <w:vAlign w:val="bottom"/>
            <w:vMerge w:val="restart"/>
          </w:tcPr>
          <w:p>
            <w:pPr>
              <w:spacing w:after="0" w:line="194" w:lineRule="exact"/>
              <w:rPr>
                <w:sz w:val="20"/>
                <w:szCs w:val="20"/>
                <w:color w:val="auto"/>
              </w:rPr>
            </w:pPr>
            <w:r>
              <w:rPr>
                <w:rFonts w:ascii="Arial" w:cs="Arial" w:eastAsia="Arial" w:hAnsi="Arial"/>
                <w:sz w:val="16"/>
                <w:szCs w:val="16"/>
                <w:b w:val="1"/>
                <w:bCs w:val="1"/>
                <w:color w:val="625352"/>
              </w:rPr>
              <w:t>[gjjg_k</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G</w:t>
            </w:r>
            <w:r>
              <w:rPr>
                <w:rFonts w:ascii="PMingLiU" w:cs="PMingLiU" w:eastAsia="PMingLiU" w:hAnsi="PMingLiU"/>
                <w:sz w:val="16"/>
                <w:szCs w:val="16"/>
                <w:b w:val="1"/>
                <w:bCs w:val="1"/>
                <w:color w:val="625352"/>
              </w:rPr>
              <w:t/>
            </w:r>
            <w:r>
              <w:rPr>
                <w:rFonts w:ascii="Arial" w:cs="Arial" w:eastAsia="Arial" w:hAnsi="Arial"/>
                <w:sz w:val="16"/>
                <w:szCs w:val="16"/>
                <w:b w:val="1"/>
                <w:bCs w:val="1"/>
                <w:color w:val="625352"/>
              </w:rPr>
              <w:t>[fgr_icp</w:t>
            </w:r>
            <w:r>
              <w:rPr>
                <w:rFonts w:ascii="PMingLiU" w:cs="PMingLiU" w:eastAsia="PMingLiU" w:hAnsi="PMingLiU"/>
                <w:sz w:val="16"/>
                <w:szCs w:val="16"/>
                <w:b w:val="1"/>
                <w:bCs w:val="1"/>
                <w:color w:val="625352"/>
              </w:rPr>
              <w:t/>
            </w:r>
          </w:p>
        </w:tc>
        <w:tc>
          <w:tcPr>
            <w:tcW w:w="0" w:type="dxa"/>
            <w:vAlign w:val="bottom"/>
          </w:tcPr>
          <w:p>
            <w:pPr>
              <w:spacing w:after="0"/>
              <w:rPr>
                <w:sz w:val="1"/>
                <w:szCs w:val="1"/>
                <w:color w:val="auto"/>
              </w:rPr>
            </w:pPr>
          </w:p>
        </w:tc>
      </w:tr>
      <w:tr>
        <w:trPr>
          <w:trHeight w:val="106"/>
        </w:trPr>
        <w:tc>
          <w:tcPr>
            <w:tcW w:w="3160" w:type="dxa"/>
            <w:vAlign w:val="bottom"/>
          </w:tcPr>
          <w:p>
            <w:pPr>
              <w:spacing w:after="0" w:line="107" w:lineRule="exact"/>
              <w:rPr>
                <w:sz w:val="20"/>
                <w:szCs w:val="20"/>
                <w:color w:val="auto"/>
              </w:rPr>
            </w:pPr>
            <w:r>
              <w:rPr>
                <w:rFonts w:ascii="Arial" w:cs="Arial" w:eastAsia="Arial" w:hAnsi="Arial"/>
                <w:sz w:val="11"/>
                <w:szCs w:val="11"/>
                <w:b w:val="1"/>
                <w:bCs w:val="1"/>
                <w:color w:val="625352"/>
              </w:rPr>
              <w:t>Wamrr</w:t>
            </w:r>
            <w:r>
              <w:rPr>
                <w:rFonts w:ascii="PMingLiU" w:cs="PMingLiU" w:eastAsia="PMingLiU" w:hAnsi="PMingLiU"/>
                <w:sz w:val="11"/>
                <w:szCs w:val="11"/>
                <w:b w:val="1"/>
                <w:bCs w:val="1"/>
                <w:color w:val="625352"/>
              </w:rPr>
              <w:t/>
            </w:r>
            <w:r>
              <w:rPr>
                <w:rFonts w:ascii="Arial" w:cs="Arial" w:eastAsia="Arial" w:hAnsi="Arial"/>
                <w:sz w:val="11"/>
                <w:szCs w:val="11"/>
                <w:b w:val="1"/>
                <w:bCs w:val="1"/>
                <w:color w:val="625352"/>
              </w:rPr>
              <w:t>E</w:t>
            </w:r>
            <w:r>
              <w:rPr>
                <w:rFonts w:ascii="PMingLiU" w:cs="PMingLiU" w:eastAsia="PMingLiU" w:hAnsi="PMingLiU"/>
                <w:sz w:val="11"/>
                <w:szCs w:val="11"/>
                <w:b w:val="1"/>
                <w:bCs w:val="1"/>
                <w:color w:val="625352"/>
              </w:rPr>
              <w:t/>
            </w:r>
            <w:r>
              <w:rPr>
                <w:rFonts w:ascii="Arial" w:cs="Arial" w:eastAsia="Arial" w:hAnsi="Arial"/>
                <w:sz w:val="11"/>
                <w:szCs w:val="11"/>
                <w:b w:val="1"/>
                <w:bCs w:val="1"/>
                <w:color w:val="625352"/>
              </w:rPr>
              <w:t>Xmxgcp</w:t>
            </w:r>
            <w:r>
              <w:rPr>
                <w:rFonts w:ascii="PMingLiU" w:cs="PMingLiU" w:eastAsia="PMingLiU" w:hAnsi="PMingLiU"/>
                <w:sz w:val="11"/>
                <w:szCs w:val="11"/>
                <w:b w:val="1"/>
                <w:bCs w:val="1"/>
                <w:color w:val="625352"/>
              </w:rPr>
              <w:t/>
            </w:r>
          </w:p>
        </w:tc>
        <w:tc>
          <w:tcPr>
            <w:tcW w:w="360" w:type="dxa"/>
            <w:vAlign w:val="bottom"/>
          </w:tcPr>
          <w:p>
            <w:pPr>
              <w:spacing w:after="0"/>
              <w:rPr>
                <w:sz w:val="9"/>
                <w:szCs w:val="9"/>
                <w:color w:val="auto"/>
              </w:rPr>
            </w:pPr>
          </w:p>
        </w:tc>
        <w:tc>
          <w:tcPr>
            <w:tcW w:w="3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line="192" w:lineRule="exact"/>
              <w:rPr>
                <w:sz w:val="20"/>
                <w:szCs w:val="20"/>
                <w:color w:val="auto"/>
              </w:rPr>
            </w:pPr>
            <w:r>
              <w:rPr>
                <w:rFonts w:ascii="Arial" w:cs="Arial" w:eastAsia="Arial" w:hAnsi="Arial"/>
                <w:sz w:val="16"/>
                <w:szCs w:val="16"/>
                <w:color w:val="625352"/>
              </w:rPr>
              <w:t>Jmpkcp</w:t>
            </w:r>
            <w:r>
              <w:rPr>
                <w:rFonts w:ascii="PMingLiU" w:cs="PMingLiU" w:eastAsia="PMingLiU" w:hAnsi="PMingLiU"/>
                <w:sz w:val="16"/>
                <w:szCs w:val="16"/>
                <w:color w:val="625352"/>
              </w:rPr>
              <w:t/>
            </w:r>
            <w:r>
              <w:rPr>
                <w:rFonts w:ascii="Arial" w:cs="Arial" w:eastAsia="Arial" w:hAnsi="Arial"/>
                <w:sz w:val="16"/>
                <w:szCs w:val="16"/>
                <w:color w:val="625352"/>
              </w:rPr>
              <w:t>Wrp_rcega</w:t>
            </w:r>
            <w:r>
              <w:rPr>
                <w:rFonts w:ascii="PMingLiU" w:cs="PMingLiU" w:eastAsia="PMingLiU" w:hAnsi="PMingLiU"/>
                <w:sz w:val="16"/>
                <w:szCs w:val="16"/>
                <w:color w:val="625352"/>
              </w:rPr>
              <w:t/>
            </w:r>
            <w:r>
              <w:rPr>
                <w:rFonts w:ascii="Arial" w:cs="Arial" w:eastAsia="Arial" w:hAnsi="Arial"/>
                <w:sz w:val="16"/>
                <w:szCs w:val="16"/>
                <w:color w:val="625352"/>
              </w:rPr>
              <w:t>Ebtgqmp</w:t>
            </w:r>
            <w:r>
              <w:rPr>
                <w:rFonts w:ascii="PMingLiU" w:cs="PMingLiU" w:eastAsia="PMingLiU" w:hAnsi="PMingLiU"/>
                <w:sz w:val="16"/>
                <w:szCs w:val="16"/>
                <w:color w:val="625352"/>
              </w:rPr>
              <w:t/>
            </w:r>
            <w:r>
              <w:rPr>
                <w:rFonts w:ascii="Arial" w:cs="Arial" w:eastAsia="Arial" w:hAnsi="Arial"/>
                <w:sz w:val="16"/>
                <w:szCs w:val="16"/>
                <w:color w:val="625352"/>
              </w:rPr>
              <w:t>rm</w:t>
            </w:r>
            <w:r>
              <w:rPr>
                <w:rFonts w:ascii="PMingLiU" w:cs="PMingLiU" w:eastAsia="PMingLiU" w:hAnsi="PMingLiU"/>
                <w:sz w:val="16"/>
                <w:szCs w:val="16"/>
                <w:color w:val="625352"/>
              </w:rPr>
              <w:t/>
            </w:r>
            <w:r>
              <w:rPr>
                <w:rFonts w:ascii="Arial" w:cs="Arial" w:eastAsia="Arial" w:hAnsi="Arial"/>
                <w:sz w:val="16"/>
                <w:szCs w:val="16"/>
                <w:color w:val="625352"/>
              </w:rPr>
              <w:t>rfc</w:t>
            </w:r>
            <w:r>
              <w:rPr>
                <w:rFonts w:ascii="PMingLiU" w:cs="PMingLiU" w:eastAsia="PMingLiU" w:hAnsi="PMingLiU"/>
                <w:sz w:val="16"/>
                <w:szCs w:val="16"/>
                <w:color w:val="625352"/>
              </w:rPr>
              <w:t/>
            </w:r>
            <w:r>
              <w:rPr>
                <w:rFonts w:ascii="Arial" w:cs="Arial" w:eastAsia="Arial" w:hAnsi="Arial"/>
                <w:sz w:val="16"/>
                <w:szCs w:val="16"/>
                <w:color w:val="625352"/>
              </w:rPr>
              <w:t>Gfgcd</w:t>
            </w:r>
            <w:r>
              <w:rPr>
                <w:rFonts w:ascii="PMingLiU" w:cs="PMingLiU" w:eastAsia="PMingLiU" w:hAnsi="PMingLiU"/>
                <w:sz w:val="16"/>
                <w:szCs w:val="16"/>
                <w:color w:val="625352"/>
              </w:rPr>
              <w:t/>
            </w:r>
          </w:p>
        </w:tc>
        <w:tc>
          <w:tcPr>
            <w:tcW w:w="360" w:type="dxa"/>
            <w:vAlign w:val="bottom"/>
          </w:tcPr>
          <w:p>
            <w:pPr>
              <w:spacing w:after="0"/>
              <w:rPr>
                <w:sz w:val="16"/>
                <w:szCs w:val="16"/>
                <w:color w:val="auto"/>
              </w:rPr>
            </w:pPr>
          </w:p>
        </w:tc>
        <w:tc>
          <w:tcPr>
            <w:tcW w:w="3160" w:type="dxa"/>
            <w:vAlign w:val="bottom"/>
          </w:tcPr>
          <w:p>
            <w:pPr>
              <w:spacing w:after="0" w:line="192" w:lineRule="exact"/>
              <w:rPr>
                <w:sz w:val="20"/>
                <w:szCs w:val="20"/>
                <w:color w:val="auto"/>
              </w:rPr>
            </w:pPr>
            <w:r>
              <w:rPr>
                <w:rFonts w:ascii="Arial" w:cs="Arial" w:eastAsia="Arial" w:hAnsi="Arial"/>
                <w:sz w:val="16"/>
                <w:szCs w:val="16"/>
                <w:color w:val="625352"/>
              </w:rPr>
              <w:t>Wclgmp</w:t>
            </w:r>
            <w:r>
              <w:rPr>
                <w:rFonts w:ascii="PMingLiU" w:cs="PMingLiU" w:eastAsia="PMingLiU" w:hAnsi="PMingLiU"/>
                <w:sz w:val="16"/>
                <w:szCs w:val="16"/>
                <w:color w:val="625352"/>
              </w:rPr>
              <w:t/>
            </w:r>
            <w:r>
              <w:rPr>
                <w:rFonts w:ascii="Arial" w:cs="Arial" w:eastAsia="Arial" w:hAnsi="Arial"/>
                <w:sz w:val="16"/>
                <w:szCs w:val="16"/>
                <w:color w:val="625352"/>
              </w:rPr>
              <w:t>Zgac</w:t>
            </w:r>
            <w:r>
              <w:rPr>
                <w:rFonts w:ascii="PMingLiU" w:cs="PMingLiU" w:eastAsia="PMingLiU" w:hAnsi="PMingLiU"/>
                <w:sz w:val="16"/>
                <w:szCs w:val="16"/>
                <w:color w:val="625352"/>
              </w:rPr>
              <w:t/>
            </w:r>
            <w:r>
              <w:rPr>
                <w:rFonts w:ascii="Arial" w:cs="Arial" w:eastAsia="Arial" w:hAnsi="Arial"/>
                <w:sz w:val="16"/>
                <w:szCs w:val="16"/>
                <w:color w:val="625352"/>
              </w:rPr>
              <w:t>Tpcqgbclr</w:t>
            </w:r>
            <w:r>
              <w:rPr>
                <w:rFonts w:ascii="PMingLiU" w:cs="PMingLiU" w:eastAsia="PMingLiU" w:hAnsi="PMingLiU"/>
                <w:sz w:val="16"/>
                <w:szCs w:val="16"/>
                <w:color w:val="625352"/>
              </w:rPr>
              <w:t/>
            </w:r>
          </w:p>
        </w:tc>
        <w:tc>
          <w:tcPr>
            <w:tcW w:w="0" w:type="dxa"/>
            <w:vAlign w:val="bottom"/>
          </w:tcPr>
          <w:p>
            <w:pPr>
              <w:spacing w:after="0"/>
              <w:rPr>
                <w:sz w:val="1"/>
                <w:szCs w:val="1"/>
                <w:color w:val="auto"/>
              </w:rPr>
            </w:pPr>
          </w:p>
        </w:tc>
      </w:tr>
      <w:tr>
        <w:trPr>
          <w:trHeight w:val="202"/>
        </w:trPr>
        <w:tc>
          <w:tcPr>
            <w:tcW w:w="3160" w:type="dxa"/>
            <w:vAlign w:val="bottom"/>
          </w:tcPr>
          <w:p>
            <w:pPr>
              <w:spacing w:after="0" w:line="194" w:lineRule="exact"/>
              <w:rPr>
                <w:sz w:val="20"/>
                <w:szCs w:val="20"/>
                <w:color w:val="auto"/>
              </w:rPr>
            </w:pPr>
            <w:r>
              <w:rPr>
                <w:rFonts w:ascii="Arial" w:cs="Arial" w:eastAsia="Arial" w:hAnsi="Arial"/>
                <w:sz w:val="16"/>
                <w:szCs w:val="16"/>
                <w:color w:val="625352"/>
              </w:rPr>
              <w:t>Ivcasrgtc</w:t>
            </w:r>
            <w:r>
              <w:rPr>
                <w:rFonts w:ascii="PMingLiU" w:cs="PMingLiU" w:eastAsia="PMingLiU" w:hAnsi="PMingLiU"/>
                <w:sz w:val="16"/>
                <w:szCs w:val="16"/>
                <w:color w:val="625352"/>
              </w:rPr>
              <w:t/>
            </w:r>
            <w:r>
              <w:rPr>
                <w:rFonts w:ascii="Arial" w:cs="Arial" w:eastAsia="Arial" w:hAnsi="Arial"/>
                <w:sz w:val="16"/>
                <w:szCs w:val="16"/>
                <w:color w:val="625352"/>
              </w:rPr>
              <w:t>Sffiacp</w:t>
            </w:r>
            <w:r>
              <w:rPr>
                <w:rFonts w:ascii="PMingLiU" w:cs="PMingLiU" w:eastAsia="PMingLiU" w:hAnsi="PMingLiU"/>
                <w:sz w:val="16"/>
                <w:szCs w:val="16"/>
                <w:color w:val="625352"/>
              </w:rPr>
              <w:t/>
            </w:r>
            <w:r>
              <w:rPr>
                <w:rFonts w:ascii="Arial" w:cs="Arial" w:eastAsia="Arial" w:hAnsi="Arial"/>
                <w:sz w:val="16"/>
                <w:szCs w:val="16"/>
                <w:color w:val="625352"/>
              </w:rPr>
              <w:t>Ej`cpk_pjc</w:t>
            </w:r>
            <w:r>
              <w:rPr>
                <w:rFonts w:ascii="PMingLiU" w:cs="PMingLiU" w:eastAsia="PMingLiU" w:hAnsi="PMingLiU"/>
                <w:sz w:val="16"/>
                <w:szCs w:val="16"/>
                <w:color w:val="625352"/>
              </w:rPr>
              <w:t/>
            </w:r>
            <w:r>
              <w:rPr>
                <w:rFonts w:ascii="Arial" w:cs="Arial" w:eastAsia="Arial" w:hAnsi="Arial"/>
                <w:sz w:val="16"/>
                <w:szCs w:val="16"/>
                <w:color w:val="625352"/>
              </w:rPr>
              <w:t>Gmpnmp_rgml</w:t>
            </w:r>
          </w:p>
        </w:tc>
        <w:tc>
          <w:tcPr>
            <w:tcW w:w="360" w:type="dxa"/>
            <w:vAlign w:val="bottom"/>
          </w:tcPr>
          <w:p>
            <w:pPr>
              <w:spacing w:after="0"/>
              <w:rPr>
                <w:sz w:val="17"/>
                <w:szCs w:val="17"/>
                <w:color w:val="auto"/>
              </w:rPr>
            </w:pPr>
          </w:p>
        </w:tc>
        <w:tc>
          <w:tcPr>
            <w:tcW w:w="3160" w:type="dxa"/>
            <w:vAlign w:val="bottom"/>
          </w:tcPr>
          <w:p>
            <w:pPr>
              <w:spacing w:after="0" w:line="194" w:lineRule="exact"/>
              <w:rPr>
                <w:sz w:val="20"/>
                <w:szCs w:val="20"/>
                <w:color w:val="auto"/>
              </w:rPr>
            </w:pP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Gfgcd</w:t>
            </w:r>
            <w:r>
              <w:rPr>
                <w:rFonts w:ascii="PMingLiU" w:cs="PMingLiU" w:eastAsia="PMingLiU" w:hAnsi="PMingLiU"/>
                <w:sz w:val="16"/>
                <w:szCs w:val="16"/>
                <w:color w:val="625352"/>
              </w:rPr>
              <w:t/>
            </w:r>
            <w:r>
              <w:rPr>
                <w:rFonts w:ascii="Arial" w:cs="Arial" w:eastAsia="Arial" w:hAnsi="Arial"/>
                <w:sz w:val="16"/>
                <w:szCs w:val="16"/>
                <w:color w:val="625352"/>
              </w:rPr>
              <w:t>Jgl_lag_j</w:t>
            </w:r>
            <w:r>
              <w:rPr>
                <w:rFonts w:ascii="PMingLiU" w:cs="PMingLiU" w:eastAsia="PMingLiU" w:hAnsi="PMingLiU"/>
                <w:sz w:val="16"/>
                <w:szCs w:val="16"/>
                <w:color w:val="625352"/>
              </w:rPr>
              <w:t/>
            </w:r>
            <w:r>
              <w:rPr>
                <w:rFonts w:ascii="Arial" w:cs="Arial" w:eastAsia="Arial" w:hAnsi="Arial"/>
                <w:sz w:val="16"/>
                <w:szCs w:val="16"/>
                <w:color w:val="625352"/>
              </w:rPr>
              <w:t>Sffiacp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80"/>
        <w:spacing w:after="0"/>
        <w:rPr>
          <w:sz w:val="20"/>
          <w:szCs w:val="20"/>
          <w:color w:val="auto"/>
        </w:rPr>
      </w:pPr>
      <w:r>
        <w:rPr>
          <w:rFonts w:ascii="Arial" w:cs="Arial" w:eastAsia="Arial" w:hAnsi="Arial"/>
          <w:sz w:val="22"/>
          <w:szCs w:val="22"/>
          <w:color w:val="FFFFFF"/>
        </w:rPr>
        <w:t>amkkgrrccq</w:t>
      </w:r>
    </w:p>
    <w:p>
      <w:pPr>
        <w:spacing w:after="0" w:line="242" w:lineRule="exact"/>
        <w:rPr>
          <w:sz w:val="20"/>
          <w:szCs w:val="20"/>
          <w:color w:val="auto"/>
        </w:rPr>
      </w:pPr>
    </w:p>
    <w:p>
      <w:pPr>
        <w:spacing w:after="0" w:line="194" w:lineRule="exact"/>
        <w:rPr>
          <w:sz w:val="20"/>
          <w:szCs w:val="20"/>
          <w:color w:val="auto"/>
        </w:rPr>
      </w:pPr>
      <w:r>
        <w:rPr>
          <w:rFonts w:ascii="Arial" w:cs="Arial" w:eastAsia="Arial" w:hAnsi="Arial"/>
          <w:sz w:val="16"/>
          <w:szCs w:val="16"/>
          <w:color w:val="625352"/>
        </w:rPr>
        <w:t>+˦,</w:t>
      </w:r>
      <w:r>
        <w:rPr>
          <w:rFonts w:ascii="PMingLiU" w:cs="PMingLiU" w:eastAsia="PMingLiU" w:hAnsi="PMingLiU"/>
          <w:sz w:val="16"/>
          <w:szCs w:val="16"/>
          <w:color w:val="625352"/>
        </w:rPr>
        <w:t/>
      </w:r>
      <w:r>
        <w:rPr>
          <w:rFonts w:ascii="Arial" w:cs="Arial" w:eastAsia="Arial" w:hAnsi="Arial"/>
          <w:sz w:val="16"/>
          <w:szCs w:val="16"/>
          <w:color w:val="625352"/>
        </w:rPr>
        <w:t xml:space="preserve"> Esbgr</w:t>
      </w:r>
    </w:p>
    <w:p>
      <w:pPr>
        <w:spacing w:after="0" w:line="194" w:lineRule="exact"/>
        <w:rPr>
          <w:sz w:val="20"/>
          <w:szCs w:val="20"/>
          <w:color w:val="auto"/>
        </w:rPr>
      </w:pPr>
      <w:r>
        <w:rPr>
          <w:rFonts w:ascii="Arial" w:cs="Arial" w:eastAsia="Arial" w:hAnsi="Arial"/>
          <w:sz w:val="16"/>
          <w:szCs w:val="16"/>
          <w:color w:val="625352"/>
        </w:rPr>
        <w:t>+˧,</w:t>
      </w:r>
      <w:r>
        <w:rPr>
          <w:rFonts w:ascii="PMingLiU" w:cs="PMingLiU" w:eastAsia="PMingLiU" w:hAnsi="PMingLiU"/>
          <w:sz w:val="16"/>
          <w:szCs w:val="16"/>
          <w:color w:val="625352"/>
        </w:rPr>
        <w:t/>
      </w:r>
      <w:r>
        <w:rPr>
          <w:rFonts w:ascii="Arial" w:cs="Arial" w:eastAsia="Arial" w:hAnsi="Arial"/>
          <w:sz w:val="16"/>
          <w:szCs w:val="16"/>
          <w:color w:val="625352"/>
        </w:rPr>
        <w:t xml:space="preserve"> Wsqr_gl_`gjgrw</w:t>
      </w:r>
      <w:r>
        <w:rPr>
          <w:rFonts w:ascii="PMingLiU" w:cs="PMingLiU" w:eastAsia="PMingLiU" w:hAnsi="PMingLiU"/>
          <w:sz w:val="16"/>
          <w:szCs w:val="16"/>
          <w:color w:val="625352"/>
        </w:rPr>
        <w:t/>
      </w: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Tpmbsargtgrw</w:t>
      </w:r>
    </w:p>
    <w:p>
      <w:pPr>
        <w:spacing w:after="0" w:line="194" w:lineRule="exact"/>
        <w:rPr>
          <w:sz w:val="20"/>
          <w:szCs w:val="20"/>
          <w:color w:val="auto"/>
        </w:rPr>
      </w:pPr>
      <w:r>
        <w:rPr>
          <w:rFonts w:ascii="Arial" w:cs="Arial" w:eastAsia="Arial" w:hAnsi="Arial"/>
          <w:sz w:val="16"/>
          <w:szCs w:val="16"/>
          <w:color w:val="625352"/>
        </w:rPr>
        <w:t>+˨,</w:t>
      </w:r>
      <w:r>
        <w:rPr>
          <w:rFonts w:ascii="PMingLiU" w:cs="PMingLiU" w:eastAsia="PMingLiU" w:hAnsi="PMingLiU"/>
          <w:sz w:val="16"/>
          <w:szCs w:val="16"/>
          <w:color w:val="625352"/>
        </w:rPr>
        <w:t/>
      </w:r>
      <w:r>
        <w:rPr>
          <w:rFonts w:ascii="Arial" w:cs="Arial" w:eastAsia="Arial" w:hAnsi="Arial"/>
          <w:sz w:val="16"/>
          <w:szCs w:val="16"/>
          <w:color w:val="625352"/>
        </w:rPr>
        <w:t xml:space="preserve"> Kmtcpl_lac</w:t>
      </w:r>
      <w:r>
        <w:rPr>
          <w:rFonts w:ascii="PMingLiU" w:cs="PMingLiU" w:eastAsia="PMingLiU" w:hAnsi="PMingLiU"/>
          <w:sz w:val="16"/>
          <w:szCs w:val="16"/>
          <w:color w:val="625352"/>
        </w:rPr>
        <w:t/>
      </w:r>
      <w:r>
        <w:rPr>
          <w:rFonts w:ascii="Arial" w:cs="Arial" w:eastAsia="Arial" w:hAnsi="Arial"/>
          <w:sz w:val="16"/>
          <w:szCs w:val="16"/>
          <w:color w:val="625352"/>
        </w:rPr>
        <w:t>_lb</w:t>
      </w:r>
      <w:r>
        <w:rPr>
          <w:rFonts w:ascii="PMingLiU" w:cs="PMingLiU" w:eastAsia="PMingLiU" w:hAnsi="PMingLiU"/>
          <w:sz w:val="16"/>
          <w:szCs w:val="16"/>
          <w:color w:val="625352"/>
        </w:rPr>
        <w:t/>
      </w:r>
      <w:r>
        <w:rPr>
          <w:rFonts w:ascii="Arial" w:cs="Arial" w:eastAsia="Arial" w:hAnsi="Arial"/>
          <w:sz w:val="16"/>
          <w:szCs w:val="16"/>
          <w:color w:val="625352"/>
        </w:rPr>
        <w:t>Rmkgl_rgle</w:t>
      </w:r>
    </w:p>
    <w:p>
      <w:pPr>
        <w:spacing w:after="0" w:line="194" w:lineRule="exact"/>
        <w:rPr>
          <w:sz w:val="20"/>
          <w:szCs w:val="20"/>
          <w:color w:val="auto"/>
        </w:rPr>
      </w:pPr>
      <w:r>
        <w:rPr>
          <w:rFonts w:ascii="Arial" w:cs="Arial" w:eastAsia="Arial" w:hAnsi="Arial"/>
          <w:sz w:val="16"/>
          <w:szCs w:val="16"/>
          <w:color w:val="625352"/>
        </w:rPr>
        <w:t>+˩,</w:t>
      </w:r>
      <w:r>
        <w:rPr>
          <w:rFonts w:ascii="PMingLiU" w:cs="PMingLiU" w:eastAsia="PMingLiU" w:hAnsi="PMingLiU"/>
          <w:sz w:val="16"/>
          <w:szCs w:val="16"/>
          <w:color w:val="625352"/>
        </w:rPr>
        <w:t/>
      </w:r>
      <w:r>
        <w:rPr>
          <w:rFonts w:ascii="Arial" w:cs="Arial" w:eastAsia="Arial" w:hAnsi="Arial"/>
          <w:sz w:val="16"/>
          <w:szCs w:val="16"/>
          <w:color w:val="625352"/>
        </w:rPr>
        <w:t xml:space="preserve"> Gmknclq_rgml</w:t>
      </w:r>
    </w:p>
    <w:p>
      <w:pPr>
        <w:spacing w:after="0" w:line="185" w:lineRule="exact"/>
        <w:rPr>
          <w:sz w:val="20"/>
          <w:szCs w:val="20"/>
          <w:color w:val="auto"/>
        </w:rPr>
      </w:pPr>
    </w:p>
    <w:p>
      <w:pPr>
        <w:spacing w:after="0" w:line="219" w:lineRule="exact"/>
        <w:rPr>
          <w:sz w:val="20"/>
          <w:szCs w:val="20"/>
          <w:color w:val="auto"/>
        </w:rPr>
      </w:pPr>
      <w:r>
        <w:rPr>
          <w:rFonts w:ascii="PMingLiU" w:cs="PMingLiU" w:eastAsia="PMingLiU" w:hAnsi="PMingLiU"/>
          <w:sz w:val="18"/>
          <w:szCs w:val="18"/>
          <w:color w:val="625352"/>
          <w:vertAlign w:val="superscript"/>
        </w:rPr>
        <w:t> _</w:t>
      </w:r>
      <w:r>
        <w:rPr>
          <w:rFonts w:ascii="PMingLiU" w:cs="PMingLiU" w:eastAsia="PMingLiU" w:hAnsi="PMingLiU"/>
          <w:sz w:val="16"/>
          <w:szCs w:val="16"/>
          <w:color w:val="625352"/>
        </w:rPr>
        <w:t/>
      </w:r>
      <w:r>
        <w:rPr>
          <w:rFonts w:ascii="Arial" w:cs="Arial" w:eastAsia="Arial" w:hAnsi="Arial"/>
          <w:sz w:val="16"/>
          <w:szCs w:val="16"/>
          <w:color w:val="625352"/>
        </w:rPr>
        <w:t xml:space="preserve"> Gmkkgrrcc</w:t>
      </w:r>
      <w:r>
        <w:rPr>
          <w:rFonts w:ascii="PMingLiU" w:cs="PMingLiU" w:eastAsia="PMingLiU" w:hAnsi="PMingLiU"/>
          <w:sz w:val="16"/>
          <w:szCs w:val="16"/>
          <w:color w:val="625352"/>
        </w:rPr>
        <w:t/>
      </w:r>
      <w:r>
        <w:rPr>
          <w:rFonts w:ascii="Arial" w:cs="Arial" w:eastAsia="Arial" w:hAnsi="Arial"/>
          <w:sz w:val="16"/>
          <w:szCs w:val="16"/>
          <w:color w:val="625352"/>
        </w:rPr>
        <w:t>af_gp</w:t>
      </w:r>
    </w:p>
    <w:p>
      <w:pPr>
        <w:spacing w:after="0" w:line="195" w:lineRule="exact"/>
        <w:rPr>
          <w:sz w:val="20"/>
          <w:szCs w:val="20"/>
          <w:color w:val="auto"/>
        </w:rPr>
      </w:pPr>
      <w:r>
        <w:rPr>
          <w:rFonts w:ascii="PMingLiU" w:cs="PMingLiU" w:eastAsia="PMingLiU" w:hAnsi="PMingLiU"/>
          <w:sz w:val="18"/>
          <w:szCs w:val="18"/>
          <w:color w:val="625352"/>
          <w:vertAlign w:val="superscript"/>
        </w:rPr>
        <w:t> `</w:t>
      </w:r>
      <w:r>
        <w:rPr>
          <w:rFonts w:ascii="PMingLiU" w:cs="PMingLiU" w:eastAsia="PMingLiU" w:hAnsi="PMingLiU"/>
          <w:sz w:val="16"/>
          <w:szCs w:val="16"/>
          <w:color w:val="625352"/>
        </w:rPr>
        <w:t/>
      </w:r>
      <w:r>
        <w:rPr>
          <w:rFonts w:ascii="Arial" w:cs="Arial" w:eastAsia="Arial" w:hAnsi="Arial"/>
          <w:sz w:val="16"/>
          <w:szCs w:val="16"/>
          <w:color w:val="625352"/>
        </w:rPr>
        <w:t xml:space="preserve"> Sffiacp5Hgpcarmp</w:t>
      </w:r>
    </w:p>
    <w:p>
      <w:pPr>
        <w:spacing w:after="0" w:line="202" w:lineRule="exact"/>
        <w:rPr>
          <w:sz w:val="20"/>
          <w:szCs w:val="20"/>
          <w:color w:val="auto"/>
        </w:rPr>
      </w:pPr>
      <w:r>
        <w:rPr>
          <w:rFonts w:ascii="PMingLiU" w:cs="PMingLiU" w:eastAsia="PMingLiU" w:hAnsi="PMingLiU"/>
          <w:sz w:val="18"/>
          <w:szCs w:val="18"/>
          <w:color w:val="625352"/>
          <w:vertAlign w:val="superscript"/>
        </w:rPr>
        <w:t> a</w:t>
      </w:r>
      <w:r>
        <w:rPr>
          <w:rFonts w:ascii="PMingLiU" w:cs="PMingLiU" w:eastAsia="PMingLiU" w:hAnsi="PMingLiU"/>
          <w:sz w:val="16"/>
          <w:szCs w:val="16"/>
          <w:color w:val="625352"/>
        </w:rPr>
        <w:t/>
      </w:r>
      <w:r>
        <w:rPr>
          <w:rFonts w:ascii="Arial" w:cs="Arial" w:eastAsia="Arial" w:hAnsi="Arial"/>
          <w:sz w:val="16"/>
          <w:szCs w:val="16"/>
          <w:color w:val="625352"/>
        </w:rPr>
        <w:t xml:space="preserve"> Pc_b</w:t>
      </w:r>
      <w:r>
        <w:rPr>
          <w:rFonts w:ascii="PMingLiU" w:cs="PMingLiU" w:eastAsia="PMingLiU" w:hAnsi="PMingLiU"/>
          <w:sz w:val="16"/>
          <w:szCs w:val="16"/>
          <w:color w:val="625352"/>
        </w:rPr>
        <w:t/>
      </w:r>
      <w:r>
        <w:rPr>
          <w:rFonts w:ascii="Arial" w:cs="Arial" w:eastAsia="Arial" w:hAnsi="Arial"/>
          <w:sz w:val="16"/>
          <w:szCs w:val="16"/>
          <w:color w:val="625352"/>
        </w:rPr>
        <w:t>Mlbcnclbclr</w:t>
      </w:r>
      <w:r>
        <w:rPr>
          <w:rFonts w:ascii="PMingLiU" w:cs="PMingLiU" w:eastAsia="PMingLiU" w:hAnsi="PMingLiU"/>
          <w:sz w:val="16"/>
          <w:szCs w:val="16"/>
          <w:color w:val="625352"/>
        </w:rPr>
        <w:t/>
      </w:r>
      <w:r>
        <w:rPr>
          <w:rFonts w:ascii="Arial" w:cs="Arial" w:eastAsia="Arial" w:hAnsi="Arial"/>
          <w:sz w:val="16"/>
          <w:szCs w:val="16"/>
          <w:color w:val="625352"/>
        </w:rPr>
        <w:t>Hgpcarmp</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480"/>
        <w:spacing w:after="0" w:line="267" w:lineRule="exact"/>
        <w:rPr>
          <w:sz w:val="20"/>
          <w:szCs w:val="20"/>
          <w:color w:val="auto"/>
        </w:rPr>
      </w:pPr>
      <w:r>
        <w:rPr>
          <w:rFonts w:ascii="Arial" w:cs="Arial" w:eastAsia="Arial" w:hAnsi="Arial"/>
          <w:sz w:val="22"/>
          <w:szCs w:val="22"/>
          <w:color w:val="FFFFFF"/>
        </w:rPr>
        <w:t>ampnmp_rc</w:t>
      </w:r>
      <w:r>
        <w:rPr>
          <w:rFonts w:ascii="PMingLiU" w:cs="PMingLiU" w:eastAsia="PMingLiU" w:hAnsi="PMingLiU"/>
          <w:sz w:val="22"/>
          <w:szCs w:val="22"/>
          <w:color w:val="FFFFFF"/>
        </w:rPr>
        <w:t/>
      </w:r>
      <w:r>
        <w:rPr>
          <w:rFonts w:ascii="Arial" w:cs="Arial" w:eastAsia="Arial" w:hAnsi="Arial"/>
          <w:sz w:val="22"/>
          <w:szCs w:val="22"/>
          <w:color w:val="FFFFFF"/>
        </w:rPr>
        <w:t>emtcpl_lac</w:t>
      </w:r>
    </w:p>
    <w:p>
      <w:pPr>
        <w:spacing w:after="0" w:line="285" w:lineRule="exact"/>
        <w:rPr>
          <w:sz w:val="20"/>
          <w:szCs w:val="20"/>
          <w:color w:val="auto"/>
        </w:rPr>
      </w:pPr>
    </w:p>
    <w:p>
      <w:pPr>
        <w:jc w:val="both"/>
        <w:ind w:firstLine="6"/>
        <w:spacing w:after="0" w:line="277" w:lineRule="auto"/>
        <w:rPr>
          <w:sz w:val="20"/>
          <w:szCs w:val="20"/>
          <w:color w:val="auto"/>
        </w:rPr>
      </w:pPr>
      <w:r>
        <w:rPr>
          <w:rFonts w:ascii="Times New Roman" w:cs="Times New Roman" w:eastAsia="Times New Roman" w:hAnsi="Times New Roman"/>
          <w:sz w:val="16"/>
          <w:szCs w:val="16"/>
          <w:color w:val="625352"/>
        </w:rPr>
        <w:t>Ashland is governed by an 8-member board of directors, 7 of whom are independent directors under New York Stock Exchange (NYSE) guidelines. The board conducted eight meetings in fiscal 2025. During fiscal 2025, the board operated the following committees, all of which consisted entirely of outside directors: Audit; Compensation; Governance and Nominating; and Sustainability &amp; Productivity. These four committees met a total of 20 times. This included quarterly meetings of the Audit Committee to review Ashland’s quarterly financial performance, associated news releases, and Form 10-Q and Form 10-K filings with the U.S. Securities and Exchange Commission. Ashland’s Chief Executive Officer (CEO) and Chief Financial Officer have each submitted certifications concerning the accuracy of financial and other information in Ashland’s annual report on Form 10-K, as required by Section 302(a) of the Sarbanes-Oxley Act of 2002. The certifications are filed as exhibits to Ashland’s 2025 annual report on Form 10-K. In addition, the NYSE requires that the CEO of a listed company annually certifies that he or she is not aware of any violation by the company of NYSE corporate governance listing standards. Ashland’s Chair and CEO, Guillermo Novo, certified Ashland’s compliance with the NYSE corporate governance listing standards on February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20" w:hanging="37"/>
        <w:spacing w:after="0" w:line="160" w:lineRule="exact"/>
        <w:rPr>
          <w:sz w:val="20"/>
          <w:szCs w:val="20"/>
          <w:color w:val="auto"/>
        </w:rPr>
      </w:pPr>
      <w:r>
        <w:rPr>
          <w:rFonts w:ascii="PMingLiU" w:cs="PMingLiU" w:eastAsia="PMingLiU" w:hAnsi="PMingLiU"/>
          <w:sz w:val="12"/>
          <w:szCs w:val="12"/>
          <w:color w:val="625352"/>
        </w:rPr>
        <w:t/>
      </w:r>
      <w:r>
        <w:rPr>
          <w:rFonts w:ascii="Arial" w:cs="Arial" w:eastAsia="Arial" w:hAnsi="Arial"/>
          <w:sz w:val="12"/>
          <w:szCs w:val="12"/>
          <w:color w:val="625352"/>
        </w:rPr>
        <w:t>Xfgq</w:t>
      </w:r>
      <w:r>
        <w:rPr>
          <w:rFonts w:ascii="PMingLiU" w:cs="PMingLiU" w:eastAsia="PMingLiU" w:hAnsi="PMingLiU"/>
          <w:sz w:val="12"/>
          <w:szCs w:val="12"/>
          <w:color w:val="625352"/>
        </w:rPr>
        <w:t/>
      </w:r>
      <w:r>
        <w:rPr>
          <w:rFonts w:ascii="Arial" w:cs="Arial" w:eastAsia="Arial" w:hAnsi="Arial"/>
          <w:sz w:val="12"/>
          <w:szCs w:val="12"/>
          <w:color w:val="625352"/>
        </w:rPr>
        <w:t>Ells_j</w:t>
      </w:r>
      <w:r>
        <w:rPr>
          <w:rFonts w:ascii="PMingLiU" w:cs="PMingLiU" w:eastAsia="PMingLiU" w:hAnsi="PMingLiU"/>
          <w:sz w:val="12"/>
          <w:szCs w:val="12"/>
          <w:color w:val="625352"/>
        </w:rPr>
        <w:t/>
      </w:r>
      <w:r>
        <w:rPr>
          <w:rFonts w:ascii="Arial" w:cs="Arial" w:eastAsia="Arial" w:hAnsi="Arial"/>
          <w:sz w:val="12"/>
          <w:szCs w:val="12"/>
          <w:color w:val="625352"/>
        </w:rPr>
        <w:t>Vcnmpr</w:t>
      </w:r>
      <w:r>
        <w:rPr>
          <w:rFonts w:ascii="PMingLiU" w:cs="PMingLiU" w:eastAsia="PMingLiU" w:hAnsi="PMingLiU"/>
          <w:sz w:val="12"/>
          <w:szCs w:val="12"/>
          <w:color w:val="625352"/>
        </w:rPr>
        <w:t/>
      </w:r>
      <w:r>
        <w:rPr>
          <w:rFonts w:ascii="Arial" w:cs="Arial" w:eastAsia="Arial" w:hAnsi="Arial"/>
          <w:sz w:val="12"/>
          <w:szCs w:val="12"/>
          <w:color w:val="625352"/>
        </w:rPr>
        <w:t>glajsbcq</w:t>
      </w:r>
      <w:r>
        <w:rPr>
          <w:rFonts w:ascii="PMingLiU" w:cs="PMingLiU" w:eastAsia="PMingLiU" w:hAnsi="PMingLiU"/>
          <w:sz w:val="12"/>
          <w:szCs w:val="12"/>
          <w:color w:val="625352"/>
        </w:rPr>
        <w:t/>
      </w:r>
      <w:r>
        <w:rPr>
          <w:rFonts w:ascii="Arial" w:cs="Arial" w:eastAsia="Arial" w:hAnsi="Arial"/>
          <w:sz w:val="12"/>
          <w:szCs w:val="12"/>
          <w:color w:val="625352"/>
        </w:rPr>
        <w:t>acpr_gl</w:t>
      </w:r>
      <w:r>
        <w:rPr>
          <w:rFonts w:ascii="PMingLiU" w:cs="PMingLiU" w:eastAsia="PMingLiU" w:hAnsi="PMingLiU"/>
          <w:sz w:val="12"/>
          <w:szCs w:val="12"/>
          <w:color w:val="625352"/>
        </w:rPr>
        <w:t/>
      </w:r>
      <w:r>
        <w:rPr>
          <w:rFonts w:ascii="Arial" w:cs="Arial" w:eastAsia="Arial" w:hAnsi="Arial"/>
          <w:sz w:val="12"/>
          <w:szCs w:val="12"/>
          <w:color w:val="625352"/>
        </w:rPr>
        <w:t>lml&amp;KEET</w:t>
      </w:r>
      <w:r>
        <w:rPr>
          <w:rFonts w:ascii="PMingLiU" w:cs="PMingLiU" w:eastAsia="PMingLiU" w:hAnsi="PMingLiU"/>
          <w:sz w:val="12"/>
          <w:szCs w:val="12"/>
          <w:color w:val="625352"/>
        </w:rPr>
        <w:t/>
      </w:r>
      <w:r>
        <w:rPr>
          <w:rFonts w:ascii="Arial" w:cs="Arial" w:eastAsia="Arial" w:hAnsi="Arial"/>
          <w:sz w:val="12"/>
          <w:szCs w:val="12"/>
          <w:color w:val="625352"/>
        </w:rPr>
        <w:t>kc_qspcq</w:t>
      </w:r>
      <w:r>
        <w:rPr>
          <w:rFonts w:ascii="PMingLiU" w:cs="PMingLiU" w:eastAsia="PMingLiU" w:hAnsi="PMingLiU"/>
          <w:sz w:val="12"/>
          <w:szCs w:val="12"/>
          <w:color w:val="625352"/>
        </w:rPr>
        <w:t/>
      </w:r>
      <w:r>
        <w:rPr>
          <w:rFonts w:ascii="Arial" w:cs="Arial" w:eastAsia="Arial" w:hAnsi="Arial"/>
          <w:sz w:val="12"/>
          <w:szCs w:val="12"/>
          <w:color w:val="625352"/>
        </w:rPr>
        <w:t xml:space="preserve"> Wsaf</w:t>
      </w:r>
      <w:r>
        <w:rPr>
          <w:rFonts w:ascii="PMingLiU" w:cs="PMingLiU" w:eastAsia="PMingLiU" w:hAnsi="PMingLiU"/>
          <w:sz w:val="12"/>
          <w:szCs w:val="12"/>
          <w:color w:val="625352"/>
        </w:rPr>
        <w:t/>
      </w:r>
      <w:r>
        <w:rPr>
          <w:rFonts w:ascii="Arial" w:cs="Arial" w:eastAsia="Arial" w:hAnsi="Arial"/>
          <w:sz w:val="12"/>
          <w:szCs w:val="12"/>
          <w:color w:val="625352"/>
        </w:rPr>
        <w:t xml:space="preserve"> kc_qspckclrq</w:t>
      </w:r>
      <w:r>
        <w:rPr>
          <w:rFonts w:ascii="PMingLiU" w:cs="PMingLiU" w:eastAsia="PMingLiU" w:hAnsi="PMingLiU"/>
          <w:sz w:val="12"/>
          <w:szCs w:val="12"/>
          <w:color w:val="625352"/>
        </w:rPr>
        <w:t/>
      </w:r>
      <w:r>
        <w:rPr>
          <w:rFonts w:ascii="Arial" w:cs="Arial" w:eastAsia="Arial" w:hAnsi="Arial"/>
          <w:sz w:val="12"/>
          <w:szCs w:val="12"/>
          <w:color w:val="625352"/>
        </w:rPr>
        <w:t xml:space="preserve"> _pc</w:t>
      </w:r>
      <w:r>
        <w:rPr>
          <w:rFonts w:ascii="PMingLiU" w:cs="PMingLiU" w:eastAsia="PMingLiU" w:hAnsi="PMingLiU"/>
          <w:sz w:val="12"/>
          <w:szCs w:val="12"/>
          <w:color w:val="625352"/>
        </w:rPr>
        <w:t/>
      </w:r>
      <w:r>
        <w:rPr>
          <w:rFonts w:ascii="Arial" w:cs="Arial" w:eastAsia="Arial" w:hAnsi="Arial"/>
          <w:sz w:val="12"/>
          <w:szCs w:val="12"/>
          <w:color w:val="625352"/>
        </w:rPr>
        <w:t xml:space="preserve"> lmr</w:t>
      </w:r>
      <w:r>
        <w:rPr>
          <w:rFonts w:ascii="PMingLiU" w:cs="PMingLiU" w:eastAsia="PMingLiU" w:hAnsi="PMingLiU"/>
          <w:sz w:val="12"/>
          <w:szCs w:val="12"/>
          <w:color w:val="625352"/>
        </w:rPr>
        <w:t/>
      </w:r>
      <w:r>
        <w:rPr>
          <w:rFonts w:ascii="Arial" w:cs="Arial" w:eastAsia="Arial" w:hAnsi="Arial"/>
          <w:sz w:val="12"/>
          <w:szCs w:val="12"/>
          <w:color w:val="625352"/>
        </w:rPr>
        <w:t xml:space="preserve"> npcn_pcb</w:t>
      </w:r>
      <w:r>
        <w:rPr>
          <w:rFonts w:ascii="PMingLiU" w:cs="PMingLiU" w:eastAsia="PMingLiU" w:hAnsi="PMingLiU"/>
          <w:sz w:val="12"/>
          <w:szCs w:val="12"/>
          <w:color w:val="625352"/>
        </w:rPr>
        <w:t/>
      </w:r>
      <w:r>
        <w:rPr>
          <w:rFonts w:ascii="Arial" w:cs="Arial" w:eastAsia="Arial" w:hAnsi="Arial"/>
          <w:sz w:val="12"/>
          <w:szCs w:val="12"/>
          <w:color w:val="625352"/>
        </w:rPr>
        <w:t xml:space="preserve"> gl</w:t>
      </w:r>
      <w:r>
        <w:rPr>
          <w:rFonts w:ascii="PMingLiU" w:cs="PMingLiU" w:eastAsia="PMingLiU" w:hAnsi="PMingLiU"/>
          <w:sz w:val="12"/>
          <w:szCs w:val="12"/>
          <w:color w:val="625352"/>
        </w:rPr>
        <w:t/>
      </w:r>
      <w:r>
        <w:rPr>
          <w:rFonts w:ascii="Arial" w:cs="Arial" w:eastAsia="Arial" w:hAnsi="Arial"/>
          <w:sz w:val="12"/>
          <w:szCs w:val="12"/>
          <w:color w:val="625352"/>
        </w:rPr>
        <w:t xml:space="preserve"> _aampb_lac</w:t>
      </w:r>
      <w:r>
        <w:rPr>
          <w:rFonts w:ascii="PMingLiU" w:cs="PMingLiU" w:eastAsia="PMingLiU" w:hAnsi="PMingLiU"/>
          <w:sz w:val="12"/>
          <w:szCs w:val="12"/>
          <w:color w:val="625352"/>
        </w:rPr>
        <w:t/>
      </w:r>
      <w:r>
        <w:rPr>
          <w:rFonts w:ascii="Arial" w:cs="Arial" w:eastAsia="Arial" w:hAnsi="Arial"/>
          <w:sz w:val="12"/>
          <w:szCs w:val="12"/>
          <w:color w:val="625352"/>
        </w:rPr>
        <w:t xml:space="preserve"> ugrf</w:t>
      </w:r>
      <w:r>
        <w:rPr>
          <w:rFonts w:ascii="PMingLiU" w:cs="PMingLiU" w:eastAsia="PMingLiU" w:hAnsi="PMingLiU"/>
          <w:sz w:val="12"/>
          <w:szCs w:val="12"/>
          <w:color w:val="625352"/>
        </w:rPr>
        <w:t/>
      </w:r>
      <w:r>
        <w:rPr>
          <w:rFonts w:ascii="Arial" w:cs="Arial" w:eastAsia="Arial" w:hAnsi="Arial"/>
          <w:sz w:val="12"/>
          <w:szCs w:val="12"/>
          <w:color w:val="625352"/>
        </w:rPr>
        <w:t xml:space="preserve"> Y</w:t>
      </w:r>
      <w:r>
        <w:rPr>
          <w:rFonts w:ascii="PMingLiU" w:cs="PMingLiU" w:eastAsia="PMingLiU" w:hAnsi="PMingLiU"/>
          <w:sz w:val="12"/>
          <w:szCs w:val="12"/>
          <w:color w:val="625352"/>
        </w:rPr>
        <w:t/>
      </w:r>
      <w:r>
        <w:rPr>
          <w:rFonts w:ascii="Arial" w:cs="Arial" w:eastAsia="Arial" w:hAnsi="Arial"/>
          <w:sz w:val="12"/>
          <w:szCs w:val="12"/>
          <w:color w:val="625352"/>
        </w:rPr>
        <w:t>W</w:t>
      </w:r>
      <w:r>
        <w:rPr>
          <w:rFonts w:ascii="PMingLiU" w:cs="PMingLiU" w:eastAsia="PMingLiU" w:hAnsi="PMingLiU"/>
          <w:sz w:val="12"/>
          <w:szCs w:val="12"/>
          <w:color w:val="625352"/>
        </w:rPr>
        <w:t/>
      </w:r>
      <w:r>
        <w:rPr>
          <w:rFonts w:ascii="Arial" w:cs="Arial" w:eastAsia="Arial" w:hAnsi="Arial"/>
          <w:sz w:val="12"/>
          <w:szCs w:val="12"/>
          <w:color w:val="625352"/>
        </w:rPr>
        <w:t xml:space="preserve"> KEET</w:t>
      </w:r>
      <w:r>
        <w:rPr>
          <w:rFonts w:ascii="PMingLiU" w:cs="PMingLiU" w:eastAsia="PMingLiU" w:hAnsi="PMingLiU"/>
          <w:sz w:val="12"/>
          <w:szCs w:val="12"/>
          <w:color w:val="625352"/>
        </w:rPr>
        <w:t/>
      </w:r>
      <w:r>
        <w:rPr>
          <w:rFonts w:ascii="Arial" w:cs="Arial" w:eastAsia="Arial" w:hAnsi="Arial"/>
          <w:sz w:val="12"/>
          <w:szCs w:val="12"/>
          <w:color w:val="625352"/>
        </w:rPr>
        <w:t xml:space="preserve"> _lb</w:t>
      </w:r>
      <w:r>
        <w:rPr>
          <w:rFonts w:ascii="PMingLiU" w:cs="PMingLiU" w:eastAsia="PMingLiU" w:hAnsi="PMingLiU"/>
          <w:sz w:val="12"/>
          <w:szCs w:val="12"/>
          <w:color w:val="625352"/>
        </w:rPr>
        <w:t/>
      </w:r>
      <w:r>
        <w:rPr>
          <w:rFonts w:ascii="Arial" w:cs="Arial" w:eastAsia="Arial" w:hAnsi="Arial"/>
          <w:sz w:val="12"/>
          <w:szCs w:val="12"/>
          <w:color w:val="625352"/>
        </w:rPr>
        <w:t xml:space="preserve"> qfmsjb</w:t>
      </w:r>
      <w:r>
        <w:rPr>
          <w:rFonts w:ascii="PMingLiU" w:cs="PMingLiU" w:eastAsia="PMingLiU" w:hAnsi="PMingLiU"/>
          <w:sz w:val="12"/>
          <w:szCs w:val="12"/>
          <w:color w:val="625352"/>
        </w:rPr>
        <w:t/>
      </w:r>
      <w:r>
        <w:rPr>
          <w:rFonts w:ascii="Arial" w:cs="Arial" w:eastAsia="Arial" w:hAnsi="Arial"/>
          <w:sz w:val="12"/>
          <w:szCs w:val="12"/>
          <w:color w:val="625352"/>
        </w:rPr>
        <w:t xml:space="preserve"> lmr</w:t>
      </w:r>
      <w:r>
        <w:rPr>
          <w:rFonts w:ascii="PMingLiU" w:cs="PMingLiU" w:eastAsia="PMingLiU" w:hAnsi="PMingLiU"/>
          <w:sz w:val="12"/>
          <w:szCs w:val="12"/>
          <w:color w:val="625352"/>
        </w:rPr>
        <w:t/>
      </w:r>
      <w:r>
        <w:rPr>
          <w:rFonts w:ascii="Arial" w:cs="Arial" w:eastAsia="Arial" w:hAnsi="Arial"/>
          <w:sz w:val="12"/>
          <w:szCs w:val="12"/>
          <w:color w:val="625352"/>
        </w:rPr>
        <w:t xml:space="preserve"> `c</w:t>
      </w:r>
      <w:r>
        <w:rPr>
          <w:rFonts w:ascii="PMingLiU" w:cs="PMingLiU" w:eastAsia="PMingLiU" w:hAnsi="PMingLiU"/>
          <w:sz w:val="12"/>
          <w:szCs w:val="12"/>
          <w:color w:val="625352"/>
        </w:rPr>
        <w:t/>
      </w:r>
      <w:r>
        <w:rPr>
          <w:rFonts w:ascii="Arial" w:cs="Arial" w:eastAsia="Arial" w:hAnsi="Arial"/>
          <w:sz w:val="12"/>
          <w:szCs w:val="12"/>
          <w:color w:val="625352"/>
        </w:rPr>
        <w:t xml:space="preserve"> amlqrpscb</w:t>
      </w:r>
      <w:r>
        <w:rPr>
          <w:rFonts w:ascii="PMingLiU" w:cs="PMingLiU" w:eastAsia="PMingLiU" w:hAnsi="PMingLiU"/>
          <w:sz w:val="12"/>
          <w:szCs w:val="12"/>
          <w:color w:val="625352"/>
        </w:rPr>
        <w:t/>
      </w:r>
      <w:r>
        <w:rPr>
          <w:rFonts w:ascii="Arial" w:cs="Arial" w:eastAsia="Arial" w:hAnsi="Arial"/>
          <w:sz w:val="12"/>
          <w:szCs w:val="12"/>
          <w:color w:val="625352"/>
        </w:rPr>
        <w:t xml:space="preserve"> _q</w:t>
      </w:r>
      <w:r>
        <w:rPr>
          <w:rFonts w:ascii="PMingLiU" w:cs="PMingLiU" w:eastAsia="PMingLiU" w:hAnsi="PMingLiU"/>
          <w:sz w:val="12"/>
          <w:szCs w:val="12"/>
          <w:color w:val="625352"/>
        </w:rPr>
        <w:t/>
      </w:r>
      <w:r>
        <w:rPr>
          <w:rFonts w:ascii="Arial" w:cs="Arial" w:eastAsia="Arial" w:hAnsi="Arial"/>
          <w:sz w:val="12"/>
          <w:szCs w:val="12"/>
          <w:color w:val="625352"/>
        </w:rPr>
        <w:t xml:space="preserve"> _l</w:t>
      </w:r>
      <w:r>
        <w:rPr>
          <w:rFonts w:ascii="PMingLiU" w:cs="PMingLiU" w:eastAsia="PMingLiU" w:hAnsi="PMingLiU"/>
          <w:sz w:val="12"/>
          <w:szCs w:val="12"/>
          <w:color w:val="625352"/>
        </w:rPr>
        <w:t/>
      </w:r>
      <w:r>
        <w:rPr>
          <w:rFonts w:ascii="Arial" w:cs="Arial" w:eastAsia="Arial" w:hAnsi="Arial"/>
          <w:sz w:val="12"/>
          <w:szCs w:val="12"/>
          <w:color w:val="625352"/>
        </w:rPr>
        <w:t xml:space="preserve"> _jrcpl_rgtc</w:t>
      </w:r>
      <w:r>
        <w:rPr>
          <w:rFonts w:ascii="PMingLiU" w:cs="PMingLiU" w:eastAsia="PMingLiU" w:hAnsi="PMingLiU"/>
          <w:sz w:val="12"/>
          <w:szCs w:val="12"/>
          <w:color w:val="625352"/>
        </w:rPr>
        <w:t/>
      </w:r>
      <w:r>
        <w:rPr>
          <w:rFonts w:ascii="Arial" w:cs="Arial" w:eastAsia="Arial" w:hAnsi="Arial"/>
          <w:sz w:val="12"/>
          <w:szCs w:val="12"/>
          <w:color w:val="625352"/>
        </w:rPr>
        <w:t>rm</w:t>
      </w:r>
      <w:r>
        <w:rPr>
          <w:rFonts w:ascii="PMingLiU" w:cs="PMingLiU" w:eastAsia="PMingLiU" w:hAnsi="PMingLiU"/>
          <w:sz w:val="12"/>
          <w:szCs w:val="12"/>
          <w:color w:val="625352"/>
        </w:rPr>
        <w:t/>
      </w:r>
      <w:r>
        <w:rPr>
          <w:rFonts w:ascii="Arial" w:cs="Arial" w:eastAsia="Arial" w:hAnsi="Arial"/>
          <w:sz w:val="12"/>
          <w:szCs w:val="12"/>
          <w:color w:val="625352"/>
        </w:rPr>
        <w:t>pcnmprcb</w:t>
      </w:r>
      <w:r>
        <w:rPr>
          <w:rFonts w:ascii="PMingLiU" w:cs="PMingLiU" w:eastAsia="PMingLiU" w:hAnsi="PMingLiU"/>
          <w:sz w:val="12"/>
          <w:szCs w:val="12"/>
          <w:color w:val="625352"/>
        </w:rPr>
        <w:t/>
      </w:r>
      <w:r>
        <w:rPr>
          <w:rFonts w:ascii="Arial" w:cs="Arial" w:eastAsia="Arial" w:hAnsi="Arial"/>
          <w:sz w:val="12"/>
          <w:szCs w:val="12"/>
          <w:color w:val="625352"/>
        </w:rPr>
        <w:t>pcqsjrq</w:t>
      </w:r>
      <w:r>
        <w:rPr>
          <w:rFonts w:ascii="PMingLiU" w:cs="PMingLiU" w:eastAsia="PMingLiU" w:hAnsi="PMingLiU"/>
          <w:sz w:val="12"/>
          <w:szCs w:val="12"/>
          <w:color w:val="625352"/>
        </w:rPr>
        <w:t/>
      </w:r>
      <w:r>
        <w:rPr>
          <w:rFonts w:ascii="Arial" w:cs="Arial" w:eastAsia="Arial" w:hAnsi="Arial"/>
          <w:sz w:val="12"/>
          <w:szCs w:val="12"/>
          <w:color w:val="625352"/>
        </w:rPr>
        <w:t>bcrcpkglcb</w:t>
      </w:r>
      <w:r>
        <w:rPr>
          <w:rFonts w:ascii="PMingLiU" w:cs="PMingLiU" w:eastAsia="PMingLiU" w:hAnsi="PMingLiU"/>
          <w:sz w:val="12"/>
          <w:szCs w:val="12"/>
          <w:color w:val="625352"/>
        </w:rPr>
        <w:t/>
      </w:r>
      <w:r>
        <w:rPr>
          <w:rFonts w:ascii="Arial" w:cs="Arial" w:eastAsia="Arial" w:hAnsi="Arial"/>
          <w:sz w:val="12"/>
          <w:szCs w:val="12"/>
          <w:color w:val="625352"/>
        </w:rPr>
        <w:t>gl</w:t>
      </w:r>
      <w:r>
        <w:rPr>
          <w:rFonts w:ascii="PMingLiU" w:cs="PMingLiU" w:eastAsia="PMingLiU" w:hAnsi="PMingLiU"/>
          <w:sz w:val="12"/>
          <w:szCs w:val="12"/>
          <w:color w:val="625352"/>
        </w:rPr>
        <w:t/>
      </w:r>
      <w:r>
        <w:rPr>
          <w:rFonts w:ascii="Arial" w:cs="Arial" w:eastAsia="Arial" w:hAnsi="Arial"/>
          <w:sz w:val="12"/>
          <w:szCs w:val="12"/>
          <w:color w:val="625352"/>
        </w:rPr>
        <w:t>_aampb_lac</w:t>
      </w:r>
      <w:r>
        <w:rPr>
          <w:rFonts w:ascii="PMingLiU" w:cs="PMingLiU" w:eastAsia="PMingLiU" w:hAnsi="PMingLiU"/>
          <w:sz w:val="12"/>
          <w:szCs w:val="12"/>
          <w:color w:val="625352"/>
        </w:rPr>
        <w:t/>
      </w:r>
      <w:r>
        <w:rPr>
          <w:rFonts w:ascii="Arial" w:cs="Arial" w:eastAsia="Arial" w:hAnsi="Arial"/>
          <w:sz w:val="12"/>
          <w:szCs w:val="12"/>
          <w:color w:val="625352"/>
        </w:rPr>
        <w:t xml:space="preserve"> ugrf</w:t>
      </w:r>
      <w:r>
        <w:rPr>
          <w:rFonts w:ascii="PMingLiU" w:cs="PMingLiU" w:eastAsia="PMingLiU" w:hAnsi="PMingLiU"/>
          <w:sz w:val="12"/>
          <w:szCs w:val="12"/>
          <w:color w:val="625352"/>
        </w:rPr>
        <w:t/>
      </w:r>
      <w:r>
        <w:rPr>
          <w:rFonts w:ascii="Arial" w:cs="Arial" w:eastAsia="Arial" w:hAnsi="Arial"/>
          <w:sz w:val="12"/>
          <w:szCs w:val="12"/>
          <w:color w:val="625352"/>
        </w:rPr>
        <w:t xml:space="preserve"> Y</w:t>
      </w:r>
      <w:r>
        <w:rPr>
          <w:rFonts w:ascii="PMingLiU" w:cs="PMingLiU" w:eastAsia="PMingLiU" w:hAnsi="PMingLiU"/>
          <w:sz w:val="12"/>
          <w:szCs w:val="12"/>
          <w:color w:val="625352"/>
        </w:rPr>
        <w:t/>
      </w:r>
      <w:r>
        <w:rPr>
          <w:rFonts w:ascii="Arial" w:cs="Arial" w:eastAsia="Arial" w:hAnsi="Arial"/>
          <w:sz w:val="12"/>
          <w:szCs w:val="12"/>
          <w:color w:val="625352"/>
        </w:rPr>
        <w:t>W</w:t>
      </w:r>
      <w:r>
        <w:rPr>
          <w:rFonts w:ascii="PMingLiU" w:cs="PMingLiU" w:eastAsia="PMingLiU" w:hAnsi="PMingLiU"/>
          <w:sz w:val="12"/>
          <w:szCs w:val="12"/>
          <w:color w:val="625352"/>
        </w:rPr>
        <w:t/>
      </w:r>
      <w:r>
        <w:rPr>
          <w:rFonts w:ascii="Arial" w:cs="Arial" w:eastAsia="Arial" w:hAnsi="Arial"/>
          <w:sz w:val="12"/>
          <w:szCs w:val="12"/>
          <w:color w:val="625352"/>
        </w:rPr>
        <w:t xml:space="preserve"> KEET</w:t>
      </w:r>
      <w:r>
        <w:rPr>
          <w:rFonts w:ascii="PMingLiU" w:cs="PMingLiU" w:eastAsia="PMingLiU" w:hAnsi="PMingLiU"/>
          <w:sz w:val="12"/>
          <w:szCs w:val="12"/>
          <w:color w:val="625352"/>
        </w:rPr>
        <w:t/>
      </w:r>
      <w:r>
        <w:rPr>
          <w:rFonts w:ascii="Arial" w:cs="Arial" w:eastAsia="Arial" w:hAnsi="Arial"/>
          <w:sz w:val="12"/>
          <w:szCs w:val="12"/>
          <w:color w:val="625352"/>
        </w:rPr>
        <w:t xml:space="preserve"> Q_l_eckclr</w:t>
      </w:r>
      <w:r>
        <w:rPr>
          <w:rFonts w:ascii="PMingLiU" w:cs="PMingLiU" w:eastAsia="PMingLiU" w:hAnsi="PMingLiU"/>
          <w:sz w:val="12"/>
          <w:szCs w:val="12"/>
          <w:color w:val="625352"/>
        </w:rPr>
        <w:t/>
      </w:r>
      <w:r>
        <w:rPr>
          <w:rFonts w:ascii="Arial" w:cs="Arial" w:eastAsia="Arial" w:hAnsi="Arial"/>
          <w:sz w:val="12"/>
          <w:szCs w:val="12"/>
          <w:color w:val="625352"/>
        </w:rPr>
        <w:t xml:space="preserve"> `cjgctcq</w:t>
      </w:r>
      <w:r>
        <w:rPr>
          <w:rFonts w:ascii="PMingLiU" w:cs="PMingLiU" w:eastAsia="PMingLiU" w:hAnsi="PMingLiU"/>
          <w:sz w:val="12"/>
          <w:szCs w:val="12"/>
          <w:color w:val="625352"/>
        </w:rPr>
        <w:t/>
      </w:r>
      <w:r>
        <w:rPr>
          <w:rFonts w:ascii="Arial" w:cs="Arial" w:eastAsia="Arial" w:hAnsi="Arial"/>
          <w:sz w:val="12"/>
          <w:szCs w:val="12"/>
          <w:color w:val="625352"/>
        </w:rPr>
        <w:t xml:space="preserve"> rfc</w:t>
      </w:r>
      <w:r>
        <w:rPr>
          <w:rFonts w:ascii="PMingLiU" w:cs="PMingLiU" w:eastAsia="PMingLiU" w:hAnsi="PMingLiU"/>
          <w:sz w:val="12"/>
          <w:szCs w:val="12"/>
          <w:color w:val="625352"/>
        </w:rPr>
        <w:t/>
      </w:r>
      <w:r>
        <w:rPr>
          <w:rFonts w:ascii="Arial" w:cs="Arial" w:eastAsia="Arial" w:hAnsi="Arial"/>
          <w:sz w:val="12"/>
          <w:szCs w:val="12"/>
          <w:color w:val="625352"/>
        </w:rPr>
        <w:t xml:space="preserve"> sqc</w:t>
      </w:r>
      <w:r>
        <w:rPr>
          <w:rFonts w:ascii="PMingLiU" w:cs="PMingLiU" w:eastAsia="PMingLiU" w:hAnsi="PMingLiU"/>
          <w:sz w:val="12"/>
          <w:szCs w:val="12"/>
          <w:color w:val="625352"/>
        </w:rPr>
        <w:t/>
      </w:r>
      <w:r>
        <w:rPr>
          <w:rFonts w:ascii="Arial" w:cs="Arial" w:eastAsia="Arial" w:hAnsi="Arial"/>
          <w:sz w:val="12"/>
          <w:szCs w:val="12"/>
          <w:color w:val="625352"/>
        </w:rPr>
        <w:t xml:space="preserve"> md</w:t>
      </w:r>
      <w:r>
        <w:rPr>
          <w:rFonts w:ascii="PMingLiU" w:cs="PMingLiU" w:eastAsia="PMingLiU" w:hAnsi="PMingLiU"/>
          <w:sz w:val="12"/>
          <w:szCs w:val="12"/>
          <w:color w:val="625352"/>
        </w:rPr>
        <w:t/>
      </w:r>
      <w:r>
        <w:rPr>
          <w:rFonts w:ascii="Arial" w:cs="Arial" w:eastAsia="Arial" w:hAnsi="Arial"/>
          <w:sz w:val="12"/>
          <w:szCs w:val="12"/>
          <w:color w:val="625352"/>
        </w:rPr>
        <w:t xml:space="preserve"> qsaf</w:t>
      </w:r>
      <w:r>
        <w:rPr>
          <w:rFonts w:ascii="PMingLiU" w:cs="PMingLiU" w:eastAsia="PMingLiU" w:hAnsi="PMingLiU"/>
          <w:sz w:val="12"/>
          <w:szCs w:val="12"/>
          <w:color w:val="625352"/>
        </w:rPr>
        <w:t/>
      </w:r>
      <w:r>
        <w:rPr>
          <w:rFonts w:ascii="Arial" w:cs="Arial" w:eastAsia="Arial" w:hAnsi="Arial"/>
          <w:sz w:val="12"/>
          <w:szCs w:val="12"/>
          <w:color w:val="625352"/>
        </w:rPr>
        <w:t xml:space="preserve"> lml&amp;KEET</w:t>
      </w:r>
      <w:r>
        <w:rPr>
          <w:rFonts w:ascii="PMingLiU" w:cs="PMingLiU" w:eastAsia="PMingLiU" w:hAnsi="PMingLiU"/>
          <w:sz w:val="12"/>
          <w:szCs w:val="12"/>
          <w:color w:val="625352"/>
        </w:rPr>
        <w:t/>
      </w:r>
      <w:r>
        <w:rPr>
          <w:rFonts w:ascii="Arial" w:cs="Arial" w:eastAsia="Arial" w:hAnsi="Arial"/>
          <w:sz w:val="12"/>
          <w:szCs w:val="12"/>
          <w:color w:val="625352"/>
        </w:rPr>
        <w:t xml:space="preserve"> kc_qspcq</w:t>
      </w:r>
      <w:r>
        <w:rPr>
          <w:rFonts w:ascii="PMingLiU" w:cs="PMingLiU" w:eastAsia="PMingLiU" w:hAnsi="PMingLiU"/>
          <w:sz w:val="12"/>
          <w:szCs w:val="12"/>
          <w:color w:val="625352"/>
        </w:rPr>
        <w:t/>
      </w:r>
      <w:r>
        <w:rPr>
          <w:rFonts w:ascii="Arial" w:cs="Arial" w:eastAsia="Arial" w:hAnsi="Arial"/>
          <w:sz w:val="12"/>
          <w:szCs w:val="12"/>
          <w:color w:val="625352"/>
        </w:rPr>
        <w:t xml:space="preserve"> _qqgqrq</w:t>
      </w:r>
      <w:r>
        <w:rPr>
          <w:rFonts w:ascii="PMingLiU" w:cs="PMingLiU" w:eastAsia="PMingLiU" w:hAnsi="PMingLiU"/>
          <w:sz w:val="12"/>
          <w:szCs w:val="12"/>
          <w:color w:val="625352"/>
        </w:rPr>
        <w:t/>
      </w:r>
      <w:r>
        <w:rPr>
          <w:rFonts w:ascii="Arial" w:cs="Arial" w:eastAsia="Arial" w:hAnsi="Arial"/>
          <w:sz w:val="12"/>
          <w:szCs w:val="12"/>
          <w:color w:val="625352"/>
        </w:rPr>
        <w:t xml:space="preserve"> gltcqrmpq</w:t>
      </w:r>
      <w:r>
        <w:rPr>
          <w:rFonts w:ascii="PMingLiU" w:cs="PMingLiU" w:eastAsia="PMingLiU" w:hAnsi="PMingLiU"/>
          <w:sz w:val="12"/>
          <w:szCs w:val="12"/>
          <w:color w:val="625352"/>
        </w:rPr>
        <w:t/>
      </w:r>
      <w:r>
        <w:rPr>
          <w:rFonts w:ascii="Arial" w:cs="Arial" w:eastAsia="Arial" w:hAnsi="Arial"/>
          <w:sz w:val="12"/>
          <w:szCs w:val="12"/>
          <w:color w:val="625352"/>
        </w:rPr>
        <w:t xml:space="preserve"> gl</w:t>
      </w:r>
      <w:r>
        <w:rPr>
          <w:rFonts w:ascii="PMingLiU" w:cs="PMingLiU" w:eastAsia="PMingLiU" w:hAnsi="PMingLiU"/>
          <w:sz w:val="12"/>
          <w:szCs w:val="12"/>
          <w:color w:val="625352"/>
        </w:rPr>
        <w:t/>
      </w:r>
      <w:r>
        <w:rPr>
          <w:rFonts w:ascii="Arial" w:cs="Arial" w:eastAsia="Arial" w:hAnsi="Arial"/>
          <w:sz w:val="12"/>
          <w:szCs w:val="12"/>
          <w:color w:val="625352"/>
        </w:rPr>
        <w:t xml:space="preserve"> slbcpqr_lbgle</w:t>
      </w:r>
      <w:r>
        <w:rPr>
          <w:rFonts w:ascii="PMingLiU" w:cs="PMingLiU" w:eastAsia="PMingLiU" w:hAnsi="PMingLiU"/>
          <w:sz w:val="12"/>
          <w:szCs w:val="12"/>
          <w:color w:val="625352"/>
        </w:rPr>
        <w:t/>
      </w:r>
      <w:r>
        <w:rPr>
          <w:rFonts w:ascii="Arial" w:cs="Arial" w:eastAsia="Arial" w:hAnsi="Arial"/>
          <w:sz w:val="12"/>
          <w:szCs w:val="12"/>
          <w:color w:val="625352"/>
        </w:rPr>
        <w:t xml:space="preserve"> rfc</w:t>
      </w:r>
      <w:r>
        <w:rPr>
          <w:rFonts w:ascii="PMingLiU" w:cs="PMingLiU" w:eastAsia="PMingLiU" w:hAnsi="PMingLiU"/>
          <w:sz w:val="12"/>
          <w:szCs w:val="12"/>
          <w:color w:val="625352"/>
        </w:rPr>
        <w:t/>
      </w:r>
      <w:r>
        <w:rPr>
          <w:rFonts w:ascii="Arial" w:cs="Arial" w:eastAsia="Arial" w:hAnsi="Arial"/>
          <w:sz w:val="12"/>
          <w:szCs w:val="12"/>
          <w:color w:val="625352"/>
        </w:rPr>
        <w:t>mlemgle</w:t>
      </w:r>
      <w:r>
        <w:rPr>
          <w:rFonts w:ascii="PMingLiU" w:cs="PMingLiU" w:eastAsia="PMingLiU" w:hAnsi="PMingLiU"/>
          <w:sz w:val="12"/>
          <w:szCs w:val="12"/>
          <w:color w:val="625352"/>
        </w:rPr>
        <w:t/>
      </w:r>
      <w:r>
        <w:rPr>
          <w:rFonts w:ascii="Arial" w:cs="Arial" w:eastAsia="Arial" w:hAnsi="Arial"/>
          <w:sz w:val="12"/>
          <w:szCs w:val="12"/>
          <w:color w:val="625352"/>
        </w:rPr>
        <w:t>mncp_rgle</w:t>
      </w:r>
      <w:r>
        <w:rPr>
          <w:rFonts w:ascii="PMingLiU" w:cs="PMingLiU" w:eastAsia="PMingLiU" w:hAnsi="PMingLiU"/>
          <w:sz w:val="12"/>
          <w:szCs w:val="12"/>
          <w:color w:val="625352"/>
        </w:rPr>
        <w:t/>
      </w:r>
      <w:r>
        <w:rPr>
          <w:rFonts w:ascii="Arial" w:cs="Arial" w:eastAsia="Arial" w:hAnsi="Arial"/>
          <w:sz w:val="12"/>
          <w:szCs w:val="12"/>
          <w:color w:val="625352"/>
        </w:rPr>
        <w:t>ncpdmpk_lac</w:t>
      </w:r>
      <w:r>
        <w:rPr>
          <w:rFonts w:ascii="PMingLiU" w:cs="PMingLiU" w:eastAsia="PMingLiU" w:hAnsi="PMingLiU"/>
          <w:sz w:val="12"/>
          <w:szCs w:val="12"/>
          <w:color w:val="625352"/>
        </w:rPr>
        <w:t/>
      </w:r>
      <w:r>
        <w:rPr>
          <w:rFonts w:ascii="Arial" w:cs="Arial" w:eastAsia="Arial" w:hAnsi="Arial"/>
          <w:sz w:val="12"/>
          <w:szCs w:val="12"/>
          <w:color w:val="625352"/>
        </w:rPr>
        <w:t>md</w:t>
      </w:r>
      <w:r>
        <w:rPr>
          <w:rFonts w:ascii="PMingLiU" w:cs="PMingLiU" w:eastAsia="PMingLiU" w:hAnsi="PMingLiU"/>
          <w:sz w:val="12"/>
          <w:szCs w:val="12"/>
          <w:color w:val="625352"/>
        </w:rPr>
        <w:t/>
      </w:r>
      <w:r>
        <w:rPr>
          <w:rFonts w:ascii="Arial" w:cs="Arial" w:eastAsia="Arial" w:hAnsi="Arial"/>
          <w:sz w:val="12"/>
          <w:szCs w:val="12"/>
          <w:color w:val="625352"/>
        </w:rPr>
        <w:t>rfc</w:t>
      </w:r>
      <w:r>
        <w:rPr>
          <w:rFonts w:ascii="PMingLiU" w:cs="PMingLiU" w:eastAsia="PMingLiU" w:hAnsi="PMingLiU"/>
          <w:sz w:val="12"/>
          <w:szCs w:val="12"/>
          <w:color w:val="625352"/>
        </w:rPr>
        <w:t/>
      </w:r>
      <w:r>
        <w:rPr>
          <w:rFonts w:ascii="Arial" w:cs="Arial" w:eastAsia="Arial" w:hAnsi="Arial"/>
          <w:sz w:val="12"/>
          <w:szCs w:val="12"/>
          <w:color w:val="625352"/>
        </w:rPr>
        <w:t>amkn_lw</w:t>
      </w:r>
      <w:r>
        <w:rPr>
          <w:rFonts w:ascii="PMingLiU" w:cs="PMingLiU" w:eastAsia="PMingLiU" w:hAnsi="PMingLiU"/>
          <w:sz w:val="12"/>
          <w:szCs w:val="12"/>
          <w:color w:val="625352"/>
        </w:rPr>
        <w:t/>
      </w:r>
      <w:r>
        <w:rPr>
          <w:rFonts w:ascii="Arial" w:cs="Arial" w:eastAsia="Arial" w:hAnsi="Arial"/>
          <w:sz w:val="12"/>
          <w:szCs w:val="12"/>
          <w:color w:val="625352"/>
        </w:rPr>
        <w:t>_lb</w:t>
      </w:r>
      <w:r>
        <w:rPr>
          <w:rFonts w:ascii="PMingLiU" w:cs="PMingLiU" w:eastAsia="PMingLiU" w:hAnsi="PMingLiU"/>
          <w:sz w:val="12"/>
          <w:szCs w:val="12"/>
          <w:color w:val="625352"/>
        </w:rPr>
        <w:t/>
      </w:r>
      <w:r>
        <w:rPr>
          <w:rFonts w:ascii="Arial" w:cs="Arial" w:eastAsia="Arial" w:hAnsi="Arial"/>
          <w:sz w:val="12"/>
          <w:szCs w:val="12"/>
          <w:color w:val="625352"/>
        </w:rPr>
        <w:t xml:space="preserve"> grq</w:t>
      </w:r>
      <w:r>
        <w:rPr>
          <w:rFonts w:ascii="PMingLiU" w:cs="PMingLiU" w:eastAsia="PMingLiU" w:hAnsi="PMingLiU"/>
          <w:sz w:val="12"/>
          <w:szCs w:val="12"/>
          <w:color w:val="625352"/>
        </w:rPr>
        <w:t/>
      </w:r>
      <w:r>
        <w:rPr>
          <w:rFonts w:ascii="Arial" w:cs="Arial" w:eastAsia="Arial" w:hAnsi="Arial"/>
          <w:sz w:val="12"/>
          <w:szCs w:val="12"/>
          <w:color w:val="625352"/>
        </w:rPr>
        <w:t xml:space="preserve"> qcekclrq</w:t>
      </w:r>
      <w:r>
        <w:rPr>
          <w:rFonts w:ascii="PMingLiU" w:cs="PMingLiU" w:eastAsia="PMingLiU" w:hAnsi="PMingLiU"/>
          <w:sz w:val="12"/>
          <w:szCs w:val="12"/>
          <w:color w:val="625352"/>
        </w:rPr>
        <w:t/>
      </w:r>
      <w:r>
        <w:rPr>
          <w:rFonts w:ascii="Arial" w:cs="Arial" w:eastAsia="Arial" w:hAnsi="Arial"/>
          <w:sz w:val="12"/>
          <w:szCs w:val="12"/>
          <w:color w:val="625352"/>
        </w:rPr>
        <w:t xml:space="preserve"> Xfc</w:t>
      </w:r>
      <w:r>
        <w:rPr>
          <w:rFonts w:ascii="PMingLiU" w:cs="PMingLiU" w:eastAsia="PMingLiU" w:hAnsi="PMingLiU"/>
          <w:sz w:val="12"/>
          <w:szCs w:val="12"/>
          <w:color w:val="625352"/>
        </w:rPr>
        <w:t/>
      </w:r>
      <w:r>
        <w:rPr>
          <w:rFonts w:ascii="Arial" w:cs="Arial" w:eastAsia="Arial" w:hAnsi="Arial"/>
          <w:sz w:val="12"/>
          <w:szCs w:val="12"/>
          <w:color w:val="625352"/>
        </w:rPr>
        <w:t xml:space="preserve"> lml&amp;KEET</w:t>
      </w:r>
      <w:r>
        <w:rPr>
          <w:rFonts w:ascii="PMingLiU" w:cs="PMingLiU" w:eastAsia="PMingLiU" w:hAnsi="PMingLiU"/>
          <w:sz w:val="12"/>
          <w:szCs w:val="12"/>
          <w:color w:val="625352"/>
        </w:rPr>
        <w:t/>
      </w:r>
      <w:r>
        <w:rPr>
          <w:rFonts w:ascii="Arial" w:cs="Arial" w:eastAsia="Arial" w:hAnsi="Arial"/>
          <w:sz w:val="12"/>
          <w:szCs w:val="12"/>
          <w:color w:val="625352"/>
        </w:rPr>
        <w:t xml:space="preserve"> gldmpk_rgml</w:t>
      </w:r>
      <w:r>
        <w:rPr>
          <w:rFonts w:ascii="PMingLiU" w:cs="PMingLiU" w:eastAsia="PMingLiU" w:hAnsi="PMingLiU"/>
          <w:sz w:val="12"/>
          <w:szCs w:val="12"/>
          <w:color w:val="625352"/>
        </w:rPr>
        <w:t/>
      </w:r>
      <w:r>
        <w:rPr>
          <w:rFonts w:ascii="Arial" w:cs="Arial" w:eastAsia="Arial" w:hAnsi="Arial"/>
          <w:sz w:val="12"/>
          <w:szCs w:val="12"/>
          <w:color w:val="625352"/>
        </w:rPr>
        <w:t xml:space="preserve"> npmtgbcb</w:t>
      </w:r>
      <w:r>
        <w:rPr>
          <w:rFonts w:ascii="PMingLiU" w:cs="PMingLiU" w:eastAsia="PMingLiU" w:hAnsi="PMingLiU"/>
          <w:sz w:val="12"/>
          <w:szCs w:val="12"/>
          <w:color w:val="625352"/>
        </w:rPr>
        <w:t/>
      </w:r>
      <w:r>
        <w:rPr>
          <w:rFonts w:ascii="Arial" w:cs="Arial" w:eastAsia="Arial" w:hAnsi="Arial"/>
          <w:sz w:val="12"/>
          <w:szCs w:val="12"/>
          <w:color w:val="625352"/>
        </w:rPr>
        <w:t xml:space="preserve"> k_w</w:t>
      </w:r>
      <w:r>
        <w:rPr>
          <w:rFonts w:ascii="PMingLiU" w:cs="PMingLiU" w:eastAsia="PMingLiU" w:hAnsi="PMingLiU"/>
          <w:sz w:val="12"/>
          <w:szCs w:val="12"/>
          <w:color w:val="625352"/>
        </w:rPr>
        <w:t/>
      </w:r>
      <w:r>
        <w:rPr>
          <w:rFonts w:ascii="Arial" w:cs="Arial" w:eastAsia="Arial" w:hAnsi="Arial"/>
          <w:sz w:val="12"/>
          <w:szCs w:val="12"/>
          <w:color w:val="625352"/>
        </w:rPr>
        <w:t xml:space="preserve"> lmr</w:t>
      </w:r>
      <w:r>
        <w:rPr>
          <w:rFonts w:ascii="PMingLiU" w:cs="PMingLiU" w:eastAsia="PMingLiU" w:hAnsi="PMingLiU"/>
          <w:sz w:val="12"/>
          <w:szCs w:val="12"/>
          <w:color w:val="625352"/>
        </w:rPr>
        <w:t/>
      </w:r>
      <w:r>
        <w:rPr>
          <w:rFonts w:ascii="Arial" w:cs="Arial" w:eastAsia="Arial" w:hAnsi="Arial"/>
          <w:sz w:val="12"/>
          <w:szCs w:val="12"/>
          <w:color w:val="625352"/>
        </w:rPr>
        <w:t>`c</w:t>
      </w:r>
      <w:r>
        <w:rPr>
          <w:rFonts w:ascii="PMingLiU" w:cs="PMingLiU" w:eastAsia="PMingLiU" w:hAnsi="PMingLiU"/>
          <w:sz w:val="12"/>
          <w:szCs w:val="12"/>
          <w:color w:val="625352"/>
        </w:rPr>
        <w:t/>
      </w:r>
      <w:r>
        <w:rPr>
          <w:rFonts w:ascii="Arial" w:cs="Arial" w:eastAsia="Arial" w:hAnsi="Arial"/>
          <w:sz w:val="12"/>
          <w:szCs w:val="12"/>
          <w:color w:val="625352"/>
        </w:rPr>
        <w:t>amlqgqrclr</w:t>
      </w:r>
      <w:r>
        <w:rPr>
          <w:rFonts w:ascii="PMingLiU" w:cs="PMingLiU" w:eastAsia="PMingLiU" w:hAnsi="PMingLiU"/>
          <w:sz w:val="12"/>
          <w:szCs w:val="12"/>
          <w:color w:val="625352"/>
        </w:rPr>
        <w:t/>
      </w:r>
      <w:r>
        <w:rPr>
          <w:rFonts w:ascii="Arial" w:cs="Arial" w:eastAsia="Arial" w:hAnsi="Arial"/>
          <w:sz w:val="12"/>
          <w:szCs w:val="12"/>
          <w:color w:val="625352"/>
        </w:rPr>
        <w:t>ugrf</w:t>
      </w:r>
      <w:r>
        <w:rPr>
          <w:rFonts w:ascii="PMingLiU" w:cs="PMingLiU" w:eastAsia="PMingLiU" w:hAnsi="PMingLiU"/>
          <w:sz w:val="12"/>
          <w:szCs w:val="12"/>
          <w:color w:val="625352"/>
        </w:rPr>
        <w:t/>
      </w:r>
      <w:r>
        <w:rPr>
          <w:rFonts w:ascii="Arial" w:cs="Arial" w:eastAsia="Arial" w:hAnsi="Arial"/>
          <w:sz w:val="12"/>
          <w:szCs w:val="12"/>
          <w:color w:val="625352"/>
        </w:rPr>
        <w:t>rfc</w:t>
      </w:r>
      <w:r>
        <w:rPr>
          <w:rFonts w:ascii="PMingLiU" w:cs="PMingLiU" w:eastAsia="PMingLiU" w:hAnsi="PMingLiU"/>
          <w:sz w:val="12"/>
          <w:szCs w:val="12"/>
          <w:color w:val="625352"/>
        </w:rPr>
        <w:t/>
      </w:r>
      <w:r>
        <w:rPr>
          <w:rFonts w:ascii="Arial" w:cs="Arial" w:eastAsia="Arial" w:hAnsi="Arial"/>
          <w:sz w:val="12"/>
          <w:szCs w:val="12"/>
          <w:color w:val="625352"/>
        </w:rPr>
        <w:t>kcrfmbmjmegcq</w:t>
      </w:r>
      <w:r>
        <w:rPr>
          <w:rFonts w:ascii="PMingLiU" w:cs="PMingLiU" w:eastAsia="PMingLiU" w:hAnsi="PMingLiU"/>
          <w:sz w:val="12"/>
          <w:szCs w:val="12"/>
          <w:color w:val="625352"/>
        </w:rPr>
        <w:t/>
      </w:r>
      <w:r>
        <w:rPr>
          <w:rFonts w:ascii="Arial" w:cs="Arial" w:eastAsia="Arial" w:hAnsi="Arial"/>
          <w:sz w:val="12"/>
          <w:szCs w:val="12"/>
          <w:color w:val="625352"/>
        </w:rPr>
        <w:t>sqcb</w:t>
      </w:r>
      <w:r>
        <w:rPr>
          <w:rFonts w:ascii="PMingLiU" w:cs="PMingLiU" w:eastAsia="PMingLiU" w:hAnsi="PMingLiU"/>
          <w:sz w:val="12"/>
          <w:szCs w:val="12"/>
          <w:color w:val="625352"/>
        </w:rPr>
        <w:t/>
      </w:r>
      <w:r>
        <w:rPr>
          <w:rFonts w:ascii="Arial" w:cs="Arial" w:eastAsia="Arial" w:hAnsi="Arial"/>
          <w:sz w:val="12"/>
          <w:szCs w:val="12"/>
          <w:color w:val="625352"/>
        </w:rPr>
        <w:t>`w</w:t>
      </w:r>
      <w:r>
        <w:rPr>
          <w:rFonts w:ascii="PMingLiU" w:cs="PMingLiU" w:eastAsia="PMingLiU" w:hAnsi="PMingLiU"/>
          <w:sz w:val="12"/>
          <w:szCs w:val="12"/>
          <w:color w:val="625352"/>
        </w:rPr>
        <w:t/>
      </w:r>
      <w:r>
        <w:rPr>
          <w:rFonts w:ascii="Arial" w:cs="Arial" w:eastAsia="Arial" w:hAnsi="Arial"/>
          <w:sz w:val="12"/>
          <w:szCs w:val="12"/>
          <w:color w:val="625352"/>
        </w:rPr>
        <w:t>mrfcp</w:t>
      </w:r>
      <w:r>
        <w:rPr>
          <w:rFonts w:ascii="PMingLiU" w:cs="PMingLiU" w:eastAsia="PMingLiU" w:hAnsi="PMingLiU"/>
          <w:sz w:val="12"/>
          <w:szCs w:val="12"/>
          <w:color w:val="625352"/>
        </w:rPr>
        <w:t/>
      </w:r>
      <w:r>
        <w:rPr>
          <w:rFonts w:ascii="Arial" w:cs="Arial" w:eastAsia="Arial" w:hAnsi="Arial"/>
          <w:sz w:val="12"/>
          <w:szCs w:val="12"/>
          <w:color w:val="625352"/>
        </w:rPr>
        <w:t xml:space="preserve"> amkn_lgcq</w:t>
      </w:r>
      <w:r>
        <w:rPr>
          <w:rFonts w:ascii="PMingLiU" w:cs="PMingLiU" w:eastAsia="PMingLiU" w:hAnsi="PMingLiU"/>
          <w:sz w:val="12"/>
          <w:szCs w:val="12"/>
          <w:color w:val="625352"/>
        </w:rPr>
        <w:t/>
      </w:r>
      <w:r>
        <w:rPr>
          <w:rFonts w:ascii="Arial" w:cs="Arial" w:eastAsia="Arial" w:hAnsi="Arial"/>
          <w:sz w:val="12"/>
          <w:szCs w:val="12"/>
          <w:color w:val="625352"/>
        </w:rPr>
        <w:t>Ejj</w:t>
      </w:r>
      <w:r>
        <w:rPr>
          <w:rFonts w:ascii="PMingLiU" w:cs="PMingLiU" w:eastAsia="PMingLiU" w:hAnsi="PMingLiU"/>
          <w:sz w:val="12"/>
          <w:szCs w:val="12"/>
          <w:color w:val="625352"/>
        </w:rPr>
        <w:t/>
      </w:r>
      <w:r>
        <w:rPr>
          <w:rFonts w:ascii="Arial" w:cs="Arial" w:eastAsia="Arial" w:hAnsi="Arial"/>
          <w:sz w:val="12"/>
          <w:szCs w:val="12"/>
          <w:color w:val="625352"/>
        </w:rPr>
        <w:t>lml&amp;KEET</w:t>
      </w:r>
      <w:r>
        <w:rPr>
          <w:rFonts w:ascii="PMingLiU" w:cs="PMingLiU" w:eastAsia="PMingLiU" w:hAnsi="PMingLiU"/>
          <w:sz w:val="12"/>
          <w:szCs w:val="12"/>
          <w:color w:val="625352"/>
        </w:rPr>
        <w:t/>
      </w:r>
      <w:r>
        <w:rPr>
          <w:rFonts w:ascii="Arial" w:cs="Arial" w:eastAsia="Arial" w:hAnsi="Arial"/>
          <w:sz w:val="12"/>
          <w:szCs w:val="12"/>
          <w:color w:val="625352"/>
        </w:rPr>
        <w:t>_kmslrq</w:t>
      </w:r>
      <w:r>
        <w:rPr>
          <w:rFonts w:ascii="PMingLiU" w:cs="PMingLiU" w:eastAsia="PMingLiU" w:hAnsi="PMingLiU"/>
          <w:sz w:val="12"/>
          <w:szCs w:val="12"/>
          <w:color w:val="625352"/>
        </w:rPr>
        <w:t/>
      </w:r>
      <w:r>
        <w:rPr>
          <w:rFonts w:ascii="Arial" w:cs="Arial" w:eastAsia="Arial" w:hAnsi="Arial"/>
          <w:sz w:val="12"/>
          <w:szCs w:val="12"/>
          <w:color w:val="625352"/>
        </w:rPr>
        <w:t>f_tc</w:t>
      </w:r>
      <w:r>
        <w:rPr>
          <w:rFonts w:ascii="PMingLiU" w:cs="PMingLiU" w:eastAsia="PMingLiU" w:hAnsi="PMingLiU"/>
          <w:sz w:val="12"/>
          <w:szCs w:val="12"/>
          <w:color w:val="625352"/>
        </w:rPr>
        <w:t/>
      </w:r>
      <w:r>
        <w:rPr>
          <w:rFonts w:ascii="Arial" w:cs="Arial" w:eastAsia="Arial" w:hAnsi="Arial"/>
          <w:sz w:val="12"/>
          <w:szCs w:val="12"/>
          <w:color w:val="625352"/>
        </w:rPr>
        <w:t>`ccl</w:t>
      </w:r>
      <w:r>
        <w:rPr>
          <w:rFonts w:ascii="PMingLiU" w:cs="PMingLiU" w:eastAsia="PMingLiU" w:hAnsi="PMingLiU"/>
          <w:sz w:val="12"/>
          <w:szCs w:val="12"/>
          <w:color w:val="625352"/>
        </w:rPr>
        <w:t/>
      </w:r>
      <w:r>
        <w:rPr>
          <w:rFonts w:ascii="Arial" w:cs="Arial" w:eastAsia="Arial" w:hAnsi="Arial"/>
          <w:sz w:val="12"/>
          <w:szCs w:val="12"/>
          <w:color w:val="625352"/>
        </w:rPr>
        <w:t>pcamlagjcb</w:t>
      </w:r>
      <w:r>
        <w:rPr>
          <w:rFonts w:ascii="PMingLiU" w:cs="PMingLiU" w:eastAsia="PMingLiU" w:hAnsi="PMingLiU"/>
          <w:sz w:val="12"/>
          <w:szCs w:val="12"/>
          <w:color w:val="625352"/>
        </w:rPr>
        <w:t/>
      </w:r>
      <w:r>
        <w:rPr>
          <w:rFonts w:ascii="Arial" w:cs="Arial" w:eastAsia="Arial" w:hAnsi="Arial"/>
          <w:sz w:val="12"/>
          <w:szCs w:val="12"/>
          <w:color w:val="625352"/>
        </w:rPr>
        <w:t xml:space="preserve"> ugrf</w:t>
      </w:r>
      <w:r>
        <w:rPr>
          <w:rFonts w:ascii="PMingLiU" w:cs="PMingLiU" w:eastAsia="PMingLiU" w:hAnsi="PMingLiU"/>
          <w:sz w:val="12"/>
          <w:szCs w:val="12"/>
          <w:color w:val="625352"/>
        </w:rPr>
        <w:t/>
      </w:r>
      <w:r>
        <w:rPr>
          <w:rFonts w:ascii="Arial" w:cs="Arial" w:eastAsia="Arial" w:hAnsi="Arial"/>
          <w:sz w:val="12"/>
          <w:szCs w:val="12"/>
          <w:color w:val="625352"/>
        </w:rPr>
        <w:t xml:space="preserve"> pcnmprcb</w:t>
      </w:r>
      <w:r>
        <w:rPr>
          <w:rFonts w:ascii="PMingLiU" w:cs="PMingLiU" w:eastAsia="PMingLiU" w:hAnsi="PMingLiU"/>
          <w:sz w:val="12"/>
          <w:szCs w:val="12"/>
          <w:color w:val="625352"/>
        </w:rPr>
        <w:t/>
      </w:r>
      <w:r>
        <w:rPr>
          <w:rFonts w:ascii="Arial" w:cs="Arial" w:eastAsia="Arial" w:hAnsi="Arial"/>
          <w:sz w:val="12"/>
          <w:szCs w:val="12"/>
          <w:color w:val="625352"/>
        </w:rPr>
        <w:t xml:space="preserve"> Y</w:t>
      </w:r>
      <w:r>
        <w:rPr>
          <w:rFonts w:ascii="PMingLiU" w:cs="PMingLiU" w:eastAsia="PMingLiU" w:hAnsi="PMingLiU"/>
          <w:sz w:val="12"/>
          <w:szCs w:val="12"/>
          <w:color w:val="625352"/>
        </w:rPr>
        <w:t/>
      </w:r>
      <w:r>
        <w:rPr>
          <w:rFonts w:ascii="Arial" w:cs="Arial" w:eastAsia="Arial" w:hAnsi="Arial"/>
          <w:sz w:val="12"/>
          <w:szCs w:val="12"/>
          <w:color w:val="625352"/>
        </w:rPr>
        <w:t>W</w:t>
      </w:r>
      <w:r>
        <w:rPr>
          <w:rFonts w:ascii="PMingLiU" w:cs="PMingLiU" w:eastAsia="PMingLiU" w:hAnsi="PMingLiU"/>
          <w:sz w:val="12"/>
          <w:szCs w:val="12"/>
          <w:color w:val="625352"/>
        </w:rPr>
        <w:t/>
      </w:r>
      <w:r>
        <w:rPr>
          <w:rFonts w:ascii="Arial" w:cs="Arial" w:eastAsia="Arial" w:hAnsi="Arial"/>
          <w:sz w:val="12"/>
          <w:szCs w:val="12"/>
          <w:color w:val="625352"/>
        </w:rPr>
        <w:t xml:space="preserve"> KEET</w:t>
      </w:r>
      <w:r>
        <w:rPr>
          <w:rFonts w:ascii="PMingLiU" w:cs="PMingLiU" w:eastAsia="PMingLiU" w:hAnsi="PMingLiU"/>
          <w:sz w:val="12"/>
          <w:szCs w:val="12"/>
          <w:color w:val="625352"/>
        </w:rPr>
        <w:t/>
      </w:r>
      <w:r>
        <w:rPr>
          <w:rFonts w:ascii="Arial" w:cs="Arial" w:eastAsia="Arial" w:hAnsi="Arial"/>
          <w:sz w:val="12"/>
          <w:szCs w:val="12"/>
          <w:color w:val="625352"/>
        </w:rPr>
        <w:t xml:space="preserve"> pcqsjrq</w:t>
      </w:r>
      <w:r>
        <w:rPr>
          <w:rFonts w:ascii="PMingLiU" w:cs="PMingLiU" w:eastAsia="PMingLiU" w:hAnsi="PMingLiU"/>
          <w:sz w:val="12"/>
          <w:szCs w:val="12"/>
          <w:color w:val="625352"/>
        </w:rPr>
        <w:t/>
      </w:r>
      <w:r>
        <w:rPr>
          <w:rFonts w:ascii="Arial" w:cs="Arial" w:eastAsia="Arial" w:hAnsi="Arial"/>
          <w:sz w:val="12"/>
          <w:szCs w:val="12"/>
          <w:color w:val="625352"/>
        </w:rPr>
        <w:t xml:space="preserve"> ufgaf</w:t>
      </w:r>
      <w:r>
        <w:rPr>
          <w:rFonts w:ascii="PMingLiU" w:cs="PMingLiU" w:eastAsia="PMingLiU" w:hAnsi="PMingLiU"/>
          <w:sz w:val="12"/>
          <w:szCs w:val="12"/>
          <w:color w:val="625352"/>
        </w:rPr>
        <w:t/>
      </w:r>
      <w:r>
        <w:rPr>
          <w:rFonts w:ascii="Arial" w:cs="Arial" w:eastAsia="Arial" w:hAnsi="Arial"/>
          <w:sz w:val="12"/>
          <w:szCs w:val="12"/>
          <w:color w:val="625352"/>
        </w:rPr>
        <w:t xml:space="preserve"> _pc</w:t>
      </w:r>
      <w:r>
        <w:rPr>
          <w:rFonts w:ascii="PMingLiU" w:cs="PMingLiU" w:eastAsia="PMingLiU" w:hAnsi="PMingLiU"/>
          <w:sz w:val="12"/>
          <w:szCs w:val="12"/>
          <w:color w:val="625352"/>
        </w:rPr>
        <w:t/>
      </w:r>
      <w:r>
        <w:rPr>
          <w:rFonts w:ascii="Arial" w:cs="Arial" w:eastAsia="Arial" w:hAnsi="Arial"/>
          <w:sz w:val="12"/>
          <w:szCs w:val="12"/>
          <w:color w:val="625352"/>
        </w:rPr>
        <w:t xml:space="preserve"> glajsbcb</w:t>
      </w:r>
      <w:r>
        <w:rPr>
          <w:rFonts w:ascii="PMingLiU" w:cs="PMingLiU" w:eastAsia="PMingLiU" w:hAnsi="PMingLiU"/>
          <w:sz w:val="12"/>
          <w:szCs w:val="12"/>
          <w:color w:val="625352"/>
        </w:rPr>
        <w:t/>
      </w:r>
      <w:r>
        <w:rPr>
          <w:rFonts w:ascii="Arial" w:cs="Arial" w:eastAsia="Arial" w:hAnsi="Arial"/>
          <w:sz w:val="12"/>
          <w:szCs w:val="12"/>
          <w:color w:val="625352"/>
        </w:rPr>
        <w:t xml:space="preserve"> gl</w:t>
      </w:r>
      <w:r>
        <w:rPr>
          <w:rFonts w:ascii="PMingLiU" w:cs="PMingLiU" w:eastAsia="PMingLiU" w:hAnsi="PMingLiU"/>
          <w:sz w:val="12"/>
          <w:szCs w:val="12"/>
          <w:color w:val="625352"/>
        </w:rPr>
        <w:t/>
      </w:r>
      <w:r>
        <w:rPr>
          <w:rFonts w:ascii="Arial" w:cs="Arial" w:eastAsia="Arial" w:hAnsi="Arial"/>
          <w:sz w:val="12"/>
          <w:szCs w:val="12"/>
          <w:color w:val="625352"/>
        </w:rPr>
        <w:t xml:space="preserve"> rfc</w:t>
      </w:r>
      <w:r>
        <w:rPr>
          <w:rFonts w:ascii="PMingLiU" w:cs="PMingLiU" w:eastAsia="PMingLiU" w:hAnsi="PMingLiU"/>
          <w:sz w:val="12"/>
          <w:szCs w:val="12"/>
          <w:color w:val="625352"/>
        </w:rPr>
        <w:t/>
      </w:r>
      <w:r>
        <w:rPr>
          <w:rFonts w:ascii="Arial" w:cs="Arial" w:eastAsia="Arial" w:hAnsi="Arial"/>
          <w:sz w:val="12"/>
          <w:szCs w:val="12"/>
          <w:color w:val="625352"/>
        </w:rPr>
        <w:t>Q_l_eckclr</w:t>
      </w:r>
      <w:r>
        <w:rPr>
          <w:rFonts w:ascii="PMingLiU" w:cs="PMingLiU" w:eastAsia="PMingLiU" w:hAnsi="PMingLiU"/>
          <w:sz w:val="12"/>
          <w:szCs w:val="12"/>
          <w:color w:val="625352"/>
        </w:rPr>
        <w:t/>
      </w:r>
      <w:r>
        <w:rPr>
          <w:rFonts w:ascii="Arial" w:cs="Arial" w:eastAsia="Arial" w:hAnsi="Arial"/>
          <w:sz w:val="12"/>
          <w:szCs w:val="12"/>
          <w:color w:val="625352"/>
        </w:rPr>
        <w:t>q</w:t>
      </w:r>
      <w:r>
        <w:rPr>
          <w:rFonts w:ascii="PMingLiU" w:cs="PMingLiU" w:eastAsia="PMingLiU" w:hAnsi="PMingLiU"/>
          <w:sz w:val="12"/>
          <w:szCs w:val="12"/>
          <w:color w:val="625352"/>
        </w:rPr>
        <w:t/>
      </w:r>
      <w:r>
        <w:rPr>
          <w:rFonts w:ascii="Arial" w:cs="Arial" w:eastAsia="Arial" w:hAnsi="Arial"/>
          <w:sz w:val="12"/>
          <w:szCs w:val="12"/>
          <w:color w:val="625352"/>
        </w:rPr>
        <w:t>Hgqasqqgml</w:t>
      </w:r>
      <w:r>
        <w:rPr>
          <w:rFonts w:ascii="PMingLiU" w:cs="PMingLiU" w:eastAsia="PMingLiU" w:hAnsi="PMingLiU"/>
          <w:sz w:val="12"/>
          <w:szCs w:val="12"/>
          <w:color w:val="625352"/>
        </w:rPr>
        <w:t/>
      </w:r>
      <w:r>
        <w:rPr>
          <w:rFonts w:ascii="Arial" w:cs="Arial" w:eastAsia="Arial" w:hAnsi="Arial"/>
          <w:sz w:val="12"/>
          <w:szCs w:val="12"/>
          <w:color w:val="625352"/>
        </w:rPr>
        <w:t>_lb</w:t>
      </w:r>
      <w:r>
        <w:rPr>
          <w:rFonts w:ascii="PMingLiU" w:cs="PMingLiU" w:eastAsia="PMingLiU" w:hAnsi="PMingLiU"/>
          <w:sz w:val="12"/>
          <w:szCs w:val="12"/>
          <w:color w:val="625352"/>
        </w:rPr>
        <w:t/>
      </w:r>
      <w:r>
        <w:rPr>
          <w:rFonts w:ascii="Arial" w:cs="Arial" w:eastAsia="Arial" w:hAnsi="Arial"/>
          <w:sz w:val="12"/>
          <w:szCs w:val="12"/>
          <w:color w:val="625352"/>
        </w:rPr>
        <w:t>El_jwqgq</w:t>
      </w:r>
      <w:r>
        <w:rPr>
          <w:rFonts w:ascii="PMingLiU" w:cs="PMingLiU" w:eastAsia="PMingLiU" w:hAnsi="PMingLiU"/>
          <w:sz w:val="12"/>
          <w:szCs w:val="12"/>
          <w:color w:val="625352"/>
        </w:rPr>
        <w:t/>
      </w:r>
      <w:r>
        <w:rPr>
          <w:rFonts w:ascii="Arial" w:cs="Arial" w:eastAsia="Arial" w:hAnsi="Arial"/>
          <w:sz w:val="12"/>
          <w:szCs w:val="12"/>
          <w:color w:val="625352"/>
        </w:rPr>
        <w:t>md</w:t>
      </w:r>
      <w:r>
        <w:rPr>
          <w:rFonts w:ascii="PMingLiU" w:cs="PMingLiU" w:eastAsia="PMingLiU" w:hAnsi="PMingLiU"/>
          <w:sz w:val="12"/>
          <w:szCs w:val="12"/>
          <w:color w:val="625352"/>
        </w:rPr>
        <w:t/>
      </w:r>
      <w:r>
        <w:rPr>
          <w:rFonts w:ascii="Arial" w:cs="Arial" w:eastAsia="Arial" w:hAnsi="Arial"/>
          <w:sz w:val="12"/>
          <w:szCs w:val="12"/>
          <w:color w:val="625352"/>
        </w:rPr>
        <w:t>Jgl_lag_j</w:t>
      </w:r>
      <w:r>
        <w:rPr>
          <w:rFonts w:ascii="PMingLiU" w:cs="PMingLiU" w:eastAsia="PMingLiU" w:hAnsi="PMingLiU"/>
          <w:sz w:val="12"/>
          <w:szCs w:val="12"/>
          <w:color w:val="625352"/>
        </w:rPr>
        <w:t/>
      </w:r>
      <w:r>
        <w:rPr>
          <w:rFonts w:ascii="Arial" w:cs="Arial" w:eastAsia="Arial" w:hAnsi="Arial"/>
          <w:sz w:val="12"/>
          <w:szCs w:val="12"/>
          <w:color w:val="625352"/>
        </w:rPr>
        <w:t xml:space="preserve"> Gmlbgrgml</w:t>
      </w:r>
      <w:r>
        <w:rPr>
          <w:rFonts w:ascii="PMingLiU" w:cs="PMingLiU" w:eastAsia="PMingLiU" w:hAnsi="PMingLiU"/>
          <w:sz w:val="12"/>
          <w:szCs w:val="12"/>
          <w:color w:val="625352"/>
        </w:rPr>
        <w:t/>
      </w:r>
      <w:r>
        <w:rPr>
          <w:rFonts w:ascii="Arial" w:cs="Arial" w:eastAsia="Arial" w:hAnsi="Arial"/>
          <w:sz w:val="12"/>
          <w:szCs w:val="12"/>
          <w:color w:val="625352"/>
        </w:rPr>
        <w:t xml:space="preserve"> _lb</w:t>
      </w:r>
      <w:r>
        <w:rPr>
          <w:rFonts w:ascii="PMingLiU" w:cs="PMingLiU" w:eastAsia="PMingLiU" w:hAnsi="PMingLiU"/>
          <w:sz w:val="12"/>
          <w:szCs w:val="12"/>
          <w:color w:val="625352"/>
        </w:rPr>
        <w:t/>
      </w:r>
      <w:r>
        <w:rPr>
          <w:rFonts w:ascii="Arial" w:cs="Arial" w:eastAsia="Arial" w:hAnsi="Arial"/>
          <w:sz w:val="12"/>
          <w:szCs w:val="12"/>
          <w:color w:val="625352"/>
        </w:rPr>
        <w:t xml:space="preserve"> Vcqsjrq</w:t>
      </w:r>
      <w:r>
        <w:rPr>
          <w:rFonts w:ascii="PMingLiU" w:cs="PMingLiU" w:eastAsia="PMingLiU" w:hAnsi="PMingLiU"/>
          <w:sz w:val="12"/>
          <w:szCs w:val="12"/>
          <w:color w:val="625352"/>
        </w:rPr>
        <w:t/>
      </w:r>
      <w:r>
        <w:rPr>
          <w:rFonts w:ascii="Arial" w:cs="Arial" w:eastAsia="Arial" w:hAnsi="Arial"/>
          <w:sz w:val="12"/>
          <w:szCs w:val="12"/>
          <w:color w:val="625352"/>
        </w:rPr>
        <w:t xml:space="preserve"> md</w:t>
      </w:r>
      <w:r>
        <w:rPr>
          <w:rFonts w:ascii="PMingLiU" w:cs="PMingLiU" w:eastAsia="PMingLiU" w:hAnsi="PMingLiU"/>
          <w:sz w:val="12"/>
          <w:szCs w:val="12"/>
          <w:color w:val="625352"/>
        </w:rPr>
        <w:t/>
      </w:r>
      <w:r>
        <w:rPr>
          <w:rFonts w:ascii="Arial" w:cs="Arial" w:eastAsia="Arial" w:hAnsi="Arial"/>
          <w:sz w:val="12"/>
          <w:szCs w:val="12"/>
          <w:color w:val="625352"/>
        </w:rPr>
        <w:t xml:space="preserve"> Sncp_rgmlq </w:t>
      </w:r>
      <w:r>
        <w:rPr>
          <w:rFonts w:ascii="PMingLiU" w:cs="PMingLiU" w:eastAsia="PMingLiU" w:hAnsi="PMingLiU"/>
          <w:sz w:val="12"/>
          <w:szCs w:val="12"/>
          <w:color w:val="625352"/>
        </w:rPr>
        <w:t/>
      </w:r>
      <w:r>
        <w:rPr>
          <w:rFonts w:ascii="Arial" w:cs="Arial" w:eastAsia="Arial" w:hAnsi="Arial"/>
          <w:sz w:val="12"/>
          <w:szCs w:val="12"/>
          <w:color w:val="625352"/>
        </w:rPr>
        <w:t xml:space="preserve"> qcargml</w:t>
      </w:r>
      <w:r>
        <w:rPr>
          <w:rFonts w:ascii="PMingLiU" w:cs="PMingLiU" w:eastAsia="PMingLiU" w:hAnsi="PMingLiU"/>
          <w:sz w:val="12"/>
          <w:szCs w:val="12"/>
          <w:color w:val="625352"/>
        </w:rPr>
        <w:t/>
      </w:r>
      <w:r>
        <w:rPr>
          <w:rFonts w:ascii="Arial" w:cs="Arial" w:eastAsia="Arial" w:hAnsi="Arial"/>
          <w:sz w:val="12"/>
          <w:szCs w:val="12"/>
          <w:color w:val="625352"/>
        </w:rPr>
        <w:t xml:space="preserve"> md</w:t>
      </w:r>
      <w:r>
        <w:rPr>
          <w:rFonts w:ascii="PMingLiU" w:cs="PMingLiU" w:eastAsia="PMingLiU" w:hAnsi="PMingLiU"/>
          <w:sz w:val="12"/>
          <w:szCs w:val="12"/>
          <w:color w:val="625352"/>
        </w:rPr>
        <w:t/>
      </w:r>
      <w:r>
        <w:rPr>
          <w:rFonts w:ascii="Arial" w:cs="Arial" w:eastAsia="Arial" w:hAnsi="Arial"/>
          <w:sz w:val="12"/>
          <w:szCs w:val="12"/>
          <w:color w:val="625352"/>
        </w:rPr>
        <w:t xml:space="preserve"> rfgq</w:t>
      </w:r>
      <w:r>
        <w:rPr>
          <w:rFonts w:ascii="PMingLiU" w:cs="PMingLiU" w:eastAsia="PMingLiU" w:hAnsi="PMingLiU"/>
          <w:sz w:val="12"/>
          <w:szCs w:val="12"/>
          <w:color w:val="625352"/>
        </w:rPr>
        <w:t/>
      </w:r>
      <w:r>
        <w:rPr>
          <w:rFonts w:ascii="Arial" w:cs="Arial" w:eastAsia="Arial" w:hAnsi="Arial"/>
          <w:sz w:val="12"/>
          <w:szCs w:val="12"/>
          <w:color w:val="625352"/>
        </w:rPr>
        <w:t xml:space="preserve"> Ells_j</w:t>
      </w:r>
      <w:r>
        <w:rPr>
          <w:rFonts w:ascii="PMingLiU" w:cs="PMingLiU" w:eastAsia="PMingLiU" w:hAnsi="PMingLiU"/>
          <w:sz w:val="12"/>
          <w:szCs w:val="12"/>
          <w:color w:val="625352"/>
        </w:rPr>
        <w:t/>
      </w:r>
      <w:r>
        <w:rPr>
          <w:rFonts w:ascii="Arial" w:cs="Arial" w:eastAsia="Arial" w:hAnsi="Arial"/>
          <w:sz w:val="12"/>
          <w:szCs w:val="12"/>
          <w:color w:val="625352"/>
        </w:rPr>
        <w:t>Vcnmpr</w:t>
      </w:r>
      <w:r>
        <w:rPr>
          <w:rFonts w:ascii="PMingLiU" w:cs="PMingLiU" w:eastAsia="PMingLiU" w:hAnsi="PMingLiU"/>
          <w:sz w:val="12"/>
          <w:szCs w:val="12"/>
          <w:color w:val="625352"/>
        </w:rPr>
        <w:t/>
      </w:r>
    </w:p>
    <w:p>
      <w:pPr>
        <w:spacing w:after="0" w:line="147" w:lineRule="exact"/>
        <w:rPr>
          <w:sz w:val="20"/>
          <w:szCs w:val="20"/>
          <w:color w:val="auto"/>
        </w:rPr>
      </w:pPr>
    </w:p>
    <w:p>
      <w:pPr>
        <w:jc w:val="both"/>
        <w:ind w:left="20" w:right="20" w:firstLine="7"/>
        <w:spacing w:after="0" w:line="156" w:lineRule="exact"/>
        <w:rPr>
          <w:sz w:val="20"/>
          <w:szCs w:val="20"/>
          <w:color w:val="auto"/>
        </w:rPr>
      </w:pPr>
      <w:r>
        <w:rPr>
          <w:rFonts w:ascii="Arial" w:cs="Arial" w:eastAsia="Arial" w:hAnsi="Arial"/>
          <w:sz w:val="12"/>
          <w:szCs w:val="12"/>
          <w:color w:val="625352"/>
        </w:rPr>
        <w:t>Jmpu_pb&amp;Pmmigle</w:t>
      </w:r>
      <w:r>
        <w:rPr>
          <w:rFonts w:ascii="PMingLiU" w:cs="PMingLiU" w:eastAsia="PMingLiU" w:hAnsi="PMingLiU"/>
          <w:sz w:val="12"/>
          <w:szCs w:val="12"/>
          <w:color w:val="625352"/>
        </w:rPr>
        <w:t/>
      </w:r>
      <w:r>
        <w:rPr>
          <w:rFonts w:ascii="Arial" w:cs="Arial" w:eastAsia="Arial" w:hAnsi="Arial"/>
          <w:sz w:val="12"/>
          <w:szCs w:val="12"/>
          <w:color w:val="625352"/>
        </w:rPr>
        <w:t xml:space="preserve"> Wr_rckclrq </w:t>
      </w:r>
      <w:r>
        <w:rPr>
          <w:rFonts w:ascii="PMingLiU" w:cs="PMingLiU" w:eastAsia="PMingLiU" w:hAnsi="PMingLiU"/>
          <w:sz w:val="12"/>
          <w:szCs w:val="12"/>
          <w:color w:val="625352"/>
        </w:rPr>
        <w:t/>
      </w:r>
      <w:r>
        <w:rPr>
          <w:rFonts w:ascii="Arial" w:cs="Arial" w:eastAsia="Arial" w:hAnsi="Arial"/>
          <w:sz w:val="12"/>
          <w:szCs w:val="12"/>
          <w:color w:val="625352"/>
        </w:rPr>
        <w:t xml:space="preserve"> Xfgq</w:t>
      </w:r>
      <w:r>
        <w:rPr>
          <w:rFonts w:ascii="PMingLiU" w:cs="PMingLiU" w:eastAsia="PMingLiU" w:hAnsi="PMingLiU"/>
          <w:sz w:val="12"/>
          <w:szCs w:val="12"/>
          <w:color w:val="625352"/>
        </w:rPr>
        <w:t/>
      </w:r>
      <w:r>
        <w:rPr>
          <w:rFonts w:ascii="Arial" w:cs="Arial" w:eastAsia="Arial" w:hAnsi="Arial"/>
          <w:sz w:val="12"/>
          <w:szCs w:val="12"/>
          <w:color w:val="625352"/>
        </w:rPr>
        <w:t xml:space="preserve"> Ells_j</w:t>
      </w:r>
      <w:r>
        <w:rPr>
          <w:rFonts w:ascii="PMingLiU" w:cs="PMingLiU" w:eastAsia="PMingLiU" w:hAnsi="PMingLiU"/>
          <w:sz w:val="12"/>
          <w:szCs w:val="12"/>
          <w:color w:val="625352"/>
        </w:rPr>
        <w:t/>
      </w:r>
      <w:r>
        <w:rPr>
          <w:rFonts w:ascii="Arial" w:cs="Arial" w:eastAsia="Arial" w:hAnsi="Arial"/>
          <w:sz w:val="12"/>
          <w:szCs w:val="12"/>
          <w:color w:val="625352"/>
        </w:rPr>
        <w:t xml:space="preserve"> Vcnmpr</w:t>
      </w:r>
      <w:r>
        <w:rPr>
          <w:rFonts w:ascii="PMingLiU" w:cs="PMingLiU" w:eastAsia="PMingLiU" w:hAnsi="PMingLiU"/>
          <w:sz w:val="12"/>
          <w:szCs w:val="12"/>
          <w:color w:val="625352"/>
        </w:rPr>
        <w:t/>
      </w:r>
      <w:r>
        <w:rPr>
          <w:rFonts w:ascii="Arial" w:cs="Arial" w:eastAsia="Arial" w:hAnsi="Arial"/>
          <w:sz w:val="12"/>
          <w:szCs w:val="12"/>
          <w:color w:val="625352"/>
        </w:rPr>
        <w:t xml:space="preserve"> glajsbcq</w:t>
      </w:r>
      <w:r>
        <w:rPr>
          <w:rFonts w:ascii="PMingLiU" w:cs="PMingLiU" w:eastAsia="PMingLiU" w:hAnsi="PMingLiU"/>
          <w:sz w:val="12"/>
          <w:szCs w:val="12"/>
          <w:color w:val="625352"/>
        </w:rPr>
        <w:t/>
      </w:r>
      <w:r>
        <w:rPr>
          <w:rFonts w:ascii="Arial" w:cs="Arial" w:eastAsia="Arial" w:hAnsi="Arial"/>
          <w:sz w:val="12"/>
          <w:szCs w:val="12"/>
          <w:color w:val="625352"/>
        </w:rPr>
        <w:t>dmpu_pb&amp;jmmigle</w:t>
      </w:r>
      <w:r>
        <w:rPr>
          <w:rFonts w:ascii="PMingLiU" w:cs="PMingLiU" w:eastAsia="PMingLiU" w:hAnsi="PMingLiU"/>
          <w:sz w:val="12"/>
          <w:szCs w:val="12"/>
          <w:color w:val="625352"/>
        </w:rPr>
        <w:t/>
      </w:r>
      <w:r>
        <w:rPr>
          <w:rFonts w:ascii="Arial" w:cs="Arial" w:eastAsia="Arial" w:hAnsi="Arial"/>
          <w:sz w:val="12"/>
          <w:szCs w:val="12"/>
          <w:color w:val="625352"/>
        </w:rPr>
        <w:t>qr_rckclrq</w:t>
      </w:r>
      <w:r>
        <w:rPr>
          <w:rFonts w:ascii="PMingLiU" w:cs="PMingLiU" w:eastAsia="PMingLiU" w:hAnsi="PMingLiU"/>
          <w:sz w:val="12"/>
          <w:szCs w:val="12"/>
          <w:color w:val="625352"/>
        </w:rPr>
        <w:t/>
      </w:r>
      <w:r>
        <w:rPr>
          <w:rFonts w:ascii="Arial" w:cs="Arial" w:eastAsia="Arial" w:hAnsi="Arial"/>
          <w:sz w:val="12"/>
          <w:szCs w:val="12"/>
          <w:color w:val="625352"/>
        </w:rPr>
        <w:t>_q</w:t>
      </w:r>
      <w:r>
        <w:rPr>
          <w:rFonts w:ascii="PMingLiU" w:cs="PMingLiU" w:eastAsia="PMingLiU" w:hAnsi="PMingLiU"/>
          <w:sz w:val="12"/>
          <w:szCs w:val="12"/>
          <w:color w:val="625352"/>
        </w:rPr>
        <w:t/>
      </w:r>
      <w:r>
        <w:rPr>
          <w:rFonts w:ascii="Arial" w:cs="Arial" w:eastAsia="Arial" w:hAnsi="Arial"/>
          <w:sz w:val="12"/>
          <w:szCs w:val="12"/>
          <w:color w:val="625352"/>
        </w:rPr>
        <w:t>bcqapg`cb</w:t>
      </w:r>
      <w:r>
        <w:rPr>
          <w:rFonts w:ascii="PMingLiU" w:cs="PMingLiU" w:eastAsia="PMingLiU" w:hAnsi="PMingLiU"/>
          <w:sz w:val="12"/>
          <w:szCs w:val="12"/>
          <w:color w:val="625352"/>
        </w:rPr>
        <w:t/>
      </w:r>
      <w:r>
        <w:rPr>
          <w:rFonts w:ascii="Arial" w:cs="Arial" w:eastAsia="Arial" w:hAnsi="Arial"/>
          <w:sz w:val="12"/>
          <w:szCs w:val="12"/>
          <w:color w:val="625352"/>
        </w:rPr>
        <w:t>gl</w:t>
      </w:r>
      <w:r>
        <w:rPr>
          <w:rFonts w:ascii="PMingLiU" w:cs="PMingLiU" w:eastAsia="PMingLiU" w:hAnsi="PMingLiU"/>
          <w:sz w:val="12"/>
          <w:szCs w:val="12"/>
          <w:color w:val="625352"/>
        </w:rPr>
        <w:t/>
      </w:r>
      <w:r>
        <w:rPr>
          <w:rFonts w:ascii="Arial" w:cs="Arial" w:eastAsia="Arial" w:hAnsi="Arial"/>
          <w:sz w:val="12"/>
          <w:szCs w:val="12"/>
          <w:color w:val="625352"/>
        </w:rPr>
        <w:t>rfc</w:t>
      </w:r>
      <w:r>
        <w:rPr>
          <w:rFonts w:ascii="PMingLiU" w:cs="PMingLiU" w:eastAsia="PMingLiU" w:hAnsi="PMingLiU"/>
          <w:sz w:val="12"/>
          <w:szCs w:val="12"/>
          <w:color w:val="625352"/>
        </w:rPr>
        <w:t/>
      </w:r>
      <w:r>
        <w:rPr>
          <w:rFonts w:ascii="Arial" w:cs="Arial" w:eastAsia="Arial" w:hAnsi="Arial"/>
          <w:sz w:val="12"/>
          <w:szCs w:val="12"/>
          <w:color w:val="625352"/>
        </w:rPr>
        <w:t xml:space="preserve"> clajmqcb</w:t>
      </w:r>
      <w:r>
        <w:rPr>
          <w:rFonts w:ascii="PMingLiU" w:cs="PMingLiU" w:eastAsia="PMingLiU" w:hAnsi="PMingLiU"/>
          <w:sz w:val="12"/>
          <w:szCs w:val="12"/>
          <w:color w:val="625352"/>
        </w:rPr>
        <w:t/>
      </w:r>
      <w:r>
        <w:rPr>
          <w:rFonts w:ascii="Arial" w:cs="Arial" w:eastAsia="Arial" w:hAnsi="Arial"/>
          <w:sz w:val="12"/>
          <w:szCs w:val="12"/>
          <w:color w:val="625352"/>
        </w:rPr>
        <w:t>Jmpk</w:t>
      </w:r>
      <w:r>
        <w:rPr>
          <w:rFonts w:ascii="PMingLiU" w:cs="PMingLiU" w:eastAsia="PMingLiU" w:hAnsi="PMingLiU"/>
          <w:sz w:val="12"/>
          <w:szCs w:val="12"/>
          <w:color w:val="625352"/>
        </w:rPr>
        <w:t/>
      </w:r>
      <w:r>
        <w:rPr>
          <w:rFonts w:ascii="Arial" w:cs="Arial" w:eastAsia="Arial" w:hAnsi="Arial"/>
          <w:sz w:val="12"/>
          <w:szCs w:val="12"/>
          <w:color w:val="625352"/>
        </w:rPr>
        <w:t>˦˥&amp;O</w:t>
      </w:r>
      <w:r>
        <w:rPr>
          <w:rFonts w:ascii="PMingLiU" w:cs="PMingLiU" w:eastAsia="PMingLiU" w:hAnsi="PMingLiU"/>
          <w:sz w:val="12"/>
          <w:szCs w:val="12"/>
          <w:color w:val="625352"/>
        </w:rPr>
        <w:t/>
      </w:r>
    </w:p>
    <w:p>
      <w:pPr>
        <w:sectPr>
          <w:pgSz w:w="12240" w:h="15840" w:orient="portrait"/>
          <w:cols w:equalWidth="0" w:num="2">
            <w:col w:w="6680" w:space="340"/>
            <w:col w:w="3220"/>
          </w:cols>
          <w:pgMar w:left="1160" w:top="1440" w:right="840"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wp:posOffset>
            </wp:positionH>
            <wp:positionV relativeFrom="page">
              <wp:posOffset>0</wp:posOffset>
            </wp:positionV>
            <wp:extent cx="7746365" cy="100577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530">
                      <a:extLst>
                        <a:ext uri="{28A0092B-C50C-407E-A947-70E740481C1C}"/>
                      </a:extLst>
                    </a:blip>
                    <a:srcRect/>
                    <a:stretch>
                      <a:fillRect/>
                    </a:stretch>
                  </pic:blipFill>
                  <pic:spPr bwMode="auto">
                    <a:xfrm>
                      <a:off x="0" y="0"/>
                      <a:ext cx="7746365" cy="1005776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600"/>
        <w:spacing w:after="0" w:line="606" w:lineRule="exact"/>
        <w:rPr>
          <w:sz w:val="20"/>
          <w:szCs w:val="20"/>
          <w:color w:val="auto"/>
        </w:rPr>
      </w:pPr>
      <w:r>
        <w:rPr>
          <w:rFonts w:ascii="Arial" w:cs="Arial" w:eastAsia="Arial" w:hAnsi="Arial"/>
          <w:sz w:val="50"/>
          <w:szCs w:val="50"/>
          <w:color w:val="66BF9B"/>
        </w:rPr>
        <w:t>qf_pcfmjbcp</w:t>
      </w:r>
      <w:r>
        <w:rPr>
          <w:rFonts w:ascii="PMingLiU" w:cs="PMingLiU" w:eastAsia="PMingLiU" w:hAnsi="PMingLiU"/>
          <w:sz w:val="50"/>
          <w:szCs w:val="50"/>
          <w:color w:val="66BF9B"/>
        </w:rPr>
        <w:t/>
      </w:r>
      <w:r>
        <w:rPr>
          <w:rFonts w:ascii="Arial" w:cs="Arial" w:eastAsia="Arial" w:hAnsi="Arial"/>
          <w:sz w:val="50"/>
          <w:szCs w:val="50"/>
          <w:color w:val="66BF9B"/>
        </w:rPr>
        <w:t>gldmpk_rgml</w:t>
      </w:r>
    </w:p>
    <w:p>
      <w:pPr>
        <w:spacing w:after="0" w:line="255" w:lineRule="exact"/>
        <w:rPr>
          <w:sz w:val="20"/>
          <w:szCs w:val="20"/>
          <w:color w:val="auto"/>
        </w:rPr>
      </w:pPr>
    </w:p>
    <w:p>
      <w:pPr>
        <w:ind w:left="800"/>
        <w:spacing w:after="0" w:line="267" w:lineRule="exact"/>
        <w:tabs>
          <w:tab w:leader="none" w:pos="4260" w:val="left"/>
        </w:tabs>
        <w:rPr>
          <w:sz w:val="20"/>
          <w:szCs w:val="20"/>
          <w:color w:val="auto"/>
        </w:rPr>
      </w:pPr>
      <w:r>
        <w:rPr>
          <w:rFonts w:ascii="Arial" w:cs="Arial" w:eastAsia="Arial" w:hAnsi="Arial"/>
          <w:sz w:val="22"/>
          <w:szCs w:val="22"/>
          <w:color w:val="FFFFFF"/>
        </w:rPr>
        <w:t>ampnmp_rc</w:t>
      </w:r>
      <w:r>
        <w:rPr>
          <w:rFonts w:ascii="PMingLiU" w:cs="PMingLiU" w:eastAsia="PMingLiU" w:hAnsi="PMingLiU"/>
          <w:sz w:val="22"/>
          <w:szCs w:val="22"/>
          <w:color w:val="FFFFFF"/>
        </w:rPr>
        <w:t/>
      </w:r>
      <w:r>
        <w:rPr>
          <w:rFonts w:ascii="Arial" w:cs="Arial" w:eastAsia="Arial" w:hAnsi="Arial"/>
          <w:sz w:val="22"/>
          <w:szCs w:val="22"/>
          <w:color w:val="FFFFFF"/>
        </w:rPr>
        <w:t>fc_bos_prcpq</w:t>
      </w:r>
      <w:r>
        <w:rPr>
          <w:sz w:val="20"/>
          <w:szCs w:val="20"/>
          <w:color w:val="auto"/>
        </w:rPr>
        <w:tab/>
      </w:r>
      <w:r>
        <w:rPr>
          <w:rFonts w:ascii="Arial" w:cs="Arial" w:eastAsia="Arial" w:hAnsi="Arial"/>
          <w:sz w:val="22"/>
          <w:szCs w:val="22"/>
          <w:color w:val="FFFFFF"/>
        </w:rPr>
        <w:t>_lls_j</w:t>
      </w:r>
      <w:r>
        <w:rPr>
          <w:rFonts w:ascii="PMingLiU" w:cs="PMingLiU" w:eastAsia="PMingLiU" w:hAnsi="PMingLiU"/>
          <w:sz w:val="22"/>
          <w:szCs w:val="22"/>
          <w:color w:val="FFFFFF"/>
        </w:rPr>
        <w:t/>
      </w:r>
      <w:r>
        <w:rPr>
          <w:rFonts w:ascii="Arial" w:cs="Arial" w:eastAsia="Arial" w:hAnsi="Arial"/>
          <w:sz w:val="22"/>
          <w:szCs w:val="22"/>
          <w:color w:val="FFFFFF"/>
        </w:rPr>
        <w:t>kccrgle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FFFFFF"/>
        </w:rPr>
        <w:t>bgtgbclbq</w:t>
      </w:r>
    </w:p>
    <w:p>
      <w:pPr>
        <w:spacing w:after="0" w:line="20" w:lineRule="exact"/>
        <w:rPr>
          <w:sz w:val="20"/>
          <w:szCs w:val="20"/>
          <w:color w:val="auto"/>
        </w:rPr>
      </w:pPr>
    </w:p>
    <w:p>
      <w:pPr>
        <w:spacing w:after="0" w:line="146" w:lineRule="exact"/>
        <w:rPr>
          <w:sz w:val="20"/>
          <w:szCs w:val="20"/>
          <w:color w:val="auto"/>
        </w:rPr>
      </w:pPr>
    </w:p>
    <w:p>
      <w:pPr>
        <w:sectPr>
          <w:pgSz w:w="12240" w:h="15840" w:orient="portrait"/>
          <w:cols w:equalWidth="0" w:num="2">
            <w:col w:w="6900" w:space="720"/>
            <w:col w:w="1820"/>
          </w:cols>
          <w:pgMar w:left="1440" w:top="1440" w:right="1360" w:bottom="1440" w:gutter="0" w:footer="0" w:header="0"/>
        </w:sectPr>
      </w:pPr>
    </w:p>
    <w:p>
      <w:pPr>
        <w:ind w:left="600"/>
        <w:spacing w:after="0" w:line="194" w:lineRule="exact"/>
        <w:rPr>
          <w:sz w:val="20"/>
          <w:szCs w:val="20"/>
          <w:color w:val="auto"/>
        </w:rPr>
      </w:pPr>
      <w:r>
        <w:rPr>
          <w:rFonts w:ascii="Arial" w:cs="Arial" w:eastAsia="Arial" w:hAnsi="Arial"/>
          <w:sz w:val="16"/>
          <w:szCs w:val="16"/>
          <w:color w:val="634140"/>
        </w:rPr>
        <w:t>Eqfj_lb</w:t>
      </w:r>
      <w:r>
        <w:rPr>
          <w:rFonts w:ascii="PMingLiU" w:cs="PMingLiU" w:eastAsia="PMingLiU" w:hAnsi="PMingLiU"/>
          <w:sz w:val="16"/>
          <w:szCs w:val="16"/>
          <w:color w:val="634140"/>
        </w:rPr>
        <w:t/>
      </w:r>
      <w:r>
        <w:rPr>
          <w:rFonts w:ascii="Arial" w:cs="Arial" w:eastAsia="Arial" w:hAnsi="Arial"/>
          <w:sz w:val="16"/>
          <w:szCs w:val="16"/>
          <w:color w:val="634140"/>
        </w:rPr>
        <w:t>Mla</w:t>
      </w:r>
      <w:r>
        <w:rPr>
          <w:rFonts w:ascii="PMingLiU" w:cs="PMingLiU" w:eastAsia="PMingLiU" w:hAnsi="PMingLiU"/>
          <w:sz w:val="16"/>
          <w:szCs w:val="16"/>
          <w:color w:val="634140"/>
        </w:rPr>
        <w:t/>
      </w:r>
    </w:p>
    <w:p>
      <w:pPr>
        <w:spacing w:after="0" w:line="29"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Fj_xcp</w:t>
      </w:r>
      <w:r>
        <w:rPr>
          <w:rFonts w:ascii="PMingLiU" w:cs="PMingLiU" w:eastAsia="PMingLiU" w:hAnsi="PMingLiU"/>
          <w:sz w:val="16"/>
          <w:szCs w:val="16"/>
          <w:color w:val="634140"/>
        </w:rPr>
        <w:t/>
      </w:r>
      <w:r>
        <w:rPr>
          <w:rFonts w:ascii="Arial" w:cs="Arial" w:eastAsia="Arial" w:hAnsi="Arial"/>
          <w:sz w:val="16"/>
          <w:szCs w:val="16"/>
          <w:color w:val="634140"/>
        </w:rPr>
        <w:t>Hpgtc</w:t>
      </w:r>
    </w:p>
    <w:p>
      <w:pPr>
        <w:spacing w:after="0" w:line="29"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[gjkglerml</w:t>
      </w:r>
      <w:r>
        <w:rPr>
          <w:rFonts w:ascii="PMingLiU" w:cs="PMingLiU" w:eastAsia="PMingLiU" w:hAnsi="PMingLiU"/>
          <w:sz w:val="16"/>
          <w:szCs w:val="16"/>
          <w:color w:val="634140"/>
        </w:rPr>
        <w:t/>
      </w:r>
      <w:r>
        <w:rPr>
          <w:rFonts w:ascii="Arial" w:cs="Arial" w:eastAsia="Arial" w:hAnsi="Arial"/>
          <w:sz w:val="16"/>
          <w:szCs w:val="16"/>
          <w:color w:val="634140"/>
        </w:rPr>
        <w:t>HI</w:t>
      </w:r>
      <w:r>
        <w:rPr>
          <w:rFonts w:ascii="PMingLiU" w:cs="PMingLiU" w:eastAsia="PMingLiU" w:hAnsi="PMingLiU"/>
          <w:sz w:val="16"/>
          <w:szCs w:val="16"/>
          <w:color w:val="634140"/>
        </w:rPr>
        <w:t/>
      </w:r>
      <w:r>
        <w:rPr>
          <w:rFonts w:ascii="Arial" w:cs="Arial" w:eastAsia="Arial" w:hAnsi="Arial"/>
          <w:sz w:val="16"/>
          <w:szCs w:val="16"/>
          <w:color w:val="634140"/>
        </w:rPr>
        <w:t>˦ˮ˭˥˭</w:t>
      </w:r>
    </w:p>
    <w:p>
      <w:pPr>
        <w:spacing w:after="0" w:line="349" w:lineRule="exact"/>
        <w:rPr>
          <w:sz w:val="20"/>
          <w:szCs w:val="20"/>
          <w:color w:val="auto"/>
        </w:rPr>
      </w:pPr>
    </w:p>
    <w:p>
      <w:pPr>
        <w:ind w:left="1000"/>
        <w:spacing w:after="0" w:line="267" w:lineRule="exact"/>
        <w:rPr>
          <w:sz w:val="20"/>
          <w:szCs w:val="20"/>
          <w:color w:val="auto"/>
        </w:rPr>
      </w:pPr>
      <w:r>
        <w:rPr>
          <w:rFonts w:ascii="Arial" w:cs="Arial" w:eastAsia="Arial" w:hAnsi="Arial"/>
          <w:sz w:val="22"/>
          <w:szCs w:val="22"/>
          <w:color w:val="FFFFFF"/>
        </w:rPr>
        <w:t>fil_lag_j</w:t>
      </w:r>
      <w:r>
        <w:rPr>
          <w:rFonts w:ascii="PMingLiU" w:cs="PMingLiU" w:eastAsia="PMingLiU" w:hAnsi="PMingLiU"/>
          <w:sz w:val="22"/>
          <w:szCs w:val="22"/>
          <w:color w:val="FFFFFF"/>
        </w:rPr>
        <w:t/>
      </w:r>
      <w:r>
        <w:rPr>
          <w:rFonts w:ascii="Arial" w:cs="Arial" w:eastAsia="Arial" w:hAnsi="Arial"/>
          <w:sz w:val="22"/>
          <w:szCs w:val="22"/>
          <w:color w:val="FFFFFF"/>
        </w:rPr>
        <w:t>gldmpk_rgml</w:t>
      </w:r>
    </w:p>
    <w:p>
      <w:pPr>
        <w:spacing w:after="0" w:line="134"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Eqfj_lb</w:t>
      </w:r>
      <w:r>
        <w:rPr>
          <w:rFonts w:ascii="PMingLiU" w:cs="PMingLiU" w:eastAsia="PMingLiU" w:hAnsi="PMingLiU"/>
          <w:sz w:val="16"/>
          <w:szCs w:val="16"/>
          <w:color w:val="634140"/>
        </w:rPr>
        <w:t/>
      </w:r>
      <w:r>
        <w:rPr>
          <w:rFonts w:ascii="Arial" w:cs="Arial" w:eastAsia="Arial" w:hAnsi="Arial"/>
          <w:sz w:val="16"/>
          <w:szCs w:val="16"/>
          <w:color w:val="634140"/>
        </w:rPr>
        <w:t>q</w:t>
      </w:r>
      <w:r>
        <w:rPr>
          <w:rFonts w:ascii="PMingLiU" w:cs="PMingLiU" w:eastAsia="PMingLiU" w:hAnsi="PMingLiU"/>
          <w:sz w:val="16"/>
          <w:szCs w:val="16"/>
          <w:color w:val="634140"/>
        </w:rPr>
        <w:t/>
      </w:r>
      <w:r>
        <w:rPr>
          <w:rFonts w:ascii="Arial" w:cs="Arial" w:eastAsia="Arial" w:hAnsi="Arial"/>
          <w:sz w:val="16"/>
          <w:szCs w:val="16"/>
          <w:color w:val="634140"/>
        </w:rPr>
        <w:t>_lls_j</w:t>
      </w:r>
      <w:r>
        <w:rPr>
          <w:rFonts w:ascii="PMingLiU" w:cs="PMingLiU" w:eastAsia="PMingLiU" w:hAnsi="PMingLiU"/>
          <w:sz w:val="16"/>
          <w:szCs w:val="16"/>
          <w:color w:val="634140"/>
        </w:rPr>
        <w:t/>
      </w:r>
      <w:r>
        <w:rPr>
          <w:rFonts w:ascii="Arial" w:cs="Arial" w:eastAsia="Arial" w:hAnsi="Arial"/>
          <w:sz w:val="16"/>
          <w:szCs w:val="16"/>
          <w:color w:val="634140"/>
        </w:rPr>
        <w:t>pcnmprq</w:t>
      </w:r>
      <w:r>
        <w:rPr>
          <w:rFonts w:ascii="PMingLiU" w:cs="PMingLiU" w:eastAsia="PMingLiU" w:hAnsi="PMingLiU"/>
          <w:sz w:val="16"/>
          <w:szCs w:val="16"/>
          <w:color w:val="634140"/>
        </w:rPr>
        <w:t/>
      </w:r>
      <w:r>
        <w:rPr>
          <w:rFonts w:ascii="Arial" w:cs="Arial" w:eastAsia="Arial" w:hAnsi="Arial"/>
          <w:sz w:val="16"/>
          <w:szCs w:val="16"/>
          <w:color w:val="634140"/>
        </w:rPr>
        <w:t>ml</w:t>
      </w:r>
      <w:r>
        <w:rPr>
          <w:rFonts w:ascii="PMingLiU" w:cs="PMingLiU" w:eastAsia="PMingLiU" w:hAnsi="PMingLiU"/>
          <w:sz w:val="16"/>
          <w:szCs w:val="16"/>
          <w:color w:val="634140"/>
        </w:rPr>
        <w:t/>
      </w:r>
      <w:r>
        <w:rPr>
          <w:rFonts w:ascii="Arial" w:cs="Arial" w:eastAsia="Arial" w:hAnsi="Arial"/>
          <w:sz w:val="16"/>
          <w:szCs w:val="16"/>
          <w:color w:val="634140"/>
        </w:rPr>
        <w:t>Jmpk</w:t>
      </w:r>
      <w:r>
        <w:rPr>
          <w:rFonts w:ascii="PMingLiU" w:cs="PMingLiU" w:eastAsia="PMingLiU" w:hAnsi="PMingLiU"/>
          <w:sz w:val="16"/>
          <w:szCs w:val="16"/>
          <w:color w:val="634140"/>
        </w:rPr>
        <w:t/>
      </w:r>
    </w:p>
    <w:p>
      <w:pPr>
        <w:spacing w:after="0" w:line="29"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˦˥&amp;O</w:t>
      </w:r>
      <w:r>
        <w:rPr>
          <w:rFonts w:ascii="PMingLiU" w:cs="PMingLiU" w:eastAsia="PMingLiU" w:hAnsi="PMingLiU"/>
          <w:sz w:val="16"/>
          <w:szCs w:val="16"/>
          <w:color w:val="634140"/>
        </w:rPr>
        <w:t/>
      </w:r>
      <w:r>
        <w:rPr>
          <w:rFonts w:ascii="Arial" w:cs="Arial" w:eastAsia="Arial" w:hAnsi="Arial"/>
          <w:sz w:val="16"/>
          <w:szCs w:val="16"/>
          <w:color w:val="634140"/>
        </w:rPr>
        <w:t>os_prcpjw</w:t>
      </w:r>
      <w:r>
        <w:rPr>
          <w:rFonts w:ascii="PMingLiU" w:cs="PMingLiU" w:eastAsia="PMingLiU" w:hAnsi="PMingLiU"/>
          <w:sz w:val="16"/>
          <w:szCs w:val="16"/>
          <w:color w:val="634140"/>
        </w:rPr>
        <w:t/>
      </w:r>
      <w:r>
        <w:rPr>
          <w:rFonts w:ascii="Arial" w:cs="Arial" w:eastAsia="Arial" w:hAnsi="Arial"/>
          <w:sz w:val="16"/>
          <w:szCs w:val="16"/>
          <w:color w:val="634140"/>
        </w:rPr>
        <w:t>pcnmprq</w:t>
      </w:r>
      <w:r>
        <w:rPr>
          <w:rFonts w:ascii="PMingLiU" w:cs="PMingLiU" w:eastAsia="PMingLiU" w:hAnsi="PMingLiU"/>
          <w:sz w:val="16"/>
          <w:szCs w:val="16"/>
          <w:color w:val="634140"/>
        </w:rPr>
        <w:t/>
      </w:r>
      <w:r>
        <w:rPr>
          <w:rFonts w:ascii="Arial" w:cs="Arial" w:eastAsia="Arial" w:hAnsi="Arial"/>
          <w:sz w:val="16"/>
          <w:szCs w:val="16"/>
          <w:color w:val="634140"/>
        </w:rPr>
        <w:t>ml</w:t>
      </w:r>
      <w:r>
        <w:rPr>
          <w:rFonts w:ascii="PMingLiU" w:cs="PMingLiU" w:eastAsia="PMingLiU" w:hAnsi="PMingLiU"/>
          <w:sz w:val="16"/>
          <w:szCs w:val="16"/>
          <w:color w:val="634140"/>
        </w:rPr>
        <w:t/>
      </w:r>
      <w:r>
        <w:rPr>
          <w:rFonts w:ascii="Arial" w:cs="Arial" w:eastAsia="Arial" w:hAnsi="Arial"/>
          <w:sz w:val="16"/>
          <w:szCs w:val="16"/>
          <w:color w:val="634140"/>
        </w:rPr>
        <w:t>Jmpk</w:t>
      </w:r>
      <w:r>
        <w:rPr>
          <w:rFonts w:ascii="PMingLiU" w:cs="PMingLiU" w:eastAsia="PMingLiU" w:hAnsi="PMingLiU"/>
          <w:sz w:val="16"/>
          <w:szCs w:val="16"/>
          <w:color w:val="634140"/>
        </w:rPr>
        <w:t/>
      </w:r>
      <w:r>
        <w:rPr>
          <w:rFonts w:ascii="Arial" w:cs="Arial" w:eastAsia="Arial" w:hAnsi="Arial"/>
          <w:sz w:val="16"/>
          <w:szCs w:val="16"/>
          <w:color w:val="634140"/>
        </w:rPr>
        <w:t>˦˥&amp;U</w:t>
      </w:r>
      <w:r>
        <w:rPr>
          <w:rFonts w:ascii="PMingLiU" w:cs="PMingLiU" w:eastAsia="PMingLiU" w:hAnsi="PMingLiU"/>
          <w:sz w:val="16"/>
          <w:szCs w:val="16"/>
          <w:color w:val="634140"/>
        </w:rPr>
        <w:t/>
      </w:r>
    </w:p>
    <w:p>
      <w:pPr>
        <w:spacing w:after="0" w:line="29"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asppclr</w:t>
      </w:r>
      <w:r>
        <w:rPr>
          <w:rFonts w:ascii="PMingLiU" w:cs="PMingLiU" w:eastAsia="PMingLiU" w:hAnsi="PMingLiU"/>
          <w:sz w:val="16"/>
          <w:szCs w:val="16"/>
          <w:color w:val="634140"/>
        </w:rPr>
        <w:t/>
      </w:r>
      <w:r>
        <w:rPr>
          <w:rFonts w:ascii="Arial" w:cs="Arial" w:eastAsia="Arial" w:hAnsi="Arial"/>
          <w:sz w:val="16"/>
          <w:szCs w:val="16"/>
          <w:color w:val="634140"/>
        </w:rPr>
        <w:t>pcnmprq</w:t>
      </w:r>
      <w:r>
        <w:rPr>
          <w:rFonts w:ascii="PMingLiU" w:cs="PMingLiU" w:eastAsia="PMingLiU" w:hAnsi="PMingLiU"/>
          <w:sz w:val="16"/>
          <w:szCs w:val="16"/>
          <w:color w:val="634140"/>
        </w:rPr>
        <w:t/>
      </w:r>
      <w:r>
        <w:rPr>
          <w:rFonts w:ascii="Arial" w:cs="Arial" w:eastAsia="Arial" w:hAnsi="Arial"/>
          <w:sz w:val="16"/>
          <w:szCs w:val="16"/>
          <w:color w:val="634140"/>
        </w:rPr>
        <w:t>ml</w:t>
      </w:r>
      <w:r>
        <w:rPr>
          <w:rFonts w:ascii="PMingLiU" w:cs="PMingLiU" w:eastAsia="PMingLiU" w:hAnsi="PMingLiU"/>
          <w:sz w:val="16"/>
          <w:szCs w:val="16"/>
          <w:color w:val="634140"/>
        </w:rPr>
        <w:t/>
      </w:r>
      <w:r>
        <w:rPr>
          <w:rFonts w:ascii="Arial" w:cs="Arial" w:eastAsia="Arial" w:hAnsi="Arial"/>
          <w:sz w:val="16"/>
          <w:szCs w:val="16"/>
          <w:color w:val="634140"/>
        </w:rPr>
        <w:t>Jmpk</w:t>
      </w:r>
      <w:r>
        <w:rPr>
          <w:rFonts w:ascii="PMingLiU" w:cs="PMingLiU" w:eastAsia="PMingLiU" w:hAnsi="PMingLiU"/>
          <w:sz w:val="16"/>
          <w:szCs w:val="16"/>
          <w:color w:val="634140"/>
        </w:rPr>
        <w:t/>
      </w:r>
      <w:r>
        <w:rPr>
          <w:rFonts w:ascii="Arial" w:cs="Arial" w:eastAsia="Arial" w:hAnsi="Arial"/>
          <w:sz w:val="16"/>
          <w:szCs w:val="16"/>
          <w:color w:val="634140"/>
        </w:rPr>
        <w:t>˭&amp;O</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p>
    <w:p>
      <w:pPr>
        <w:spacing w:after="0" w:line="29"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_lw</w:t>
      </w:r>
      <w:r>
        <w:rPr>
          <w:rFonts w:ascii="PMingLiU" w:cs="PMingLiU" w:eastAsia="PMingLiU" w:hAnsi="PMingLiU"/>
          <w:sz w:val="16"/>
          <w:szCs w:val="16"/>
          <w:color w:val="634140"/>
        </w:rPr>
        <w:t/>
      </w:r>
      <w:r>
        <w:rPr>
          <w:rFonts w:ascii="Arial" w:cs="Arial" w:eastAsia="Arial" w:hAnsi="Arial"/>
          <w:sz w:val="16"/>
          <w:szCs w:val="16"/>
          <w:color w:val="634140"/>
        </w:rPr>
        <w:t>_kclbkclrq</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r>
        <w:rPr>
          <w:rFonts w:ascii="Arial" w:cs="Arial" w:eastAsia="Arial" w:hAnsi="Arial"/>
          <w:sz w:val="16"/>
          <w:szCs w:val="16"/>
          <w:color w:val="634140"/>
        </w:rPr>
        <w:t>rfmqc</w:t>
      </w:r>
      <w:r>
        <w:rPr>
          <w:rFonts w:ascii="PMingLiU" w:cs="PMingLiU" w:eastAsia="PMingLiU" w:hAnsi="PMingLiU"/>
          <w:sz w:val="16"/>
          <w:szCs w:val="16"/>
          <w:color w:val="634140"/>
        </w:rPr>
        <w:t/>
      </w:r>
      <w:r>
        <w:rPr>
          <w:rFonts w:ascii="Arial" w:cs="Arial" w:eastAsia="Arial" w:hAnsi="Arial"/>
          <w:sz w:val="16"/>
          <w:szCs w:val="16"/>
          <w:color w:val="634140"/>
        </w:rPr>
        <w:t>pcnmprq</w:t>
      </w:r>
      <w:r>
        <w:rPr>
          <w:rFonts w:ascii="PMingLiU" w:cs="PMingLiU" w:eastAsia="PMingLiU" w:hAnsi="PMingLiU"/>
          <w:sz w:val="16"/>
          <w:szCs w:val="16"/>
          <w:color w:val="634140"/>
        </w:rPr>
        <w:t/>
      </w:r>
    </w:p>
    <w:p>
      <w:pPr>
        <w:spacing w:after="0" w:line="29"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_q</w:t>
      </w:r>
      <w:r>
        <w:rPr>
          <w:rFonts w:ascii="PMingLiU" w:cs="PMingLiU" w:eastAsia="PMingLiU" w:hAnsi="PMingLiU"/>
          <w:sz w:val="16"/>
          <w:szCs w:val="16"/>
          <w:color w:val="634140"/>
        </w:rPr>
        <w:t/>
      </w:r>
      <w:r>
        <w:rPr>
          <w:rFonts w:ascii="Arial" w:cs="Arial" w:eastAsia="Arial" w:hAnsi="Arial"/>
          <w:sz w:val="16"/>
          <w:szCs w:val="16"/>
          <w:color w:val="634140"/>
        </w:rPr>
        <w:t>ucjj</w:t>
      </w:r>
      <w:r>
        <w:rPr>
          <w:rFonts w:ascii="PMingLiU" w:cs="PMingLiU" w:eastAsia="PMingLiU" w:hAnsi="PMingLiU"/>
          <w:sz w:val="16"/>
          <w:szCs w:val="16"/>
          <w:color w:val="634140"/>
        </w:rPr>
        <w:t/>
      </w:r>
      <w:r>
        <w:rPr>
          <w:rFonts w:ascii="Arial" w:cs="Arial" w:eastAsia="Arial" w:hAnsi="Arial"/>
          <w:sz w:val="16"/>
          <w:szCs w:val="16"/>
          <w:color w:val="634140"/>
        </w:rPr>
        <w:t>_q</w:t>
      </w:r>
      <w:r>
        <w:rPr>
          <w:rFonts w:ascii="PMingLiU" w:cs="PMingLiU" w:eastAsia="PMingLiU" w:hAnsi="PMingLiU"/>
          <w:sz w:val="16"/>
          <w:szCs w:val="16"/>
          <w:color w:val="634140"/>
        </w:rPr>
        <w:t/>
      </w:r>
      <w:r>
        <w:rPr>
          <w:rFonts w:ascii="Arial" w:cs="Arial" w:eastAsia="Arial" w:hAnsi="Arial"/>
          <w:sz w:val="16"/>
          <w:szCs w:val="16"/>
          <w:color w:val="634140"/>
        </w:rPr>
        <w:t>_lw</w:t>
      </w:r>
      <w:r>
        <w:rPr>
          <w:rFonts w:ascii="PMingLiU" w:cs="PMingLiU" w:eastAsia="PMingLiU" w:hAnsi="PMingLiU"/>
          <w:sz w:val="16"/>
          <w:szCs w:val="16"/>
          <w:color w:val="634140"/>
        </w:rPr>
        <w:t/>
      </w:r>
      <w:r>
        <w:rPr>
          <w:rFonts w:ascii="Arial" w:cs="Arial" w:eastAsia="Arial" w:hAnsi="Arial"/>
          <w:sz w:val="16"/>
          <w:szCs w:val="16"/>
          <w:color w:val="634140"/>
        </w:rPr>
        <w:t>`clc</w:t>
      </w:r>
      <w:r>
        <w:rPr>
          <w:rFonts w:ascii="Arial" w:cs="Arial" w:eastAsia="Arial" w:hAnsi="Arial"/>
          <w:sz w:val="16"/>
          <w:szCs w:val="16"/>
          <w:color w:val="634140"/>
        </w:rPr>
        <w:t>fi</w:t>
      </w:r>
      <w:r>
        <w:rPr>
          <w:rFonts w:ascii="Arial" w:cs="Arial" w:eastAsia="Arial" w:hAnsi="Arial"/>
          <w:sz w:val="16"/>
          <w:szCs w:val="16"/>
          <w:color w:val="634140"/>
        </w:rPr>
        <w:t>ag_j</w:t>
      </w:r>
      <w:r>
        <w:rPr>
          <w:rFonts w:ascii="PMingLiU" w:cs="PMingLiU" w:eastAsia="PMingLiU" w:hAnsi="PMingLiU"/>
          <w:sz w:val="16"/>
          <w:szCs w:val="16"/>
          <w:color w:val="634140"/>
        </w:rPr>
        <w:t/>
      </w:r>
      <w:r>
        <w:rPr>
          <w:rFonts w:ascii="Arial" w:cs="Arial" w:eastAsia="Arial" w:hAnsi="Arial"/>
          <w:sz w:val="16"/>
          <w:szCs w:val="16"/>
          <w:color w:val="634140"/>
        </w:rPr>
        <w:t>mulcpqfgn</w:t>
      </w:r>
      <w:r>
        <w:rPr>
          <w:rFonts w:ascii="PMingLiU" w:cs="PMingLiU" w:eastAsia="PMingLiU" w:hAnsi="PMingLiU"/>
          <w:sz w:val="16"/>
          <w:szCs w:val="16"/>
          <w:color w:val="634140"/>
        </w:rPr>
        <w:t/>
      </w:r>
    </w:p>
    <w:p>
      <w:pPr>
        <w:spacing w:after="0" w:line="29"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pcnmprq</w:t>
      </w:r>
      <w:r>
        <w:rPr>
          <w:rFonts w:ascii="PMingLiU" w:cs="PMingLiU" w:eastAsia="PMingLiU" w:hAnsi="PMingLiU"/>
          <w:sz w:val="16"/>
          <w:szCs w:val="16"/>
          <w:color w:val="634140"/>
        </w:rPr>
        <w:t/>
      </w: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m</w:t>
      </w:r>
      <w:r>
        <w:rPr>
          <w:rFonts w:ascii="Arial" w:cs="Arial" w:eastAsia="Arial" w:hAnsi="Arial"/>
          <w:sz w:val="16"/>
          <w:szCs w:val="16"/>
          <w:color w:val="634140"/>
        </w:rPr>
        <w:t>ffi</w:t>
      </w:r>
      <w:r>
        <w:rPr>
          <w:rFonts w:ascii="Arial" w:cs="Arial" w:eastAsia="Arial" w:hAnsi="Arial"/>
          <w:sz w:val="16"/>
          <w:szCs w:val="16"/>
          <w:color w:val="634140"/>
        </w:rPr>
        <w:t>acpq</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bgpcarmp</w:t>
      </w:r>
      <w:r>
        <w:rPr>
          <w:rFonts w:ascii="Arial" w:cs="Arial" w:eastAsia="Arial" w:hAnsi="Arial"/>
          <w:sz w:val="16"/>
          <w:szCs w:val="16"/>
          <w:color w:val="634140"/>
        </w:rPr>
        <w:t>s fi</w:t>
      </w:r>
      <w:r>
        <w:rPr>
          <w:rFonts w:ascii="Arial" w:cs="Arial" w:eastAsia="Arial" w:hAnsi="Arial"/>
          <w:sz w:val="16"/>
          <w:szCs w:val="16"/>
          <w:color w:val="634140"/>
        </w:rPr>
        <w:t>jcb</w:t>
      </w:r>
      <w:r>
        <w:rPr>
          <w:rFonts w:ascii="PMingLiU" w:cs="PMingLiU" w:eastAsia="PMingLiU" w:hAnsi="PMingLiU"/>
          <w:sz w:val="16"/>
          <w:szCs w:val="16"/>
          <w:color w:val="634140"/>
        </w:rPr>
        <w:t/>
      </w:r>
    </w:p>
    <w:p>
      <w:pPr>
        <w:spacing w:after="0" w:line="29"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cjcarpmlga_jjw</w:t>
      </w:r>
      <w:r>
        <w:rPr>
          <w:rFonts w:ascii="PMingLiU" w:cs="PMingLiU" w:eastAsia="PMingLiU" w:hAnsi="PMingLiU"/>
          <w:sz w:val="16"/>
          <w:szCs w:val="16"/>
          <w:color w:val="634140"/>
        </w:rPr>
        <w:t/>
      </w:r>
      <w:r>
        <w:rPr>
          <w:rFonts w:ascii="Arial" w:cs="Arial" w:eastAsia="Arial" w:hAnsi="Arial"/>
          <w:sz w:val="16"/>
          <w:szCs w:val="16"/>
          <w:color w:val="634140"/>
        </w:rPr>
        <w:t>ml</w:t>
      </w:r>
      <w:r>
        <w:rPr>
          <w:rFonts w:ascii="PMingLiU" w:cs="PMingLiU" w:eastAsia="PMingLiU" w:hAnsi="PMingLiU"/>
          <w:sz w:val="16"/>
          <w:szCs w:val="16"/>
          <w:color w:val="634140"/>
        </w:rPr>
        <w:t/>
      </w:r>
      <w:r>
        <w:rPr>
          <w:rFonts w:ascii="Arial" w:cs="Arial" w:eastAsia="Arial" w:hAnsi="Arial"/>
          <w:sz w:val="16"/>
          <w:szCs w:val="16"/>
          <w:color w:val="634140"/>
        </w:rPr>
        <w:t>Jmpkq</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_pc</w:t>
      </w:r>
      <w:r>
        <w:rPr>
          <w:rFonts w:ascii="PMingLiU" w:cs="PMingLiU" w:eastAsia="PMingLiU" w:hAnsi="PMingLiU"/>
          <w:sz w:val="16"/>
          <w:szCs w:val="16"/>
          <w:color w:val="634140"/>
        </w:rPr>
        <w:t/>
      </w:r>
    </w:p>
    <w:p>
      <w:pPr>
        <w:spacing w:after="0" w:line="29"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_t_gj_`jc</w:t>
      </w:r>
      <w:r>
        <w:rPr>
          <w:rFonts w:ascii="PMingLiU" w:cs="PMingLiU" w:eastAsia="PMingLiU" w:hAnsi="PMingLiU"/>
          <w:sz w:val="16"/>
          <w:szCs w:val="16"/>
          <w:color w:val="634140"/>
        </w:rPr>
        <w:t/>
      </w:r>
      <w:r>
        <w:rPr>
          <w:rFonts w:ascii="Arial" w:cs="Arial" w:eastAsia="Arial" w:hAnsi="Arial"/>
          <w:sz w:val="16"/>
          <w:szCs w:val="16"/>
          <w:color w:val="634140"/>
        </w:rPr>
        <w:t>_r</w:t>
      </w:r>
      <w:r>
        <w:rPr>
          <w:rFonts w:ascii="PMingLiU" w:cs="PMingLiU" w:eastAsia="PMingLiU" w:hAnsi="PMingLiU"/>
          <w:sz w:val="16"/>
          <w:szCs w:val="16"/>
          <w:color w:val="634140"/>
        </w:rPr>
        <w:t/>
      </w:r>
      <w:r>
        <w:rPr>
          <w:rFonts w:ascii="Arial" w:cs="Arial" w:eastAsia="Arial" w:hAnsi="Arial"/>
          <w:sz w:val="16"/>
          <w:szCs w:val="16"/>
          <w:color w:val="634140"/>
        </w:rPr>
        <w:t>_qfj_lb</w:t>
      </w:r>
      <w:r>
        <w:rPr>
          <w:rFonts w:ascii="PMingLiU" w:cs="PMingLiU" w:eastAsia="PMingLiU" w:hAnsi="PMingLiU"/>
          <w:sz w:val="16"/>
          <w:szCs w:val="16"/>
          <w:color w:val="634140"/>
        </w:rPr>
        <w:t/>
      </w:r>
      <w:r>
        <w:rPr>
          <w:rFonts w:ascii="Arial" w:cs="Arial" w:eastAsia="Arial" w:hAnsi="Arial"/>
          <w:sz w:val="16"/>
          <w:szCs w:val="16"/>
          <w:color w:val="634140"/>
        </w:rPr>
        <w:t>amk</w:t>
      </w:r>
      <w:r>
        <w:rPr>
          <w:rFonts w:ascii="PMingLiU" w:cs="PMingLiU" w:eastAsia="PMingLiU" w:hAnsi="PMingLiU"/>
          <w:sz w:val="16"/>
          <w:szCs w:val="16"/>
          <w:color w:val="634140"/>
        </w:rPr>
        <w:t/>
      </w:r>
    </w:p>
    <w:p>
      <w:pPr>
        <w:spacing w:after="0" w:line="141" w:lineRule="exact"/>
        <w:rPr>
          <w:sz w:val="20"/>
          <w:szCs w:val="20"/>
          <w:color w:val="auto"/>
        </w:rPr>
      </w:pPr>
    </w:p>
    <w:p>
      <w:pPr>
        <w:ind w:left="600" w:right="240"/>
        <w:spacing w:after="0" w:line="217" w:lineRule="exact"/>
        <w:rPr>
          <w:sz w:val="20"/>
          <w:szCs w:val="20"/>
          <w:color w:val="auto"/>
        </w:rPr>
      </w:pPr>
      <w:r>
        <w:rPr>
          <w:rFonts w:ascii="Arial" w:cs="Arial" w:eastAsia="Arial" w:hAnsi="Arial"/>
          <w:sz w:val="16"/>
          <w:szCs w:val="16"/>
          <w:b w:val="1"/>
          <w:bCs w:val="1"/>
          <w:color w:val="634140"/>
        </w:rPr>
        <w:t>T_ncp</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amngcq</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_jqm</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_pc</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_t_gj_`jc</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 xml:space="preserve"> snml</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pcoscqr</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_lb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_r</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lm</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af_pec</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 xml:space="preserve"> Vcoscqrq</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dmp</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rfcqc</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_lb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mrfcp</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 xml:space="preserve"> qrmaifmjbcp</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_lb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qcaspgrw</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_l_jwqr</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 xml:space="preserve"> glosgpgcq</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qfmsjb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`c</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bgpcarcb</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rm</w:t>
      </w:r>
    </w:p>
    <w:p>
      <w:pPr>
        <w:spacing w:after="0" w:line="144"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b w:val="1"/>
          <w:bCs w:val="1"/>
          <w:color w:val="634140"/>
        </w:rPr>
        <w:t>W_lbw</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Ojsek_l</w:t>
      </w:r>
    </w:p>
    <w:p>
      <w:pPr>
        <w:spacing w:after="0" w:line="33" w:lineRule="exact"/>
        <w:rPr>
          <w:sz w:val="20"/>
          <w:szCs w:val="20"/>
          <w:color w:val="auto"/>
        </w:rPr>
      </w:pPr>
    </w:p>
    <w:p>
      <w:pPr>
        <w:ind w:left="600" w:right="900"/>
        <w:spacing w:after="0" w:line="207" w:lineRule="exact"/>
        <w:rPr>
          <w:sz w:val="20"/>
          <w:szCs w:val="20"/>
          <w:color w:val="auto"/>
        </w:rPr>
      </w:pPr>
      <w:r>
        <w:rPr>
          <w:rFonts w:ascii="Arial" w:cs="Arial" w:eastAsia="Arial" w:hAnsi="Arial"/>
          <w:sz w:val="14"/>
          <w:szCs w:val="14"/>
          <w:color w:val="634140"/>
        </w:rPr>
        <w:t>Hgpcarmp</w:t>
      </w:r>
      <w:r>
        <w:rPr>
          <w:rFonts w:ascii="PMingLiU" w:cs="PMingLiU" w:eastAsia="PMingLiU" w:hAnsi="PMingLiU"/>
          <w:sz w:val="14"/>
          <w:szCs w:val="14"/>
          <w:color w:val="634140"/>
        </w:rPr>
        <w:t/>
      </w:r>
      <w:r>
        <w:rPr>
          <w:rFonts w:ascii="Arial" w:cs="Arial" w:eastAsia="Arial" w:hAnsi="Arial"/>
          <w:sz w:val="14"/>
          <w:szCs w:val="14"/>
          <w:color w:val="634140"/>
        </w:rPr>
        <w:t>Mltcqrmp</w:t>
      </w:r>
      <w:r>
        <w:rPr>
          <w:rFonts w:ascii="PMingLiU" w:cs="PMingLiU" w:eastAsia="PMingLiU" w:hAnsi="PMingLiU"/>
          <w:sz w:val="14"/>
          <w:szCs w:val="14"/>
          <w:color w:val="634140"/>
        </w:rPr>
        <w:t/>
      </w:r>
      <w:r>
        <w:rPr>
          <w:rFonts w:ascii="Arial" w:cs="Arial" w:eastAsia="Arial" w:hAnsi="Arial"/>
          <w:sz w:val="14"/>
          <w:szCs w:val="14"/>
          <w:color w:val="634140"/>
        </w:rPr>
        <w:t>Vcj_rgmlq Xcj</w:t>
      </w:r>
      <w:r>
        <w:rPr>
          <w:rFonts w:ascii="PMingLiU" w:cs="PMingLiU" w:eastAsia="PMingLiU" w:hAnsi="PMingLiU"/>
          <w:sz w:val="14"/>
          <w:szCs w:val="14"/>
          <w:color w:val="634140"/>
        </w:rPr>
        <w:t/>
      </w:r>
      <w:r>
        <w:rPr>
          <w:rFonts w:ascii="Arial" w:cs="Arial" w:eastAsia="Arial" w:hAnsi="Arial"/>
          <w:sz w:val="14"/>
          <w:szCs w:val="14"/>
          <w:color w:val="634140"/>
        </w:rPr>
        <w:t>η˦</w:t>
      </w:r>
      <w:r>
        <w:rPr>
          <w:rFonts w:ascii="PMingLiU" w:cs="PMingLiU" w:eastAsia="PMingLiU" w:hAnsi="PMingLiU"/>
          <w:sz w:val="14"/>
          <w:szCs w:val="14"/>
          <w:color w:val="634140"/>
        </w:rPr>
        <w:t/>
      </w:r>
      <w:r>
        <w:rPr>
          <w:rFonts w:ascii="Arial" w:cs="Arial" w:eastAsia="Arial" w:hAnsi="Arial"/>
          <w:sz w:val="14"/>
          <w:szCs w:val="14"/>
          <w:color w:val="634140"/>
        </w:rPr>
        <w:t>˨˥˧</w:t>
      </w:r>
      <w:r>
        <w:rPr>
          <w:rFonts w:ascii="PMingLiU" w:cs="PMingLiU" w:eastAsia="PMingLiU" w:hAnsi="PMingLiU"/>
          <w:sz w:val="14"/>
          <w:szCs w:val="14"/>
          <w:color w:val="634140"/>
        </w:rPr>
        <w:t/>
      </w:r>
      <w:r>
        <w:rPr>
          <w:rFonts w:ascii="Arial" w:cs="Arial" w:eastAsia="Arial" w:hAnsi="Arial"/>
          <w:sz w:val="14"/>
          <w:szCs w:val="14"/>
          <w:color w:val="634140"/>
        </w:rPr>
        <w:t>˪ˮ˩</w:t>
      </w:r>
      <w:r>
        <w:rPr>
          <w:rFonts w:ascii="PMingLiU" w:cs="PMingLiU" w:eastAsia="PMingLiU" w:hAnsi="PMingLiU"/>
          <w:sz w:val="14"/>
          <w:szCs w:val="14"/>
          <w:color w:val="634140"/>
        </w:rPr>
        <w:t/>
      </w:r>
      <w:r>
        <w:rPr>
          <w:rFonts w:ascii="Arial" w:cs="Arial" w:eastAsia="Arial" w:hAnsi="Arial"/>
          <w:sz w:val="14"/>
          <w:szCs w:val="14"/>
          <w:color w:val="634140"/>
        </w:rPr>
        <w:t>ˬˬˬˬ</w:t>
      </w:r>
    </w:p>
    <w:p>
      <w:pPr>
        <w:spacing w:after="0" w:line="30" w:lineRule="exact"/>
        <w:rPr>
          <w:sz w:val="20"/>
          <w:szCs w:val="20"/>
          <w:color w:val="auto"/>
        </w:rPr>
      </w:pPr>
    </w:p>
    <w:p>
      <w:pPr>
        <w:ind w:left="600"/>
        <w:spacing w:after="0" w:line="194" w:lineRule="exact"/>
        <w:rPr>
          <w:sz w:val="20"/>
          <w:szCs w:val="20"/>
          <w:color w:val="auto"/>
        </w:rPr>
      </w:pPr>
      <w:r>
        <w:rPr>
          <w:rFonts w:ascii="Arial" w:cs="Arial" w:eastAsia="Arial" w:hAnsi="Arial"/>
          <w:sz w:val="16"/>
          <w:szCs w:val="16"/>
          <w:color w:val="634140"/>
        </w:rPr>
        <w:t>q_lbw</w:t>
      </w:r>
      <w:r>
        <w:rPr>
          <w:rFonts w:ascii="PMingLiU" w:cs="PMingLiU" w:eastAsia="PMingLiU" w:hAnsi="PMingLiU"/>
          <w:sz w:val="16"/>
          <w:szCs w:val="16"/>
          <w:color w:val="634140"/>
        </w:rPr>
        <w:t/>
      </w:r>
      <w:r>
        <w:rPr>
          <w:rFonts w:ascii="Arial" w:cs="Arial" w:eastAsia="Arial" w:hAnsi="Arial"/>
          <w:sz w:val="16"/>
          <w:szCs w:val="16"/>
          <w:color w:val="634140"/>
        </w:rPr>
        <w:t>ijsek_lD_qfj_lb</w:t>
      </w:r>
      <w:r>
        <w:rPr>
          <w:rFonts w:ascii="PMingLiU" w:cs="PMingLiU" w:eastAsia="PMingLiU" w:hAnsi="PMingLiU"/>
          <w:sz w:val="16"/>
          <w:szCs w:val="16"/>
          <w:color w:val="634140"/>
        </w:rPr>
        <w:t/>
      </w:r>
      <w:r>
        <w:rPr>
          <w:rFonts w:ascii="Arial" w:cs="Arial" w:eastAsia="Arial" w:hAnsi="Arial"/>
          <w:sz w:val="16"/>
          <w:szCs w:val="16"/>
          <w:color w:val="634140"/>
        </w:rPr>
        <w:t>amk</w:t>
      </w:r>
    </w:p>
    <w:p>
      <w:pPr>
        <w:spacing w:after="0" w:line="255" w:lineRule="exact"/>
        <w:rPr>
          <w:sz w:val="20"/>
          <w:szCs w:val="20"/>
          <w:color w:val="auto"/>
        </w:rPr>
      </w:pPr>
    </w:p>
    <w:p>
      <w:pPr>
        <w:ind w:left="1100"/>
        <w:spacing w:after="0" w:line="267" w:lineRule="exact"/>
        <w:rPr>
          <w:sz w:val="20"/>
          <w:szCs w:val="20"/>
          <w:color w:val="auto"/>
        </w:rPr>
      </w:pPr>
      <w:r>
        <w:rPr>
          <w:rFonts w:ascii="Arial" w:cs="Arial" w:eastAsia="Arial" w:hAnsi="Arial"/>
          <w:sz w:val="22"/>
          <w:szCs w:val="22"/>
          <w:color w:val="FFFFFF"/>
        </w:rPr>
        <w:t>rgaicp</w:t>
      </w:r>
      <w:r>
        <w:rPr>
          <w:rFonts w:ascii="PMingLiU" w:cs="PMingLiU" w:eastAsia="PMingLiU" w:hAnsi="PMingLiU"/>
          <w:sz w:val="22"/>
          <w:szCs w:val="22"/>
          <w:color w:val="FFFFFF"/>
        </w:rPr>
        <w:t/>
      </w:r>
      <w:r>
        <w:rPr>
          <w:rFonts w:ascii="Arial" w:cs="Arial" w:eastAsia="Arial" w:hAnsi="Arial"/>
          <w:sz w:val="22"/>
          <w:szCs w:val="22"/>
          <w:color w:val="FFFFFF"/>
        </w:rPr>
        <w:t xml:space="preserve">qwk`mj </w:t>
      </w:r>
      <w:r>
        <w:rPr>
          <w:rFonts w:ascii="PMingLiU" w:cs="PMingLiU" w:eastAsia="PMingLiU" w:hAnsi="PMingLiU"/>
          <w:sz w:val="22"/>
          <w:szCs w:val="22"/>
          <w:color w:val="FFFFFF"/>
        </w:rPr>
        <w:t/>
      </w:r>
      <w:r>
        <w:rPr>
          <w:rFonts w:ascii="Arial" w:cs="Arial" w:eastAsia="Arial" w:hAnsi="Arial"/>
          <w:sz w:val="22"/>
          <w:szCs w:val="22"/>
          <w:color w:val="FFFFFF"/>
        </w:rPr>
        <w:t>EWL</w:t>
      </w:r>
    </w:p>
    <w:p>
      <w:pPr>
        <w:spacing w:after="0" w:line="136" w:lineRule="exact"/>
        <w:rPr>
          <w:sz w:val="20"/>
          <w:szCs w:val="20"/>
          <w:color w:val="auto"/>
        </w:rPr>
      </w:pPr>
    </w:p>
    <w:p>
      <w:pPr>
        <w:ind w:left="600" w:right="480"/>
        <w:spacing w:after="0" w:line="207" w:lineRule="exact"/>
        <w:rPr>
          <w:sz w:val="20"/>
          <w:szCs w:val="20"/>
          <w:color w:val="auto"/>
        </w:rPr>
      </w:pPr>
      <w:r>
        <w:rPr>
          <w:rFonts w:ascii="Arial" w:cs="Arial" w:eastAsia="Arial" w:hAnsi="Arial"/>
          <w:sz w:val="16"/>
          <w:szCs w:val="16"/>
          <w:color w:val="634140"/>
        </w:rPr>
        <w:t>Jgqa_j</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ajmqgle</w:t>
      </w:r>
      <w:r>
        <w:rPr>
          <w:rFonts w:ascii="PMingLiU" w:cs="PMingLiU" w:eastAsia="PMingLiU" w:hAnsi="PMingLiU"/>
          <w:sz w:val="16"/>
          <w:szCs w:val="16"/>
          <w:color w:val="634140"/>
        </w:rPr>
        <w:t/>
      </w:r>
      <w:r>
        <w:rPr>
          <w:rFonts w:ascii="Arial" w:cs="Arial" w:eastAsia="Arial" w:hAnsi="Arial"/>
          <w:sz w:val="16"/>
          <w:szCs w:val="16"/>
          <w:color w:val="634140"/>
        </w:rPr>
        <w:t>qrmai</w:t>
      </w:r>
      <w:r>
        <w:rPr>
          <w:rFonts w:ascii="PMingLiU" w:cs="PMingLiU" w:eastAsia="PMingLiU" w:hAnsi="PMingLiU"/>
          <w:sz w:val="16"/>
          <w:szCs w:val="16"/>
          <w:color w:val="634140"/>
        </w:rPr>
        <w:t/>
      </w:r>
      <w:r>
        <w:rPr>
          <w:rFonts w:ascii="Arial" w:cs="Arial" w:eastAsia="Arial" w:hAnsi="Arial"/>
          <w:sz w:val="16"/>
          <w:szCs w:val="16"/>
          <w:color w:val="634140"/>
        </w:rPr>
        <w:t>npgacq</w:t>
      </w:r>
      <w:r>
        <w:rPr>
          <w:rFonts w:ascii="PMingLiU" w:cs="PMingLiU" w:eastAsia="PMingLiU" w:hAnsi="PMingLiU"/>
          <w:sz w:val="16"/>
          <w:szCs w:val="16"/>
          <w:color w:val="634140"/>
        </w:rPr>
        <w:t/>
      </w:r>
      <w:r>
        <w:rPr>
          <w:rFonts w:ascii="Arial" w:cs="Arial" w:eastAsia="Arial" w:hAnsi="Arial"/>
          <w:sz w:val="16"/>
          <w:szCs w:val="16"/>
          <w:color w:val="634140"/>
        </w:rPr>
        <w:t xml:space="preserve"> ncp</w:t>
      </w:r>
      <w:r>
        <w:rPr>
          <w:rFonts w:ascii="PMingLiU" w:cs="PMingLiU" w:eastAsia="PMingLiU" w:hAnsi="PMingLiU"/>
          <w:sz w:val="16"/>
          <w:szCs w:val="16"/>
          <w:color w:val="634140"/>
        </w:rPr>
        <w:t/>
      </w:r>
      <w:r>
        <w:rPr>
          <w:rFonts w:ascii="Arial" w:cs="Arial" w:eastAsia="Arial" w:hAnsi="Arial"/>
          <w:sz w:val="16"/>
          <w:szCs w:val="16"/>
          <w:color w:val="634140"/>
        </w:rPr>
        <w:t>amkkml</w:t>
      </w:r>
      <w:r>
        <w:rPr>
          <w:rFonts w:ascii="PMingLiU" w:cs="PMingLiU" w:eastAsia="PMingLiU" w:hAnsi="PMingLiU"/>
          <w:sz w:val="16"/>
          <w:szCs w:val="16"/>
          <w:color w:val="634140"/>
        </w:rPr>
        <w:t/>
      </w:r>
      <w:r>
        <w:rPr>
          <w:rFonts w:ascii="Arial" w:cs="Arial" w:eastAsia="Arial" w:hAnsi="Arial"/>
          <w:sz w:val="16"/>
          <w:szCs w:val="16"/>
          <w:color w:val="634140"/>
        </w:rPr>
        <w:t>qf_pc</w:t>
      </w:r>
    </w:p>
    <w:p>
      <w:pPr>
        <w:spacing w:after="0" w:line="143" w:lineRule="exact"/>
        <w:rPr>
          <w:sz w:val="20"/>
          <w:szCs w:val="20"/>
          <w:color w:val="auto"/>
        </w:rPr>
      </w:pPr>
    </w:p>
    <w:tbl>
      <w:tblPr>
        <w:tblLayout w:type="fixed"/>
        <w:tblInd w:w="600" w:type="dxa"/>
        <w:tblCellMar>
          <w:top w:w="0" w:type="dxa"/>
          <w:left w:w="0" w:type="dxa"/>
          <w:bottom w:w="0" w:type="dxa"/>
          <w:right w:w="0" w:type="dxa"/>
        </w:tblCellMar>
      </w:tblPr>
      <w:tr>
        <w:trPr>
          <w:trHeight w:val="194"/>
        </w:trPr>
        <w:tc>
          <w:tcPr>
            <w:tcW w:w="860" w:type="dxa"/>
            <w:vAlign w:val="bottom"/>
          </w:tcPr>
          <w:p>
            <w:pPr>
              <w:spacing w:after="0"/>
              <w:rPr>
                <w:sz w:val="20"/>
                <w:szCs w:val="20"/>
                <w:color w:val="auto"/>
              </w:rPr>
            </w:pPr>
            <w:r>
              <w:rPr>
                <w:rFonts w:ascii="Arial" w:cs="Arial" w:eastAsia="Arial" w:hAnsi="Arial"/>
                <w:sz w:val="16"/>
                <w:szCs w:val="16"/>
                <w:color w:val="634140"/>
              </w:rPr>
              <w:t>Lgef</w:t>
            </w:r>
          </w:p>
        </w:tc>
        <w:tc>
          <w:tcPr>
            <w:tcW w:w="920" w:type="dxa"/>
            <w:vAlign w:val="bottom"/>
          </w:tcPr>
          <w:p>
            <w:pPr>
              <w:ind w:left="220"/>
              <w:spacing w:after="0" w:line="194" w:lineRule="exact"/>
              <w:rPr>
                <w:sz w:val="20"/>
                <w:szCs w:val="20"/>
                <w:color w:val="auto"/>
              </w:rPr>
            </w:pPr>
            <w:r>
              <w:rPr>
                <w:rFonts w:ascii="Arial" w:cs="Arial" w:eastAsia="Arial" w:hAnsi="Arial"/>
                <w:sz w:val="16"/>
                <w:szCs w:val="16"/>
                <w:color w:val="634140"/>
              </w:rPr>
              <w:t>˭ˬ</w:t>
            </w:r>
            <w:r>
              <w:rPr>
                <w:rFonts w:ascii="PMingLiU" w:cs="PMingLiU" w:eastAsia="PMingLiU" w:hAnsi="PMingLiU"/>
                <w:sz w:val="16"/>
                <w:szCs w:val="16"/>
                <w:color w:val="634140"/>
              </w:rPr>
              <w:t/>
            </w:r>
            <w:r>
              <w:rPr>
                <w:rFonts w:ascii="Arial" w:cs="Arial" w:eastAsia="Arial" w:hAnsi="Arial"/>
                <w:sz w:val="16"/>
                <w:szCs w:val="16"/>
                <w:color w:val="634140"/>
              </w:rPr>
              <w:t>ˬ˭</w:t>
            </w:r>
          </w:p>
        </w:tc>
        <w:tc>
          <w:tcPr>
            <w:tcW w:w="780" w:type="dxa"/>
            <w:vAlign w:val="bottom"/>
          </w:tcPr>
          <w:p>
            <w:pPr>
              <w:ind w:left="220"/>
              <w:spacing w:after="0"/>
              <w:rPr>
                <w:sz w:val="20"/>
                <w:szCs w:val="20"/>
                <w:color w:val="auto"/>
              </w:rPr>
            </w:pPr>
            <w:r>
              <w:rPr>
                <w:rFonts w:ascii="Arial" w:cs="Arial" w:eastAsia="Arial" w:hAnsi="Arial"/>
                <w:sz w:val="16"/>
                <w:szCs w:val="16"/>
                <w:color w:val="634140"/>
              </w:rPr>
              <w:t>˦˥5˦ˬ5˧˩</w:t>
            </w:r>
          </w:p>
        </w:tc>
      </w:tr>
      <w:tr>
        <w:trPr>
          <w:trHeight w:val="223"/>
        </w:trPr>
        <w:tc>
          <w:tcPr>
            <w:tcW w:w="860" w:type="dxa"/>
            <w:vAlign w:val="bottom"/>
          </w:tcPr>
          <w:p>
            <w:pPr>
              <w:spacing w:after="0"/>
              <w:rPr>
                <w:sz w:val="20"/>
                <w:szCs w:val="20"/>
                <w:color w:val="auto"/>
              </w:rPr>
            </w:pPr>
            <w:r>
              <w:rPr>
                <w:rFonts w:ascii="Arial" w:cs="Arial" w:eastAsia="Arial" w:hAnsi="Arial"/>
                <w:sz w:val="16"/>
                <w:szCs w:val="16"/>
                <w:color w:val="634140"/>
              </w:rPr>
              <w:t>Pmu</w:t>
            </w:r>
          </w:p>
        </w:tc>
        <w:tc>
          <w:tcPr>
            <w:tcW w:w="920" w:type="dxa"/>
            <w:vAlign w:val="bottom"/>
          </w:tcPr>
          <w:p>
            <w:pPr>
              <w:ind w:left="220"/>
              <w:spacing w:after="0" w:line="194"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w:t>
            </w:r>
          </w:p>
        </w:tc>
        <w:tc>
          <w:tcPr>
            <w:tcW w:w="780" w:type="dxa"/>
            <w:vAlign w:val="bottom"/>
          </w:tcPr>
          <w:p>
            <w:pPr>
              <w:ind w:left="220"/>
              <w:spacing w:after="0"/>
              <w:rPr>
                <w:sz w:val="20"/>
                <w:szCs w:val="20"/>
                <w:color w:val="auto"/>
              </w:rPr>
            </w:pPr>
            <w:r>
              <w:rPr>
                <w:rFonts w:ascii="Arial" w:cs="Arial" w:eastAsia="Arial" w:hAnsi="Arial"/>
                <w:sz w:val="16"/>
                <w:szCs w:val="16"/>
                <w:color w:val="634140"/>
              </w:rPr>
              <w:t>˩5˥˭5˧˪</w:t>
            </w:r>
          </w:p>
        </w:tc>
      </w:tr>
      <w:tr>
        <w:trPr>
          <w:trHeight w:val="223"/>
        </w:trPr>
        <w:tc>
          <w:tcPr>
            <w:tcW w:w="860" w:type="dxa"/>
            <w:vAlign w:val="bottom"/>
          </w:tcPr>
          <w:p>
            <w:pPr>
              <w:spacing w:after="0"/>
              <w:rPr>
                <w:sz w:val="20"/>
                <w:szCs w:val="20"/>
                <w:color w:val="auto"/>
              </w:rPr>
            </w:pPr>
            <w:r>
              <w:rPr>
                <w:rFonts w:ascii="Arial" w:cs="Arial" w:eastAsia="Arial" w:hAnsi="Arial"/>
                <w:sz w:val="16"/>
                <w:szCs w:val="16"/>
                <w:color w:val="634140"/>
              </w:rPr>
              <w:t>]c_p&amp;clb</w:t>
            </w:r>
          </w:p>
        </w:tc>
        <w:tc>
          <w:tcPr>
            <w:tcW w:w="920" w:type="dxa"/>
            <w:vAlign w:val="bottom"/>
          </w:tcPr>
          <w:p>
            <w:pPr>
              <w:ind w:left="220"/>
              <w:spacing w:after="0" w:line="194" w:lineRule="exact"/>
              <w:rPr>
                <w:sz w:val="20"/>
                <w:szCs w:val="20"/>
                <w:color w:val="auto"/>
              </w:rPr>
            </w:pPr>
            <w:r>
              <w:rPr>
                <w:rFonts w:ascii="Arial" w:cs="Arial" w:eastAsia="Arial" w:hAnsi="Arial"/>
                <w:sz w:val="16"/>
                <w:szCs w:val="16"/>
                <w:color w:val="634140"/>
              </w:rPr>
              <w:t>˩ˬ</w:t>
            </w:r>
            <w:r>
              <w:rPr>
                <w:rFonts w:ascii="PMingLiU" w:cs="PMingLiU" w:eastAsia="PMingLiU" w:hAnsi="PMingLiU"/>
                <w:sz w:val="16"/>
                <w:szCs w:val="16"/>
                <w:color w:val="634140"/>
              </w:rPr>
              <w:t/>
            </w:r>
            <w:r>
              <w:rPr>
                <w:rFonts w:ascii="Arial" w:cs="Arial" w:eastAsia="Arial" w:hAnsi="Arial"/>
                <w:sz w:val="16"/>
                <w:szCs w:val="16"/>
                <w:color w:val="634140"/>
              </w:rPr>
              <w:t>ˮ˦</w:t>
            </w:r>
          </w:p>
        </w:tc>
        <w:tc>
          <w:tcPr>
            <w:tcW w:w="780" w:type="dxa"/>
            <w:vAlign w:val="bottom"/>
          </w:tcPr>
          <w:p>
            <w:pPr>
              <w:ind w:left="220"/>
              <w:spacing w:after="0"/>
              <w:rPr>
                <w:sz w:val="20"/>
                <w:szCs w:val="20"/>
                <w:color w:val="auto"/>
              </w:rPr>
            </w:pPr>
            <w:r>
              <w:rPr>
                <w:rFonts w:ascii="Arial" w:cs="Arial" w:eastAsia="Arial" w:hAnsi="Arial"/>
                <w:sz w:val="16"/>
                <w:szCs w:val="16"/>
                <w:color w:val="634140"/>
              </w:rPr>
              <w:t>ˮ5˨˥5˧˪</w:t>
            </w:r>
          </w:p>
        </w:tc>
      </w:tr>
    </w:tbl>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r>
        <w:rPr>
          <w:rFonts w:ascii="Arial" w:cs="Arial" w:eastAsia="Arial" w:hAnsi="Arial"/>
          <w:sz w:val="16"/>
          <w:szCs w:val="16"/>
          <w:color w:val="634140"/>
        </w:rPr>
        <w:t>Rmrgac</w:t>
      </w:r>
      <w:r>
        <w:rPr>
          <w:rFonts w:ascii="PMingLiU" w:cs="PMingLiU" w:eastAsia="PMingLiU" w:hAnsi="PMingLiU"/>
          <w:sz w:val="16"/>
          <w:szCs w:val="16"/>
          <w:color w:val="634140"/>
        </w:rPr>
        <w:t/>
      </w: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_lls_j</w:t>
      </w:r>
      <w:r>
        <w:rPr>
          <w:rFonts w:ascii="PMingLiU" w:cs="PMingLiU" w:eastAsia="PMingLiU" w:hAnsi="PMingLiU"/>
          <w:sz w:val="16"/>
          <w:szCs w:val="16"/>
          <w:color w:val="634140"/>
        </w:rPr>
        <w:t/>
      </w:r>
      <w:r>
        <w:rPr>
          <w:rFonts w:ascii="Arial" w:cs="Arial" w:eastAsia="Arial" w:hAnsi="Arial"/>
          <w:sz w:val="16"/>
          <w:szCs w:val="16"/>
          <w:color w:val="634140"/>
        </w:rPr>
        <w:t>kccrgle</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npmvw</w:t>
      </w:r>
      <w:r>
        <w:rPr>
          <w:rFonts w:ascii="PMingLiU" w:cs="PMingLiU" w:eastAsia="PMingLiU" w:hAnsi="PMingLiU"/>
          <w:sz w:val="16"/>
          <w:szCs w:val="16"/>
          <w:color w:val="634140"/>
        </w:rPr>
        <w:t/>
      </w:r>
      <w:r>
        <w:rPr>
          <w:rFonts w:ascii="Arial" w:cs="Arial" w:eastAsia="Arial" w:hAnsi="Arial"/>
          <w:sz w:val="16"/>
          <w:szCs w:val="16"/>
          <w:color w:val="634140"/>
        </w:rPr>
        <w:t>k_rcpg_jq</w:t>
      </w:r>
      <w:r>
        <w:rPr>
          <w:rFonts w:ascii="PMingLiU" w:cs="PMingLiU" w:eastAsia="PMingLiU" w:hAnsi="PMingLiU"/>
          <w:sz w:val="16"/>
          <w:szCs w:val="16"/>
          <w:color w:val="634140"/>
        </w:rPr>
        <w:t/>
      </w:r>
      <w:r>
        <w:rPr>
          <w:rFonts w:ascii="Arial" w:cs="Arial" w:eastAsia="Arial" w:hAnsi="Arial"/>
          <w:sz w:val="16"/>
          <w:szCs w:val="16"/>
          <w:color w:val="634140"/>
        </w:rPr>
        <w:t>_pc</w:t>
      </w:r>
      <w:r>
        <w:rPr>
          <w:rFonts w:ascii="PMingLiU" w:cs="PMingLiU" w:eastAsia="PMingLiU" w:hAnsi="PMingLiU"/>
          <w:sz w:val="16"/>
          <w:szCs w:val="16"/>
          <w:color w:val="634140"/>
        </w:rPr>
        <w:t/>
      </w:r>
      <w:r>
        <w:rPr>
          <w:rFonts w:ascii="Arial" w:cs="Arial" w:eastAsia="Arial" w:hAnsi="Arial"/>
          <w:sz w:val="16"/>
          <w:szCs w:val="16"/>
          <w:color w:val="634140"/>
        </w:rPr>
        <w:t>k_gjcb</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qf_pcfmjbcpq</w:t>
      </w:r>
      <w:r>
        <w:rPr>
          <w:rFonts w:ascii="PMingLiU" w:cs="PMingLiU" w:eastAsia="PMingLiU" w:hAnsi="PMingLiU"/>
          <w:sz w:val="16"/>
          <w:szCs w:val="16"/>
          <w:color w:val="634140"/>
        </w:rPr>
        <w:t/>
      </w:r>
      <w:r>
        <w:rPr>
          <w:rFonts w:ascii="Arial" w:cs="Arial" w:eastAsia="Arial" w:hAnsi="Arial"/>
          <w:sz w:val="16"/>
          <w:szCs w:val="16"/>
          <w:color w:val="634140"/>
        </w:rPr>
        <w:t>gl</w:t>
      </w:r>
      <w:r>
        <w:rPr>
          <w:rFonts w:ascii="PMingLiU" w:cs="PMingLiU" w:eastAsia="PMingLiU" w:hAnsi="PMingLiU"/>
          <w:sz w:val="16"/>
          <w:szCs w:val="16"/>
          <w:color w:val="634140"/>
        </w:rPr>
        <w:t/>
      </w:r>
      <w:r>
        <w:rPr>
          <w:rFonts w:ascii="Arial" w:cs="Arial" w:eastAsia="Arial" w:hAnsi="Arial"/>
          <w:sz w:val="16"/>
          <w:szCs w:val="16"/>
          <w:color w:val="634140"/>
        </w:rPr>
        <w:t>Hcack`cp</w:t>
      </w:r>
      <w:r>
        <w:rPr>
          <w:rFonts w:ascii="PMingLiU" w:cs="PMingLiU" w:eastAsia="PMingLiU" w:hAnsi="PMingLiU"/>
          <w:sz w:val="16"/>
          <w:szCs w:val="16"/>
          <w:color w:val="634140"/>
        </w:rPr>
        <w:t/>
      </w:r>
      <w:r>
        <w:rPr>
          <w:rFonts w:ascii="Arial" w:cs="Arial" w:eastAsia="Arial" w:hAnsi="Arial"/>
          <w:sz w:val="16"/>
          <w:szCs w:val="16"/>
          <w:color w:val="634140"/>
        </w:rPr>
        <w:t>_jmle</w:t>
      </w:r>
      <w:r>
        <w:rPr>
          <w:rFonts w:ascii="PMingLiU" w:cs="PMingLiU" w:eastAsia="PMingLiU" w:hAnsi="PMingLiU"/>
          <w:sz w:val="16"/>
          <w:szCs w:val="16"/>
          <w:color w:val="634140"/>
        </w:rPr>
        <w:t/>
      </w:r>
      <w:r>
        <w:rPr>
          <w:rFonts w:ascii="Arial" w:cs="Arial" w:eastAsia="Arial" w:hAnsi="Arial"/>
          <w:sz w:val="16"/>
          <w:szCs w:val="16"/>
          <w:color w:val="634140"/>
        </w:rPr>
        <w:t>ugrf</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glqrpsargmlq</w:t>
      </w:r>
      <w:r>
        <w:rPr>
          <w:rFonts w:ascii="PMingLiU" w:cs="PMingLiU" w:eastAsia="PMingLiU" w:hAnsi="PMingLiU"/>
          <w:sz w:val="16"/>
          <w:szCs w:val="16"/>
          <w:color w:val="634140"/>
        </w:rPr>
        <w:t/>
      </w:r>
      <w:r>
        <w:rPr>
          <w:rFonts w:ascii="Arial" w:cs="Arial" w:eastAsia="Arial" w:hAnsi="Arial"/>
          <w:sz w:val="16"/>
          <w:szCs w:val="16"/>
          <w:color w:val="634140"/>
        </w:rPr>
        <w:t>dmp</w:t>
      </w:r>
      <w:r>
        <w:rPr>
          <w:rFonts w:ascii="PMingLiU" w:cs="PMingLiU" w:eastAsia="PMingLiU" w:hAnsi="PMingLiU"/>
          <w:sz w:val="16"/>
          <w:szCs w:val="16"/>
          <w:color w:val="634140"/>
        </w:rPr>
        <w:t/>
      </w:r>
      <w:r>
        <w:rPr>
          <w:rFonts w:ascii="Arial" w:cs="Arial" w:eastAsia="Arial" w:hAnsi="Arial"/>
          <w:sz w:val="16"/>
          <w:szCs w:val="16"/>
          <w:color w:val="634140"/>
        </w:rPr>
        <w:t>fmu</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r>
        <w:rPr>
          <w:rFonts w:ascii="Arial" w:cs="Arial" w:eastAsia="Arial" w:hAnsi="Arial"/>
          <w:sz w:val="16"/>
          <w:szCs w:val="16"/>
          <w:color w:val="634140"/>
        </w:rPr>
        <w:t>tgcu</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npmvw</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k_rcpg_jq</w:t>
      </w:r>
      <w:r>
        <w:rPr>
          <w:rFonts w:ascii="PMingLiU" w:cs="PMingLiU" w:eastAsia="PMingLiU" w:hAnsi="PMingLiU"/>
          <w:sz w:val="16"/>
          <w:szCs w:val="16"/>
          <w:color w:val="634140"/>
        </w:rPr>
        <w:t/>
      </w:r>
      <w:r>
        <w:rPr>
          <w:rFonts w:ascii="Arial" w:cs="Arial" w:eastAsia="Arial" w:hAnsi="Arial"/>
          <w:sz w:val="16"/>
          <w:szCs w:val="16"/>
          <w:color w:val="634140"/>
        </w:rPr>
        <w:t>mljglc</w:t>
      </w:r>
      <w:r>
        <w:rPr>
          <w:rFonts w:ascii="PMingLiU" w:cs="PMingLiU" w:eastAsia="PMingLiU" w:hAnsi="PMingLiU"/>
          <w:sz w:val="16"/>
          <w:szCs w:val="16"/>
          <w:color w:val="634140"/>
        </w:rPr>
        <w:t/>
      </w:r>
      <w:r>
        <w:rPr>
          <w:rFonts w:ascii="Arial" w:cs="Arial" w:eastAsia="Arial" w:hAnsi="Arial"/>
          <w:sz w:val="16"/>
          <w:szCs w:val="16"/>
          <w:color w:val="634140"/>
        </w:rPr>
        <w:t>Wf_pcfmjbcpq</w:t>
      </w:r>
      <w:r>
        <w:rPr>
          <w:rFonts w:ascii="PMingLiU" w:cs="PMingLiU" w:eastAsia="PMingLiU" w:hAnsi="PMingLiU"/>
          <w:sz w:val="16"/>
          <w:szCs w:val="16"/>
          <w:color w:val="634140"/>
        </w:rPr>
        <w:t/>
      </w:r>
      <w:r>
        <w:rPr>
          <w:rFonts w:ascii="Arial" w:cs="Arial" w:eastAsia="Arial" w:hAnsi="Arial"/>
          <w:sz w:val="16"/>
          <w:szCs w:val="16"/>
          <w:color w:val="634140"/>
        </w:rPr>
        <w:t>k_w</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_jqm</w:t>
      </w:r>
      <w:r>
        <w:rPr>
          <w:rFonts w:ascii="PMingLiU" w:cs="PMingLiU" w:eastAsia="PMingLiU" w:hAnsi="PMingLiU"/>
          <w:sz w:val="16"/>
          <w:szCs w:val="16"/>
          <w:color w:val="634140"/>
        </w:rPr>
        <w:t/>
      </w:r>
      <w:r>
        <w:rPr>
          <w:rFonts w:ascii="Arial" w:cs="Arial" w:eastAsia="Arial" w:hAnsi="Arial"/>
          <w:sz w:val="16"/>
          <w:szCs w:val="16"/>
          <w:color w:val="634140"/>
        </w:rPr>
        <w:t>pcoscqr</w:t>
      </w:r>
      <w:r>
        <w:rPr>
          <w:rFonts w:ascii="PMingLiU" w:cs="PMingLiU" w:eastAsia="PMingLiU" w:hAnsi="PMingLiU"/>
          <w:sz w:val="16"/>
          <w:szCs w:val="16"/>
          <w:color w:val="634140"/>
        </w:rPr>
        <w:t/>
      </w:r>
      <w:r>
        <w:rPr>
          <w:rFonts w:ascii="Arial" w:cs="Arial" w:eastAsia="Arial" w:hAnsi="Arial"/>
          <w:sz w:val="16"/>
          <w:szCs w:val="16"/>
          <w:color w:val="634140"/>
        </w:rPr>
        <w:t>npglrcb</w:t>
      </w:r>
      <w:r>
        <w:rPr>
          <w:rFonts w:ascii="PMingLiU" w:cs="PMingLiU" w:eastAsia="PMingLiU" w:hAnsi="PMingLiU"/>
          <w:sz w:val="16"/>
          <w:szCs w:val="16"/>
          <w:color w:val="634140"/>
        </w:rPr>
        <w:t/>
      </w:r>
      <w:r>
        <w:rPr>
          <w:rFonts w:ascii="Arial" w:cs="Arial" w:eastAsia="Arial" w:hAnsi="Arial"/>
          <w:sz w:val="16"/>
          <w:szCs w:val="16"/>
          <w:color w:val="634140"/>
        </w:rPr>
        <w:t>amngcq</w:t>
      </w:r>
      <w:r>
        <w:rPr>
          <w:rFonts w:ascii="PMingLiU" w:cs="PMingLiU" w:eastAsia="PMingLiU" w:hAnsi="PMingLiU"/>
          <w:sz w:val="16"/>
          <w:szCs w:val="16"/>
          <w:color w:val="634140"/>
        </w:rPr>
        <w:t/>
      </w: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npmvw</w:t>
      </w:r>
      <w:r>
        <w:rPr>
          <w:rFonts w:ascii="PMingLiU" w:cs="PMingLiU" w:eastAsia="PMingLiU" w:hAnsi="PMingLiU"/>
          <w:sz w:val="16"/>
          <w:szCs w:val="16"/>
          <w:color w:val="634140"/>
        </w:rPr>
        <w:t/>
      </w:r>
      <w:r>
        <w:rPr>
          <w:rFonts w:ascii="Arial" w:cs="Arial" w:eastAsia="Arial" w:hAnsi="Arial"/>
          <w:sz w:val="16"/>
          <w:szCs w:val="16"/>
          <w:color w:val="634140"/>
        </w:rPr>
        <w:t>qr_rckclr</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_lls_j</w:t>
      </w:r>
      <w:r>
        <w:rPr>
          <w:rFonts w:ascii="PMingLiU" w:cs="PMingLiU" w:eastAsia="PMingLiU" w:hAnsi="PMingLiU"/>
          <w:sz w:val="16"/>
          <w:szCs w:val="16"/>
          <w:color w:val="634140"/>
        </w:rPr>
        <w:t/>
      </w:r>
      <w:r>
        <w:rPr>
          <w:rFonts w:ascii="Arial" w:cs="Arial" w:eastAsia="Arial" w:hAnsi="Arial"/>
          <w:sz w:val="16"/>
          <w:szCs w:val="16"/>
          <w:color w:val="634140"/>
        </w:rPr>
        <w:t>pcnmpr</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`w</w:t>
      </w:r>
      <w:r>
        <w:rPr>
          <w:rFonts w:ascii="PMingLiU" w:cs="PMingLiU" w:eastAsia="PMingLiU" w:hAnsi="PMingLiU"/>
          <w:sz w:val="16"/>
          <w:szCs w:val="16"/>
          <w:color w:val="634140"/>
        </w:rPr>
        <w:t/>
      </w:r>
      <w:r>
        <w:rPr>
          <w:rFonts w:ascii="Arial" w:cs="Arial" w:eastAsia="Arial" w:hAnsi="Arial"/>
          <w:sz w:val="16"/>
          <w:szCs w:val="16"/>
          <w:color w:val="634140"/>
        </w:rPr>
        <w:t>dmjjmugle</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glqrpsargmlq</w:t>
      </w:r>
      <w:r>
        <w:rPr>
          <w:rFonts w:ascii="PMingLiU" w:cs="PMingLiU" w:eastAsia="PMingLiU" w:hAnsi="PMingLiU"/>
          <w:sz w:val="16"/>
          <w:szCs w:val="16"/>
          <w:color w:val="634140"/>
        </w:rPr>
        <w:t/>
      </w:r>
      <w:r>
        <w:rPr>
          <w:rFonts w:ascii="Arial" w:cs="Arial" w:eastAsia="Arial" w:hAnsi="Arial"/>
          <w:sz w:val="16"/>
          <w:szCs w:val="16"/>
          <w:color w:val="634140"/>
        </w:rPr>
        <w:t>glajsbcb</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gl</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Rmrgac</w:t>
      </w:r>
      <w:r>
        <w:rPr>
          <w:rFonts w:ascii="PMingLiU" w:cs="PMingLiU" w:eastAsia="PMingLiU" w:hAnsi="PMingLiU"/>
          <w:sz w:val="16"/>
          <w:szCs w:val="16"/>
          <w:color w:val="634140"/>
        </w:rPr>
        <w:t/>
      </w:r>
    </w:p>
    <w:p>
      <w:pPr>
        <w:spacing w:after="0" w:line="349" w:lineRule="exact"/>
        <w:rPr>
          <w:sz w:val="20"/>
          <w:szCs w:val="20"/>
          <w:color w:val="auto"/>
        </w:rPr>
      </w:pPr>
    </w:p>
    <w:p>
      <w:pPr>
        <w:jc w:val="center"/>
        <w:spacing w:after="0" w:line="267" w:lineRule="exact"/>
        <w:rPr>
          <w:sz w:val="20"/>
          <w:szCs w:val="20"/>
          <w:color w:val="auto"/>
        </w:rPr>
      </w:pPr>
      <w:r>
        <w:rPr>
          <w:rFonts w:ascii="Arial" w:cs="Arial" w:eastAsia="Arial" w:hAnsi="Arial"/>
          <w:sz w:val="22"/>
          <w:szCs w:val="22"/>
          <w:color w:val="FFFFFF"/>
        </w:rPr>
        <w:t>qrmai</w:t>
      </w:r>
      <w:r>
        <w:rPr>
          <w:rFonts w:ascii="PMingLiU" w:cs="PMingLiU" w:eastAsia="PMingLiU" w:hAnsi="PMingLiU"/>
          <w:sz w:val="22"/>
          <w:szCs w:val="22"/>
          <w:color w:val="FFFFFF"/>
        </w:rPr>
        <w:t/>
      </w:r>
      <w:r>
        <w:rPr>
          <w:rFonts w:ascii="Arial" w:cs="Arial" w:eastAsia="Arial" w:hAnsi="Arial"/>
          <w:sz w:val="22"/>
          <w:szCs w:val="22"/>
          <w:color w:val="FFFFFF"/>
        </w:rPr>
        <w:t>gldmpk_rgml</w:t>
      </w:r>
    </w:p>
    <w:p>
      <w:pPr>
        <w:spacing w:after="0" w:line="134"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Eqfj_lb</w:t>
      </w:r>
      <w:r>
        <w:rPr>
          <w:rFonts w:ascii="PMingLiU" w:cs="PMingLiU" w:eastAsia="PMingLiU" w:hAnsi="PMingLiU"/>
          <w:sz w:val="16"/>
          <w:szCs w:val="16"/>
          <w:color w:val="634140"/>
        </w:rPr>
        <w:t/>
      </w:r>
      <w:r>
        <w:rPr>
          <w:rFonts w:ascii="Arial" w:cs="Arial" w:eastAsia="Arial" w:hAnsi="Arial"/>
          <w:sz w:val="16"/>
          <w:szCs w:val="16"/>
          <w:color w:val="634140"/>
        </w:rPr>
        <w:t>gq</w:t>
      </w:r>
      <w:r>
        <w:rPr>
          <w:rFonts w:ascii="PMingLiU" w:cs="PMingLiU" w:eastAsia="PMingLiU" w:hAnsi="PMingLiU"/>
          <w:sz w:val="16"/>
          <w:szCs w:val="16"/>
          <w:color w:val="634140"/>
        </w:rPr>
        <w:t/>
      </w:r>
      <w:r>
        <w:rPr>
          <w:rFonts w:ascii="Arial" w:cs="Arial" w:eastAsia="Arial" w:hAnsi="Arial"/>
          <w:sz w:val="16"/>
          <w:szCs w:val="16"/>
          <w:color w:val="634140"/>
        </w:rPr>
        <w:t>glampnmp_rcb</w:t>
      </w:r>
      <w:r>
        <w:rPr>
          <w:rFonts w:ascii="PMingLiU" w:cs="PMingLiU" w:eastAsia="PMingLiU" w:hAnsi="PMingLiU"/>
          <w:sz w:val="16"/>
          <w:szCs w:val="16"/>
          <w:color w:val="634140"/>
        </w:rPr>
        <w:t/>
      </w:r>
      <w:r>
        <w:rPr>
          <w:rFonts w:ascii="Arial" w:cs="Arial" w:eastAsia="Arial" w:hAnsi="Arial"/>
          <w:sz w:val="16"/>
          <w:szCs w:val="16"/>
          <w:color w:val="634140"/>
        </w:rPr>
        <w:t>slbcp</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p>
    <w:p>
      <w:pPr>
        <w:spacing w:after="0" w:line="31" w:lineRule="exact"/>
        <w:rPr>
          <w:sz w:val="20"/>
          <w:szCs w:val="20"/>
          <w:color w:val="auto"/>
        </w:rPr>
      </w:pPr>
    </w:p>
    <w:p>
      <w:pPr>
        <w:ind w:right="80"/>
        <w:spacing w:after="0" w:line="215" w:lineRule="exact"/>
        <w:rPr>
          <w:sz w:val="20"/>
          <w:szCs w:val="20"/>
          <w:color w:val="auto"/>
        </w:rPr>
      </w:pPr>
      <w:r>
        <w:rPr>
          <w:rFonts w:ascii="Arial" w:cs="Arial" w:eastAsia="Arial" w:hAnsi="Arial"/>
          <w:sz w:val="16"/>
          <w:szCs w:val="16"/>
          <w:color w:val="634140"/>
        </w:rPr>
        <w:t>j_uq</w:t>
      </w:r>
      <w:r>
        <w:rPr>
          <w:rFonts w:ascii="PMingLiU" w:cs="PMingLiU" w:eastAsia="PMingLiU" w:hAnsi="PMingLiU"/>
          <w:sz w:val="16"/>
          <w:szCs w:val="16"/>
          <w:color w:val="634140"/>
        </w:rPr>
        <w:t/>
      </w: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Hcj_u_pc</w:t>
      </w:r>
      <w:r>
        <w:rPr>
          <w:rFonts w:ascii="PMingLiU" w:cs="PMingLiU" w:eastAsia="PMingLiU" w:hAnsi="PMingLiU"/>
          <w:sz w:val="16"/>
          <w:szCs w:val="16"/>
          <w:color w:val="634140"/>
        </w:rPr>
        <w:t/>
      </w:r>
      <w:r>
        <w:rPr>
          <w:rFonts w:ascii="Arial" w:cs="Arial" w:eastAsia="Arial" w:hAnsi="Arial"/>
          <w:sz w:val="16"/>
          <w:szCs w:val="16"/>
          <w:color w:val="634140"/>
        </w:rPr>
        <w:t>Eqfj_lb</w:t>
      </w:r>
      <w:r>
        <w:rPr>
          <w:rFonts w:ascii="PMingLiU" w:cs="PMingLiU" w:eastAsia="PMingLiU" w:hAnsi="PMingLiU"/>
          <w:sz w:val="16"/>
          <w:szCs w:val="16"/>
          <w:color w:val="634140"/>
        </w:rPr>
        <w:t/>
      </w:r>
      <w:r>
        <w:rPr>
          <w:rFonts w:ascii="Arial" w:cs="Arial" w:eastAsia="Arial" w:hAnsi="Arial"/>
          <w:sz w:val="16"/>
          <w:szCs w:val="16"/>
          <w:color w:val="634140"/>
        </w:rPr>
        <w:t>amkkml</w:t>
      </w:r>
      <w:r>
        <w:rPr>
          <w:rFonts w:ascii="PMingLiU" w:cs="PMingLiU" w:eastAsia="PMingLiU" w:hAnsi="PMingLiU"/>
          <w:sz w:val="16"/>
          <w:szCs w:val="16"/>
          <w:color w:val="634140"/>
        </w:rPr>
        <w:t/>
      </w:r>
      <w:r>
        <w:rPr>
          <w:rFonts w:ascii="Arial" w:cs="Arial" w:eastAsia="Arial" w:hAnsi="Arial"/>
          <w:sz w:val="16"/>
          <w:szCs w:val="16"/>
          <w:color w:val="634140"/>
        </w:rPr>
        <w:t xml:space="preserve"> qrmai</w:t>
      </w:r>
      <w:r>
        <w:rPr>
          <w:rFonts w:ascii="PMingLiU" w:cs="PMingLiU" w:eastAsia="PMingLiU" w:hAnsi="PMingLiU"/>
          <w:sz w:val="16"/>
          <w:szCs w:val="16"/>
          <w:color w:val="634140"/>
        </w:rPr>
        <w:t/>
      </w:r>
      <w:r>
        <w:rPr>
          <w:rFonts w:ascii="Arial" w:cs="Arial" w:eastAsia="Arial" w:hAnsi="Arial"/>
          <w:sz w:val="16"/>
          <w:szCs w:val="16"/>
          <w:color w:val="634140"/>
        </w:rPr>
        <w:t>gq</w:t>
      </w:r>
      <w:r>
        <w:rPr>
          <w:rFonts w:ascii="PMingLiU" w:cs="PMingLiU" w:eastAsia="PMingLiU" w:hAnsi="PMingLiU"/>
          <w:sz w:val="16"/>
          <w:szCs w:val="16"/>
          <w:color w:val="634140"/>
        </w:rPr>
        <w:t/>
      </w:r>
      <w:r>
        <w:rPr>
          <w:rFonts w:ascii="Arial" w:cs="Arial" w:eastAsia="Arial" w:hAnsi="Arial"/>
          <w:sz w:val="16"/>
          <w:szCs w:val="16"/>
          <w:color w:val="634140"/>
        </w:rPr>
        <w:t>jgqrcb</w:t>
      </w:r>
      <w:r>
        <w:rPr>
          <w:rFonts w:ascii="PMingLiU" w:cs="PMingLiU" w:eastAsia="PMingLiU" w:hAnsi="PMingLiU"/>
          <w:sz w:val="16"/>
          <w:szCs w:val="16"/>
          <w:color w:val="634140"/>
        </w:rPr>
        <w:t/>
      </w:r>
      <w:r>
        <w:rPr>
          <w:rFonts w:ascii="Arial" w:cs="Arial" w:eastAsia="Arial" w:hAnsi="Arial"/>
          <w:sz w:val="16"/>
          <w:szCs w:val="16"/>
          <w:color w:val="634140"/>
        </w:rPr>
        <w:t>ml</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Rcu</w:t>
      </w:r>
      <w:r>
        <w:rPr>
          <w:rFonts w:ascii="PMingLiU" w:cs="PMingLiU" w:eastAsia="PMingLiU" w:hAnsi="PMingLiU"/>
          <w:sz w:val="16"/>
          <w:szCs w:val="16"/>
          <w:color w:val="634140"/>
        </w:rPr>
        <w:t/>
      </w:r>
      <w:r>
        <w:rPr>
          <w:rFonts w:ascii="Arial" w:cs="Arial" w:eastAsia="Arial" w:hAnsi="Arial"/>
          <w:sz w:val="16"/>
          <w:szCs w:val="16"/>
          <w:color w:val="634140"/>
        </w:rPr>
        <w:t>]mpi</w:t>
      </w:r>
      <w:r>
        <w:rPr>
          <w:rFonts w:ascii="PMingLiU" w:cs="PMingLiU" w:eastAsia="PMingLiU" w:hAnsi="PMingLiU"/>
          <w:sz w:val="16"/>
          <w:szCs w:val="16"/>
          <w:color w:val="634140"/>
        </w:rPr>
        <w:t/>
      </w:r>
      <w:r>
        <w:rPr>
          <w:rFonts w:ascii="Arial" w:cs="Arial" w:eastAsia="Arial" w:hAnsi="Arial"/>
          <w:sz w:val="16"/>
          <w:szCs w:val="16"/>
          <w:color w:val="634140"/>
        </w:rPr>
        <w:t>Wrmai</w:t>
      </w:r>
      <w:r>
        <w:rPr>
          <w:rFonts w:ascii="PMingLiU" w:cs="PMingLiU" w:eastAsia="PMingLiU" w:hAnsi="PMingLiU"/>
          <w:sz w:val="16"/>
          <w:szCs w:val="16"/>
          <w:color w:val="634140"/>
        </w:rPr>
        <w:t/>
      </w:r>
      <w:r>
        <w:rPr>
          <w:rFonts w:ascii="Arial" w:cs="Arial" w:eastAsia="Arial" w:hAnsi="Arial"/>
          <w:sz w:val="16"/>
          <w:szCs w:val="16"/>
          <w:color w:val="634140"/>
        </w:rPr>
        <w:t xml:space="preserve"> Ivaf_lec</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_jqm</w:t>
      </w:r>
      <w:r>
        <w:rPr>
          <w:rFonts w:ascii="PMingLiU" w:cs="PMingLiU" w:eastAsia="PMingLiU" w:hAnsi="PMingLiU"/>
          <w:sz w:val="16"/>
          <w:szCs w:val="16"/>
          <w:color w:val="634140"/>
        </w:rPr>
        <w:t/>
      </w:r>
      <w:r>
        <w:rPr>
          <w:rFonts w:ascii="Arial" w:cs="Arial" w:eastAsia="Arial" w:hAnsi="Arial"/>
          <w:sz w:val="16"/>
          <w:szCs w:val="16"/>
          <w:color w:val="634140"/>
        </w:rPr>
        <w:t>f_q</w:t>
      </w:r>
      <w:r>
        <w:rPr>
          <w:rFonts w:ascii="PMingLiU" w:cs="PMingLiU" w:eastAsia="PMingLiU" w:hAnsi="PMingLiU"/>
          <w:sz w:val="16"/>
          <w:szCs w:val="16"/>
          <w:color w:val="634140"/>
        </w:rPr>
        <w:t/>
      </w:r>
      <w:r>
        <w:rPr>
          <w:rFonts w:ascii="Arial" w:cs="Arial" w:eastAsia="Arial" w:hAnsi="Arial"/>
          <w:sz w:val="16"/>
          <w:szCs w:val="16"/>
          <w:color w:val="634140"/>
        </w:rPr>
        <w:t>rp_bgle</w:t>
      </w:r>
      <w:r>
        <w:rPr>
          <w:rFonts w:ascii="PMingLiU" w:cs="PMingLiU" w:eastAsia="PMingLiU" w:hAnsi="PMingLiU"/>
          <w:sz w:val="16"/>
          <w:szCs w:val="16"/>
          <w:color w:val="634140"/>
        </w:rPr>
        <w:t/>
      </w:r>
      <w:r>
        <w:rPr>
          <w:rFonts w:ascii="Arial" w:cs="Arial" w:eastAsia="Arial" w:hAnsi="Arial"/>
          <w:sz w:val="16"/>
          <w:szCs w:val="16"/>
          <w:color w:val="634140"/>
        </w:rPr>
        <w:t xml:space="preserve"> npgtgjcecq</w:t>
      </w:r>
      <w:r>
        <w:rPr>
          <w:rFonts w:ascii="PMingLiU" w:cs="PMingLiU" w:eastAsia="PMingLiU" w:hAnsi="PMingLiU"/>
          <w:sz w:val="16"/>
          <w:szCs w:val="16"/>
          <w:color w:val="634140"/>
        </w:rPr>
        <w:t/>
      </w:r>
      <w:r>
        <w:rPr>
          <w:rFonts w:ascii="Arial" w:cs="Arial" w:eastAsia="Arial" w:hAnsi="Arial"/>
          <w:sz w:val="16"/>
          <w:szCs w:val="16"/>
          <w:color w:val="634140"/>
        </w:rPr>
        <w:t>ml</w:t>
      </w:r>
      <w:r>
        <w:rPr>
          <w:rFonts w:ascii="PMingLiU" w:cs="PMingLiU" w:eastAsia="PMingLiU" w:hAnsi="PMingLiU"/>
          <w:sz w:val="16"/>
          <w:szCs w:val="16"/>
          <w:color w:val="634140"/>
        </w:rPr>
        <w:t/>
      </w:r>
      <w:r>
        <w:rPr>
          <w:rFonts w:ascii="Arial" w:cs="Arial" w:eastAsia="Arial" w:hAnsi="Arial"/>
          <w:sz w:val="16"/>
          <w:szCs w:val="16"/>
          <w:color w:val="634140"/>
        </w:rPr>
        <w:t>REWHEU</w:t>
      </w:r>
      <w:r>
        <w:rPr>
          <w:rFonts w:ascii="PMingLiU" w:cs="PMingLiU" w:eastAsia="PMingLiU" w:hAnsi="PMingLiU"/>
          <w:sz w:val="16"/>
          <w:szCs w:val="16"/>
          <w:color w:val="634140"/>
        </w:rPr>
        <w:t/>
      </w:r>
    </w:p>
    <w:p>
      <w:pPr>
        <w:spacing w:after="0" w:line="145"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Uscqrgmlq</w:t>
      </w:r>
      <w:r>
        <w:rPr>
          <w:rFonts w:ascii="PMingLiU" w:cs="PMingLiU" w:eastAsia="PMingLiU" w:hAnsi="PMingLiU"/>
          <w:sz w:val="16"/>
          <w:szCs w:val="16"/>
          <w:color w:val="634140"/>
        </w:rPr>
        <w:t/>
      </w:r>
      <w:r>
        <w:rPr>
          <w:rFonts w:ascii="Arial" w:cs="Arial" w:eastAsia="Arial" w:hAnsi="Arial"/>
          <w:sz w:val="16"/>
          <w:szCs w:val="16"/>
          <w:color w:val="634140"/>
        </w:rPr>
        <w:t>pce_pbgle</w:t>
      </w:r>
      <w:r>
        <w:rPr>
          <w:rFonts w:ascii="PMingLiU" w:cs="PMingLiU" w:eastAsia="PMingLiU" w:hAnsi="PMingLiU"/>
          <w:sz w:val="16"/>
          <w:szCs w:val="16"/>
          <w:color w:val="634140"/>
        </w:rPr>
        <w:t/>
      </w:r>
      <w:r>
        <w:rPr>
          <w:rFonts w:ascii="Arial" w:cs="Arial" w:eastAsia="Arial" w:hAnsi="Arial"/>
          <w:sz w:val="16"/>
          <w:szCs w:val="16"/>
          <w:color w:val="634140"/>
        </w:rPr>
        <w:t>qf_pcfmjbcp</w:t>
      </w:r>
      <w:r>
        <w:rPr>
          <w:rFonts w:ascii="PMingLiU" w:cs="PMingLiU" w:eastAsia="PMingLiU" w:hAnsi="PMingLiU"/>
          <w:sz w:val="16"/>
          <w:szCs w:val="16"/>
          <w:color w:val="634140"/>
        </w:rPr>
        <w:t/>
      </w:r>
    </w:p>
    <w:p>
      <w:pPr>
        <w:spacing w:after="0" w:line="31" w:lineRule="exact"/>
        <w:rPr>
          <w:sz w:val="20"/>
          <w:szCs w:val="20"/>
          <w:color w:val="auto"/>
        </w:rPr>
      </w:pPr>
    </w:p>
    <w:p>
      <w:pPr>
        <w:ind w:right="20"/>
        <w:spacing w:after="0" w:line="225" w:lineRule="exact"/>
        <w:rPr>
          <w:sz w:val="20"/>
          <w:szCs w:val="20"/>
          <w:color w:val="auto"/>
        </w:rPr>
      </w:pPr>
      <w:r>
        <w:rPr>
          <w:rFonts w:ascii="Arial" w:cs="Arial" w:eastAsia="Arial" w:hAnsi="Arial"/>
          <w:sz w:val="16"/>
          <w:szCs w:val="16"/>
          <w:color w:val="634140"/>
        </w:rPr>
        <w:t>_aamslrq</w:t>
      </w:r>
      <w:r>
        <w:rPr>
          <w:rFonts w:ascii="PMingLiU" w:cs="PMingLiU" w:eastAsia="PMingLiU" w:hAnsi="PMingLiU"/>
          <w:sz w:val="16"/>
          <w:szCs w:val="16"/>
          <w:color w:val="634140"/>
        </w:rPr>
        <w:t/>
      </w:r>
      <w:r>
        <w:rPr>
          <w:rFonts w:ascii="Arial" w:cs="Arial" w:eastAsia="Arial" w:hAnsi="Arial"/>
          <w:sz w:val="16"/>
          <w:szCs w:val="16"/>
          <w:color w:val="634140"/>
        </w:rPr>
        <w:t>bgtgbclbq</w:t>
      </w:r>
      <w:r>
        <w:rPr>
          <w:rFonts w:ascii="PMingLiU" w:cs="PMingLiU" w:eastAsia="PMingLiU" w:hAnsi="PMingLiU"/>
          <w:sz w:val="16"/>
          <w:szCs w:val="16"/>
          <w:color w:val="634140"/>
        </w:rPr>
        <w:t/>
      </w:r>
      <w:r>
        <w:rPr>
          <w:rFonts w:ascii="Arial" w:cs="Arial" w:eastAsia="Arial" w:hAnsi="Arial"/>
          <w:sz w:val="16"/>
          <w:szCs w:val="16"/>
          <w:color w:val="634140"/>
        </w:rPr>
        <w:t>mp</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bgtgbclb</w:t>
      </w:r>
      <w:r>
        <w:rPr>
          <w:rFonts w:ascii="PMingLiU" w:cs="PMingLiU" w:eastAsia="PMingLiU" w:hAnsi="PMingLiU"/>
          <w:sz w:val="16"/>
          <w:szCs w:val="16"/>
          <w:color w:val="634140"/>
        </w:rPr>
        <w:t/>
      </w:r>
      <w:r>
        <w:rPr>
          <w:rFonts w:ascii="Arial" w:cs="Arial" w:eastAsia="Arial" w:hAnsi="Arial"/>
          <w:sz w:val="16"/>
          <w:szCs w:val="16"/>
          <w:color w:val="634140"/>
        </w:rPr>
        <w:t xml:space="preserve"> pcgltcqrkclr</w:t>
      </w:r>
      <w:r>
        <w:rPr>
          <w:rFonts w:ascii="PMingLiU" w:cs="PMingLiU" w:eastAsia="PMingLiU" w:hAnsi="PMingLiU"/>
          <w:sz w:val="16"/>
          <w:szCs w:val="16"/>
          <w:color w:val="634140"/>
        </w:rPr>
        <w:t/>
      </w:r>
      <w:r>
        <w:rPr>
          <w:rFonts w:ascii="Arial" w:cs="Arial" w:eastAsia="Arial" w:hAnsi="Arial"/>
          <w:sz w:val="16"/>
          <w:szCs w:val="16"/>
          <w:color w:val="634140"/>
        </w:rPr>
        <w:t>nj_l</w:t>
      </w:r>
      <w:r>
        <w:rPr>
          <w:rFonts w:ascii="PMingLiU" w:cs="PMingLiU" w:eastAsia="PMingLiU" w:hAnsi="PMingLiU"/>
          <w:sz w:val="16"/>
          <w:szCs w:val="16"/>
          <w:color w:val="634140"/>
        </w:rPr>
        <w:t/>
      </w:r>
      <w:r>
        <w:rPr>
          <w:rFonts w:ascii="Arial" w:cs="Arial" w:eastAsia="Arial" w:hAnsi="Arial"/>
          <w:sz w:val="16"/>
          <w:szCs w:val="16"/>
          <w:color w:val="634140"/>
        </w:rPr>
        <w:t>qfmsjb</w:t>
      </w:r>
      <w:r>
        <w:rPr>
          <w:rFonts w:ascii="PMingLiU" w:cs="PMingLiU" w:eastAsia="PMingLiU" w:hAnsi="PMingLiU"/>
          <w:sz w:val="16"/>
          <w:szCs w:val="16"/>
          <w:color w:val="634140"/>
        </w:rPr>
        <w:t/>
      </w:r>
      <w:r>
        <w:rPr>
          <w:rFonts w:ascii="Arial" w:cs="Arial" w:eastAsia="Arial" w:hAnsi="Arial"/>
          <w:sz w:val="16"/>
          <w:szCs w:val="16"/>
          <w:color w:val="634140"/>
        </w:rPr>
        <w:t>`c</w:t>
      </w:r>
      <w:r>
        <w:rPr>
          <w:rFonts w:ascii="PMingLiU" w:cs="PMingLiU" w:eastAsia="PMingLiU" w:hAnsi="PMingLiU"/>
          <w:sz w:val="16"/>
          <w:szCs w:val="16"/>
          <w:color w:val="634140"/>
        </w:rPr>
        <w:t/>
      </w:r>
      <w:r>
        <w:rPr>
          <w:rFonts w:ascii="Arial" w:cs="Arial" w:eastAsia="Arial" w:hAnsi="Arial"/>
          <w:sz w:val="16"/>
          <w:szCs w:val="16"/>
          <w:color w:val="634140"/>
        </w:rPr>
        <w:t>bgpcarcb</w:t>
      </w:r>
      <w:r>
        <w:rPr>
          <w:rFonts w:ascii="PMingLiU" w:cs="PMingLiU" w:eastAsia="PMingLiU" w:hAnsi="PMingLiU"/>
          <w:sz w:val="16"/>
          <w:szCs w:val="16"/>
          <w:color w:val="634140"/>
        </w:rPr>
        <w:t/>
      </w:r>
      <w:r>
        <w:rPr>
          <w:rFonts w:ascii="Arial" w:cs="Arial" w:eastAsia="Arial" w:hAnsi="Arial"/>
          <w:sz w:val="16"/>
          <w:szCs w:val="16"/>
          <w:color w:val="634140"/>
        </w:rPr>
        <w:t xml:space="preserve"> rm</w:t>
      </w:r>
      <w:r>
        <w:rPr>
          <w:rFonts w:ascii="PMingLiU" w:cs="PMingLiU" w:eastAsia="PMingLiU" w:hAnsi="PMingLiU"/>
          <w:sz w:val="16"/>
          <w:szCs w:val="16"/>
          <w:color w:val="634140"/>
        </w:rPr>
        <w:t/>
      </w:r>
      <w:r>
        <w:rPr>
          <w:rFonts w:ascii="Arial" w:cs="Arial" w:eastAsia="Arial" w:hAnsi="Arial"/>
          <w:sz w:val="16"/>
          <w:szCs w:val="16"/>
          <w:color w:val="634140"/>
        </w:rPr>
        <w:t>Eqfj_lb</w:t>
      </w:r>
      <w:r>
        <w:rPr>
          <w:rFonts w:ascii="PMingLiU" w:cs="PMingLiU" w:eastAsia="PMingLiU" w:hAnsi="PMingLiU"/>
          <w:sz w:val="16"/>
          <w:szCs w:val="16"/>
          <w:color w:val="634140"/>
        </w:rPr>
        <w:t/>
      </w:r>
      <w:r>
        <w:rPr>
          <w:rFonts w:ascii="Arial" w:cs="Arial" w:eastAsia="Arial" w:hAnsi="Arial"/>
          <w:sz w:val="16"/>
          <w:szCs w:val="16"/>
          <w:color w:val="634140"/>
        </w:rPr>
        <w:t>q</w:t>
      </w:r>
      <w:r>
        <w:rPr>
          <w:rFonts w:ascii="PMingLiU" w:cs="PMingLiU" w:eastAsia="PMingLiU" w:hAnsi="PMingLiU"/>
          <w:sz w:val="16"/>
          <w:szCs w:val="16"/>
          <w:color w:val="634140"/>
        </w:rPr>
        <w:t/>
      </w:r>
      <w:r>
        <w:rPr>
          <w:rFonts w:ascii="Arial" w:cs="Arial" w:eastAsia="Arial" w:hAnsi="Arial"/>
          <w:sz w:val="16"/>
          <w:szCs w:val="16"/>
          <w:color w:val="634140"/>
        </w:rPr>
        <w:t>rp_lqdcp</w:t>
      </w:r>
      <w:r>
        <w:rPr>
          <w:rFonts w:ascii="PMingLiU" w:cs="PMingLiU" w:eastAsia="PMingLiU" w:hAnsi="PMingLiU"/>
          <w:sz w:val="16"/>
          <w:szCs w:val="16"/>
          <w:color w:val="634140"/>
        </w:rPr>
        <w:t/>
      </w:r>
      <w:r>
        <w:rPr>
          <w:rFonts w:ascii="Arial" w:cs="Arial" w:eastAsia="Arial" w:hAnsi="Arial"/>
          <w:sz w:val="16"/>
          <w:szCs w:val="16"/>
          <w:color w:val="634140"/>
        </w:rPr>
        <w:t>_eclr</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 xml:space="preserve"> pcegqrp_p</w:t>
      </w:r>
    </w:p>
    <w:p>
      <w:pPr>
        <w:spacing w:after="0" w:line="328"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IU</w:t>
      </w:r>
      <w:r>
        <w:rPr>
          <w:rFonts w:ascii="PMingLiU" w:cs="PMingLiU" w:eastAsia="PMingLiU" w:hAnsi="PMingLiU"/>
          <w:sz w:val="16"/>
          <w:szCs w:val="16"/>
          <w:color w:val="634140"/>
        </w:rPr>
        <w:t/>
      </w:r>
      <w:r>
        <w:rPr>
          <w:rFonts w:ascii="Arial" w:cs="Arial" w:eastAsia="Arial" w:hAnsi="Arial"/>
          <w:sz w:val="16"/>
          <w:szCs w:val="16"/>
          <w:color w:val="634140"/>
        </w:rPr>
        <w:t>Wf_pcmulcp</w:t>
      </w:r>
      <w:r>
        <w:rPr>
          <w:rFonts w:ascii="PMingLiU" w:cs="PMingLiU" w:eastAsia="PMingLiU" w:hAnsi="PMingLiU"/>
          <w:sz w:val="16"/>
          <w:szCs w:val="16"/>
          <w:color w:val="634140"/>
        </w:rPr>
        <w:t/>
      </w:r>
      <w:r>
        <w:rPr>
          <w:rFonts w:ascii="Arial" w:cs="Arial" w:eastAsia="Arial" w:hAnsi="Arial"/>
          <w:sz w:val="16"/>
          <w:szCs w:val="16"/>
          <w:color w:val="634140"/>
        </w:rPr>
        <w:t>Wcptgacq</w:t>
      </w:r>
    </w:p>
    <w:p>
      <w:pPr>
        <w:spacing w:after="0" w:line="31" w:lineRule="exact"/>
        <w:rPr>
          <w:sz w:val="20"/>
          <w:szCs w:val="20"/>
          <w:color w:val="auto"/>
        </w:rPr>
      </w:pPr>
    </w:p>
    <w:p>
      <w:pPr>
        <w:ind w:right="400"/>
        <w:spacing w:after="0" w:line="207"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Gclrpc</w:t>
      </w:r>
      <w:r>
        <w:rPr>
          <w:rFonts w:ascii="PMingLiU" w:cs="PMingLiU" w:eastAsia="PMingLiU" w:hAnsi="PMingLiU"/>
          <w:sz w:val="16"/>
          <w:szCs w:val="16"/>
          <w:color w:val="634140"/>
        </w:rPr>
        <w:t/>
      </w:r>
      <w:r>
        <w:rPr>
          <w:rFonts w:ascii="Arial" w:cs="Arial" w:eastAsia="Arial" w:hAnsi="Arial"/>
          <w:sz w:val="16"/>
          <w:szCs w:val="16"/>
          <w:color w:val="634140"/>
        </w:rPr>
        <w:t>Tmglr</w:t>
      </w:r>
      <w:r>
        <w:rPr>
          <w:rFonts w:ascii="PMingLiU" w:cs="PMingLiU" w:eastAsia="PMingLiU" w:hAnsi="PMingLiU"/>
          <w:sz w:val="16"/>
          <w:szCs w:val="16"/>
          <w:color w:val="634140"/>
        </w:rPr>
        <w:t/>
      </w:r>
      <w:r>
        <w:rPr>
          <w:rFonts w:ascii="Arial" w:cs="Arial" w:eastAsia="Arial" w:hAnsi="Arial"/>
          <w:sz w:val="16"/>
          <w:szCs w:val="16"/>
          <w:color w:val="634140"/>
        </w:rPr>
        <w:t>Gsptc</w:t>
      </w:r>
      <w:r>
        <w:rPr>
          <w:rFonts w:ascii="PMingLiU" w:cs="PMingLiU" w:eastAsia="PMingLiU" w:hAnsi="PMingLiU"/>
          <w:sz w:val="16"/>
          <w:szCs w:val="16"/>
          <w:color w:val="634140"/>
        </w:rPr>
        <w:t/>
      </w:r>
      <w:r>
        <w:rPr>
          <w:rFonts w:ascii="Arial" w:cs="Arial" w:eastAsia="Arial" w:hAnsi="Arial"/>
          <w:sz w:val="16"/>
          <w:szCs w:val="16"/>
          <w:color w:val="634140"/>
        </w:rPr>
        <w:t>Wsgrc</w:t>
      </w:r>
      <w:r>
        <w:rPr>
          <w:rFonts w:ascii="PMingLiU" w:cs="PMingLiU" w:eastAsia="PMingLiU" w:hAnsi="PMingLiU"/>
          <w:sz w:val="16"/>
          <w:szCs w:val="16"/>
          <w:color w:val="634140"/>
        </w:rPr>
        <w:t/>
      </w:r>
      <w:r>
        <w:rPr>
          <w:rFonts w:ascii="Arial" w:cs="Arial" w:eastAsia="Arial" w:hAnsi="Arial"/>
          <w:sz w:val="16"/>
          <w:szCs w:val="16"/>
          <w:color w:val="634140"/>
        </w:rPr>
        <w:t>˦˥˦ Qclbmr_</w:t>
      </w:r>
      <w:r>
        <w:rPr>
          <w:rFonts w:ascii="PMingLiU" w:cs="PMingLiU" w:eastAsia="PMingLiU" w:hAnsi="PMingLiU"/>
          <w:sz w:val="16"/>
          <w:szCs w:val="16"/>
          <w:color w:val="634140"/>
        </w:rPr>
        <w:t/>
      </w:r>
      <w:r>
        <w:rPr>
          <w:rFonts w:ascii="Arial" w:cs="Arial" w:eastAsia="Arial" w:hAnsi="Arial"/>
          <w:sz w:val="16"/>
          <w:szCs w:val="16"/>
          <w:color w:val="634140"/>
        </w:rPr>
        <w:t>Lcgefrq</w:t>
      </w:r>
      <w:r>
        <w:rPr>
          <w:rFonts w:ascii="PMingLiU" w:cs="PMingLiU" w:eastAsia="PMingLiU" w:hAnsi="PMingLiU"/>
          <w:sz w:val="16"/>
          <w:szCs w:val="16"/>
          <w:color w:val="634140"/>
        </w:rPr>
        <w:t/>
      </w:r>
      <w:r>
        <w:rPr>
          <w:rFonts w:ascii="Arial" w:cs="Arial" w:eastAsia="Arial" w:hAnsi="Arial"/>
          <w:sz w:val="16"/>
          <w:szCs w:val="16"/>
          <w:color w:val="634140"/>
        </w:rPr>
        <w:t>QR</w:t>
      </w:r>
      <w:r>
        <w:rPr>
          <w:rFonts w:ascii="PMingLiU" w:cs="PMingLiU" w:eastAsia="PMingLiU" w:hAnsi="PMingLiU"/>
          <w:sz w:val="16"/>
          <w:szCs w:val="16"/>
          <w:color w:val="634140"/>
        </w:rPr>
        <w:t/>
      </w:r>
      <w:r>
        <w:rPr>
          <w:rFonts w:ascii="Arial" w:cs="Arial" w:eastAsia="Arial" w:hAnsi="Arial"/>
          <w:sz w:val="16"/>
          <w:szCs w:val="16"/>
          <w:color w:val="634140"/>
        </w:rPr>
        <w:t>˪˪˦˧˥</w:t>
      </w:r>
    </w:p>
    <w:p>
      <w:pPr>
        <w:spacing w:after="0" w:line="141"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634140"/>
        </w:rPr>
        <w:t>Q_gjgle</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Ebbpcqq</w:t>
      </w:r>
    </w:p>
    <w:p>
      <w:pPr>
        <w:spacing w:after="0" w:line="30"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IU</w:t>
      </w:r>
      <w:r>
        <w:rPr>
          <w:rFonts w:ascii="PMingLiU" w:cs="PMingLiU" w:eastAsia="PMingLiU" w:hAnsi="PMingLiU"/>
          <w:sz w:val="16"/>
          <w:szCs w:val="16"/>
          <w:color w:val="634140"/>
        </w:rPr>
        <w:t/>
      </w:r>
      <w:r>
        <w:rPr>
          <w:rFonts w:ascii="Arial" w:cs="Arial" w:eastAsia="Arial" w:hAnsi="Arial"/>
          <w:sz w:val="16"/>
          <w:szCs w:val="16"/>
          <w:color w:val="634140"/>
        </w:rPr>
        <w:t>Wf_pcmulcp</w:t>
      </w:r>
      <w:r>
        <w:rPr>
          <w:rFonts w:ascii="PMingLiU" w:cs="PMingLiU" w:eastAsia="PMingLiU" w:hAnsi="PMingLiU"/>
          <w:sz w:val="16"/>
          <w:szCs w:val="16"/>
          <w:color w:val="634140"/>
        </w:rPr>
        <w:t/>
      </w:r>
      <w:r>
        <w:rPr>
          <w:rFonts w:ascii="Arial" w:cs="Arial" w:eastAsia="Arial" w:hAnsi="Arial"/>
          <w:sz w:val="16"/>
          <w:szCs w:val="16"/>
          <w:color w:val="634140"/>
        </w:rPr>
        <w:t>Wcptgacq</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T</w:t>
      </w:r>
      <w:r>
        <w:rPr>
          <w:rFonts w:ascii="PMingLiU" w:cs="PMingLiU" w:eastAsia="PMingLiU" w:hAnsi="PMingLiU"/>
          <w:sz w:val="16"/>
          <w:szCs w:val="16"/>
          <w:color w:val="634140"/>
        </w:rPr>
        <w:t/>
      </w:r>
      <w:r>
        <w:rPr>
          <w:rFonts w:ascii="Arial" w:cs="Arial" w:eastAsia="Arial" w:hAnsi="Arial"/>
          <w:sz w:val="16"/>
          <w:szCs w:val="16"/>
          <w:color w:val="634140"/>
        </w:rPr>
        <w:t>S</w:t>
      </w:r>
      <w:r>
        <w:rPr>
          <w:rFonts w:ascii="PMingLiU" w:cs="PMingLiU" w:eastAsia="PMingLiU" w:hAnsi="PMingLiU"/>
          <w:sz w:val="16"/>
          <w:szCs w:val="16"/>
          <w:color w:val="634140"/>
        </w:rPr>
        <w:t/>
      </w:r>
      <w:r>
        <w:rPr>
          <w:rFonts w:ascii="Arial" w:cs="Arial" w:eastAsia="Arial" w:hAnsi="Arial"/>
          <w:sz w:val="16"/>
          <w:szCs w:val="16"/>
          <w:color w:val="634140"/>
        </w:rPr>
        <w:t>Fmv</w:t>
      </w:r>
      <w:r>
        <w:rPr>
          <w:rFonts w:ascii="PMingLiU" w:cs="PMingLiU" w:eastAsia="PMingLiU" w:hAnsi="PMingLiU"/>
          <w:sz w:val="16"/>
          <w:szCs w:val="16"/>
          <w:color w:val="634140"/>
        </w:rPr>
        <w:t/>
      </w:r>
      <w:r>
        <w:rPr>
          <w:rFonts w:ascii="Arial" w:cs="Arial" w:eastAsia="Arial" w:hAnsi="Arial"/>
          <w:sz w:val="16"/>
          <w:szCs w:val="16"/>
          <w:color w:val="634140"/>
        </w:rPr>
        <w:t>˫˩˭ˬ˩</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Wr</w:t>
      </w:r>
      <w:r>
        <w:rPr>
          <w:rFonts w:ascii="PMingLiU" w:cs="PMingLiU" w:eastAsia="PMingLiU" w:hAnsi="PMingLiU"/>
          <w:sz w:val="16"/>
          <w:szCs w:val="16"/>
          <w:color w:val="634140"/>
        </w:rPr>
        <w:t/>
      </w:r>
      <w:r>
        <w:rPr>
          <w:rFonts w:ascii="Arial" w:cs="Arial" w:eastAsia="Arial" w:hAnsi="Arial"/>
          <w:sz w:val="16"/>
          <w:szCs w:val="16"/>
          <w:color w:val="634140"/>
        </w:rPr>
        <w:t>T_sj</w:t>
      </w:r>
      <w:r>
        <w:rPr>
          <w:rFonts w:ascii="PMingLiU" w:cs="PMingLiU" w:eastAsia="PMingLiU" w:hAnsi="PMingLiU"/>
          <w:sz w:val="16"/>
          <w:szCs w:val="16"/>
          <w:color w:val="634140"/>
        </w:rPr>
        <w:t/>
      </w:r>
      <w:r>
        <w:rPr>
          <w:rFonts w:ascii="Arial" w:cs="Arial" w:eastAsia="Arial" w:hAnsi="Arial"/>
          <w:sz w:val="16"/>
          <w:szCs w:val="16"/>
          <w:color w:val="634140"/>
        </w:rPr>
        <w:t>QR</w:t>
      </w:r>
      <w:r>
        <w:rPr>
          <w:rFonts w:ascii="PMingLiU" w:cs="PMingLiU" w:eastAsia="PMingLiU" w:hAnsi="PMingLiU"/>
          <w:sz w:val="16"/>
          <w:szCs w:val="16"/>
          <w:color w:val="634140"/>
        </w:rPr>
        <w:t/>
      </w:r>
      <w:r>
        <w:rPr>
          <w:rFonts w:ascii="Arial" w:cs="Arial" w:eastAsia="Arial" w:hAnsi="Arial"/>
          <w:sz w:val="16"/>
          <w:szCs w:val="16"/>
          <w:color w:val="634140"/>
        </w:rPr>
        <w:t>˪˪˦˫˩</w:t>
      </w:r>
    </w:p>
    <w:p>
      <w:pPr>
        <w:spacing w:after="0" w:line="31" w:lineRule="exact"/>
        <w:rPr>
          <w:sz w:val="20"/>
          <w:szCs w:val="20"/>
          <w:color w:val="auto"/>
        </w:rPr>
      </w:pPr>
    </w:p>
    <w:p>
      <w:pPr>
        <w:ind w:left="360" w:right="340" w:hanging="343"/>
        <w:spacing w:after="0" w:line="207" w:lineRule="exact"/>
        <w:rPr>
          <w:sz w:val="20"/>
          <w:szCs w:val="20"/>
          <w:color w:val="auto"/>
        </w:rPr>
      </w:pPr>
      <w:r>
        <w:rPr>
          <w:rFonts w:ascii="Arial" w:cs="Arial" w:eastAsia="Arial" w:hAnsi="Arial"/>
          <w:sz w:val="16"/>
          <w:szCs w:val="16"/>
          <w:color w:val="634140"/>
        </w:rPr>
        <w:t>Xcj</w:t>
      </w:r>
      <w:r>
        <w:rPr>
          <w:rFonts w:ascii="PMingLiU" w:cs="PMingLiU" w:eastAsia="PMingLiU" w:hAnsi="PMingLiU"/>
          <w:sz w:val="16"/>
          <w:szCs w:val="16"/>
          <w:color w:val="634140"/>
        </w:rPr>
        <w:t/>
      </w:r>
      <w:r>
        <w:rPr>
          <w:rFonts w:ascii="Arial" w:cs="Arial" w:eastAsia="Arial" w:hAnsi="Arial"/>
          <w:sz w:val="16"/>
          <w:szCs w:val="16"/>
          <w:color w:val="634140"/>
        </w:rPr>
        <w:t xml:space="preserve"> η˦</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˦ˮ˪ˬ</w:t>
      </w:r>
      <w:r>
        <w:rPr>
          <w:rFonts w:ascii="PMingLiU" w:cs="PMingLiU" w:eastAsia="PMingLiU" w:hAnsi="PMingLiU"/>
          <w:sz w:val="16"/>
          <w:szCs w:val="16"/>
          <w:color w:val="634140"/>
        </w:rPr>
        <w:t/>
      </w:r>
      <w:r>
        <w:rPr>
          <w:rFonts w:ascii="Arial" w:cs="Arial" w:eastAsia="Arial" w:hAnsi="Arial"/>
          <w:sz w:val="16"/>
          <w:szCs w:val="16"/>
          <w:color w:val="634140"/>
        </w:rPr>
        <w:t>rmjj&amp;dpcc</w:t>
      </w:r>
      <w:r>
        <w:rPr>
          <w:rFonts w:ascii="PMingLiU" w:cs="PMingLiU" w:eastAsia="PMingLiU" w:hAnsi="PMingLiU"/>
          <w:sz w:val="16"/>
          <w:szCs w:val="16"/>
          <w:color w:val="634140"/>
        </w:rPr>
        <w:t/>
      </w:r>
      <w:r>
        <w:rPr>
          <w:rFonts w:ascii="Arial" w:cs="Arial" w:eastAsia="Arial" w:hAnsi="Arial"/>
          <w:sz w:val="16"/>
          <w:szCs w:val="16"/>
          <w:color w:val="634140"/>
        </w:rPr>
        <w:t>+Y</w:t>
      </w:r>
      <w:r>
        <w:rPr>
          <w:rFonts w:ascii="PMingLiU" w:cs="PMingLiU" w:eastAsia="PMingLiU" w:hAnsi="PMingLiU"/>
          <w:sz w:val="16"/>
          <w:szCs w:val="16"/>
          <w:color w:val="634140"/>
        </w:rPr>
        <w:t/>
      </w:r>
      <w:r>
        <w:rPr>
          <w:rFonts w:ascii="Arial" w:cs="Arial" w:eastAsia="Arial" w:hAnsi="Arial"/>
          <w:sz w:val="16"/>
          <w:szCs w:val="16"/>
          <w:color w:val="634140"/>
        </w:rPr>
        <w:t>W</w:t>
      </w:r>
      <w:r>
        <w:rPr>
          <w:rFonts w:ascii="PMingLiU" w:cs="PMingLiU" w:eastAsia="PMingLiU" w:hAnsi="PMingLiU"/>
          <w:sz w:val="16"/>
          <w:szCs w:val="16"/>
          <w:color w:val="634140"/>
        </w:rPr>
        <w:t/>
      </w:r>
      <w:r>
        <w:rPr>
          <w:rFonts w:ascii="Arial" w:cs="Arial" w:eastAsia="Arial" w:hAnsi="Arial"/>
          <w:sz w:val="16"/>
          <w:szCs w:val="16"/>
          <w:color w:val="634140"/>
        </w:rPr>
        <w:t>, η˦</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+lml&amp;Y</w:t>
      </w:r>
      <w:r>
        <w:rPr>
          <w:rFonts w:ascii="PMingLiU" w:cs="PMingLiU" w:eastAsia="PMingLiU" w:hAnsi="PMingLiU"/>
          <w:sz w:val="16"/>
          <w:szCs w:val="16"/>
          <w:color w:val="634140"/>
        </w:rPr>
        <w:t/>
      </w:r>
      <w:r>
        <w:rPr>
          <w:rFonts w:ascii="Arial" w:cs="Arial" w:eastAsia="Arial" w:hAnsi="Arial"/>
          <w:sz w:val="16"/>
          <w:szCs w:val="16"/>
          <w:color w:val="634140"/>
        </w:rPr>
        <w:t>W</w:t>
      </w:r>
      <w:r>
        <w:rPr>
          <w:rFonts w:ascii="PMingLiU" w:cs="PMingLiU" w:eastAsia="PMingLiU" w:hAnsi="PMingLiU"/>
          <w:sz w:val="16"/>
          <w:szCs w:val="16"/>
          <w:color w:val="634140"/>
        </w:rPr>
        <w:t/>
      </w:r>
      <w:r>
        <w:rPr>
          <w:rFonts w:ascii="Arial" w:cs="Arial" w:eastAsia="Arial" w:hAnsi="Arial"/>
          <w:sz w:val="16"/>
          <w:szCs w:val="16"/>
          <w:color w:val="634140"/>
        </w:rPr>
        <w:t>,</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uuu</w:t>
      </w:r>
      <w:r>
        <w:rPr>
          <w:rFonts w:ascii="PMingLiU" w:cs="PMingLiU" w:eastAsia="PMingLiU" w:hAnsi="PMingLiU"/>
          <w:sz w:val="16"/>
          <w:szCs w:val="16"/>
          <w:color w:val="634140"/>
        </w:rPr>
        <w:t/>
      </w:r>
      <w:r>
        <w:rPr>
          <w:rFonts w:ascii="Arial" w:cs="Arial" w:eastAsia="Arial" w:hAnsi="Arial"/>
          <w:sz w:val="16"/>
          <w:szCs w:val="16"/>
          <w:color w:val="634140"/>
        </w:rPr>
        <w:t>qf_pcmulcpmljglc</w:t>
      </w:r>
      <w:r>
        <w:rPr>
          <w:rFonts w:ascii="PMingLiU" w:cs="PMingLiU" w:eastAsia="PMingLiU" w:hAnsi="PMingLiU"/>
          <w:sz w:val="16"/>
          <w:szCs w:val="16"/>
          <w:color w:val="634140"/>
        </w:rPr>
        <w:t/>
      </w:r>
      <w:r>
        <w:rPr>
          <w:rFonts w:ascii="Arial" w:cs="Arial" w:eastAsia="Arial" w:hAnsi="Arial"/>
          <w:sz w:val="16"/>
          <w:szCs w:val="16"/>
          <w:color w:val="634140"/>
        </w:rPr>
        <w:t>amk</w:t>
      </w:r>
    </w:p>
    <w:p>
      <w:pPr>
        <w:spacing w:after="0" w:line="20" w:lineRule="exact"/>
        <w:rPr>
          <w:sz w:val="20"/>
          <w:szCs w:val="20"/>
          <w:color w:val="auto"/>
        </w:rPr>
      </w:pPr>
      <w:r>
        <w:rPr>
          <w:sz w:val="20"/>
          <w:szCs w:val="20"/>
          <w:color w:val="auto"/>
        </w:rPr>
        <w:br w:type="column"/>
      </w:r>
    </w:p>
    <w:p>
      <w:pPr>
        <w:ind w:right="40"/>
        <w:spacing w:after="0" w:line="201" w:lineRule="exact"/>
        <w:rPr>
          <w:sz w:val="20"/>
          <w:szCs w:val="20"/>
          <w:color w:val="auto"/>
        </w:rPr>
      </w:pPr>
      <w:r>
        <w:rPr>
          <w:rFonts w:ascii="Arial" w:cs="Arial" w:eastAsia="Arial" w:hAnsi="Arial"/>
          <w:sz w:val="16"/>
          <w:szCs w:val="16"/>
          <w:color w:val="634140"/>
        </w:rPr>
        <w:t>Eqfj_lb</w:t>
      </w:r>
      <w:r>
        <w:rPr>
          <w:rFonts w:ascii="PMingLiU" w:cs="PMingLiU" w:eastAsia="PMingLiU" w:hAnsi="PMingLiU"/>
          <w:sz w:val="16"/>
          <w:szCs w:val="16"/>
          <w:color w:val="634140"/>
        </w:rPr>
        <w:t/>
      </w:r>
      <w:r>
        <w:rPr>
          <w:rFonts w:ascii="Arial" w:cs="Arial" w:eastAsia="Arial" w:hAnsi="Arial"/>
          <w:sz w:val="16"/>
          <w:szCs w:val="16"/>
          <w:color w:val="634140"/>
        </w:rPr>
        <w:t>q</w:t>
      </w:r>
      <w:r>
        <w:rPr>
          <w:rFonts w:ascii="PMingLiU" w:cs="PMingLiU" w:eastAsia="PMingLiU" w:hAnsi="PMingLiU"/>
          <w:sz w:val="16"/>
          <w:szCs w:val="16"/>
          <w:color w:val="634140"/>
        </w:rPr>
        <w:t/>
      </w:r>
      <w:r>
        <w:rPr>
          <w:rFonts w:ascii="Arial" w:cs="Arial" w:eastAsia="Arial" w:hAnsi="Arial"/>
          <w:sz w:val="16"/>
          <w:szCs w:val="16"/>
          <w:color w:val="634140"/>
        </w:rPr>
        <w:t>asppclr</w:t>
      </w:r>
      <w:r>
        <w:rPr>
          <w:rFonts w:ascii="PMingLiU" w:cs="PMingLiU" w:eastAsia="PMingLiU" w:hAnsi="PMingLiU"/>
          <w:sz w:val="16"/>
          <w:szCs w:val="16"/>
          <w:color w:val="634140"/>
        </w:rPr>
        <w:t/>
      </w:r>
      <w:r>
        <w:rPr>
          <w:rFonts w:ascii="Arial" w:cs="Arial" w:eastAsia="Arial" w:hAnsi="Arial"/>
          <w:sz w:val="16"/>
          <w:szCs w:val="16"/>
          <w:color w:val="634140"/>
        </w:rPr>
        <w:t>os_prcpjw</w:t>
      </w:r>
      <w:r>
        <w:rPr>
          <w:rFonts w:ascii="PMingLiU" w:cs="PMingLiU" w:eastAsia="PMingLiU" w:hAnsi="PMingLiU"/>
          <w:sz w:val="16"/>
          <w:szCs w:val="16"/>
          <w:color w:val="634140"/>
        </w:rPr>
        <w:t/>
      </w:r>
      <w:r>
        <w:rPr>
          <w:rFonts w:ascii="Arial" w:cs="Arial" w:eastAsia="Arial" w:hAnsi="Arial"/>
          <w:sz w:val="16"/>
          <w:szCs w:val="16"/>
          <w:color w:val="634140"/>
        </w:rPr>
        <w:t>a_qf</w:t>
      </w:r>
      <w:r>
        <w:rPr>
          <w:rFonts w:ascii="PMingLiU" w:cs="PMingLiU" w:eastAsia="PMingLiU" w:hAnsi="PMingLiU"/>
          <w:sz w:val="16"/>
          <w:szCs w:val="16"/>
          <w:color w:val="634140"/>
        </w:rPr>
        <w:t/>
      </w:r>
      <w:r>
        <w:rPr>
          <w:rFonts w:ascii="Arial" w:cs="Arial" w:eastAsia="Arial" w:hAnsi="Arial"/>
          <w:sz w:val="16"/>
          <w:szCs w:val="16"/>
          <w:color w:val="634140"/>
        </w:rPr>
        <w:t xml:space="preserve"> bgtgbclb</w:t>
      </w:r>
      <w:r>
        <w:rPr>
          <w:rFonts w:ascii="PMingLiU" w:cs="PMingLiU" w:eastAsia="PMingLiU" w:hAnsi="PMingLiU"/>
          <w:sz w:val="16"/>
          <w:szCs w:val="16"/>
          <w:color w:val="634140"/>
        </w:rPr>
        <w:t/>
      </w:r>
      <w:r>
        <w:rPr>
          <w:rFonts w:ascii="Arial" w:cs="Arial" w:eastAsia="Arial" w:hAnsi="Arial"/>
          <w:sz w:val="16"/>
          <w:szCs w:val="16"/>
          <w:color w:val="634140"/>
        </w:rPr>
        <w:t>gq</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aclrq</w:t>
      </w:r>
      <w:r>
        <w:rPr>
          <w:rFonts w:ascii="PMingLiU" w:cs="PMingLiU" w:eastAsia="PMingLiU" w:hAnsi="PMingLiU"/>
          <w:sz w:val="16"/>
          <w:szCs w:val="16"/>
          <w:color w:val="634140"/>
        </w:rPr>
        <w:t/>
      </w:r>
      <w:r>
        <w:rPr>
          <w:rFonts w:ascii="Arial" w:cs="Arial" w:eastAsia="Arial" w:hAnsi="Arial"/>
          <w:sz w:val="16"/>
          <w:szCs w:val="16"/>
          <w:color w:val="634140"/>
        </w:rPr>
        <w:t>ncp</w:t>
      </w:r>
      <w:r>
        <w:rPr>
          <w:rFonts w:ascii="PMingLiU" w:cs="PMingLiU" w:eastAsia="PMingLiU" w:hAnsi="PMingLiU"/>
          <w:sz w:val="16"/>
          <w:szCs w:val="16"/>
          <w:color w:val="634140"/>
        </w:rPr>
        <w:t/>
      </w:r>
      <w:r>
        <w:rPr>
          <w:rFonts w:ascii="Arial" w:cs="Arial" w:eastAsia="Arial" w:hAnsi="Arial"/>
          <w:sz w:val="16"/>
          <w:szCs w:val="16"/>
          <w:color w:val="634140"/>
        </w:rPr>
        <w:t>qf_pc</w:t>
      </w:r>
      <w:r>
        <w:rPr>
          <w:rFonts w:ascii="PMingLiU" w:cs="PMingLiU" w:eastAsia="PMingLiU" w:hAnsi="PMingLiU"/>
          <w:sz w:val="16"/>
          <w:szCs w:val="16"/>
          <w:color w:val="634140"/>
        </w:rPr>
        <w:t/>
      </w:r>
      <w:r>
        <w:rPr>
          <w:rFonts w:ascii="Arial" w:cs="Arial" w:eastAsia="Arial" w:hAnsi="Arial"/>
          <w:sz w:val="16"/>
          <w:szCs w:val="16"/>
          <w:color w:val="634140"/>
        </w:rPr>
        <w:t xml:space="preserve"> Eqfj_lb</w:t>
      </w:r>
      <w:r>
        <w:rPr>
          <w:rFonts w:ascii="PMingLiU" w:cs="PMingLiU" w:eastAsia="PMingLiU" w:hAnsi="PMingLiU"/>
          <w:sz w:val="16"/>
          <w:szCs w:val="16"/>
          <w:color w:val="634140"/>
        </w:rPr>
        <w:t/>
      </w:r>
      <w:r>
        <w:rPr>
          <w:rFonts w:ascii="Arial" w:cs="Arial" w:eastAsia="Arial" w:hAnsi="Arial"/>
          <w:sz w:val="16"/>
          <w:szCs w:val="16"/>
          <w:color w:val="634140"/>
        </w:rPr>
        <w:t>q</w:t>
      </w:r>
      <w:r>
        <w:rPr>
          <w:rFonts w:ascii="PMingLiU" w:cs="PMingLiU" w:eastAsia="PMingLiU" w:hAnsi="PMingLiU"/>
          <w:sz w:val="16"/>
          <w:szCs w:val="16"/>
          <w:color w:val="634140"/>
        </w:rPr>
        <w:t/>
      </w:r>
      <w:r>
        <w:rPr>
          <w:rFonts w:ascii="Arial" w:cs="Arial" w:eastAsia="Arial" w:hAnsi="Arial"/>
          <w:sz w:val="16"/>
          <w:szCs w:val="16"/>
          <w:color w:val="634140"/>
        </w:rPr>
        <w:t>fgqrmpga_j</w:t>
      </w:r>
      <w:r>
        <w:rPr>
          <w:rFonts w:ascii="PMingLiU" w:cs="PMingLiU" w:eastAsia="PMingLiU" w:hAnsi="PMingLiU"/>
          <w:sz w:val="16"/>
          <w:szCs w:val="16"/>
          <w:color w:val="634140"/>
        </w:rPr>
        <w:t/>
      </w:r>
      <w:r>
        <w:rPr>
          <w:rFonts w:ascii="Arial" w:cs="Arial" w:eastAsia="Arial" w:hAnsi="Arial"/>
          <w:sz w:val="16"/>
          <w:szCs w:val="16"/>
          <w:color w:val="634140"/>
        </w:rPr>
        <w:t>np_argac</w:t>
      </w:r>
      <w:r>
        <w:rPr>
          <w:rFonts w:ascii="PMingLiU" w:cs="PMingLiU" w:eastAsia="PMingLiU" w:hAnsi="PMingLiU"/>
          <w:sz w:val="16"/>
          <w:szCs w:val="16"/>
          <w:color w:val="634140"/>
        </w:rPr>
        <w:t/>
      </w:r>
      <w:r>
        <w:rPr>
          <w:rFonts w:ascii="Arial" w:cs="Arial" w:eastAsia="Arial" w:hAnsi="Arial"/>
          <w:sz w:val="16"/>
          <w:szCs w:val="16"/>
          <w:color w:val="634140"/>
        </w:rPr>
        <w:t>f_q</w:t>
      </w:r>
      <w:r>
        <w:rPr>
          <w:rFonts w:ascii="PMingLiU" w:cs="PMingLiU" w:eastAsia="PMingLiU" w:hAnsi="PMingLiU"/>
          <w:sz w:val="16"/>
          <w:szCs w:val="16"/>
          <w:color w:val="634140"/>
        </w:rPr>
        <w:t/>
      </w:r>
      <w:r>
        <w:rPr>
          <w:rFonts w:ascii="Arial" w:cs="Arial" w:eastAsia="Arial" w:hAnsi="Arial"/>
          <w:sz w:val="16"/>
          <w:szCs w:val="16"/>
          <w:color w:val="634140"/>
        </w:rPr>
        <w:t xml:space="preserve"> `ccl</w:t>
      </w:r>
      <w:r>
        <w:rPr>
          <w:rFonts w:ascii="PMingLiU" w:cs="PMingLiU" w:eastAsia="PMingLiU" w:hAnsi="PMingLiU"/>
          <w:sz w:val="16"/>
          <w:szCs w:val="16"/>
          <w:color w:val="634140"/>
        </w:rPr>
        <w:t/>
      </w:r>
      <w:r>
        <w:rPr>
          <w:rFonts w:ascii="Arial" w:cs="Arial" w:eastAsia="Arial" w:hAnsi="Arial"/>
          <w:sz w:val="16"/>
          <w:szCs w:val="16"/>
          <w:color w:val="634140"/>
        </w:rPr>
        <w:t>rm</w:t>
      </w:r>
      <w:r>
        <w:rPr>
          <w:rFonts w:ascii="PMingLiU" w:cs="PMingLiU" w:eastAsia="PMingLiU" w:hAnsi="PMingLiU"/>
          <w:sz w:val="16"/>
          <w:szCs w:val="16"/>
          <w:color w:val="634140"/>
        </w:rPr>
        <w:t/>
      </w:r>
      <w:r>
        <w:rPr>
          <w:rFonts w:ascii="Arial" w:cs="Arial" w:eastAsia="Arial" w:hAnsi="Arial"/>
          <w:sz w:val="16"/>
          <w:szCs w:val="16"/>
          <w:color w:val="634140"/>
        </w:rPr>
        <w:t>n_w</w:t>
      </w:r>
      <w:r>
        <w:rPr>
          <w:rFonts w:ascii="PMingLiU" w:cs="PMingLiU" w:eastAsia="PMingLiU" w:hAnsi="PMingLiU"/>
          <w:sz w:val="16"/>
          <w:szCs w:val="16"/>
          <w:color w:val="634140"/>
        </w:rPr>
        <w:t/>
      </w:r>
      <w:r>
        <w:rPr>
          <w:rFonts w:ascii="Arial" w:cs="Arial" w:eastAsia="Arial" w:hAnsi="Arial"/>
          <w:sz w:val="16"/>
          <w:szCs w:val="16"/>
          <w:color w:val="634140"/>
        </w:rPr>
        <w:t>bgtgbclbq</w:t>
      </w:r>
      <w:r>
        <w:rPr>
          <w:rFonts w:ascii="PMingLiU" w:cs="PMingLiU" w:eastAsia="PMingLiU" w:hAnsi="PMingLiU"/>
          <w:sz w:val="16"/>
          <w:szCs w:val="16"/>
          <w:color w:val="634140"/>
        </w:rPr>
        <w:t/>
      </w:r>
      <w:r>
        <w:rPr>
          <w:rFonts w:ascii="Arial" w:cs="Arial" w:eastAsia="Arial" w:hAnsi="Arial"/>
          <w:sz w:val="16"/>
          <w:szCs w:val="16"/>
          <w:color w:val="634140"/>
        </w:rPr>
        <w:t>ml</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˦˪rf</w:t>
      </w:r>
      <w:r>
        <w:rPr>
          <w:rFonts w:ascii="PMingLiU" w:cs="PMingLiU" w:eastAsia="PMingLiU" w:hAnsi="PMingLiU"/>
          <w:sz w:val="16"/>
          <w:szCs w:val="16"/>
          <w:color w:val="634140"/>
        </w:rPr>
        <w:t/>
      </w:r>
      <w:r>
        <w:rPr>
          <w:rFonts w:ascii="Arial" w:cs="Arial" w:eastAsia="Arial" w:hAnsi="Arial"/>
          <w:sz w:val="16"/>
          <w:szCs w:val="16"/>
          <w:color w:val="634140"/>
        </w:rPr>
        <w:t xml:space="preserve"> b_w</w:t>
      </w:r>
      <w:r>
        <w:rPr>
          <w:rFonts w:ascii="PMingLiU" w:cs="PMingLiU" w:eastAsia="PMingLiU" w:hAnsi="PMingLiU"/>
          <w:sz w:val="16"/>
          <w:szCs w:val="16"/>
          <w:color w:val="634140"/>
        </w:rPr>
        <w:t/>
      </w: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Q_paf</w:t>
      </w:r>
      <w:r>
        <w:rPr>
          <w:rFonts w:ascii="PMingLiU" w:cs="PMingLiU" w:eastAsia="PMingLiU" w:hAnsi="PMingLiU"/>
          <w:sz w:val="16"/>
          <w:szCs w:val="16"/>
          <w:color w:val="634140"/>
        </w:rPr>
        <w:t/>
      </w:r>
      <w:r>
        <w:rPr>
          <w:rFonts w:ascii="Arial" w:cs="Arial" w:eastAsia="Arial" w:hAnsi="Arial"/>
          <w:sz w:val="16"/>
          <w:szCs w:val="16"/>
          <w:color w:val="634140"/>
        </w:rPr>
        <w:t>Nslc</w:t>
      </w:r>
      <w:r>
        <w:rPr>
          <w:rFonts w:ascii="PMingLiU" w:cs="PMingLiU" w:eastAsia="PMingLiU" w:hAnsi="PMingLiU"/>
          <w:sz w:val="16"/>
          <w:szCs w:val="16"/>
          <w:color w:val="634140"/>
        </w:rPr>
        <w:t/>
      </w:r>
      <w:r>
        <w:rPr>
          <w:rFonts w:ascii="Arial" w:cs="Arial" w:eastAsia="Arial" w:hAnsi="Arial"/>
          <w:sz w:val="16"/>
          <w:szCs w:val="16"/>
          <w:color w:val="634140"/>
        </w:rPr>
        <w:t>Wcnrck`cp</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 xml:space="preserve"> Hcack`cp</w:t>
      </w:r>
      <w:r>
        <w:rPr>
          <w:rFonts w:ascii="PMingLiU" w:cs="PMingLiU" w:eastAsia="PMingLiU" w:hAnsi="PMingLiU"/>
          <w:sz w:val="16"/>
          <w:szCs w:val="16"/>
          <w:color w:val="634140"/>
        </w:rPr>
        <w:t/>
      </w:r>
      <w:r>
        <w:rPr>
          <w:rFonts w:ascii="Arial" w:cs="Arial" w:eastAsia="Arial" w:hAnsi="Arial"/>
          <w:sz w:val="16"/>
          <w:szCs w:val="16"/>
          <w:color w:val="634140"/>
        </w:rPr>
        <w:t>gd</w:t>
      </w:r>
      <w:r>
        <w:rPr>
          <w:rFonts w:ascii="PMingLiU" w:cs="PMingLiU" w:eastAsia="PMingLiU" w:hAnsi="PMingLiU"/>
          <w:sz w:val="16"/>
          <w:szCs w:val="16"/>
          <w:color w:val="634140"/>
        </w:rPr>
        <w:t/>
      </w:r>
      <w:r>
        <w:rPr>
          <w:rFonts w:ascii="Arial" w:cs="Arial" w:eastAsia="Arial" w:hAnsi="Arial"/>
          <w:sz w:val="16"/>
          <w:szCs w:val="16"/>
          <w:color w:val="634140"/>
        </w:rPr>
        <w:t>bcaj_pcb</w:t>
      </w:r>
      <w:r>
        <w:rPr>
          <w:rFonts w:ascii="PMingLiU" w:cs="PMingLiU" w:eastAsia="PMingLiU" w:hAnsi="PMingLiU"/>
          <w:sz w:val="16"/>
          <w:szCs w:val="16"/>
          <w:color w:val="634140"/>
        </w:rPr>
        <w:t/>
      </w:r>
      <w:r>
        <w:rPr>
          <w:rFonts w:ascii="Arial" w:cs="Arial" w:eastAsia="Arial" w:hAnsi="Arial"/>
          <w:sz w:val="16"/>
          <w:szCs w:val="16"/>
          <w:color w:val="634140"/>
        </w:rPr>
        <w:t>`w</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`m_pb</w:t>
      </w:r>
      <w:r>
        <w:rPr>
          <w:rFonts w:ascii="PMingLiU" w:cs="PMingLiU" w:eastAsia="PMingLiU" w:hAnsi="PMingLiU"/>
          <w:sz w:val="16"/>
          <w:szCs w:val="16"/>
          <w:color w:val="634140"/>
        </w:rPr>
        <w:t/>
      </w:r>
      <w:r>
        <w:rPr>
          <w:rFonts w:ascii="Arial" w:cs="Arial" w:eastAsia="Arial" w:hAnsi="Arial"/>
          <w:sz w:val="16"/>
          <w:szCs w:val="16"/>
          <w:color w:val="634140"/>
        </w:rPr>
        <w:t xml:space="preserve"> md</w:t>
      </w:r>
      <w:r>
        <w:rPr>
          <w:rFonts w:ascii="PMingLiU" w:cs="PMingLiU" w:eastAsia="PMingLiU" w:hAnsi="PMingLiU"/>
          <w:sz w:val="16"/>
          <w:szCs w:val="16"/>
          <w:color w:val="634140"/>
        </w:rPr>
        <w:t/>
      </w:r>
      <w:r>
        <w:rPr>
          <w:rFonts w:ascii="Arial" w:cs="Arial" w:eastAsia="Arial" w:hAnsi="Arial"/>
          <w:sz w:val="16"/>
          <w:szCs w:val="16"/>
          <w:color w:val="634140"/>
        </w:rPr>
        <w:t>bgpcarmpq</w:t>
      </w:r>
      <w:r>
        <w:rPr>
          <w:rFonts w:ascii="PMingLiU" w:cs="PMingLiU" w:eastAsia="PMingLiU" w:hAnsi="PMingLiU"/>
          <w:sz w:val="16"/>
          <w:szCs w:val="16"/>
          <w:color w:val="634140"/>
        </w:rPr>
        <w:t/>
      </w:r>
      <w:r>
        <w:rPr>
          <w:rFonts w:ascii="Arial" w:cs="Arial" w:eastAsia="Arial" w:hAnsi="Arial"/>
          <w:sz w:val="16"/>
          <w:szCs w:val="16"/>
          <w:color w:val="634140"/>
        </w:rPr>
        <w:t>Eqfj_lb</w:t>
      </w:r>
      <w:r>
        <w:rPr>
          <w:rFonts w:ascii="PMingLiU" w:cs="PMingLiU" w:eastAsia="PMingLiU" w:hAnsi="PMingLiU"/>
          <w:sz w:val="16"/>
          <w:szCs w:val="16"/>
          <w:color w:val="634140"/>
        </w:rPr>
        <w:t/>
      </w:r>
      <w:r>
        <w:rPr>
          <w:rFonts w:ascii="Arial" w:cs="Arial" w:eastAsia="Arial" w:hAnsi="Arial"/>
          <w:sz w:val="16"/>
          <w:szCs w:val="16"/>
          <w:color w:val="634140"/>
        </w:rPr>
        <w:t>q</w:t>
      </w:r>
      <w:r>
        <w:rPr>
          <w:rFonts w:ascii="PMingLiU" w:cs="PMingLiU" w:eastAsia="PMingLiU" w:hAnsi="PMingLiU"/>
          <w:sz w:val="16"/>
          <w:szCs w:val="16"/>
          <w:color w:val="634140"/>
        </w:rPr>
        <w:t/>
      </w:r>
      <w:r>
        <w:rPr>
          <w:rFonts w:ascii="Arial" w:cs="Arial" w:eastAsia="Arial" w:hAnsi="Arial"/>
          <w:sz w:val="16"/>
          <w:szCs w:val="16"/>
          <w:color w:val="634140"/>
        </w:rPr>
        <w:t>`m_pb</w:t>
      </w:r>
      <w:r>
        <w:rPr>
          <w:rFonts w:ascii="PMingLiU" w:cs="PMingLiU" w:eastAsia="PMingLiU" w:hAnsi="PMingLiU"/>
          <w:sz w:val="16"/>
          <w:szCs w:val="16"/>
          <w:color w:val="634140"/>
        </w:rPr>
        <w:t/>
      </w: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 xml:space="preserve"> bgpcarmpq</w:t>
      </w:r>
      <w:r>
        <w:rPr>
          <w:rFonts w:ascii="PMingLiU" w:cs="PMingLiU" w:eastAsia="PMingLiU" w:hAnsi="PMingLiU"/>
          <w:sz w:val="16"/>
          <w:szCs w:val="16"/>
          <w:color w:val="634140"/>
        </w:rPr>
        <w:t/>
      </w:r>
      <w:r>
        <w:rPr>
          <w:rFonts w:ascii="Arial" w:cs="Arial" w:eastAsia="Arial" w:hAnsi="Arial"/>
          <w:sz w:val="16"/>
          <w:szCs w:val="16"/>
          <w:color w:val="634140"/>
        </w:rPr>
        <w:t>f_q</w:t>
      </w:r>
      <w:r>
        <w:rPr>
          <w:rFonts w:ascii="PMingLiU" w:cs="PMingLiU" w:eastAsia="PMingLiU" w:hAnsi="PMingLiU"/>
          <w:sz w:val="16"/>
          <w:szCs w:val="16"/>
          <w:color w:val="634140"/>
        </w:rPr>
        <w:t/>
      </w:r>
      <w:r>
        <w:rPr>
          <w:rFonts w:ascii="Arial" w:cs="Arial" w:eastAsia="Arial" w:hAnsi="Arial"/>
          <w:sz w:val="16"/>
          <w:szCs w:val="16"/>
          <w:color w:val="634140"/>
        </w:rPr>
        <w:t>bcaj_pcb</w:t>
      </w:r>
      <w:r>
        <w:rPr>
          <w:rFonts w:ascii="PMingLiU" w:cs="PMingLiU" w:eastAsia="PMingLiU" w:hAnsi="PMingLiU"/>
          <w:sz w:val="16"/>
          <w:szCs w:val="16"/>
          <w:color w:val="634140"/>
        </w:rPr>
        <w:t/>
      </w:r>
      <w:r>
        <w:rPr>
          <w:rFonts w:ascii="Arial" w:cs="Arial" w:eastAsia="Arial" w:hAnsi="Arial"/>
          <w:sz w:val="16"/>
          <w:szCs w:val="16"/>
          <w:color w:val="634140"/>
        </w:rPr>
        <w:t>_</w:t>
      </w:r>
      <w:r>
        <w:rPr>
          <w:rFonts w:ascii="PMingLiU" w:cs="PMingLiU" w:eastAsia="PMingLiU" w:hAnsi="PMingLiU"/>
          <w:sz w:val="16"/>
          <w:szCs w:val="16"/>
          <w:color w:val="634140"/>
        </w:rPr>
        <w:t/>
      </w:r>
      <w:r>
        <w:rPr>
          <w:rFonts w:ascii="Arial" w:cs="Arial" w:eastAsia="Arial" w:hAnsi="Arial"/>
          <w:sz w:val="16"/>
          <w:szCs w:val="16"/>
          <w:color w:val="634140"/>
        </w:rPr>
        <w:t>bgtgbclb</w:t>
      </w:r>
      <w:r>
        <w:rPr>
          <w:rFonts w:ascii="PMingLiU" w:cs="PMingLiU" w:eastAsia="PMingLiU" w:hAnsi="PMingLiU"/>
          <w:sz w:val="16"/>
          <w:szCs w:val="16"/>
          <w:color w:val="634140"/>
        </w:rPr>
        <w:t/>
      </w:r>
      <w:r>
        <w:rPr>
          <w:rFonts w:ascii="Arial" w:cs="Arial" w:eastAsia="Arial" w:hAnsi="Arial"/>
          <w:sz w:val="16"/>
          <w:szCs w:val="16"/>
          <w:color w:val="634140"/>
        </w:rPr>
        <w:t xml:space="preserve"> ctcpw</w:t>
      </w:r>
      <w:r>
        <w:rPr>
          <w:rFonts w:ascii="PMingLiU" w:cs="PMingLiU" w:eastAsia="PMingLiU" w:hAnsi="PMingLiU"/>
          <w:sz w:val="16"/>
          <w:szCs w:val="16"/>
          <w:color w:val="634140"/>
        </w:rPr>
        <w:t/>
      </w:r>
      <w:r>
        <w:rPr>
          <w:rFonts w:ascii="Arial" w:cs="Arial" w:eastAsia="Arial" w:hAnsi="Arial"/>
          <w:sz w:val="16"/>
          <w:szCs w:val="16"/>
          <w:color w:val="634140"/>
        </w:rPr>
        <w:t>os_prcp</w:t>
      </w:r>
      <w:r>
        <w:rPr>
          <w:rFonts w:ascii="PMingLiU" w:cs="PMingLiU" w:eastAsia="PMingLiU" w:hAnsi="PMingLiU"/>
          <w:sz w:val="16"/>
          <w:szCs w:val="16"/>
          <w:color w:val="634140"/>
        </w:rPr>
        <w:t/>
      </w:r>
      <w:r>
        <w:rPr>
          <w:rFonts w:ascii="Arial" w:cs="Arial" w:eastAsia="Arial" w:hAnsi="Arial"/>
          <w:sz w:val="16"/>
          <w:szCs w:val="16"/>
          <w:color w:val="634140"/>
        </w:rPr>
        <w:t>qglac</w:t>
      </w:r>
      <w:r>
        <w:rPr>
          <w:rFonts w:ascii="PMingLiU" w:cs="PMingLiU" w:eastAsia="PMingLiU" w:hAnsi="PMingLiU"/>
          <w:sz w:val="16"/>
          <w:szCs w:val="16"/>
          <w:color w:val="634140"/>
        </w:rPr>
        <w:t/>
      </w:r>
      <w:r>
        <w:rPr>
          <w:rFonts w:ascii="Arial" w:cs="Arial" w:eastAsia="Arial" w:hAnsi="Arial"/>
          <w:sz w:val="16"/>
          <w:szCs w:val="16"/>
          <w:color w:val="634140"/>
        </w:rPr>
        <w:t>Hcack`cp</w:t>
      </w:r>
      <w:r>
        <w:rPr>
          <w:rFonts w:ascii="PMingLiU" w:cs="PMingLiU" w:eastAsia="PMingLiU" w:hAnsi="PMingLiU"/>
          <w:sz w:val="16"/>
          <w:szCs w:val="16"/>
          <w:color w:val="634140"/>
        </w:rPr>
        <w:t/>
      </w:r>
      <w:r>
        <w:rPr>
          <w:rFonts w:ascii="Arial" w:cs="Arial" w:eastAsia="Arial" w:hAnsi="Arial"/>
          <w:sz w:val="16"/>
          <w:szCs w:val="16"/>
          <w:color w:val="634140"/>
        </w:rPr>
        <w:t>˦ˮ˨˫</w:t>
      </w:r>
      <w:r>
        <w:rPr>
          <w:rFonts w:ascii="PMingLiU" w:cs="PMingLiU" w:eastAsia="PMingLiU" w:hAnsi="PMingLiU"/>
          <w:sz w:val="16"/>
          <w:szCs w:val="16"/>
          <w:color w:val="634140"/>
        </w:rPr>
        <w:t/>
      </w:r>
    </w:p>
    <w:p>
      <w:pPr>
        <w:spacing w:after="0" w:line="144"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Eqfj_lb</w:t>
      </w:r>
      <w:r>
        <w:rPr>
          <w:rFonts w:ascii="PMingLiU" w:cs="PMingLiU" w:eastAsia="PMingLiU" w:hAnsi="PMingLiU"/>
          <w:sz w:val="16"/>
          <w:szCs w:val="16"/>
          <w:color w:val="634140"/>
        </w:rPr>
        <w:t/>
      </w:r>
      <w:r>
        <w:rPr>
          <w:rFonts w:ascii="Arial" w:cs="Arial" w:eastAsia="Arial" w:hAnsi="Arial"/>
          <w:sz w:val="16"/>
          <w:szCs w:val="16"/>
          <w:color w:val="634140"/>
        </w:rPr>
        <w:t>m</w:t>
      </w:r>
      <w:r>
        <w:rPr>
          <w:rFonts w:ascii="Arial" w:cs="Arial" w:eastAsia="Arial" w:hAnsi="Arial"/>
          <w:sz w:val="16"/>
          <w:szCs w:val="16"/>
          <w:color w:val="634140"/>
        </w:rPr>
        <w:t>ff</w:t>
      </w:r>
      <w:r>
        <w:rPr>
          <w:rFonts w:ascii="Arial" w:cs="Arial" w:eastAsia="Arial" w:hAnsi="Arial"/>
          <w:sz w:val="16"/>
          <w:szCs w:val="16"/>
          <w:color w:val="634140"/>
        </w:rPr>
        <w:t>cpq</w:t>
      </w:r>
      <w:r>
        <w:rPr>
          <w:rFonts w:ascii="PMingLiU" w:cs="PMingLiU" w:eastAsia="PMingLiU" w:hAnsi="PMingLiU"/>
          <w:sz w:val="16"/>
          <w:szCs w:val="16"/>
          <w:color w:val="634140"/>
        </w:rPr>
        <w:t/>
      </w:r>
      <w:r>
        <w:rPr>
          <w:rFonts w:ascii="Arial" w:cs="Arial" w:eastAsia="Arial" w:hAnsi="Arial"/>
          <w:sz w:val="16"/>
          <w:szCs w:val="16"/>
          <w:color w:val="634140"/>
        </w:rPr>
        <w:t>cjcarpmlga</w:t>
      </w:r>
      <w:r>
        <w:rPr>
          <w:rFonts w:ascii="PMingLiU" w:cs="PMingLiU" w:eastAsia="PMingLiU" w:hAnsi="PMingLiU"/>
          <w:sz w:val="16"/>
          <w:szCs w:val="16"/>
          <w:color w:val="634140"/>
        </w:rPr>
        <w:t/>
      </w:r>
      <w:r>
        <w:rPr>
          <w:rFonts w:ascii="Arial" w:cs="Arial" w:eastAsia="Arial" w:hAnsi="Arial"/>
          <w:sz w:val="16"/>
          <w:szCs w:val="16"/>
          <w:color w:val="634140"/>
        </w:rPr>
        <w:t>bcnmqgr</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md</w:t>
      </w:r>
      <w:r>
        <w:rPr>
          <w:rFonts w:ascii="PMingLiU" w:cs="PMingLiU" w:eastAsia="PMingLiU" w:hAnsi="PMingLiU"/>
          <w:sz w:val="16"/>
          <w:szCs w:val="16"/>
          <w:color w:val="634140"/>
        </w:rPr>
        <w:t/>
      </w:r>
      <w:r>
        <w:rPr>
          <w:rFonts w:ascii="Arial" w:cs="Arial" w:eastAsia="Arial" w:hAnsi="Arial"/>
          <w:sz w:val="16"/>
          <w:szCs w:val="16"/>
          <w:color w:val="634140"/>
        </w:rPr>
        <w:t>bgtgbclb</w:t>
      </w:r>
      <w:r>
        <w:rPr>
          <w:rFonts w:ascii="PMingLiU" w:cs="PMingLiU" w:eastAsia="PMingLiU" w:hAnsi="PMingLiU"/>
          <w:sz w:val="16"/>
          <w:szCs w:val="16"/>
          <w:color w:val="634140"/>
        </w:rPr>
        <w:t/>
      </w:r>
      <w:r>
        <w:rPr>
          <w:rFonts w:ascii="Arial" w:cs="Arial" w:eastAsia="Arial" w:hAnsi="Arial"/>
          <w:sz w:val="16"/>
          <w:szCs w:val="16"/>
          <w:color w:val="634140"/>
        </w:rPr>
        <w:t>afcaiq</w:t>
      </w:r>
      <w:r>
        <w:rPr>
          <w:rFonts w:ascii="PMingLiU" w:cs="PMingLiU" w:eastAsia="PMingLiU" w:hAnsi="PMingLiU"/>
          <w:sz w:val="16"/>
          <w:szCs w:val="16"/>
          <w:color w:val="634140"/>
        </w:rPr>
        <w:t/>
      </w:r>
      <w:r>
        <w:rPr>
          <w:rFonts w:ascii="Arial" w:cs="Arial" w:eastAsia="Arial" w:hAnsi="Arial"/>
          <w:sz w:val="16"/>
          <w:szCs w:val="16"/>
          <w:color w:val="634140"/>
        </w:rPr>
        <w:t>Jmp</w:t>
      </w:r>
      <w:r>
        <w:rPr>
          <w:rFonts w:ascii="PMingLiU" w:cs="PMingLiU" w:eastAsia="PMingLiU" w:hAnsi="PMingLiU"/>
          <w:sz w:val="16"/>
          <w:szCs w:val="16"/>
          <w:color w:val="634140"/>
        </w:rPr>
        <w:t/>
      </w:r>
      <w:r>
        <w:rPr>
          <w:rFonts w:ascii="Arial" w:cs="Arial" w:eastAsia="Arial" w:hAnsi="Arial"/>
          <w:sz w:val="16"/>
          <w:szCs w:val="16"/>
          <w:color w:val="634140"/>
        </w:rPr>
        <w:t>kmpc</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gldmpk_rgml</w:t>
      </w:r>
      <w:r>
        <w:rPr>
          <w:rFonts w:ascii="PMingLiU" w:cs="PMingLiU" w:eastAsia="PMingLiU" w:hAnsi="PMingLiU"/>
          <w:sz w:val="16"/>
          <w:szCs w:val="16"/>
          <w:color w:val="634140"/>
        </w:rPr>
        <w:t/>
      </w:r>
      <w:r>
        <w:rPr>
          <w:rFonts w:ascii="Arial" w:cs="Arial" w:eastAsia="Arial" w:hAnsi="Arial"/>
          <w:sz w:val="16"/>
          <w:szCs w:val="16"/>
          <w:color w:val="634140"/>
        </w:rPr>
        <w:t>njc_qc</w:t>
      </w:r>
      <w:r>
        <w:rPr>
          <w:rFonts w:ascii="PMingLiU" w:cs="PMingLiU" w:eastAsia="PMingLiU" w:hAnsi="PMingLiU"/>
          <w:sz w:val="16"/>
          <w:szCs w:val="16"/>
          <w:color w:val="634140"/>
        </w:rPr>
        <w:t/>
      </w:r>
      <w:r>
        <w:rPr>
          <w:rFonts w:ascii="Arial" w:cs="Arial" w:eastAsia="Arial" w:hAnsi="Arial"/>
          <w:sz w:val="16"/>
          <w:szCs w:val="16"/>
          <w:color w:val="634140"/>
        </w:rPr>
        <w:t>amlr_ar</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IU</w:t>
      </w:r>
      <w:r>
        <w:rPr>
          <w:rFonts w:ascii="PMingLiU" w:cs="PMingLiU" w:eastAsia="PMingLiU" w:hAnsi="PMingLiU"/>
          <w:sz w:val="16"/>
          <w:szCs w:val="16"/>
          <w:color w:val="634140"/>
        </w:rPr>
        <w:t/>
      </w:r>
      <w:r>
        <w:rPr>
          <w:rFonts w:ascii="Arial" w:cs="Arial" w:eastAsia="Arial" w:hAnsi="Arial"/>
          <w:sz w:val="16"/>
          <w:szCs w:val="16"/>
          <w:color w:val="634140"/>
        </w:rPr>
        <w:t>Wf_pcmulcp</w:t>
      </w:r>
      <w:r>
        <w:rPr>
          <w:rFonts w:ascii="PMingLiU" w:cs="PMingLiU" w:eastAsia="PMingLiU" w:hAnsi="PMingLiU"/>
          <w:sz w:val="16"/>
          <w:szCs w:val="16"/>
          <w:color w:val="634140"/>
        </w:rPr>
        <w:t/>
      </w:r>
      <w:r>
        <w:rPr>
          <w:rFonts w:ascii="Arial" w:cs="Arial" w:eastAsia="Arial" w:hAnsi="Arial"/>
          <w:sz w:val="16"/>
          <w:szCs w:val="16"/>
          <w:color w:val="634140"/>
        </w:rPr>
        <w:t>Wcptgacq</w:t>
      </w:r>
      <w:r>
        <w:rPr>
          <w:rFonts w:ascii="PMingLiU" w:cs="PMingLiU" w:eastAsia="PMingLiU" w:hAnsi="PMingLiU"/>
          <w:sz w:val="16"/>
          <w:szCs w:val="16"/>
          <w:color w:val="634140"/>
        </w:rPr>
        <w:t/>
      </w:r>
      <w:r>
        <w:rPr>
          <w:rFonts w:ascii="Arial" w:cs="Arial" w:eastAsia="Arial" w:hAnsi="Arial"/>
          <w:sz w:val="16"/>
          <w:szCs w:val="16"/>
          <w:color w:val="634140"/>
        </w:rPr>
        <w:t>_r</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η˦</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˦ˮ˪ˬ</w:t>
      </w:r>
      <w:r>
        <w:rPr>
          <w:rFonts w:ascii="PMingLiU" w:cs="PMingLiU" w:eastAsia="PMingLiU" w:hAnsi="PMingLiU"/>
          <w:sz w:val="16"/>
          <w:szCs w:val="16"/>
          <w:color w:val="634140"/>
        </w:rPr>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η˦</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+msrqgbc</w:t>
      </w:r>
      <w:r>
        <w:rPr>
          <w:rFonts w:ascii="PMingLiU" w:cs="PMingLiU" w:eastAsia="PMingLiU" w:hAnsi="PMingLiU"/>
          <w:sz w:val="16"/>
          <w:szCs w:val="16"/>
          <w:color w:val="634140"/>
        </w:rPr>
        <w:t/>
      </w:r>
      <w:r>
        <w:rPr>
          <w:rFonts w:ascii="Arial" w:cs="Arial" w:eastAsia="Arial" w:hAnsi="Arial"/>
          <w:sz w:val="16"/>
          <w:szCs w:val="16"/>
          <w:color w:val="634140"/>
        </w:rPr>
        <w:t>rfc</w:t>
      </w:r>
      <w:r>
        <w:rPr>
          <w:rFonts w:ascii="PMingLiU" w:cs="PMingLiU" w:eastAsia="PMingLiU" w:hAnsi="PMingLiU"/>
          <w:sz w:val="16"/>
          <w:szCs w:val="16"/>
          <w:color w:val="634140"/>
        </w:rPr>
        <w:t/>
      </w:r>
      <w:r>
        <w:rPr>
          <w:rFonts w:ascii="Arial" w:cs="Arial" w:eastAsia="Arial" w:hAnsi="Arial"/>
          <w:sz w:val="16"/>
          <w:szCs w:val="16"/>
          <w:color w:val="634140"/>
        </w:rPr>
        <w:t>Y</w:t>
      </w:r>
      <w:r>
        <w:rPr>
          <w:rFonts w:ascii="PMingLiU" w:cs="PMingLiU" w:eastAsia="PMingLiU" w:hAnsi="PMingLiU"/>
          <w:sz w:val="16"/>
          <w:szCs w:val="16"/>
          <w:color w:val="634140"/>
        </w:rPr>
        <w:t/>
      </w:r>
      <w:r>
        <w:rPr>
          <w:rFonts w:ascii="Arial" w:cs="Arial" w:eastAsia="Arial" w:hAnsi="Arial"/>
          <w:sz w:val="16"/>
          <w:szCs w:val="16"/>
          <w:color w:val="634140"/>
        </w:rPr>
        <w:t>W</w:t>
      </w:r>
      <w:r>
        <w:rPr>
          <w:rFonts w:ascii="PMingLiU" w:cs="PMingLiU" w:eastAsia="PMingLiU" w:hAnsi="PMingLiU"/>
          <w:sz w:val="16"/>
          <w:szCs w:val="16"/>
          <w:color w:val="634140"/>
        </w:rPr>
        <w:t/>
      </w:r>
      <w:r>
        <w:rPr>
          <w:rFonts w:ascii="Arial" w:cs="Arial" w:eastAsia="Arial" w:hAnsi="Arial"/>
          <w:sz w:val="16"/>
          <w:szCs w:val="16"/>
          <w:color w:val="634140"/>
        </w:rPr>
        <w:t>,</w:t>
      </w:r>
    </w:p>
    <w:p>
      <w:pPr>
        <w:spacing w:after="0" w:line="399" w:lineRule="exact"/>
        <w:rPr>
          <w:sz w:val="20"/>
          <w:szCs w:val="20"/>
          <w:color w:val="auto"/>
        </w:rPr>
      </w:pPr>
    </w:p>
    <w:p>
      <w:pPr>
        <w:ind w:left="280" w:right="120" w:hanging="56"/>
        <w:spacing w:after="0" w:line="244" w:lineRule="exact"/>
        <w:rPr>
          <w:sz w:val="20"/>
          <w:szCs w:val="20"/>
          <w:color w:val="auto"/>
        </w:rPr>
      </w:pPr>
      <w:r>
        <w:rPr>
          <w:rFonts w:ascii="Arial" w:cs="Arial" w:eastAsia="Arial" w:hAnsi="Arial"/>
          <w:sz w:val="22"/>
          <w:szCs w:val="22"/>
          <w:color w:val="FFFFFF"/>
        </w:rPr>
        <w:t>glbcnclbclr</w:t>
      </w:r>
      <w:r>
        <w:rPr>
          <w:rFonts w:ascii="PMingLiU" w:cs="PMingLiU" w:eastAsia="PMingLiU" w:hAnsi="PMingLiU"/>
          <w:sz w:val="22"/>
          <w:szCs w:val="22"/>
          <w:color w:val="FFFFFF"/>
        </w:rPr>
        <w:t/>
      </w:r>
      <w:r>
        <w:rPr>
          <w:rFonts w:ascii="Arial" w:cs="Arial" w:eastAsia="Arial" w:hAnsi="Arial"/>
          <w:sz w:val="22"/>
          <w:szCs w:val="22"/>
          <w:color w:val="FFFFFF"/>
        </w:rPr>
        <w:t>pcegqrcpcb</w:t>
      </w:r>
      <w:r>
        <w:rPr>
          <w:rFonts w:ascii="PMingLiU" w:cs="PMingLiU" w:eastAsia="PMingLiU" w:hAnsi="PMingLiU"/>
          <w:sz w:val="22"/>
          <w:szCs w:val="22"/>
          <w:color w:val="FFFFFF"/>
        </w:rPr>
        <w:t/>
      </w:r>
      <w:r>
        <w:rPr>
          <w:rFonts w:ascii="Arial" w:cs="Arial" w:eastAsia="Arial" w:hAnsi="Arial"/>
          <w:sz w:val="22"/>
          <w:szCs w:val="22"/>
          <w:color w:val="FFFFFF"/>
        </w:rPr>
        <w:t xml:space="preserve"> ns`jga</w:t>
      </w:r>
      <w:r>
        <w:rPr>
          <w:rFonts w:ascii="PMingLiU" w:cs="PMingLiU" w:eastAsia="PMingLiU" w:hAnsi="PMingLiU"/>
          <w:sz w:val="22"/>
          <w:szCs w:val="22"/>
          <w:color w:val="FFFFFF"/>
        </w:rPr>
        <w:t/>
      </w:r>
      <w:r>
        <w:rPr>
          <w:rFonts w:ascii="Arial" w:cs="Arial" w:eastAsia="Arial" w:hAnsi="Arial"/>
          <w:sz w:val="22"/>
          <w:szCs w:val="22"/>
          <w:color w:val="FFFFFF"/>
        </w:rPr>
        <w:t>_aamslrgle</w:t>
      </w:r>
      <w:r>
        <w:rPr>
          <w:rFonts w:ascii="PMingLiU" w:cs="PMingLiU" w:eastAsia="PMingLiU" w:hAnsi="PMingLiU"/>
          <w:sz w:val="22"/>
          <w:szCs w:val="22"/>
          <w:color w:val="FFFFFF"/>
        </w:rPr>
        <w:t/>
      </w:r>
      <w:r>
        <w:rPr>
          <w:rFonts w:ascii="Arial" w:cs="Arial" w:eastAsia="Arial" w:hAnsi="Arial"/>
          <w:sz w:val="22"/>
          <w:szCs w:val="22"/>
          <w:color w:val="FFFFFF"/>
        </w:rPr>
        <w:t>fipk</w:t>
      </w:r>
    </w:p>
    <w:p>
      <w:pPr>
        <w:spacing w:after="0" w:line="112"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634140"/>
        </w:rPr>
        <w:t>Iplqr</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]msle</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PPT</w:t>
      </w:r>
    </w:p>
    <w:p>
      <w:pPr>
        <w:spacing w:after="0" w:line="30"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]_pb</w:t>
      </w:r>
      <w:r>
        <w:rPr>
          <w:rFonts w:ascii="PMingLiU" w:cs="PMingLiU" w:eastAsia="PMingLiU" w:hAnsi="PMingLiU"/>
          <w:sz w:val="16"/>
          <w:szCs w:val="16"/>
          <w:color w:val="634140"/>
        </w:rPr>
        <w:t/>
      </w:r>
      <w:r>
        <w:rPr>
          <w:rFonts w:ascii="Arial" w:cs="Arial" w:eastAsia="Arial" w:hAnsi="Arial"/>
          <w:sz w:val="16"/>
          <w:szCs w:val="16"/>
          <w:color w:val="634140"/>
        </w:rPr>
        <w:t>Wrpccr</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Wsgrc</w:t>
      </w:r>
      <w:r>
        <w:rPr>
          <w:rFonts w:ascii="PMingLiU" w:cs="PMingLiU" w:eastAsia="PMingLiU" w:hAnsi="PMingLiU"/>
          <w:sz w:val="16"/>
          <w:szCs w:val="16"/>
          <w:color w:val="634140"/>
        </w:rPr>
        <w:t/>
      </w:r>
      <w:r>
        <w:rPr>
          <w:rFonts w:ascii="Arial" w:cs="Arial" w:eastAsia="Arial" w:hAnsi="Arial"/>
          <w:sz w:val="16"/>
          <w:szCs w:val="16"/>
          <w:color w:val="634140"/>
        </w:rPr>
        <w:t>˧˥˥</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Kp_lbtgcu</w:t>
      </w:r>
      <w:r>
        <w:rPr>
          <w:rFonts w:ascii="PMingLiU" w:cs="PMingLiU" w:eastAsia="PMingLiU" w:hAnsi="PMingLiU"/>
          <w:sz w:val="16"/>
          <w:szCs w:val="16"/>
          <w:color w:val="634140"/>
        </w:rPr>
        <w:t/>
      </w:r>
      <w:r>
        <w:rPr>
          <w:rFonts w:ascii="Arial" w:cs="Arial" w:eastAsia="Arial" w:hAnsi="Arial"/>
          <w:sz w:val="16"/>
          <w:szCs w:val="16"/>
          <w:color w:val="634140"/>
        </w:rPr>
        <w:t>Lcgefrq</w:t>
      </w:r>
      <w:r>
        <w:rPr>
          <w:rFonts w:ascii="PMingLiU" w:cs="PMingLiU" w:eastAsia="PMingLiU" w:hAnsi="PMingLiU"/>
          <w:sz w:val="16"/>
          <w:szCs w:val="16"/>
          <w:color w:val="634140"/>
        </w:rPr>
        <w:t/>
      </w:r>
      <w:r>
        <w:rPr>
          <w:rFonts w:ascii="Arial" w:cs="Arial" w:eastAsia="Arial" w:hAnsi="Arial"/>
          <w:sz w:val="16"/>
          <w:szCs w:val="16"/>
          <w:color w:val="634140"/>
        </w:rPr>
        <w:t>SL</w:t>
      </w:r>
      <w:r>
        <w:rPr>
          <w:rFonts w:ascii="PMingLiU" w:cs="PMingLiU" w:eastAsia="PMingLiU" w:hAnsi="PMingLiU"/>
          <w:sz w:val="16"/>
          <w:szCs w:val="16"/>
          <w:color w:val="634140"/>
        </w:rPr>
        <w:t/>
      </w:r>
      <w:r>
        <w:rPr>
          <w:rFonts w:ascii="Arial" w:cs="Arial" w:eastAsia="Arial" w:hAnsi="Arial"/>
          <w:sz w:val="16"/>
          <w:szCs w:val="16"/>
          <w:color w:val="634140"/>
        </w:rPr>
        <w:t>˩˨˧˦˧</w:t>
      </w:r>
    </w:p>
    <w:p>
      <w:pPr>
        <w:spacing w:after="0" w:line="349" w:lineRule="exact"/>
        <w:rPr>
          <w:sz w:val="20"/>
          <w:szCs w:val="20"/>
          <w:color w:val="auto"/>
        </w:rPr>
      </w:pPr>
    </w:p>
    <w:p>
      <w:pPr>
        <w:ind w:left="620"/>
        <w:spacing w:after="0" w:line="267" w:lineRule="exact"/>
        <w:rPr>
          <w:sz w:val="20"/>
          <w:szCs w:val="20"/>
          <w:color w:val="auto"/>
        </w:rPr>
      </w:pPr>
      <w:r>
        <w:rPr>
          <w:rFonts w:ascii="Arial" w:cs="Arial" w:eastAsia="Arial" w:hAnsi="Arial"/>
          <w:sz w:val="22"/>
          <w:szCs w:val="22"/>
          <w:color w:val="FFFFFF"/>
        </w:rPr>
        <w:t>kcbg_</w:t>
      </w:r>
      <w:r>
        <w:rPr>
          <w:rFonts w:ascii="PMingLiU" w:cs="PMingLiU" w:eastAsia="PMingLiU" w:hAnsi="PMingLiU"/>
          <w:sz w:val="22"/>
          <w:szCs w:val="22"/>
          <w:color w:val="FFFFFF"/>
        </w:rPr>
        <w:t/>
      </w:r>
      <w:r>
        <w:rPr>
          <w:rFonts w:ascii="Arial" w:cs="Arial" w:eastAsia="Arial" w:hAnsi="Arial"/>
          <w:sz w:val="22"/>
          <w:szCs w:val="22"/>
          <w:color w:val="FFFFFF"/>
        </w:rPr>
        <w:t>pcj_rgmlq</w:t>
      </w:r>
    </w:p>
    <w:p>
      <w:pPr>
        <w:spacing w:after="0" w:line="132"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634140"/>
        </w:rPr>
        <w:t>G_pmjk_pgc</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G</w:t>
      </w:r>
      <w:r>
        <w:rPr>
          <w:rFonts w:ascii="PMingLiU" w:cs="PMingLiU" w:eastAsia="PMingLiU" w:hAnsi="PMingLiU"/>
          <w:sz w:val="16"/>
          <w:szCs w:val="16"/>
          <w:b w:val="1"/>
          <w:bCs w:val="1"/>
          <w:color w:val="634140"/>
        </w:rPr>
        <w:t/>
      </w:r>
      <w:r>
        <w:rPr>
          <w:rFonts w:ascii="Arial" w:cs="Arial" w:eastAsia="Arial" w:hAnsi="Arial"/>
          <w:sz w:val="16"/>
          <w:szCs w:val="16"/>
          <w:b w:val="1"/>
          <w:bCs w:val="1"/>
          <w:color w:val="634140"/>
        </w:rPr>
        <w:t>Fpmul</w:t>
      </w:r>
    </w:p>
    <w:p>
      <w:pPr>
        <w:spacing w:after="0" w:line="32" w:lineRule="exact"/>
        <w:rPr>
          <w:sz w:val="20"/>
          <w:szCs w:val="20"/>
          <w:color w:val="auto"/>
        </w:rPr>
      </w:pPr>
    </w:p>
    <w:p>
      <w:pPr>
        <w:spacing w:after="0" w:line="213" w:lineRule="exact"/>
        <w:rPr>
          <w:sz w:val="20"/>
          <w:szCs w:val="20"/>
          <w:color w:val="auto"/>
        </w:rPr>
      </w:pPr>
      <w:r>
        <w:rPr>
          <w:rFonts w:ascii="Arial" w:cs="Arial" w:eastAsia="Arial" w:hAnsi="Arial"/>
          <w:sz w:val="16"/>
          <w:szCs w:val="16"/>
          <w:color w:val="634140"/>
        </w:rPr>
        <w:t>Zgac</w:t>
      </w:r>
      <w:r>
        <w:rPr>
          <w:rFonts w:ascii="PMingLiU" w:cs="PMingLiU" w:eastAsia="PMingLiU" w:hAnsi="PMingLiU"/>
          <w:sz w:val="16"/>
          <w:szCs w:val="16"/>
          <w:color w:val="634140"/>
        </w:rPr>
        <w:t/>
      </w:r>
      <w:r>
        <w:rPr>
          <w:rFonts w:ascii="Arial" w:cs="Arial" w:eastAsia="Arial" w:hAnsi="Arial"/>
          <w:sz w:val="16"/>
          <w:szCs w:val="16"/>
          <w:color w:val="634140"/>
        </w:rPr>
        <w:t>Tpcqgbclr</w:t>
      </w:r>
      <w:r>
        <w:rPr>
          <w:rFonts w:ascii="PMingLiU" w:cs="PMingLiU" w:eastAsia="PMingLiU" w:hAnsi="PMingLiU"/>
          <w:sz w:val="16"/>
          <w:szCs w:val="16"/>
          <w:color w:val="634140"/>
        </w:rPr>
        <w:t/>
      </w:r>
      <w:r>
        <w:rPr>
          <w:rFonts w:ascii="Arial" w:cs="Arial" w:eastAsia="Arial" w:hAnsi="Arial"/>
          <w:sz w:val="16"/>
          <w:szCs w:val="16"/>
          <w:color w:val="634140"/>
        </w:rPr>
        <w:t>Gmpnmp_rc</w:t>
      </w:r>
      <w:r>
        <w:rPr>
          <w:rFonts w:ascii="PMingLiU" w:cs="PMingLiU" w:eastAsia="PMingLiU" w:hAnsi="PMingLiU"/>
          <w:sz w:val="16"/>
          <w:szCs w:val="16"/>
          <w:color w:val="634140"/>
        </w:rPr>
        <w:t/>
      </w:r>
      <w:r>
        <w:rPr>
          <w:rFonts w:ascii="Arial" w:cs="Arial" w:eastAsia="Arial" w:hAnsi="Arial"/>
          <w:sz w:val="16"/>
          <w:szCs w:val="16"/>
          <w:color w:val="634140"/>
        </w:rPr>
        <w:t>E</w:t>
      </w:r>
      <w:r>
        <w:rPr>
          <w:rFonts w:ascii="Arial" w:cs="Arial" w:eastAsia="Arial" w:hAnsi="Arial"/>
          <w:sz w:val="16"/>
          <w:szCs w:val="16"/>
          <w:color w:val="634140"/>
        </w:rPr>
        <w:t>ff</w:t>
      </w:r>
      <w:r>
        <w:rPr>
          <w:rFonts w:ascii="Arial" w:cs="Arial" w:eastAsia="Arial" w:hAnsi="Arial"/>
          <w:sz w:val="16"/>
          <w:szCs w:val="16"/>
          <w:color w:val="634140"/>
        </w:rPr>
        <w:t>_gpq</w:t>
      </w:r>
      <w:r>
        <w:rPr>
          <w:rFonts w:ascii="PMingLiU" w:cs="PMingLiU" w:eastAsia="PMingLiU" w:hAnsi="PMingLiU"/>
          <w:sz w:val="16"/>
          <w:szCs w:val="16"/>
          <w:color w:val="634140"/>
        </w:rPr>
        <w:t/>
      </w:r>
      <w:r>
        <w:rPr>
          <w:rFonts w:ascii="Arial" w:cs="Arial" w:eastAsia="Arial" w:hAnsi="Arial"/>
          <w:sz w:val="16"/>
          <w:szCs w:val="16"/>
          <w:color w:val="634140"/>
        </w:rPr>
        <w:t xml:space="preserve"> Kjm`_j</w:t>
      </w:r>
      <w:r>
        <w:rPr>
          <w:rFonts w:ascii="PMingLiU" w:cs="PMingLiU" w:eastAsia="PMingLiU" w:hAnsi="PMingLiU"/>
          <w:sz w:val="16"/>
          <w:szCs w:val="16"/>
          <w:color w:val="634140"/>
        </w:rPr>
        <w:t/>
      </w:r>
      <w:r>
        <w:rPr>
          <w:rFonts w:ascii="Arial" w:cs="Arial" w:eastAsia="Arial" w:hAnsi="Arial"/>
          <w:sz w:val="16"/>
          <w:szCs w:val="16"/>
          <w:color w:val="634140"/>
        </w:rPr>
        <w:t>Q_picrgle</w:t>
      </w:r>
      <w:r>
        <w:rPr>
          <w:rFonts w:ascii="PMingLiU" w:cs="PMingLiU" w:eastAsia="PMingLiU" w:hAnsi="PMingLiU"/>
          <w:sz w:val="16"/>
          <w:szCs w:val="16"/>
          <w:color w:val="634140"/>
        </w:rPr>
        <w:t/>
      </w:r>
      <w:r>
        <w:rPr>
          <w:rFonts w:ascii="Arial" w:cs="Arial" w:eastAsia="Arial" w:hAnsi="Arial"/>
          <w:sz w:val="16"/>
          <w:szCs w:val="16"/>
          <w:color w:val="634140"/>
        </w:rPr>
        <w:t>Fp_lb</w:t>
      </w:r>
      <w:r>
        <w:rPr>
          <w:rFonts w:ascii="PMingLiU" w:cs="PMingLiU" w:eastAsia="PMingLiU" w:hAnsi="PMingLiU"/>
          <w:sz w:val="16"/>
          <w:szCs w:val="16"/>
          <w:color w:val="634140"/>
        </w:rPr>
        <w:t/>
      </w:r>
      <w:r>
        <w:rPr>
          <w:rFonts w:ascii="Arial" w:cs="Arial" w:eastAsia="Arial" w:hAnsi="Arial"/>
          <w:sz w:val="16"/>
          <w:szCs w:val="16"/>
          <w:color w:val="634140"/>
        </w:rPr>
        <w:t>_lb</w:t>
      </w:r>
      <w:r>
        <w:rPr>
          <w:rFonts w:ascii="PMingLiU" w:cs="PMingLiU" w:eastAsia="PMingLiU" w:hAnsi="PMingLiU"/>
          <w:sz w:val="16"/>
          <w:szCs w:val="16"/>
          <w:color w:val="634140"/>
        </w:rPr>
        <w:t/>
      </w:r>
      <w:r>
        <w:rPr>
          <w:rFonts w:ascii="Arial" w:cs="Arial" w:eastAsia="Arial" w:hAnsi="Arial"/>
          <w:sz w:val="16"/>
          <w:szCs w:val="16"/>
          <w:color w:val="634140"/>
        </w:rPr>
        <w:t>Fsqglcqq</w:t>
      </w:r>
      <w:r>
        <w:rPr>
          <w:rFonts w:ascii="PMingLiU" w:cs="PMingLiU" w:eastAsia="PMingLiU" w:hAnsi="PMingLiU"/>
          <w:sz w:val="16"/>
          <w:szCs w:val="16"/>
          <w:color w:val="634140"/>
        </w:rPr>
        <w:t/>
      </w:r>
      <w:r>
        <w:rPr>
          <w:rFonts w:ascii="Arial" w:cs="Arial" w:eastAsia="Arial" w:hAnsi="Arial"/>
          <w:sz w:val="16"/>
          <w:szCs w:val="16"/>
          <w:color w:val="634140"/>
        </w:rPr>
        <w:t xml:space="preserve"> Gmkkslga_rgmlq</w:t>
      </w:r>
    </w:p>
    <w:p>
      <w:pPr>
        <w:spacing w:after="0" w:line="30" w:lineRule="exact"/>
        <w:rPr>
          <w:sz w:val="20"/>
          <w:szCs w:val="20"/>
          <w:color w:val="auto"/>
        </w:rPr>
      </w:pPr>
    </w:p>
    <w:p>
      <w:pPr>
        <w:spacing w:after="0" w:line="194" w:lineRule="exact"/>
        <w:tabs>
          <w:tab w:leader="none" w:pos="320" w:val="left"/>
        </w:tabs>
        <w:rPr>
          <w:sz w:val="20"/>
          <w:szCs w:val="20"/>
          <w:color w:val="auto"/>
        </w:rPr>
      </w:pPr>
      <w:r>
        <w:rPr>
          <w:rFonts w:ascii="Arial" w:cs="Arial" w:eastAsia="Arial" w:hAnsi="Arial"/>
          <w:sz w:val="16"/>
          <w:szCs w:val="16"/>
          <w:color w:val="634140"/>
        </w:rPr>
        <w:t>Xcj</w:t>
        <w:tab/>
        <w:t>η˦</w:t>
      </w:r>
      <w:r>
        <w:rPr>
          <w:rFonts w:ascii="PMingLiU" w:cs="PMingLiU" w:eastAsia="PMingLiU" w:hAnsi="PMingLiU"/>
          <w:sz w:val="16"/>
          <w:szCs w:val="16"/>
          <w:color w:val="634140"/>
        </w:rPr>
        <w:t/>
      </w:r>
      <w:r>
        <w:rPr>
          <w:rFonts w:ascii="Arial" w:cs="Arial" w:eastAsia="Arial" w:hAnsi="Arial"/>
          <w:sz w:val="16"/>
          <w:szCs w:val="16"/>
          <w:color w:val="634140"/>
        </w:rPr>
        <w:t>˨˥˧</w:t>
      </w:r>
      <w:r>
        <w:rPr>
          <w:rFonts w:ascii="PMingLiU" w:cs="PMingLiU" w:eastAsia="PMingLiU" w:hAnsi="PMingLiU"/>
          <w:sz w:val="16"/>
          <w:szCs w:val="16"/>
          <w:color w:val="634140"/>
        </w:rPr>
        <w:t/>
      </w:r>
      <w:r>
        <w:rPr>
          <w:rFonts w:ascii="Arial" w:cs="Arial" w:eastAsia="Arial" w:hAnsi="Arial"/>
          <w:sz w:val="16"/>
          <w:szCs w:val="16"/>
          <w:color w:val="634140"/>
        </w:rPr>
        <w:t xml:space="preserve"> ˮˮ˪</w:t>
      </w:r>
      <w:r>
        <w:rPr>
          <w:rFonts w:ascii="PMingLiU" w:cs="PMingLiU" w:eastAsia="PMingLiU" w:hAnsi="PMingLiU"/>
          <w:sz w:val="16"/>
          <w:szCs w:val="16"/>
          <w:color w:val="634140"/>
        </w:rPr>
        <w:t/>
      </w:r>
      <w:r>
        <w:rPr>
          <w:rFonts w:ascii="Arial" w:cs="Arial" w:eastAsia="Arial" w:hAnsi="Arial"/>
          <w:sz w:val="16"/>
          <w:szCs w:val="16"/>
          <w:color w:val="634140"/>
        </w:rPr>
        <w:t xml:space="preserve"> ˨˦˪˭</w:t>
      </w:r>
    </w:p>
    <w:p>
      <w:pPr>
        <w:spacing w:after="0" w:line="29" w:lineRule="exact"/>
        <w:rPr>
          <w:sz w:val="20"/>
          <w:szCs w:val="20"/>
          <w:color w:val="auto"/>
        </w:rPr>
      </w:pPr>
    </w:p>
    <w:p>
      <w:pPr>
        <w:spacing w:after="0" w:line="194" w:lineRule="exact"/>
        <w:rPr>
          <w:sz w:val="20"/>
          <w:szCs w:val="20"/>
          <w:color w:val="auto"/>
        </w:rPr>
      </w:pPr>
      <w:r>
        <w:rPr>
          <w:rFonts w:ascii="Arial" w:cs="Arial" w:eastAsia="Arial" w:hAnsi="Arial"/>
          <w:sz w:val="16"/>
          <w:szCs w:val="16"/>
          <w:color w:val="634140"/>
        </w:rPr>
        <w:t>ampnkcbg_pcj_rgmlqD_qfj_lb</w:t>
      </w:r>
      <w:r>
        <w:rPr>
          <w:rFonts w:ascii="PMingLiU" w:cs="PMingLiU" w:eastAsia="PMingLiU" w:hAnsi="PMingLiU"/>
          <w:sz w:val="16"/>
          <w:szCs w:val="16"/>
          <w:color w:val="634140"/>
        </w:rPr>
        <w:t/>
      </w:r>
      <w:r>
        <w:rPr>
          <w:rFonts w:ascii="Arial" w:cs="Arial" w:eastAsia="Arial" w:hAnsi="Arial"/>
          <w:sz w:val="16"/>
          <w:szCs w:val="16"/>
          <w:color w:val="634140"/>
        </w:rPr>
        <w:t>amk</w:t>
      </w:r>
    </w:p>
    <w:p>
      <w:pPr>
        <w:spacing w:after="0" w:line="346" w:lineRule="exact"/>
        <w:rPr>
          <w:sz w:val="20"/>
          <w:szCs w:val="20"/>
          <w:color w:val="auto"/>
        </w:rPr>
      </w:pPr>
    </w:p>
    <w:p>
      <w:pPr>
        <w:sectPr>
          <w:pgSz w:w="12240" w:h="15840" w:orient="portrait"/>
          <w:cols w:equalWidth="0" w:num="3">
            <w:col w:w="3440" w:space="200"/>
            <w:col w:w="2820" w:space="240"/>
            <w:col w:w="2740"/>
          </w:cols>
          <w:pgMar w:left="1440" w:top="1440" w:right="136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0"/>
        <w:spacing w:after="0" w:line="170" w:lineRule="exact"/>
        <w:rPr>
          <w:sz w:val="20"/>
          <w:szCs w:val="20"/>
          <w:color w:val="auto"/>
        </w:rPr>
      </w:pPr>
      <w:r>
        <w:rPr>
          <w:rFonts w:ascii="Arial" w:cs="Arial" w:eastAsia="Arial" w:hAnsi="Arial"/>
          <w:sz w:val="14"/>
          <w:szCs w:val="14"/>
          <w:color w:val="634140"/>
        </w:rPr>
        <w:t>Xfgq</w:t>
      </w:r>
      <w:r>
        <w:rPr>
          <w:rFonts w:ascii="PMingLiU" w:cs="PMingLiU" w:eastAsia="PMingLiU" w:hAnsi="PMingLiU"/>
          <w:sz w:val="14"/>
          <w:szCs w:val="14"/>
          <w:color w:val="634140"/>
        </w:rPr>
        <w:t/>
      </w:r>
      <w:r>
        <w:rPr>
          <w:rFonts w:ascii="Arial" w:cs="Arial" w:eastAsia="Arial" w:hAnsi="Arial"/>
          <w:sz w:val="14"/>
          <w:szCs w:val="14"/>
          <w:color w:val="634140"/>
        </w:rPr>
        <w:t>ns`jga_rgml</w:t>
      </w:r>
      <w:r>
        <w:rPr>
          <w:rFonts w:ascii="PMingLiU" w:cs="PMingLiU" w:eastAsia="PMingLiU" w:hAnsi="PMingLiU"/>
          <w:sz w:val="14"/>
          <w:szCs w:val="14"/>
          <w:color w:val="634140"/>
        </w:rPr>
        <w:t/>
      </w:r>
      <w:r>
        <w:rPr>
          <w:rFonts w:ascii="Arial" w:cs="Arial" w:eastAsia="Arial" w:hAnsi="Arial"/>
          <w:sz w:val="14"/>
          <w:szCs w:val="14"/>
          <w:color w:val="634140"/>
        </w:rPr>
        <w:t>u_q</w:t>
      </w:r>
      <w:r>
        <w:rPr>
          <w:rFonts w:ascii="PMingLiU" w:cs="PMingLiU" w:eastAsia="PMingLiU" w:hAnsi="PMingLiU"/>
          <w:sz w:val="14"/>
          <w:szCs w:val="14"/>
          <w:color w:val="634140"/>
        </w:rPr>
        <w:t/>
      </w:r>
      <w:r>
        <w:rPr>
          <w:rFonts w:ascii="Arial" w:cs="Arial" w:eastAsia="Arial" w:hAnsi="Arial"/>
          <w:sz w:val="14"/>
          <w:szCs w:val="14"/>
          <w:color w:val="634140"/>
        </w:rPr>
        <w:t>npglrcb</w:t>
      </w:r>
      <w:r>
        <w:rPr>
          <w:rFonts w:ascii="PMingLiU" w:cs="PMingLiU" w:eastAsia="PMingLiU" w:hAnsi="PMingLiU"/>
          <w:sz w:val="14"/>
          <w:szCs w:val="14"/>
          <w:color w:val="634140"/>
        </w:rPr>
        <w:t/>
      </w:r>
      <w:r>
        <w:rPr>
          <w:rFonts w:ascii="Arial" w:cs="Arial" w:eastAsia="Arial" w:hAnsi="Arial"/>
          <w:sz w:val="14"/>
          <w:szCs w:val="14"/>
          <w:color w:val="634140"/>
        </w:rPr>
        <w:t>ugrf</w:t>
      </w:r>
      <w:r>
        <w:rPr>
          <w:rFonts w:ascii="PMingLiU" w:cs="PMingLiU" w:eastAsia="PMingLiU" w:hAnsi="PMingLiU"/>
          <w:sz w:val="14"/>
          <w:szCs w:val="14"/>
          <w:color w:val="634140"/>
        </w:rPr>
        <w:t/>
      </w:r>
      <w:r>
        <w:rPr>
          <w:rFonts w:ascii="Arial" w:cs="Arial" w:eastAsia="Arial" w:hAnsi="Arial"/>
          <w:sz w:val="14"/>
          <w:szCs w:val="14"/>
          <w:color w:val="634140"/>
        </w:rPr>
        <w:t>qmw&amp;`_qcb</w:t>
      </w:r>
      <w:r>
        <w:rPr>
          <w:rFonts w:ascii="PMingLiU" w:cs="PMingLiU" w:eastAsia="PMingLiU" w:hAnsi="PMingLiU"/>
          <w:sz w:val="14"/>
          <w:szCs w:val="14"/>
          <w:color w:val="634140"/>
        </w:rPr>
        <w:t/>
      </w:r>
    </w:p>
    <w:p>
      <w:pPr>
        <w:ind w:left="580"/>
        <w:spacing w:after="0" w:line="162" w:lineRule="exact"/>
        <w:rPr>
          <w:sz w:val="20"/>
          <w:szCs w:val="20"/>
          <w:color w:val="auto"/>
        </w:rPr>
      </w:pPr>
      <w:r>
        <w:rPr>
          <w:rFonts w:ascii="Arial" w:cs="Arial" w:eastAsia="Arial" w:hAnsi="Arial"/>
          <w:sz w:val="14"/>
          <w:szCs w:val="14"/>
          <w:color w:val="634140"/>
        </w:rPr>
        <w:t>gliq</w:t>
      </w:r>
      <w:r>
        <w:rPr>
          <w:rFonts w:ascii="PMingLiU" w:cs="PMingLiU" w:eastAsia="PMingLiU" w:hAnsi="PMingLiU"/>
          <w:sz w:val="14"/>
          <w:szCs w:val="14"/>
          <w:color w:val="634140"/>
        </w:rPr>
        <w:t/>
      </w:r>
      <w:r>
        <w:rPr>
          <w:rFonts w:ascii="Arial" w:cs="Arial" w:eastAsia="Arial" w:hAnsi="Arial"/>
          <w:sz w:val="14"/>
          <w:szCs w:val="14"/>
          <w:color w:val="634140"/>
        </w:rPr>
        <w:t>ml</w:t>
      </w:r>
      <w:r>
        <w:rPr>
          <w:rFonts w:ascii="PMingLiU" w:cs="PMingLiU" w:eastAsia="PMingLiU" w:hAnsi="PMingLiU"/>
          <w:sz w:val="14"/>
          <w:szCs w:val="14"/>
          <w:color w:val="634140"/>
        </w:rPr>
        <w:t/>
      </w:r>
      <w:r>
        <w:rPr>
          <w:rFonts w:ascii="Arial" w:cs="Arial" w:eastAsia="Arial" w:hAnsi="Arial"/>
          <w:sz w:val="14"/>
          <w:szCs w:val="14"/>
          <w:color w:val="634140"/>
        </w:rPr>
        <w:t>n_ncp</w:t>
      </w:r>
      <w:r>
        <w:rPr>
          <w:rFonts w:ascii="PMingLiU" w:cs="PMingLiU" w:eastAsia="PMingLiU" w:hAnsi="PMingLiU"/>
          <w:sz w:val="14"/>
          <w:szCs w:val="14"/>
          <w:color w:val="634140"/>
        </w:rPr>
        <w:t/>
      </w:r>
      <w:r>
        <w:rPr>
          <w:rFonts w:ascii="Arial" w:cs="Arial" w:eastAsia="Arial" w:hAnsi="Arial"/>
          <w:sz w:val="14"/>
          <w:szCs w:val="14"/>
          <w:color w:val="634140"/>
        </w:rPr>
        <w:t>qmspacb</w:t>
      </w:r>
      <w:r>
        <w:rPr>
          <w:rFonts w:ascii="PMingLiU" w:cs="PMingLiU" w:eastAsia="PMingLiU" w:hAnsi="PMingLiU"/>
          <w:sz w:val="14"/>
          <w:szCs w:val="14"/>
          <w:color w:val="634140"/>
        </w:rPr>
        <w:t/>
      </w:r>
      <w:r>
        <w:rPr>
          <w:rFonts w:ascii="Arial" w:cs="Arial" w:eastAsia="Arial" w:hAnsi="Arial"/>
          <w:sz w:val="14"/>
          <w:szCs w:val="14"/>
          <w:color w:val="634140"/>
        </w:rPr>
        <w:t>dpmk</w:t>
      </w:r>
      <w:r>
        <w:rPr>
          <w:rFonts w:ascii="PMingLiU" w:cs="PMingLiU" w:eastAsia="PMingLiU" w:hAnsi="PMingLiU"/>
          <w:sz w:val="14"/>
          <w:szCs w:val="14"/>
          <w:color w:val="634140"/>
        </w:rPr>
        <w:t/>
      </w:r>
      <w:r>
        <w:rPr>
          <w:rFonts w:ascii="Arial" w:cs="Arial" w:eastAsia="Arial" w:hAnsi="Arial"/>
          <w:sz w:val="14"/>
          <w:szCs w:val="14"/>
          <w:color w:val="634140"/>
        </w:rPr>
        <w:t>pcqnmlqg`jw</w:t>
      </w:r>
      <w:r>
        <w:rPr>
          <w:rFonts w:ascii="PMingLiU" w:cs="PMingLiU" w:eastAsia="PMingLiU" w:hAnsi="PMingLiU"/>
          <w:sz w:val="14"/>
          <w:szCs w:val="14"/>
          <w:color w:val="634140"/>
        </w:rPr>
        <w:t/>
      </w:r>
    </w:p>
    <w:p>
      <w:pPr>
        <w:ind w:left="580"/>
        <w:spacing w:after="0" w:line="162" w:lineRule="exact"/>
        <w:rPr>
          <w:sz w:val="20"/>
          <w:szCs w:val="20"/>
          <w:color w:val="auto"/>
        </w:rPr>
      </w:pPr>
      <w:r>
        <w:rPr>
          <w:rFonts w:ascii="Arial" w:cs="Arial" w:eastAsia="Arial" w:hAnsi="Arial"/>
          <w:sz w:val="14"/>
          <w:szCs w:val="14"/>
          <w:color w:val="634140"/>
        </w:rPr>
        <w:t>k_l_ecb</w:t>
      </w:r>
      <w:r>
        <w:rPr>
          <w:rFonts w:ascii="PMingLiU" w:cs="PMingLiU" w:eastAsia="PMingLiU" w:hAnsi="PMingLiU"/>
          <w:sz w:val="14"/>
          <w:szCs w:val="14"/>
          <w:color w:val="634140"/>
        </w:rPr>
        <w:t/>
      </w:r>
      <w:r>
        <w:rPr>
          <w:rFonts w:ascii="Arial" w:cs="Arial" w:eastAsia="Arial" w:hAnsi="Arial"/>
          <w:sz w:val="14"/>
          <w:szCs w:val="14"/>
          <w:color w:val="634140"/>
        </w:rPr>
        <w:t>dmpcqrq</w:t>
      </w:r>
      <w:r>
        <w:rPr>
          <w:rFonts w:ascii="PMingLiU" w:cs="PMingLiU" w:eastAsia="PMingLiU" w:hAnsi="PMingLiU"/>
          <w:sz w:val="14"/>
          <w:szCs w:val="14"/>
          <w:color w:val="634140"/>
        </w:rPr>
        <w:t/>
      </w:r>
    </w:p>
    <w:p>
      <w:pPr>
        <w:sectPr>
          <w:pgSz w:w="12240" w:h="15840" w:orient="portrait"/>
          <w:cols w:equalWidth="0" w:num="1">
            <w:col w:w="9440"/>
          </w:cols>
          <w:pgMar w:left="1440" w:top="1440" w:right="136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spacing w:after="0" w:line="253" w:lineRule="exact"/>
        <w:rPr>
          <w:sz w:val="20"/>
          <w:szCs w:val="20"/>
          <w:color w:val="auto"/>
        </w:rPr>
      </w:pPr>
      <w:r>
        <w:rPr>
          <w:rFonts w:ascii="Arial" w:cs="Arial" w:eastAsia="Arial" w:hAnsi="Arial"/>
          <w:sz w:val="11"/>
          <w:szCs w:val="11"/>
          <w:color w:val="634140"/>
        </w:rPr>
        <w:t>A</w:t>
      </w:r>
      <w:r>
        <w:rPr>
          <w:rFonts w:ascii="PMingLiU" w:cs="PMingLiU" w:eastAsia="PMingLiU" w:hAnsi="PMingLiU"/>
          <w:sz w:val="11"/>
          <w:szCs w:val="11"/>
          <w:color w:val="634140"/>
        </w:rPr>
        <w:t/>
      </w:r>
      <w:r>
        <w:rPr>
          <w:rFonts w:ascii="Arial" w:cs="Arial" w:eastAsia="Arial" w:hAnsi="Arial"/>
          <w:sz w:val="11"/>
          <w:szCs w:val="11"/>
          <w:color w:val="634140"/>
        </w:rPr>
        <w:t>Vcegqrcpcb</w:t>
      </w:r>
      <w:r>
        <w:rPr>
          <w:rFonts w:ascii="PMingLiU" w:cs="PMingLiU" w:eastAsia="PMingLiU" w:hAnsi="PMingLiU"/>
          <w:sz w:val="11"/>
          <w:szCs w:val="11"/>
          <w:color w:val="634140"/>
        </w:rPr>
        <w:t/>
      </w:r>
      <w:r>
        <w:rPr>
          <w:rFonts w:ascii="Arial" w:cs="Arial" w:eastAsia="Arial" w:hAnsi="Arial"/>
          <w:sz w:val="11"/>
          <w:szCs w:val="11"/>
          <w:color w:val="634140"/>
        </w:rPr>
        <w:t>rp_bck_pi</w:t>
      </w:r>
      <w:r>
        <w:rPr>
          <w:rFonts w:ascii="PMingLiU" w:cs="PMingLiU" w:eastAsia="PMingLiU" w:hAnsi="PMingLiU"/>
          <w:sz w:val="11"/>
          <w:szCs w:val="11"/>
          <w:color w:val="634140"/>
        </w:rPr>
        <w:t/>
      </w:r>
      <w:r>
        <w:rPr>
          <w:rFonts w:ascii="Arial" w:cs="Arial" w:eastAsia="Arial" w:hAnsi="Arial"/>
          <w:sz w:val="11"/>
          <w:szCs w:val="11"/>
          <w:color w:val="634140"/>
        </w:rPr>
        <w:t>Eqfj_lb</w:t>
      </w:r>
      <w:r>
        <w:rPr>
          <w:rFonts w:ascii="PMingLiU" w:cs="PMingLiU" w:eastAsia="PMingLiU" w:hAnsi="PMingLiU"/>
          <w:sz w:val="11"/>
          <w:szCs w:val="11"/>
          <w:color w:val="634140"/>
        </w:rPr>
        <w:t/>
      </w:r>
      <w:r>
        <w:rPr>
          <w:rFonts w:ascii="Arial" w:cs="Arial" w:eastAsia="Arial" w:hAnsi="Arial"/>
          <w:sz w:val="11"/>
          <w:szCs w:val="11"/>
          <w:color w:val="634140"/>
        </w:rPr>
        <w:t>mp</w:t>
      </w:r>
      <w:r>
        <w:rPr>
          <w:rFonts w:ascii="PMingLiU" w:cs="PMingLiU" w:eastAsia="PMingLiU" w:hAnsi="PMingLiU"/>
          <w:sz w:val="11"/>
          <w:szCs w:val="11"/>
          <w:color w:val="634140"/>
        </w:rPr>
        <w:t/>
      </w:r>
      <w:r>
        <w:rPr>
          <w:rFonts w:ascii="Arial" w:cs="Arial" w:eastAsia="Arial" w:hAnsi="Arial"/>
          <w:sz w:val="11"/>
          <w:szCs w:val="11"/>
          <w:color w:val="634140"/>
        </w:rPr>
        <w:t>grq</w:t>
      </w:r>
      <w:r>
        <w:rPr>
          <w:rFonts w:ascii="PMingLiU" w:cs="PMingLiU" w:eastAsia="PMingLiU" w:hAnsi="PMingLiU"/>
          <w:sz w:val="11"/>
          <w:szCs w:val="11"/>
          <w:color w:val="634140"/>
        </w:rPr>
        <w:t/>
      </w:r>
      <w:r>
        <w:rPr>
          <w:rFonts w:ascii="Arial" w:cs="Arial" w:eastAsia="Arial" w:hAnsi="Arial"/>
          <w:sz w:val="11"/>
          <w:szCs w:val="11"/>
          <w:color w:val="634140"/>
        </w:rPr>
        <w:t>qs`qgbg_pgcq</w:t>
      </w:r>
      <w:r>
        <w:rPr>
          <w:rFonts w:ascii="PMingLiU" w:cs="PMingLiU" w:eastAsia="PMingLiU" w:hAnsi="PMingLiU"/>
          <w:sz w:val="11"/>
          <w:szCs w:val="11"/>
          <w:color w:val="634140"/>
        </w:rPr>
        <w:t/>
      </w:r>
      <w:r>
        <w:rPr>
          <w:rFonts w:ascii="Arial" w:cs="Arial" w:eastAsia="Arial" w:hAnsi="Arial"/>
          <w:sz w:val="11"/>
          <w:szCs w:val="11"/>
          <w:color w:val="634140"/>
        </w:rPr>
        <w:t>pcegqrcpcb</w:t>
      </w:r>
      <w:r>
        <w:rPr>
          <w:rFonts w:ascii="PMingLiU" w:cs="PMingLiU" w:eastAsia="PMingLiU" w:hAnsi="PMingLiU"/>
          <w:sz w:val="11"/>
          <w:szCs w:val="11"/>
          <w:color w:val="634140"/>
        </w:rPr>
        <w:t/>
      </w:r>
      <w:r>
        <w:rPr>
          <w:rFonts w:ascii="Arial" w:cs="Arial" w:eastAsia="Arial" w:hAnsi="Arial"/>
          <w:sz w:val="11"/>
          <w:szCs w:val="11"/>
          <w:color w:val="634140"/>
        </w:rPr>
        <w:t>gl</w:t>
      </w:r>
      <w:r>
        <w:rPr>
          <w:rFonts w:ascii="PMingLiU" w:cs="PMingLiU" w:eastAsia="PMingLiU" w:hAnsi="PMingLiU"/>
          <w:sz w:val="11"/>
          <w:szCs w:val="11"/>
          <w:color w:val="634140"/>
        </w:rPr>
        <w:t/>
      </w:r>
      <w:r>
        <w:rPr>
          <w:rFonts w:ascii="Arial" w:cs="Arial" w:eastAsia="Arial" w:hAnsi="Arial"/>
          <w:sz w:val="11"/>
          <w:szCs w:val="11"/>
          <w:color w:val="634140"/>
        </w:rPr>
        <w:t>t_pgmsq</w:t>
      </w:r>
      <w:r>
        <w:rPr>
          <w:rFonts w:ascii="PMingLiU" w:cs="PMingLiU" w:eastAsia="PMingLiU" w:hAnsi="PMingLiU"/>
          <w:sz w:val="11"/>
          <w:szCs w:val="11"/>
          <w:color w:val="634140"/>
        </w:rPr>
        <w:t/>
      </w:r>
      <w:r>
        <w:rPr>
          <w:rFonts w:ascii="Arial" w:cs="Arial" w:eastAsia="Arial" w:hAnsi="Arial"/>
          <w:sz w:val="11"/>
          <w:szCs w:val="11"/>
          <w:color w:val="634140"/>
        </w:rPr>
        <w:t>amslrpgcq</w:t>
      </w:r>
      <w:r>
        <w:rPr>
          <w:rFonts w:ascii="PMingLiU" w:cs="PMingLiU" w:eastAsia="PMingLiU" w:hAnsi="PMingLiU"/>
          <w:sz w:val="11"/>
          <w:szCs w:val="11"/>
          <w:color w:val="634140"/>
        </w:rPr>
        <w:t/>
      </w:r>
      <w:r>
        <w:rPr>
          <w:rFonts w:ascii="Arial" w:cs="Arial" w:eastAsia="Arial" w:hAnsi="Arial"/>
          <w:sz w:val="22"/>
          <w:szCs w:val="22"/>
          <w:color w:val="634140"/>
          <w:vertAlign w:val="superscript"/>
        </w:rPr>
        <w:t>B</w:t>
      </w:r>
      <w:r>
        <w:rPr>
          <w:rFonts w:ascii="PMingLiU" w:cs="PMingLiU" w:eastAsia="PMingLiU" w:hAnsi="PMingLiU"/>
          <w:sz w:val="11"/>
          <w:szCs w:val="11"/>
          <w:color w:val="634140"/>
        </w:rPr>
        <w:t/>
      </w:r>
      <w:r>
        <w:rPr>
          <w:rFonts w:ascii="Arial" w:cs="Arial" w:eastAsia="Arial" w:hAnsi="Arial"/>
          <w:sz w:val="11"/>
          <w:szCs w:val="11"/>
          <w:color w:val="634140"/>
        </w:rPr>
        <w:t>Xp_bck_pi</w:t>
      </w:r>
      <w:r>
        <w:rPr>
          <w:rFonts w:ascii="PMingLiU" w:cs="PMingLiU" w:eastAsia="PMingLiU" w:hAnsi="PMingLiU"/>
          <w:sz w:val="11"/>
          <w:szCs w:val="11"/>
          <w:color w:val="634140"/>
        </w:rPr>
        <w:t/>
      </w:r>
      <w:r>
        <w:rPr>
          <w:rFonts w:ascii="Arial" w:cs="Arial" w:eastAsia="Arial" w:hAnsi="Arial"/>
          <w:sz w:val="11"/>
          <w:szCs w:val="11"/>
          <w:color w:val="634140"/>
        </w:rPr>
        <w:t>Eqfj_lb</w:t>
      </w:r>
      <w:r>
        <w:rPr>
          <w:rFonts w:ascii="PMingLiU" w:cs="PMingLiU" w:eastAsia="PMingLiU" w:hAnsi="PMingLiU"/>
          <w:sz w:val="11"/>
          <w:szCs w:val="11"/>
          <w:color w:val="634140"/>
        </w:rPr>
        <w:t/>
      </w:r>
      <w:r>
        <w:rPr>
          <w:rFonts w:ascii="Arial" w:cs="Arial" w:eastAsia="Arial" w:hAnsi="Arial"/>
          <w:sz w:val="11"/>
          <w:szCs w:val="11"/>
          <w:color w:val="634140"/>
        </w:rPr>
        <w:t>mp</w:t>
      </w:r>
      <w:r>
        <w:rPr>
          <w:rFonts w:ascii="PMingLiU" w:cs="PMingLiU" w:eastAsia="PMingLiU" w:hAnsi="PMingLiU"/>
          <w:sz w:val="11"/>
          <w:szCs w:val="11"/>
          <w:color w:val="634140"/>
        </w:rPr>
        <w:t/>
      </w:r>
      <w:r>
        <w:rPr>
          <w:rFonts w:ascii="Arial" w:cs="Arial" w:eastAsia="Arial" w:hAnsi="Arial"/>
          <w:sz w:val="11"/>
          <w:szCs w:val="11"/>
          <w:color w:val="634140"/>
        </w:rPr>
        <w:t>grq</w:t>
      </w:r>
      <w:r>
        <w:rPr>
          <w:rFonts w:ascii="PMingLiU" w:cs="PMingLiU" w:eastAsia="PMingLiU" w:hAnsi="PMingLiU"/>
          <w:sz w:val="11"/>
          <w:szCs w:val="11"/>
          <w:color w:val="634140"/>
        </w:rPr>
        <w:t/>
      </w:r>
      <w:r>
        <w:rPr>
          <w:rFonts w:ascii="Arial" w:cs="Arial" w:eastAsia="Arial" w:hAnsi="Arial"/>
          <w:sz w:val="11"/>
          <w:szCs w:val="11"/>
          <w:color w:val="634140"/>
        </w:rPr>
        <w:t>qs`qgbg_pgcq</w:t>
      </w:r>
      <w:r>
        <w:rPr>
          <w:rFonts w:ascii="PMingLiU" w:cs="PMingLiU" w:eastAsia="PMingLiU" w:hAnsi="PMingLiU"/>
          <w:sz w:val="11"/>
          <w:szCs w:val="11"/>
          <w:color w:val="634140"/>
        </w:rPr>
        <w:t/>
      </w:r>
      <w:r>
        <w:rPr>
          <w:rFonts w:ascii="Arial" w:cs="Arial" w:eastAsia="Arial" w:hAnsi="Arial"/>
          <w:sz w:val="11"/>
          <w:szCs w:val="11"/>
          <w:color w:val="634140"/>
        </w:rPr>
        <w:t>pcegqrcpcb</w:t>
      </w:r>
      <w:r>
        <w:rPr>
          <w:rFonts w:ascii="PMingLiU" w:cs="PMingLiU" w:eastAsia="PMingLiU" w:hAnsi="PMingLiU"/>
          <w:sz w:val="11"/>
          <w:szCs w:val="11"/>
          <w:color w:val="634140"/>
        </w:rPr>
        <w:t/>
      </w:r>
      <w:r>
        <w:rPr>
          <w:rFonts w:ascii="Arial" w:cs="Arial" w:eastAsia="Arial" w:hAnsi="Arial"/>
          <w:sz w:val="11"/>
          <w:szCs w:val="11"/>
          <w:color w:val="634140"/>
        </w:rPr>
        <w:t>gl</w:t>
      </w:r>
      <w:r>
        <w:rPr>
          <w:rFonts w:ascii="PMingLiU" w:cs="PMingLiU" w:eastAsia="PMingLiU" w:hAnsi="PMingLiU"/>
          <w:sz w:val="11"/>
          <w:szCs w:val="11"/>
          <w:color w:val="634140"/>
        </w:rPr>
        <w:t/>
      </w:r>
      <w:r>
        <w:rPr>
          <w:rFonts w:ascii="Arial" w:cs="Arial" w:eastAsia="Arial" w:hAnsi="Arial"/>
          <w:sz w:val="11"/>
          <w:szCs w:val="11"/>
          <w:color w:val="634140"/>
        </w:rPr>
        <w:t>t_pgmsq</w:t>
      </w:r>
      <w:r>
        <w:rPr>
          <w:rFonts w:ascii="PMingLiU" w:cs="PMingLiU" w:eastAsia="PMingLiU" w:hAnsi="PMingLiU"/>
          <w:sz w:val="11"/>
          <w:szCs w:val="11"/>
          <w:color w:val="634140"/>
        </w:rPr>
        <w:t/>
      </w:r>
      <w:r>
        <w:rPr>
          <w:rFonts w:ascii="Arial" w:cs="Arial" w:eastAsia="Arial" w:hAnsi="Arial"/>
          <w:sz w:val="11"/>
          <w:szCs w:val="11"/>
          <w:color w:val="634140"/>
        </w:rPr>
        <w:t>amslrpgcq</w:t>
      </w:r>
    </w:p>
    <w:p>
      <w:pPr>
        <w:ind w:left="680" w:hanging="79"/>
        <w:spacing w:after="0" w:line="118" w:lineRule="exact"/>
        <w:tabs>
          <w:tab w:leader="none" w:pos="680" w:val="left"/>
        </w:tabs>
        <w:numPr>
          <w:ilvl w:val="0"/>
          <w:numId w:val="86"/>
        </w:numPr>
        <w:rPr>
          <w:rFonts w:ascii="Arial" w:cs="Arial" w:eastAsia="Arial" w:hAnsi="Arial"/>
          <w:sz w:val="11"/>
          <w:szCs w:val="11"/>
          <w:color w:val="634140"/>
          <w:vertAlign w:val="superscript"/>
        </w:rPr>
      </w:pPr>
      <w:r>
        <w:rPr>
          <w:rFonts w:ascii="Arial" w:cs="Arial" w:eastAsia="Arial" w:hAnsi="Arial"/>
          <w:sz w:val="9"/>
          <w:szCs w:val="9"/>
          <w:color w:val="634140"/>
        </w:rPr>
        <w:t>˧˥˧˪</w:t>
      </w:r>
      <w:r>
        <w:rPr>
          <w:rFonts w:ascii="PMingLiU" w:cs="PMingLiU" w:eastAsia="PMingLiU" w:hAnsi="PMingLiU"/>
          <w:sz w:val="9"/>
          <w:szCs w:val="9"/>
          <w:color w:val="634140"/>
        </w:rPr>
        <w:t/>
      </w:r>
      <w:r>
        <w:rPr>
          <w:rFonts w:ascii="Arial" w:cs="Arial" w:eastAsia="Arial" w:hAnsi="Arial"/>
          <w:sz w:val="9"/>
          <w:szCs w:val="9"/>
          <w:color w:val="634140"/>
        </w:rPr>
        <w:t>Eqfj_lb</w:t>
      </w:r>
      <w:r>
        <w:rPr>
          <w:rFonts w:ascii="PMingLiU" w:cs="PMingLiU" w:eastAsia="PMingLiU" w:hAnsi="PMingLiU"/>
          <w:sz w:val="9"/>
          <w:szCs w:val="9"/>
          <w:color w:val="634140"/>
        </w:rPr>
        <w:t/>
      </w:r>
      <w:r>
        <w:rPr>
          <w:rFonts w:ascii="Arial" w:cs="Arial" w:eastAsia="Arial" w:hAnsi="Arial"/>
          <w:sz w:val="9"/>
          <w:szCs w:val="9"/>
          <w:color w:val="634140"/>
        </w:rPr>
        <w:t>5</w:t>
      </w:r>
      <w:r>
        <w:rPr>
          <w:rFonts w:ascii="PMingLiU" w:cs="PMingLiU" w:eastAsia="PMingLiU" w:hAnsi="PMingLiU"/>
          <w:sz w:val="9"/>
          <w:szCs w:val="9"/>
          <w:color w:val="634140"/>
        </w:rPr>
        <w:t/>
      </w:r>
      <w:r>
        <w:rPr>
          <w:rFonts w:ascii="Arial" w:cs="Arial" w:eastAsia="Arial" w:hAnsi="Arial"/>
          <w:sz w:val="9"/>
          <w:szCs w:val="9"/>
          <w:color w:val="634140"/>
        </w:rPr>
        <w:t>GSV˧˫&amp;˥˥˧</w:t>
      </w:r>
    </w:p>
    <w:sectPr>
      <w:pgSz w:w="12240" w:h="15840" w:orient="portrait"/>
      <w:cols w:equalWidth="0" w:num="1">
        <w:col w:w="9440"/>
      </w:cols>
      <w:pgMar w:left="1440" w:top="1440" w:right="136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Century Gothic">
    <w:panose1 w:val="020B0502020202020204"/>
    <w:charset w:val="00"/>
    <w:family w:val="roman"/>
    <w:pitch w:val="variable"/>
    <w:sig w:usb0="00000287" w:usb1="00000000" w:usb2="00000000" w:usb3="00000000" w:csb0="2000009F" w:csb1="DFD70000"/>
  </w:font>
  <w:font w:name="Century">
    <w:panose1 w:val="02040604050505020304"/>
    <w:charset w:val="00"/>
    <w:family w:val="roman"/>
    <w:pitch w:val="variable"/>
    <w:sig w:usb0="00000287" w:usb1="00000000" w:usb2="00000000" w:usb3="00000000" w:csb0="2000009F" w:csb1="DFD7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A"/>
      <w:numFmt w:val="bullet"/>
      <w:start w:val="1"/>
    </w:lvl>
  </w:abstractNum>
  <w:abstractNum w:abstractNumId="10">
    <w:nsid w:val="32FFF902"/>
    <w:multiLevelType w:val="hybridMultilevel"/>
    <w:lvl w:ilvl="0">
      <w:lvlJc w:val="left"/>
      <w:lvlText w:val="ն"/>
      <w:numFmt w:val="bullet"/>
      <w:start w:val="1"/>
    </w:lvl>
  </w:abstractNum>
  <w:abstractNum w:abstractNumId="11">
    <w:nsid w:val="684A481A"/>
    <w:multiLevelType w:val="hybridMultilevel"/>
    <w:lvl w:ilvl="0">
      <w:lvlJc w:val="left"/>
      <w:lvlText w:val="x"/>
      <w:numFmt w:val="bullet"/>
      <w:start w:val="1"/>
    </w:lvl>
  </w:abstractNum>
  <w:abstractNum w:abstractNumId="12">
    <w:nsid w:val="579478FE"/>
    <w:multiLevelType w:val="hybridMultilevel"/>
    <w:lvl w:ilvl="0">
      <w:lvlJc w:val="left"/>
      <w:lvlText w:val="x"/>
      <w:numFmt w:val="bullet"/>
      <w:start w:val="1"/>
    </w:lvl>
  </w:abstractNum>
  <w:abstractNum w:abstractNumId="13">
    <w:nsid w:val="749ABB43"/>
    <w:multiLevelType w:val="hybridMultilevel"/>
    <w:lvl w:ilvl="0">
      <w:lvlJc w:val="left"/>
      <w:lvlText w:val="x"/>
      <w:numFmt w:val="bullet"/>
      <w:start w:val="1"/>
    </w:lvl>
  </w:abstractNum>
  <w:abstractNum w:abstractNumId="14">
    <w:nsid w:val="3DC240FB"/>
    <w:multiLevelType w:val="hybridMultilevel"/>
    <w:lvl w:ilvl="0">
      <w:lvlJc w:val="left"/>
      <w:lvlText w:val="x"/>
      <w:numFmt w:val="bullet"/>
      <w:start w:val="1"/>
    </w:lvl>
  </w:abstractNum>
  <w:abstractNum w:abstractNumId="15">
    <w:nsid w:val="1BA026FA"/>
    <w:multiLevelType w:val="hybridMultilevel"/>
    <w:lvl w:ilvl="0">
      <w:lvlJc w:val="left"/>
      <w:lvlText w:val="(%1)"/>
      <w:numFmt w:val="lowerLetter"/>
      <w:start w:val="1"/>
    </w:lvl>
    <w:lvl w:ilvl="1">
      <w:lvlJc w:val="left"/>
      <w:lvlText w:val="(%2)"/>
      <w:numFmt w:val="lowerLetter"/>
      <w:start w:val="2"/>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lowerLetter"/>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lowerLetter"/>
      <w:start w:val="1"/>
    </w:lvl>
    <w:lvl w:ilvl="1">
      <w:lvlJc w:val="left"/>
      <w:lvlText w:val="(%2)"/>
      <w:numFmt w:val="decimal"/>
      <w:start w:val="1"/>
    </w:lvl>
  </w:abstractNum>
  <w:abstractNum w:abstractNumId="20">
    <w:nsid w:val="520EEDD1"/>
    <w:multiLevelType w:val="hybridMultilevel"/>
    <w:lvl w:ilvl="0">
      <w:lvlJc w:val="left"/>
      <w:lvlText w:val="*"/>
      <w:numFmt w:val="bullet"/>
      <w:start w:val="1"/>
    </w:lvl>
    <w:lvl w:ilvl="1">
      <w:lvlJc w:val="left"/>
      <w:lvlText w:val="%2"/>
      <w:numFmt w:val="decimal"/>
      <w:start w:val="104"/>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1)"/>
      <w:numFmt w:val="lowerLetter"/>
      <w:start w:val="1"/>
    </w:lvl>
  </w:abstractNum>
  <w:abstractNum w:abstractNumId="23">
    <w:nsid w:val="23F9C13C"/>
    <w:multiLevelType w:val="hybridMultilevel"/>
    <w:lvl w:ilvl="0">
      <w:lvlJc w:val="left"/>
      <w:lvlText w:val="(%1)"/>
      <w:numFmt w:val="lowerLetter"/>
      <w:start w:val="1"/>
    </w:lvl>
  </w:abstractNum>
  <w:abstractNum w:abstractNumId="24">
    <w:nsid w:val="649BB77C"/>
    <w:multiLevelType w:val="hybridMultilevel"/>
    <w:lvl w:ilvl="0">
      <w:lvlJc w:val="left"/>
      <w:lvlText w:val="x"/>
      <w:numFmt w:val="bullet"/>
      <w:start w:val="1"/>
    </w:lvl>
  </w:abstractNum>
  <w:abstractNum w:abstractNumId="25">
    <w:nsid w:val="275AC794"/>
    <w:multiLevelType w:val="hybridMultilevel"/>
    <w:lvl w:ilvl="0">
      <w:lvlJc w:val="left"/>
      <w:lvlText w:val="R"/>
      <w:numFmt w:val="bullet"/>
      <w:start w:val="1"/>
    </w:lvl>
  </w:abstractNum>
  <w:abstractNum w:abstractNumId="26">
    <w:nsid w:val="39386575"/>
    <w:multiLevelType w:val="hybridMultilevel"/>
    <w:lvl w:ilvl="0">
      <w:lvlJc w:val="left"/>
      <w:lvlText w:val="R"/>
      <w:numFmt w:val="bullet"/>
      <w:start w:val="1"/>
    </w:lvl>
  </w:abstractNum>
  <w:abstractNum w:abstractNumId="27">
    <w:nsid w:val="1CF10FD8"/>
    <w:multiLevelType w:val="hybridMultilevel"/>
    <w:lvl w:ilvl="0">
      <w:lvlJc w:val="left"/>
      <w:lvlText w:val="x"/>
      <w:numFmt w:val="bullet"/>
      <w:start w:val="1"/>
    </w:lvl>
  </w:abstractNum>
  <w:abstractNum w:abstractNumId="28">
    <w:nsid w:val="180115BE"/>
    <w:multiLevelType w:val="hybridMultilevel"/>
    <w:lvl w:ilvl="0">
      <w:lvlJc w:val="left"/>
      <w:lvlText w:val="R"/>
      <w:numFmt w:val="bullet"/>
      <w:start w:val="1"/>
    </w:lvl>
  </w:abstractNum>
  <w:abstractNum w:abstractNumId="29">
    <w:nsid w:val="235BA861"/>
    <w:multiLevelType w:val="hybridMultilevel"/>
    <w:lvl w:ilvl="0">
      <w:lvlJc w:val="left"/>
      <w:lvlText w:val="x"/>
      <w:numFmt w:val="bullet"/>
      <w:start w:val="1"/>
    </w:lvl>
  </w:abstractNum>
  <w:abstractNum w:abstractNumId="30">
    <w:nsid w:val="47398C89"/>
    <w:multiLevelType w:val="hybridMultilevel"/>
    <w:lvl w:ilvl="0">
      <w:lvlJc w:val="left"/>
      <w:lvlText w:val="(%1)"/>
      <w:numFmt w:val="lowerLetter"/>
      <w:start w:val="1"/>
    </w:lvl>
  </w:abstractNum>
  <w:abstractNum w:abstractNumId="31">
    <w:nsid w:val="354FE9F9"/>
    <w:multiLevelType w:val="hybridMultilevel"/>
    <w:lvl w:ilvl="0">
      <w:lvlJc w:val="left"/>
      <w:lvlText w:val="(%1)"/>
      <w:numFmt w:val="lowerLetter"/>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1)"/>
      <w:numFmt w:val="lowerLetter"/>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lowerLetter"/>
      <w:start w:val="1"/>
    </w:lvl>
  </w:abstractNum>
  <w:abstractNum w:abstractNumId="40">
    <w:nsid w:val="579BE4F1"/>
    <w:multiLevelType w:val="hybridMultilevel"/>
    <w:lvl w:ilvl="0">
      <w:lvlJc w:val="left"/>
      <w:lvlText w:val="(%1)"/>
      <w:numFmt w:val="lowerLetter"/>
      <w:start w:val="1"/>
    </w:lvl>
  </w:abstractNum>
  <w:abstractNum w:abstractNumId="41">
    <w:nsid w:val="310C50B3"/>
    <w:multiLevelType w:val="hybridMultilevel"/>
    <w:lvl w:ilvl="0">
      <w:lvlJc w:val="left"/>
      <w:lvlText w:val="(%1)"/>
      <w:numFmt w:val="lowerLetter"/>
      <w:start w:val="1"/>
    </w:lvl>
  </w:abstractNum>
  <w:abstractNum w:abstractNumId="42">
    <w:nsid w:val="5FF87E05"/>
    <w:multiLevelType w:val="hybridMultilevel"/>
    <w:lvl w:ilvl="0">
      <w:lvlJc w:val="left"/>
      <w:lvlText w:val="(%1)"/>
      <w:numFmt w:val="lowerLetter"/>
      <w:start w:val="1"/>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lowerLetter"/>
      <w:start w:val="1"/>
    </w:lvl>
  </w:abstractNum>
  <w:abstractNum w:abstractNumId="45">
    <w:nsid w:val="1DBABF00"/>
    <w:multiLevelType w:val="hybridMultilevel"/>
    <w:lvl w:ilvl="0">
      <w:lvlJc w:val="left"/>
      <w:lvlText w:val="(%1)"/>
      <w:numFmt w:val="lowerLetter"/>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lowerLetter"/>
      <w:start w:val="1"/>
    </w:lvl>
  </w:abstractNum>
  <w:abstractNum w:abstractNumId="48">
    <w:nsid w:val="1381823A"/>
    <w:multiLevelType w:val="hybridMultilevel"/>
    <w:lvl w:ilvl="0">
      <w:lvlJc w:val="left"/>
      <w:lvlText w:val="(%1)"/>
      <w:numFmt w:val="lowerLetter"/>
      <w:start w:val="1"/>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lowerLetter"/>
      <w:start w:val="1"/>
    </w:lvl>
  </w:abstractNum>
  <w:abstractNum w:abstractNumId="51">
    <w:nsid w:val="6590700B"/>
    <w:multiLevelType w:val="hybridMultilevel"/>
    <w:lvl w:ilvl="0">
      <w:lvlJc w:val="left"/>
      <w:lvlText w:val="(%1)"/>
      <w:numFmt w:val="lowerLetter"/>
      <w:start w:val="1"/>
    </w:lvl>
  </w:abstractNum>
  <w:abstractNum w:abstractNumId="52">
    <w:nsid w:val="15014ACB"/>
    <w:multiLevelType w:val="hybridMultilevel"/>
    <w:lvl w:ilvl="0">
      <w:lvlJc w:val="left"/>
      <w:lvlText w:val="(%1)"/>
      <w:numFmt w:val="lowerLetter"/>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1)"/>
      <w:numFmt w:val="lowerLetter"/>
      <w:start w:val="1"/>
    </w:lvl>
  </w:abstractNum>
  <w:abstractNum w:abstractNumId="55">
    <w:nsid w:val="799D0247"/>
    <w:multiLevelType w:val="hybridMultilevel"/>
    <w:lvl w:ilvl="0">
      <w:lvlJc w:val="left"/>
      <w:lvlText w:val="(%1)"/>
      <w:numFmt w:val="lowerLetter"/>
      <w:start w:val="1"/>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lowerLetter"/>
      <w:start w:val="1"/>
    </w:lvl>
  </w:abstractNum>
  <w:abstractNum w:abstractNumId="58">
    <w:nsid w:val="168E121F"/>
    <w:multiLevelType w:val="hybridMultilevel"/>
    <w:lvl w:ilvl="0">
      <w:lvlJc w:val="left"/>
      <w:lvlText w:val="x"/>
      <w:numFmt w:val="bullet"/>
      <w:start w:val="1"/>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lowerLetter"/>
      <w:start w:val="1"/>
    </w:lvl>
  </w:abstractNum>
  <w:abstractNum w:abstractNumId="61">
    <w:nsid w:val="5DC79EA8"/>
    <w:multiLevelType w:val="hybridMultilevel"/>
    <w:lvl w:ilvl="0">
      <w:lvlJc w:val="left"/>
      <w:lvlText w:val="(%1)"/>
      <w:numFmt w:val="lowerLetter"/>
      <w:start w:val="1"/>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1)"/>
      <w:numFmt w:val="lowerLetter"/>
      <w:start w:val="1"/>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Letter"/>
      <w:start w:val="1"/>
    </w:lvl>
  </w:abstractNum>
  <w:abstractNum w:abstractNumId="73">
    <w:nsid w:val="68EB2F63"/>
    <w:multiLevelType w:val="hybridMultilevel"/>
    <w:lvl w:ilvl="0">
      <w:lvlJc w:val="left"/>
      <w:lvlText w:val="(%1)"/>
      <w:numFmt w:val="lowerLetter"/>
      <w:start w:val="1"/>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lowerLetter"/>
      <w:start w:val="1"/>
    </w:lvl>
  </w:abstractNum>
  <w:abstractNum w:abstractNumId="76">
    <w:nsid w:val="6A5EE64"/>
    <w:multiLevelType w:val="hybridMultilevel"/>
    <w:lvl w:ilvl="0">
      <w:lvlJc w:val="left"/>
      <w:lvlText w:val="(%1)"/>
      <w:numFmt w:val="lowerLetter"/>
      <w:start w:val="1"/>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lowerLetter"/>
      <w:start w:val="1"/>
    </w:lvl>
  </w:abstractNum>
  <w:abstractNum w:abstractNumId="80">
    <w:nsid w:val="71EA1109"/>
    <w:multiLevelType w:val="hybridMultilevel"/>
    <w:lvl w:ilvl="0">
      <w:lvlJc w:val="left"/>
      <w:lvlText w:val="(%1)"/>
      <w:numFmt w:val="lowerLetter"/>
      <w:start w:val="1"/>
    </w:lvl>
  </w:abstractNum>
  <w:abstractNum w:abstractNumId="81">
    <w:nsid w:val="100F59DC"/>
    <w:multiLevelType w:val="hybridMultilevel"/>
    <w:lvl w:ilvl="0">
      <w:lvlJc w:val="left"/>
      <w:lvlText w:val="(%1)"/>
      <w:numFmt w:val="lowerLetter"/>
      <w:start w:val="1"/>
    </w:lvl>
  </w:abstractNum>
  <w:abstractNum w:abstractNumId="82">
    <w:nsid w:val="7FB7E0AA"/>
    <w:multiLevelType w:val="hybridMultilevel"/>
    <w:lvl w:ilvl="0">
      <w:lvlJc w:val="left"/>
      <w:lvlText w:val="(%1)"/>
      <w:numFmt w:val="lowerLetter"/>
      <w:start w:val="1"/>
    </w:lvl>
  </w:abstractNum>
  <w:abstractNum w:abstractNumId="83">
    <w:nsid w:val="6EB5BD4"/>
    <w:multiLevelType w:val="hybridMultilevel"/>
    <w:lvl w:ilvl="0">
      <w:lvlJc w:val="left"/>
      <w:lvlText w:val="(%1)"/>
      <w:numFmt w:val="lowerLetter"/>
      <w:start w:val="1"/>
    </w:lvl>
  </w:abstractNum>
  <w:abstractNum w:abstractNumId="84">
    <w:nsid w:val="6F6DD9AC"/>
    <w:multiLevelType w:val="hybridMultilevel"/>
    <w:lvl w:ilvl="0">
      <w:lvlJc w:val="left"/>
      <w:lvlText w:val="(%1)"/>
      <w:numFmt w:val="lowerLetter"/>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2025-12-10T21:56:54Z</dcterms:created>
  <dcterms:modified xsi:type="dcterms:W3CDTF">2025-12-10T21:56:54Z</dcterms:modified>
</cp:coreProperties>
</file>