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 w:lineRule="exact"/>
        <w:rPr>
          <w:sz w:val="24"/>
          <w:szCs w:val="24"/>
          <w:color w:val="auto"/>
        </w:rPr>
      </w:pPr>
    </w:p>
    <w:p>
      <w:pPr>
        <w:ind w:left="480" w:right="260" w:hanging="459"/>
        <w:spacing w:after="0" w:line="180" w:lineRule="auto"/>
        <w:tabs>
          <w:tab w:leader="none" w:pos="480" w:val="left"/>
        </w:tabs>
        <w:numPr>
          <w:ilvl w:val="0"/>
          <w:numId w:val="1"/>
        </w:numPr>
        <w:rPr>
          <w:rFonts w:ascii="MS PGothic" w:cs="MS PGothic" w:eastAsia="MS PGothic" w:hAnsi="MS PGothic"/>
          <w:sz w:val="42"/>
          <w:szCs w:val="42"/>
          <w:color w:val="auto"/>
          <w:vertAlign w:val="superscript"/>
        </w:rPr>
      </w:pPr>
      <w:r>
        <w:rPr>
          <w:rFonts w:ascii="Arial" w:cs="Arial" w:eastAsia="Arial" w:hAnsi="Arial"/>
          <w:sz w:val="21"/>
          <w:szCs w:val="21"/>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80" w:right="260" w:hanging="459"/>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0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3734435</wp:posOffset>
            </wp:positionH>
            <wp:positionV relativeFrom="paragraph">
              <wp:posOffset>-10160</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8145 Blazer Drive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Wilmington, Delaware 19808</w:t>
      </w:r>
    </w:p>
    <w:p>
      <w:pPr>
        <w:jc w:val="center"/>
        <w:spacing w:after="0" w:line="222" w:lineRule="auto"/>
        <w:rPr>
          <w:sz w:val="20"/>
          <w:szCs w:val="20"/>
          <w:color w:val="auto"/>
        </w:rPr>
      </w:pPr>
      <w:r>
        <w:rPr>
          <w:rFonts w:ascii="Arial" w:cs="Arial" w:eastAsia="Arial" w:hAnsi="Arial"/>
          <w:sz w:val="18"/>
          <w:szCs w:val="18"/>
          <w:color w:val="auto"/>
        </w:rPr>
        <w:t>Telephone Number (302) 995-3000</w:t>
      </w: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2"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080" w:type="dxa"/>
            <w:vAlign w:val="bottom"/>
            <w:gridSpan w:val="2"/>
          </w:tcPr>
          <w:p>
            <w:pPr>
              <w:jc w:val="center"/>
              <w:ind w:right="1040"/>
              <w:spacing w:after="0"/>
              <w:rPr>
                <w:sz w:val="20"/>
                <w:szCs w:val="20"/>
                <w:color w:val="auto"/>
              </w:rPr>
            </w:pPr>
            <w:r>
              <w:rPr>
                <w:rFonts w:ascii="Arial" w:cs="Arial" w:eastAsia="Arial" w:hAnsi="Arial"/>
                <w:sz w:val="14"/>
                <w:szCs w:val="14"/>
                <w:color w:val="auto"/>
                <w:w w:val="92"/>
              </w:rPr>
              <w:t>Title of each class</w:t>
            </w:r>
          </w:p>
        </w:tc>
        <w:tc>
          <w:tcPr>
            <w:tcW w:w="1720" w:type="dxa"/>
            <w:vAlign w:val="bottom"/>
          </w:tcPr>
          <w:p>
            <w:pPr>
              <w:spacing w:after="0"/>
              <w:rPr>
                <w:sz w:val="14"/>
                <w:szCs w:val="14"/>
                <w:color w:val="auto"/>
              </w:rPr>
            </w:pPr>
          </w:p>
        </w:tc>
        <w:tc>
          <w:tcPr>
            <w:tcW w:w="2940" w:type="dxa"/>
            <w:vAlign w:val="bottom"/>
            <w:gridSpan w:val="2"/>
          </w:tcPr>
          <w:p>
            <w:pPr>
              <w:jc w:val="center"/>
              <w:ind w:right="2000"/>
              <w:spacing w:after="0"/>
              <w:rPr>
                <w:sz w:val="20"/>
                <w:szCs w:val="20"/>
                <w:color w:val="auto"/>
              </w:rPr>
            </w:pPr>
            <w:r>
              <w:rPr>
                <w:rFonts w:ascii="Arial" w:cs="Arial" w:eastAsia="Arial" w:hAnsi="Arial"/>
                <w:sz w:val="14"/>
                <w:szCs w:val="14"/>
                <w:color w:val="auto"/>
                <w:w w:val="95"/>
              </w:rPr>
              <w:t>Trading Symbol</w:t>
            </w: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4"/>
        </w:trPr>
        <w:tc>
          <w:tcPr>
            <w:tcW w:w="30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Common Stock, par value $.01 per share</w:t>
            </w:r>
          </w:p>
        </w:tc>
        <w:tc>
          <w:tcPr>
            <w:tcW w:w="1720" w:type="dxa"/>
            <w:vAlign w:val="bottom"/>
          </w:tcPr>
          <w:p>
            <w:pPr>
              <w:spacing w:after="0"/>
              <w:rPr>
                <w:sz w:val="22"/>
                <w:szCs w:val="22"/>
                <w:color w:val="auto"/>
              </w:rPr>
            </w:pPr>
          </w:p>
        </w:tc>
        <w:tc>
          <w:tcPr>
            <w:tcW w:w="2940" w:type="dxa"/>
            <w:vAlign w:val="bottom"/>
            <w:gridSpan w:val="2"/>
          </w:tcPr>
          <w:p>
            <w:pPr>
              <w:jc w:val="center"/>
              <w:ind w:right="1980"/>
              <w:spacing w:after="0"/>
              <w:rPr>
                <w:sz w:val="20"/>
                <w:szCs w:val="20"/>
                <w:color w:val="auto"/>
              </w:rPr>
            </w:pPr>
            <w:r>
              <w:rPr>
                <w:rFonts w:ascii="Arial" w:cs="Arial" w:eastAsia="Arial" w:hAnsi="Arial"/>
                <w:sz w:val="18"/>
                <w:szCs w:val="18"/>
                <w:color w:val="auto"/>
                <w:w w:val="97"/>
              </w:rPr>
              <w:t>ASH</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23"/>
        </w:trPr>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60" w:type="dxa"/>
            <w:vAlign w:val="bottom"/>
            <w:gridSpan w:val="3"/>
          </w:tcPr>
          <w:p>
            <w:pPr>
              <w:jc w:val="center"/>
              <w:ind w:right="30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2540" w:type="dxa"/>
            <w:vAlign w:val="bottom"/>
          </w:tcPr>
          <w:p>
            <w:pPr>
              <w:spacing w:after="0"/>
              <w:rPr>
                <w:sz w:val="19"/>
                <w:szCs w:val="19"/>
                <w:color w:val="auto"/>
              </w:rPr>
            </w:pPr>
          </w:p>
        </w:tc>
      </w:tr>
    </w:tbl>
    <w:p>
      <w:pPr>
        <w:spacing w:after="0" w:line="86"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90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800"/>
              <w:spacing w:after="0" w:line="202" w:lineRule="exact"/>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jc w:val="both"/>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right="13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December 31, 2021, there were 56,923,767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4"/>
          </w:tcPr>
          <w:p>
            <w:pPr>
              <w:jc w:val="right"/>
              <w:spacing w:after="0" w:line="201" w:lineRule="exact"/>
              <w:rPr>
                <w:sz w:val="20"/>
                <w:szCs w:val="20"/>
                <w:color w:val="auto"/>
              </w:rPr>
            </w:pPr>
            <w:r>
              <w:rPr>
                <w:rFonts w:ascii="Arial" w:cs="Arial" w:eastAsia="Arial" w:hAnsi="Arial"/>
                <w:sz w:val="18"/>
                <w:szCs w:val="18"/>
                <w:color w:val="auto"/>
              </w:rPr>
              <w:t>Three months ended</w:t>
            </w: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60" w:type="dxa"/>
            <w:vAlign w:val="bottom"/>
            <w:vMerge w:val="restart"/>
          </w:tcPr>
          <w:p>
            <w:pPr>
              <w:ind w:left="20"/>
              <w:spacing w:after="0"/>
              <w:rPr>
                <w:sz w:val="20"/>
                <w:szCs w:val="20"/>
                <w:color w:val="auto"/>
              </w:rPr>
            </w:pPr>
            <w:r>
              <w:rPr>
                <w:rFonts w:ascii="Arial" w:cs="Arial" w:eastAsia="Arial" w:hAnsi="Arial"/>
                <w:sz w:val="18"/>
                <w:szCs w:val="18"/>
                <w:color w:val="auto"/>
              </w:rPr>
              <w:t>(In millions except per share data - unaudited)</w:t>
            </w: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Sales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512</w:t>
            </w:r>
          </w:p>
        </w:tc>
        <w:tc>
          <w:tcPr>
            <w:tcW w:w="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expense</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Intangibles amortization expense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Equity and other income</w:t>
            </w:r>
          </w:p>
        </w:tc>
        <w:tc>
          <w:tcPr>
            <w:tcW w:w="380" w:type="dxa"/>
            <w:vAlign w:val="bottom"/>
          </w:tcPr>
          <w:p>
            <w:pPr>
              <w:spacing w:after="0"/>
              <w:rPr>
                <w:sz w:val="17"/>
                <w:szCs w:val="17"/>
                <w:color w:val="auto"/>
              </w:rPr>
            </w:pP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interest and other expense (income)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income on acquisitions and divestitures</w:t>
            </w:r>
          </w:p>
        </w:tc>
        <w:tc>
          <w:tcPr>
            <w:tcW w:w="380" w:type="dxa"/>
            <w:vAlign w:val="bottom"/>
          </w:tcPr>
          <w:p>
            <w:pPr>
              <w:spacing w:after="0"/>
              <w:rPr>
                <w:sz w:val="17"/>
                <w:szCs w:val="17"/>
                <w:color w:val="auto"/>
              </w:rPr>
            </w:pP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Income from discontinued operations (net of income taxes) - Note C</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Basic earnings per share - Note M</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0.56</w:t>
            </w:r>
          </w:p>
        </w:tc>
        <w:tc>
          <w:tcPr>
            <w:tcW w:w="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0.85</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0.93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 earnings per share - Note M</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0.55</w:t>
            </w:r>
          </w:p>
        </w:tc>
        <w:tc>
          <w:tcPr>
            <w:tcW w:w="80" w:type="dxa"/>
            <w:vAlign w:val="bottom"/>
          </w:tcPr>
          <w:p>
            <w:pPr>
              <w:spacing w:after="0"/>
              <w:rPr>
                <w:sz w:val="17"/>
                <w:szCs w:val="17"/>
                <w:color w:val="auto"/>
              </w:rPr>
            </w:pPr>
          </w:p>
        </w:tc>
        <w:tc>
          <w:tcPr>
            <w:tcW w:w="78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0.28</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0"/>
              <w:spacing w:after="0" w:line="182" w:lineRule="exact"/>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0.83</w:t>
            </w:r>
          </w:p>
        </w:tc>
        <w:tc>
          <w:tcPr>
            <w:tcW w:w="80" w:type="dxa"/>
            <w:vAlign w:val="bottom"/>
          </w:tcPr>
          <w:p>
            <w:pPr>
              <w:spacing w:after="0"/>
              <w:rPr>
                <w:sz w:val="17"/>
                <w:szCs w:val="17"/>
                <w:color w:val="auto"/>
              </w:rPr>
            </w:pPr>
          </w:p>
        </w:tc>
        <w:tc>
          <w:tcPr>
            <w:tcW w:w="780" w:type="dxa"/>
            <w:vAlign w:val="bottom"/>
            <w:gridSpan w:val="2"/>
          </w:tcPr>
          <w:p>
            <w:pPr>
              <w:jc w:val="right"/>
              <w:ind w:right="41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0.92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COMPREHENSIVE INCOME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net of tax</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translation gain (loss)</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commodity hedges</w:t>
            </w:r>
          </w:p>
        </w:tc>
        <w:tc>
          <w:tcPr>
            <w:tcW w:w="3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Other comprehensive income (loss) - Note N</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82" w:lineRule="exact"/>
              <w:rPr>
                <w:sz w:val="20"/>
                <w:szCs w:val="20"/>
                <w:color w:val="auto"/>
              </w:rPr>
            </w:pPr>
            <w:r>
              <w:rPr>
                <w:rFonts w:ascii="Arial" w:cs="Arial" w:eastAsia="Arial" w:hAnsi="Arial"/>
                <w:sz w:val="18"/>
                <w:szCs w:val="18"/>
                <w:color w:val="auto"/>
              </w:rPr>
              <w:t>Comprehensive income</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780" w:type="dxa"/>
            <w:vAlign w:val="bottom"/>
            <w:gridSpan w:val="2"/>
          </w:tcPr>
          <w:p>
            <w:pPr>
              <w:jc w:val="right"/>
              <w:ind w:right="41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-2716530</wp:posOffset>
            </wp:positionV>
            <wp:extent cx="51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-2700020</wp:posOffset>
            </wp:positionV>
            <wp:extent cx="51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-2716530</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-2700020</wp:posOffset>
            </wp:positionV>
            <wp:extent cx="51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-1910715</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-1893570</wp:posOffset>
            </wp:positionV>
            <wp:extent cx="51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-1910715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-1893570</wp:posOffset>
            </wp:positionV>
            <wp:extent cx="51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-1367790</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-1367790</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-5080</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-5080</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 w:name="page3"/>
    <w:bookmarkEnd w:id="2"/>
    <w:p>
      <w:pPr>
        <w:ind w:right="4160"/>
        <w:spacing w:after="0" w:line="252" w:lineRule="auto"/>
        <w:rPr>
          <w:sz w:val="20"/>
          <w:szCs w:val="20"/>
          <w:color w:val="auto"/>
        </w:rPr>
      </w:pPr>
      <w:r>
        <w:rPr>
          <w:rFonts w:ascii="Arial" w:cs="Arial" w:eastAsia="Arial" w:hAnsi="Arial"/>
          <w:sz w:val="20"/>
          <w:szCs w:val="20"/>
          <w:b w:val="1"/>
          <w:bCs w:val="1"/>
          <w:color w:val="auto"/>
        </w:rPr>
        <w:t>ASHLAND GLOBAL HOLDINGS INC. AND CONSOLIDATED SUBSIDIARIES CONDENSED CONSOLIDATED BALANCE SHEETS</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75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8"/>
                <w:szCs w:val="18"/>
                <w:color w:val="auto"/>
              </w:rPr>
              <w:t>(In millions - unaudited)</w:t>
            </w: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310"/>
              <w:spacing w:after="0" w:line="176" w:lineRule="exact"/>
              <w:rPr>
                <w:sz w:val="20"/>
                <w:szCs w:val="20"/>
                <w:color w:val="auto"/>
              </w:rPr>
            </w:pPr>
            <w:r>
              <w:rPr>
                <w:rFonts w:ascii="Arial" w:cs="Arial" w:eastAsia="Arial" w:hAnsi="Arial"/>
                <w:sz w:val="18"/>
                <w:szCs w:val="18"/>
                <w:color w:val="auto"/>
                <w:w w:val="98"/>
              </w:rPr>
              <w:t>December 31</w:t>
            </w: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270"/>
              <w:spacing w:after="0" w:line="176" w:lineRule="exact"/>
              <w:rPr>
                <w:sz w:val="20"/>
                <w:szCs w:val="20"/>
                <w:color w:val="auto"/>
              </w:rPr>
            </w:pPr>
            <w:r>
              <w:rPr>
                <w:rFonts w:ascii="Arial" w:cs="Arial" w:eastAsia="Arial" w:hAnsi="Arial"/>
                <w:sz w:val="18"/>
                <w:szCs w:val="18"/>
                <w:color w:val="auto"/>
                <w:w w:val="95"/>
              </w:rPr>
              <w:t>September 30</w:t>
            </w:r>
          </w:p>
        </w:tc>
        <w:tc>
          <w:tcPr>
            <w:tcW w:w="0" w:type="dxa"/>
            <w:vAlign w:val="bottom"/>
          </w:tcPr>
          <w:p>
            <w:pPr>
              <w:spacing w:after="0"/>
              <w:rPr>
                <w:sz w:val="1"/>
                <w:szCs w:val="1"/>
                <w:color w:val="auto"/>
              </w:rPr>
            </w:pPr>
          </w:p>
        </w:tc>
      </w:tr>
      <w:tr>
        <w:trPr>
          <w:trHeight w:val="203"/>
        </w:trPr>
        <w:tc>
          <w:tcPr>
            <w:tcW w:w="756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0"/>
              <w:spacing w:after="0" w:line="20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6"/>
        </w:trPr>
        <w:tc>
          <w:tcPr>
            <w:tcW w:w="68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91"/>
              </w:rPr>
              <w:t>ASSETS</w:t>
            </w:r>
          </w:p>
        </w:tc>
        <w:tc>
          <w:tcPr>
            <w:tcW w:w="6880" w:type="dxa"/>
            <w:vAlign w:val="bottom"/>
            <w:tcBorders>
              <w:bottom w:val="single" w:sz="8" w:color="CFF0FC"/>
            </w:tcBorders>
            <w:gridSpan w:val="2"/>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r>
              <w:rPr>
                <w:rFonts w:ascii="Arial" w:cs="Arial" w:eastAsia="Arial" w:hAnsi="Arial"/>
                <w:sz w:val="18"/>
                <w:szCs w:val="18"/>
                <w:color w:val="auto"/>
              </w:rPr>
              <w:t xml:space="preserve"> - Note H</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Inventories - Note F</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7560" w:type="dxa"/>
            <w:vAlign w:val="bottom"/>
            <w:tcBorders>
              <w:bottom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Current assets held for sale - Note B</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604</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196"/>
        </w:trPr>
        <w:tc>
          <w:tcPr>
            <w:tcW w:w="756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1,734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Cost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1,669</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196"/>
        </w:trPr>
        <w:tc>
          <w:tcPr>
            <w:tcW w:w="7560" w:type="dxa"/>
            <w:vAlign w:val="bottom"/>
            <w:gridSpan w:val="3"/>
            <w:shd w:val="clear" w:color="auto" w:fill="CFF0FC"/>
          </w:tcPr>
          <w:p>
            <w:pPr>
              <w:ind w:left="180"/>
              <w:spacing w:after="0" w:line="196" w:lineRule="exact"/>
              <w:rPr>
                <w:sz w:val="20"/>
                <w:szCs w:val="20"/>
                <w:color w:val="auto"/>
              </w:rPr>
            </w:pPr>
            <w:r>
              <w:rPr>
                <w:rFonts w:ascii="Arial" w:cs="Arial" w:eastAsia="Arial" w:hAnsi="Arial"/>
                <w:sz w:val="18"/>
                <w:szCs w:val="18"/>
                <w:color w:val="auto"/>
              </w:rPr>
              <w:t>Net property, plant and equipment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Goodwill - Note G</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1,411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Intangibles - Note G</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1,068</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Operating lease assets, net - Note I</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Restricted investments - Note E</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Asbestos insurance receivable </w:t>
            </w:r>
            <w:r>
              <w:rPr>
                <w:rFonts w:ascii="Arial" w:cs="Arial" w:eastAsia="Arial" w:hAnsi="Arial"/>
                <w:sz w:val="14"/>
                <w:szCs w:val="14"/>
                <w:color w:val="auto"/>
              </w:rPr>
              <w:t>(b)</w:t>
            </w:r>
            <w:r>
              <w:rPr>
                <w:rFonts w:ascii="Arial" w:cs="Arial" w:eastAsia="Arial" w:hAnsi="Arial"/>
                <w:sz w:val="18"/>
                <w:szCs w:val="18"/>
                <w:color w:val="auto"/>
              </w:rPr>
              <w:t xml:space="preserve"> - Note L</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gridSpan w:val="3"/>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4,815</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196"/>
        </w:trPr>
        <w:tc>
          <w:tcPr>
            <w:tcW w:w="756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6,549</w:t>
            </w:r>
          </w:p>
        </w:tc>
        <w:tc>
          <w:tcPr>
            <w:tcW w:w="3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5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auto"/>
            </w:tcBorders>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5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Short-term debt - Note H</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Current portion of long-term debt - Note H</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Trade and other payables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Current operating lease obligations - Note I</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7560" w:type="dxa"/>
            <w:vAlign w:val="bottom"/>
            <w:tcBorders>
              <w:bottom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Current liabilities held for sale - Note B</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756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 - Note H</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Asbestos litigation reserve - Note L</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Employee benefit obligations - Note K</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color w:val="auto"/>
              </w:rPr>
              <w:t>Operating lease obligations - Note I</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7560" w:type="dxa"/>
            <w:vAlign w:val="bottom"/>
            <w:tcBorders>
              <w:bottom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339</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96"/>
        </w:trPr>
        <w:tc>
          <w:tcPr>
            <w:tcW w:w="756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Total noncurrent liabilities</w:t>
            </w:r>
          </w:p>
        </w:tc>
        <w:tc>
          <w:tcPr>
            <w:tcW w:w="2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2,878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02"/>
        </w:trPr>
        <w:tc>
          <w:tcPr>
            <w:tcW w:w="75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Commitments and contingencies - Note L</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Stockholders’ equity - Note N</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2,763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3"/>
        </w:trPr>
        <w:tc>
          <w:tcPr>
            <w:tcW w:w="68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CFF0FC"/>
            </w:tcBorders>
            <w:shd w:val="clear" w:color="auto" w:fill="CFF0FC"/>
          </w:tcPr>
          <w:p>
            <w:pPr>
              <w:spacing w:after="0"/>
              <w:rPr>
                <w:sz w:val="17"/>
                <w:szCs w:val="17"/>
                <w:color w:val="auto"/>
              </w:rPr>
            </w:pPr>
          </w:p>
        </w:tc>
        <w:tc>
          <w:tcPr>
            <w:tcW w:w="5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6,549</w:t>
            </w:r>
          </w:p>
        </w:tc>
        <w:tc>
          <w:tcPr>
            <w:tcW w:w="3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-4959985</wp:posOffset>
            </wp:positionV>
            <wp:extent cx="1200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-3133725</wp:posOffset>
            </wp:positionV>
            <wp:extent cx="1200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-1813560</wp:posOffset>
            </wp:positionV>
            <wp:extent cx="1200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-776605</wp:posOffset>
            </wp:positionV>
            <wp:extent cx="1200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-253365</wp:posOffset>
            </wp:positionV>
            <wp:extent cx="1200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6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 includes an allowance for credit losses of $2 million at both December 31, 2021 and September 30, 2021.</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Asbestos insurance receivable includes an allowance for credit losses of $3 million at both December 31, 2021 and September 30,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3" w:name="page4"/>
    <w:bookmarkEnd w:id="3"/>
    <w:p>
      <w:pPr>
        <w:ind w:right="3820"/>
        <w:spacing w:after="0" w:line="278"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5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7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Borders>
              <w:top w:val="single" w:sz="8" w:color="auto"/>
            </w:tcBorders>
          </w:tcPr>
          <w:p>
            <w:pPr>
              <w:spacing w:after="0"/>
              <w:rPr>
                <w:sz w:val="15"/>
                <w:szCs w:val="15"/>
                <w:color w:val="auto"/>
              </w:rPr>
            </w:pPr>
          </w:p>
        </w:tc>
      </w:tr>
      <w:tr>
        <w:trPr>
          <w:trHeight w:val="181"/>
        </w:trPr>
        <w:tc>
          <w:tcPr>
            <w:tcW w:w="7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color w:val="auto"/>
              </w:rPr>
              <w:t>December 31</w:t>
            </w:r>
          </w:p>
        </w:tc>
        <w:tc>
          <w:tcPr>
            <w:tcW w:w="980" w:type="dxa"/>
            <w:vAlign w:val="bottom"/>
            <w:tcBorders>
              <w:bottom w:val="single" w:sz="8" w:color="auto"/>
            </w:tcBorders>
          </w:tcPr>
          <w:p>
            <w:pPr>
              <w:spacing w:after="0"/>
              <w:rPr>
                <w:sz w:val="15"/>
                <w:szCs w:val="15"/>
                <w:color w:val="auto"/>
              </w:rPr>
            </w:pPr>
          </w:p>
        </w:tc>
      </w:tr>
      <w:tr>
        <w:trPr>
          <w:trHeight w:val="169"/>
        </w:trPr>
        <w:tc>
          <w:tcPr>
            <w:tcW w:w="7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 unaudited)</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2020</w:t>
            </w:r>
          </w:p>
        </w:tc>
      </w:tr>
      <w:tr>
        <w:trPr>
          <w:trHeight w:val="133"/>
        </w:trPr>
        <w:tc>
          <w:tcPr>
            <w:tcW w:w="726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CASH FLOWS PROVIDED (USED) BY OPERATING ACTIVITIES FROM</w:t>
            </w:r>
          </w:p>
        </w:tc>
        <w:tc>
          <w:tcPr>
            <w:tcW w:w="3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85"/>
        </w:trPr>
        <w:tc>
          <w:tcPr>
            <w:tcW w:w="726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CONTINUING OPERATIONS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176"/>
        </w:trPr>
        <w:tc>
          <w:tcPr>
            <w:tcW w:w="72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68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56</w:t>
            </w:r>
          </w:p>
        </w:tc>
      </w:tr>
      <w:tr>
        <w:trPr>
          <w:trHeight w:val="175"/>
        </w:trPr>
        <w:tc>
          <w:tcPr>
            <w:tcW w:w="72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Income from discontinued operations (net of income taxes)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(16 )</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(13 )</w:t>
            </w:r>
          </w:p>
        </w:tc>
      </w:tr>
      <w:tr>
        <w:trPr>
          <w:trHeight w:val="176"/>
        </w:trPr>
        <w:tc>
          <w:tcPr>
            <w:tcW w:w="7260" w:type="dxa"/>
            <w:vAlign w:val="bottom"/>
          </w:tcPr>
          <w:p>
            <w:pPr>
              <w:ind w:left="180"/>
              <w:spacing w:after="0"/>
              <w:rPr>
                <w:sz w:val="20"/>
                <w:szCs w:val="20"/>
                <w:color w:val="auto"/>
              </w:rPr>
            </w:pPr>
            <w:r>
              <w:rPr>
                <w:rFonts w:ascii="Arial" w:cs="Arial" w:eastAsia="Arial" w:hAnsi="Arial"/>
                <w:sz w:val="14"/>
                <w:szCs w:val="14"/>
                <w:color w:val="auto"/>
              </w:rPr>
              <w:t>Adjustments to reconcile income from continuing operations to</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7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76"/>
        </w:trPr>
        <w:tc>
          <w:tcPr>
            <w:tcW w:w="72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59</w:t>
            </w:r>
          </w:p>
        </w:tc>
      </w:tr>
      <w:tr>
        <w:trPr>
          <w:trHeight w:val="176"/>
        </w:trPr>
        <w:tc>
          <w:tcPr>
            <w:tcW w:w="7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Original issue discount and debt issuance costs amortization</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w:t>
            </w:r>
          </w:p>
        </w:tc>
      </w:tr>
      <w:tr>
        <w:trPr>
          <w:trHeight w:val="175"/>
        </w:trPr>
        <w:tc>
          <w:tcPr>
            <w:tcW w:w="72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176"/>
        </w:trPr>
        <w:tc>
          <w:tcPr>
            <w:tcW w:w="7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Gain from sales of property and equipment</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(4 )</w:t>
            </w:r>
          </w:p>
        </w:tc>
      </w:tr>
      <w:tr>
        <w:trPr>
          <w:trHeight w:val="175"/>
        </w:trPr>
        <w:tc>
          <w:tcPr>
            <w:tcW w:w="7260" w:type="dxa"/>
            <w:vAlign w:val="bottom"/>
          </w:tcPr>
          <w:p>
            <w:pPr>
              <w:ind w:left="360"/>
              <w:spacing w:after="0"/>
              <w:rPr>
                <w:sz w:val="20"/>
                <w:szCs w:val="20"/>
                <w:color w:val="auto"/>
              </w:rPr>
            </w:pPr>
            <w:r>
              <w:rPr>
                <w:rFonts w:ascii="Arial" w:cs="Arial" w:eastAsia="Arial" w:hAnsi="Arial"/>
                <w:sz w:val="14"/>
                <w:szCs w:val="14"/>
                <w:color w:val="auto"/>
              </w:rPr>
              <w:t>Stock based compensation expense</w:t>
            </w:r>
          </w:p>
        </w:tc>
        <w:tc>
          <w:tcPr>
            <w:tcW w:w="32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176"/>
        </w:trPr>
        <w:tc>
          <w:tcPr>
            <w:tcW w:w="7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Income from restricted investments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(13 )</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(23 )</w:t>
            </w:r>
          </w:p>
        </w:tc>
      </w:tr>
      <w:tr>
        <w:trPr>
          <w:trHeight w:val="175"/>
        </w:trPr>
        <w:tc>
          <w:tcPr>
            <w:tcW w:w="7260" w:type="dxa"/>
            <w:vAlign w:val="bottom"/>
          </w:tcPr>
          <w:p>
            <w:pPr>
              <w:ind w:left="360"/>
              <w:spacing w:after="0"/>
              <w:rPr>
                <w:sz w:val="20"/>
                <w:szCs w:val="20"/>
                <w:color w:val="auto"/>
              </w:rPr>
            </w:pPr>
            <w:r>
              <w:rPr>
                <w:rFonts w:ascii="Arial" w:cs="Arial" w:eastAsia="Arial" w:hAnsi="Arial"/>
                <w:sz w:val="14"/>
                <w:szCs w:val="14"/>
                <w:color w:val="auto"/>
              </w:rPr>
              <w:t>Income on acquisitions and divestitures</w:t>
            </w:r>
          </w:p>
        </w:tc>
        <w:tc>
          <w:tcPr>
            <w:tcW w:w="32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176"/>
        </w:trPr>
        <w:tc>
          <w:tcPr>
            <w:tcW w:w="7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Impairments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w:t>
            </w:r>
          </w:p>
        </w:tc>
      </w:tr>
      <w:tr>
        <w:trPr>
          <w:trHeight w:val="176"/>
        </w:trPr>
        <w:tc>
          <w:tcPr>
            <w:tcW w:w="7260" w:type="dxa"/>
            <w:vAlign w:val="bottom"/>
          </w:tcPr>
          <w:p>
            <w:pPr>
              <w:ind w:left="360"/>
              <w:spacing w:after="0"/>
              <w:rPr>
                <w:sz w:val="20"/>
                <w:szCs w:val="20"/>
                <w:color w:val="auto"/>
              </w:rPr>
            </w:pPr>
            <w:r>
              <w:rPr>
                <w:rFonts w:ascii="Arial" w:cs="Arial" w:eastAsia="Arial" w:hAnsi="Arial"/>
                <w:sz w:val="14"/>
                <w:szCs w:val="14"/>
                <w:color w:val="auto"/>
              </w:rPr>
              <w:t>Pension contributions</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75"/>
        </w:trPr>
        <w:tc>
          <w:tcPr>
            <w:tcW w:w="72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4"/>
                <w:szCs w:val="14"/>
                <w:color w:val="auto"/>
              </w:rPr>
              <w:t>Change in operating assets and liabilities (a)</w:t>
            </w: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(72 )</w:t>
            </w:r>
          </w:p>
        </w:tc>
        <w:tc>
          <w:tcPr>
            <w:tcW w:w="1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13</w:t>
            </w:r>
          </w:p>
        </w:tc>
      </w:tr>
      <w:tr>
        <w:trPr>
          <w:trHeight w:val="169"/>
        </w:trPr>
        <w:tc>
          <w:tcPr>
            <w:tcW w:w="7260" w:type="dxa"/>
            <w:vAlign w:val="bottom"/>
          </w:tcPr>
          <w:p>
            <w:pPr>
              <w:ind w:left="180"/>
              <w:spacing w:after="0"/>
              <w:rPr>
                <w:sz w:val="20"/>
                <w:szCs w:val="20"/>
                <w:color w:val="auto"/>
              </w:rPr>
            </w:pPr>
            <w:r>
              <w:rPr>
                <w:rFonts w:ascii="Arial" w:cs="Arial" w:eastAsia="Arial" w:hAnsi="Arial"/>
                <w:sz w:val="14"/>
                <w:szCs w:val="14"/>
                <w:color w:val="auto"/>
              </w:rPr>
              <w:t>Total cash flows provided by operating activities from continuing operations</w:t>
            </w:r>
          </w:p>
        </w:tc>
        <w:tc>
          <w:tcPr>
            <w:tcW w:w="32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81</w:t>
            </w:r>
          </w:p>
        </w:tc>
      </w:tr>
      <w:tr>
        <w:trPr>
          <w:trHeight w:val="139"/>
        </w:trPr>
        <w:tc>
          <w:tcPr>
            <w:tcW w:w="726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CASH FLOWS PROVIDED (USED) BY INVESTING ACTIVITIES FROM</w:t>
            </w:r>
          </w:p>
        </w:tc>
        <w:tc>
          <w:tcPr>
            <w:tcW w:w="3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85"/>
        </w:trPr>
        <w:tc>
          <w:tcPr>
            <w:tcW w:w="726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CONTINUING OPERATIONS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175"/>
        </w:trPr>
        <w:tc>
          <w:tcPr>
            <w:tcW w:w="7260" w:type="dxa"/>
            <w:vAlign w:val="bottom"/>
          </w:tcPr>
          <w:p>
            <w:pPr>
              <w:ind w:left="18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(15 )</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176"/>
        </w:trPr>
        <w:tc>
          <w:tcPr>
            <w:tcW w:w="72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Proceeds from disposal of property, plant and equipment</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w:t>
            </w:r>
          </w:p>
        </w:tc>
      </w:tr>
      <w:tr>
        <w:trPr>
          <w:trHeight w:val="176"/>
        </w:trPr>
        <w:tc>
          <w:tcPr>
            <w:tcW w:w="7260" w:type="dxa"/>
            <w:vAlign w:val="bottom"/>
          </w:tcPr>
          <w:p>
            <w:pPr>
              <w:ind w:left="180"/>
              <w:spacing w:after="0"/>
              <w:rPr>
                <w:sz w:val="20"/>
                <w:szCs w:val="20"/>
                <w:color w:val="auto"/>
              </w:rPr>
            </w:pPr>
            <w:r>
              <w:rPr>
                <w:rFonts w:ascii="Arial" w:cs="Arial" w:eastAsia="Arial" w:hAnsi="Arial"/>
                <w:sz w:val="14"/>
                <w:szCs w:val="14"/>
                <w:color w:val="auto"/>
              </w:rPr>
              <w:t>Proceeds from sale or restructuring of operations</w:t>
            </w:r>
          </w:p>
        </w:tc>
        <w:tc>
          <w:tcPr>
            <w:tcW w:w="32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175"/>
        </w:trPr>
        <w:tc>
          <w:tcPr>
            <w:tcW w:w="72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purchase of funds restricted for specific transactions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r>
      <w:tr>
        <w:trPr>
          <w:trHeight w:val="176"/>
        </w:trPr>
        <w:tc>
          <w:tcPr>
            <w:tcW w:w="7260" w:type="dxa"/>
            <w:vAlign w:val="bottom"/>
          </w:tcPr>
          <w:p>
            <w:pPr>
              <w:ind w:left="180"/>
              <w:spacing w:after="0"/>
              <w:rPr>
                <w:sz w:val="20"/>
                <w:szCs w:val="20"/>
                <w:color w:val="auto"/>
              </w:rPr>
            </w:pPr>
            <w:r>
              <w:rPr>
                <w:rFonts w:ascii="Arial" w:cs="Arial" w:eastAsia="Arial" w:hAnsi="Arial"/>
                <w:sz w:val="14"/>
                <w:szCs w:val="14"/>
                <w:color w:val="auto"/>
              </w:rPr>
              <w:t>Reimbursements from restricted investments</w:t>
            </w:r>
          </w:p>
        </w:tc>
        <w:tc>
          <w:tcPr>
            <w:tcW w:w="32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w:t>
            </w:r>
          </w:p>
        </w:tc>
      </w:tr>
      <w:tr>
        <w:trPr>
          <w:trHeight w:val="175"/>
        </w:trPr>
        <w:tc>
          <w:tcPr>
            <w:tcW w:w="72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Proceeds from sale of securities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42</w:t>
            </w:r>
          </w:p>
        </w:tc>
      </w:tr>
      <w:tr>
        <w:trPr>
          <w:trHeight w:val="176"/>
        </w:trPr>
        <w:tc>
          <w:tcPr>
            <w:tcW w:w="7260" w:type="dxa"/>
            <w:vAlign w:val="bottom"/>
          </w:tcPr>
          <w:p>
            <w:pPr>
              <w:ind w:left="180"/>
              <w:spacing w:after="0"/>
              <w:rPr>
                <w:sz w:val="20"/>
                <w:szCs w:val="20"/>
                <w:color w:val="auto"/>
              </w:rPr>
            </w:pPr>
            <w:r>
              <w:rPr>
                <w:rFonts w:ascii="Arial" w:cs="Arial" w:eastAsia="Arial" w:hAnsi="Arial"/>
                <w:sz w:val="14"/>
                <w:szCs w:val="14"/>
                <w:color w:val="auto"/>
              </w:rPr>
              <w:t>Purchases of securities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r>
      <w:tr>
        <w:trPr>
          <w:trHeight w:val="169"/>
        </w:trPr>
        <w:tc>
          <w:tcPr>
            <w:tcW w:w="72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cash flows used by investing activities from continuing operations</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(7 )</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(4 )</w:t>
            </w:r>
          </w:p>
        </w:tc>
      </w:tr>
      <w:tr>
        <w:trPr>
          <w:trHeight w:val="139"/>
        </w:trPr>
        <w:tc>
          <w:tcPr>
            <w:tcW w:w="7260" w:type="dxa"/>
            <w:vAlign w:val="bottom"/>
          </w:tcPr>
          <w:p>
            <w:pPr>
              <w:spacing w:after="0" w:line="139" w:lineRule="exact"/>
              <w:rPr>
                <w:sz w:val="20"/>
                <w:szCs w:val="20"/>
                <w:color w:val="auto"/>
              </w:rPr>
            </w:pPr>
            <w:r>
              <w:rPr>
                <w:rFonts w:ascii="Arial" w:cs="Arial" w:eastAsia="Arial" w:hAnsi="Arial"/>
                <w:sz w:val="14"/>
                <w:szCs w:val="14"/>
                <w:b w:val="1"/>
                <w:bCs w:val="1"/>
                <w:color w:val="auto"/>
              </w:rPr>
              <w:t>CASH FLOWS PROVIDED (USED) BY FINANCING ACTIVITIES FROM</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5"/>
        </w:trPr>
        <w:tc>
          <w:tcPr>
            <w:tcW w:w="7260" w:type="dxa"/>
            <w:vAlign w:val="bottom"/>
          </w:tcPr>
          <w:p>
            <w:pPr>
              <w:ind w:left="100"/>
              <w:spacing w:after="0"/>
              <w:rPr>
                <w:sz w:val="20"/>
                <w:szCs w:val="20"/>
                <w:color w:val="auto"/>
              </w:rPr>
            </w:pPr>
            <w:r>
              <w:rPr>
                <w:rFonts w:ascii="Arial" w:cs="Arial" w:eastAsia="Arial" w:hAnsi="Arial"/>
                <w:sz w:val="14"/>
                <w:szCs w:val="14"/>
                <w:b w:val="1"/>
                <w:bCs w:val="1"/>
                <w:color w:val="auto"/>
              </w:rPr>
              <w:t>CONTINUING OPERATIONS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6"/>
        </w:trPr>
        <w:tc>
          <w:tcPr>
            <w:tcW w:w="72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Proceeds from (repayment of) short-term debt</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(187 )</w:t>
            </w:r>
          </w:p>
        </w:tc>
      </w:tr>
      <w:tr>
        <w:trPr>
          <w:trHeight w:val="175"/>
        </w:trPr>
        <w:tc>
          <w:tcPr>
            <w:tcW w:w="7260" w:type="dxa"/>
            <w:vAlign w:val="bottom"/>
          </w:tcPr>
          <w:p>
            <w:pPr>
              <w:ind w:left="180"/>
              <w:spacing w:after="0"/>
              <w:rPr>
                <w:sz w:val="20"/>
                <w:szCs w:val="20"/>
                <w:color w:val="auto"/>
              </w:rPr>
            </w:pPr>
            <w:r>
              <w:rPr>
                <w:rFonts w:ascii="Arial" w:cs="Arial" w:eastAsia="Arial" w:hAnsi="Arial"/>
                <w:sz w:val="14"/>
                <w:szCs w:val="14"/>
                <w:color w:val="auto"/>
              </w:rPr>
              <w:t>Cash dividends paid</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(17 )</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75"/>
        </w:trPr>
        <w:tc>
          <w:tcPr>
            <w:tcW w:w="7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Stock based compensation employee withholding taxes paid in cash</w:t>
            </w: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1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(3 )</w:t>
            </w:r>
          </w:p>
        </w:tc>
      </w:tr>
      <w:tr>
        <w:trPr>
          <w:trHeight w:val="169"/>
        </w:trPr>
        <w:tc>
          <w:tcPr>
            <w:tcW w:w="7260" w:type="dxa"/>
            <w:vAlign w:val="bottom"/>
          </w:tcPr>
          <w:p>
            <w:pPr>
              <w:ind w:left="180"/>
              <w:spacing w:after="0"/>
              <w:rPr>
                <w:sz w:val="20"/>
                <w:szCs w:val="20"/>
                <w:color w:val="auto"/>
              </w:rPr>
            </w:pPr>
            <w:r>
              <w:rPr>
                <w:rFonts w:ascii="Arial" w:cs="Arial" w:eastAsia="Arial" w:hAnsi="Arial"/>
                <w:sz w:val="14"/>
                <w:szCs w:val="14"/>
                <w:color w:val="auto"/>
              </w:rPr>
              <w:t>Total cash flows used by financing activities from continuing operations</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(207 )</w:t>
            </w:r>
          </w:p>
        </w:tc>
      </w:tr>
      <w:tr>
        <w:trPr>
          <w:trHeight w:val="169"/>
        </w:trPr>
        <w:tc>
          <w:tcPr>
            <w:tcW w:w="7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USED BY CONTINUING OPERATIONS</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(130 )</w:t>
            </w:r>
          </w:p>
        </w:tc>
      </w:tr>
      <w:tr>
        <w:trPr>
          <w:trHeight w:val="176"/>
        </w:trPr>
        <w:tc>
          <w:tcPr>
            <w:tcW w:w="7260" w:type="dxa"/>
            <w:vAlign w:val="bottom"/>
          </w:tcPr>
          <w:p>
            <w:pPr>
              <w:ind w:left="180"/>
              <w:spacing w:after="0"/>
              <w:rPr>
                <w:sz w:val="20"/>
                <w:szCs w:val="20"/>
                <w:color w:val="auto"/>
              </w:rPr>
            </w:pPr>
            <w:r>
              <w:rPr>
                <w:rFonts w:ascii="Arial" w:cs="Arial" w:eastAsia="Arial" w:hAnsi="Arial"/>
                <w:sz w:val="14"/>
                <w:szCs w:val="14"/>
                <w:color w:val="auto"/>
              </w:rPr>
              <w:t>Cash provided (used) by discontinued operations</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7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cash flows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(8 )</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w:t>
            </w:r>
          </w:p>
        </w:tc>
      </w:tr>
      <w:tr>
        <w:trPr>
          <w:trHeight w:val="175"/>
        </w:trPr>
        <w:tc>
          <w:tcPr>
            <w:tcW w:w="7260" w:type="dxa"/>
            <w:vAlign w:val="bottom"/>
          </w:tcPr>
          <w:p>
            <w:pPr>
              <w:ind w:left="360"/>
              <w:spacing w:after="0"/>
              <w:rPr>
                <w:sz w:val="20"/>
                <w:szCs w:val="20"/>
                <w:color w:val="auto"/>
              </w:rPr>
            </w:pPr>
            <w:r>
              <w:rPr>
                <w:rFonts w:ascii="Arial" w:cs="Arial" w:eastAsia="Arial" w:hAnsi="Arial"/>
                <w:sz w:val="14"/>
                <w:szCs w:val="14"/>
                <w:color w:val="auto"/>
              </w:rPr>
              <w:t>Investing cash flows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r>
      <w:tr>
        <w:trPr>
          <w:trHeight w:val="169"/>
        </w:trPr>
        <w:tc>
          <w:tcPr>
            <w:tcW w:w="72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cash provided by discontinued operations</w:t>
            </w: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(9 )</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w:t>
            </w:r>
          </w:p>
        </w:tc>
      </w:tr>
      <w:tr>
        <w:trPr>
          <w:trHeight w:val="175"/>
        </w:trPr>
        <w:tc>
          <w:tcPr>
            <w:tcW w:w="7260" w:type="dxa"/>
            <w:vAlign w:val="bottom"/>
          </w:tcPr>
          <w:p>
            <w:pPr>
              <w:ind w:left="180"/>
              <w:spacing w:after="0"/>
              <w:rPr>
                <w:sz w:val="20"/>
                <w:szCs w:val="20"/>
                <w:color w:val="auto"/>
              </w:rPr>
            </w:pPr>
            <w:r>
              <w:rPr>
                <w:rFonts w:ascii="Arial" w:cs="Arial" w:eastAsia="Arial" w:hAnsi="Arial"/>
                <w:sz w:val="14"/>
                <w:szCs w:val="14"/>
                <w:color w:val="auto"/>
              </w:rPr>
              <w:t>Effect of currency exchange rate changes on cash and cash equivalents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r>
      <w:tr>
        <w:trPr>
          <w:trHeight w:val="169"/>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3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(16 )</w:t>
            </w:r>
          </w:p>
        </w:tc>
        <w:tc>
          <w:tcPr>
            <w:tcW w:w="16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(119 )</w:t>
            </w:r>
          </w:p>
        </w:tc>
      </w:tr>
      <w:tr>
        <w:trPr>
          <w:trHeight w:val="169"/>
        </w:trPr>
        <w:tc>
          <w:tcPr>
            <w:tcW w:w="7260" w:type="dxa"/>
            <w:vAlign w:val="bottom"/>
          </w:tcPr>
          <w:p>
            <w:pPr>
              <w:spacing w:after="0"/>
              <w:rPr>
                <w:sz w:val="20"/>
                <w:szCs w:val="20"/>
                <w:color w:val="auto"/>
              </w:rPr>
            </w:pPr>
            <w:r>
              <w:rPr>
                <w:rFonts w:ascii="Arial" w:cs="Arial" w:eastAsia="Arial" w:hAnsi="Arial"/>
                <w:sz w:val="14"/>
                <w:szCs w:val="14"/>
                <w:b w:val="1"/>
                <w:bCs w:val="1"/>
                <w:color w:val="auto"/>
              </w:rPr>
              <w:t>CASH AND CASH EQUIVALENTS - BEGINNING OF PERIOD</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w:t>
            </w:r>
          </w:p>
        </w:tc>
      </w:tr>
      <w:tr>
        <w:trPr>
          <w:trHeight w:val="209"/>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AND CASH EQUIVALENTS - END OF PERIOD</w:t>
            </w: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194</w:t>
            </w:r>
          </w:p>
        </w:tc>
        <w:tc>
          <w:tcPr>
            <w:tcW w:w="1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335</w:t>
            </w:r>
          </w:p>
        </w:tc>
      </w:tr>
      <w:tr>
        <w:trPr>
          <w:trHeight w:val="170"/>
        </w:trPr>
        <w:tc>
          <w:tcPr>
            <w:tcW w:w="7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-3082290</wp:posOffset>
            </wp:positionV>
            <wp:extent cx="1028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-1316355</wp:posOffset>
            </wp:positionV>
            <wp:extent cx="10287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-390525</wp:posOffset>
            </wp:positionV>
            <wp:extent cx="1028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-153670</wp:posOffset>
            </wp:positionV>
            <wp:extent cx="102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-136525</wp:posOffset>
            </wp:positionV>
            <wp:extent cx="102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9"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79" w:right="739" w:bottom="1440" w:gutter="0" w:footer="0" w:header="0"/>
        </w:sectPr>
      </w:pPr>
    </w:p>
    <w:bookmarkStart w:id="4" w:name="page5"/>
    <w:bookmarkEnd w:id="4"/>
    <w:p>
      <w:pPr>
        <w:ind w:right="3840"/>
        <w:spacing w:after="0" w:line="278"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 NOTES TO CONDENSED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100" w:lineRule="exact"/>
        <w:rPr>
          <w:sz w:val="20"/>
          <w:szCs w:val="20"/>
          <w:color w:val="auto"/>
        </w:rPr>
      </w:pPr>
    </w:p>
    <w:p>
      <w:pPr>
        <w:jc w:val="both"/>
        <w:ind w:left="380"/>
        <w:spacing w:after="0" w:line="25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2021. Results of operations for the period ended December 31, 2021 are not necessarily indicative of the expected results for the remaining quarters in the fiscal year.</w:t>
      </w:r>
    </w:p>
    <w:p>
      <w:pPr>
        <w:spacing w:after="0" w:line="62"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On August 31, 2021, Ashland announced that it had signed a definitive agreement to sell substantially all of the assets and liabilities of its Performance Adhesives segment to Arkema, a French société anonyme. This expected divestiture represents a strategic shift in Ashland's business and qualified as a discontinued operation. As a result, the assets, liabilities, operating results and cash flows related to Performance Adhesives have been classified as discontinued operations for all periods presented within the Consolidated Financial Statements. See Notes B and C for additional information on this expected divestiture.</w:t>
      </w:r>
    </w:p>
    <w:p>
      <w:pPr>
        <w:spacing w:after="0" w:line="54"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color w:val="auto"/>
        </w:rPr>
        <w:t>As a result of classifying the Performance Adhesives reporting segment as a discontinued operation, Ashland is now comprised of the following reportable segments: Life Sciences, Personal Care (formerly Personal Care and Household), Specialty Additives and Intermediates (formerly Intermediates and Solvents). Unallocated and Other includes corporate governance activities and certain legacy matters. For additional information, see Note Q.</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00" w:lineRule="exact"/>
        <w:rPr>
          <w:sz w:val="20"/>
          <w:szCs w:val="20"/>
          <w:color w:val="auto"/>
        </w:rPr>
      </w:pPr>
    </w:p>
    <w:p>
      <w:pPr>
        <w:jc w:val="both"/>
        <w:ind w:left="380"/>
        <w:spacing w:after="0" w:line="243"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1"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New accounting pronouncements</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2021. There were no new standards that were either issued or adopted in the current fiscal year that will have a material impact on Ashland's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06" w:right="7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NOTE B – DIVESTITURES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Performance Adhesives</w:t>
      </w:r>
    </w:p>
    <w:p>
      <w:pPr>
        <w:spacing w:after="0" w:line="94"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On August 31, 2021, Ashland announced that it had signed a definitive agreement to sell substantially all of the assets and liabilities of its Performance Adhesives segment in a transaction valued at $1.65 billion.</w:t>
      </w:r>
    </w:p>
    <w:p>
      <w:pPr>
        <w:spacing w:after="0" w:line="69"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The transaction is expected to close prior to the end of the March 31, 2022 quarter, contingent on certain customary regulatory approvals, standard closing conditions and completion of required employee information and consultation processes. Upon the closing of this transaction, Ashland expects to recognize a gain within the Statements of Consolidated Comprehensive Income (Loss).</w:t>
      </w:r>
    </w:p>
    <w:p>
      <w:pPr>
        <w:spacing w:after="0" w:line="75" w:lineRule="exact"/>
        <w:rPr>
          <w:sz w:val="20"/>
          <w:szCs w:val="20"/>
          <w:color w:val="auto"/>
        </w:rPr>
      </w:pPr>
    </w:p>
    <w:p>
      <w:pPr>
        <w:jc w:val="both"/>
        <w:ind w:left="380" w:right="380"/>
        <w:spacing w:after="0" w:line="263" w:lineRule="auto"/>
        <w:rPr>
          <w:sz w:val="20"/>
          <w:szCs w:val="20"/>
          <w:color w:val="auto"/>
        </w:rPr>
      </w:pPr>
      <w:r>
        <w:rPr>
          <w:rFonts w:ascii="Arial" w:cs="Arial" w:eastAsia="Arial" w:hAnsi="Arial"/>
          <w:sz w:val="18"/>
          <w:szCs w:val="18"/>
          <w:color w:val="auto"/>
        </w:rPr>
        <w:t>Since this transaction represents a strategic shift in Ashland’s business and had a major effect on Ashland’s operations and financial results, the operating results and cash flows related to Performance Adhesives have been reflected as discontinued operations in the Statements of Consolidated Comprehensive Income (Loss) and Statements of Condensed Consolidated Cash Flows, while the assets and liabilities that are to be sold have been classified within the Condensed Consolidated Balance Sheets under a held for sale designation. See Note C for the results of operations for Performance Adhesives for all periods presented.</w:t>
      </w:r>
    </w:p>
    <w:p>
      <w:pPr>
        <w:spacing w:after="0" w:line="54"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19"/>
          <w:szCs w:val="19"/>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$4 million for both the three months ended December 31, 2021 and 2020, respectively.</w:t>
      </w:r>
    </w:p>
    <w:p>
      <w:pPr>
        <w:spacing w:after="0" w:line="68" w:lineRule="exact"/>
        <w:rPr>
          <w:sz w:val="20"/>
          <w:szCs w:val="20"/>
          <w:color w:val="auto"/>
        </w:rPr>
      </w:pPr>
    </w:p>
    <w:p>
      <w:pPr>
        <w:jc w:val="both"/>
        <w:ind w:left="380" w:right="380"/>
        <w:spacing w:after="0" w:line="237" w:lineRule="auto"/>
        <w:rPr>
          <w:sz w:val="20"/>
          <w:szCs w:val="20"/>
          <w:color w:val="auto"/>
        </w:rPr>
      </w:pPr>
      <w:r>
        <w:rPr>
          <w:rFonts w:ascii="Arial" w:cs="Arial" w:eastAsia="Arial" w:hAnsi="Arial"/>
          <w:sz w:val="20"/>
          <w:szCs w:val="20"/>
          <w:color w:val="auto"/>
        </w:rPr>
        <w:t>Subsequent to the completion of the sale, Ashland expects to provide certain transition services to Arkema for a fee. While the transition services are expected to vary in duration depending upon the type of service provided, Ashland does not expect these transition services will be significant.</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Other manufacturing facility sales</w:t>
      </w:r>
    </w:p>
    <w:p>
      <w:pPr>
        <w:spacing w:after="0" w:line="94" w:lineRule="exact"/>
        <w:rPr>
          <w:sz w:val="20"/>
          <w:szCs w:val="20"/>
          <w:color w:val="auto"/>
        </w:rPr>
      </w:pPr>
    </w:p>
    <w:p>
      <w:pPr>
        <w:jc w:val="both"/>
        <w:ind w:left="380" w:right="380"/>
        <w:spacing w:after="0" w:line="232" w:lineRule="auto"/>
        <w:rPr>
          <w:sz w:val="20"/>
          <w:szCs w:val="20"/>
          <w:color w:val="auto"/>
        </w:rPr>
      </w:pPr>
      <w:r>
        <w:rPr>
          <w:rFonts w:ascii="Arial" w:cs="Arial" w:eastAsia="Arial" w:hAnsi="Arial"/>
          <w:sz w:val="20"/>
          <w:szCs w:val="20"/>
          <w:color w:val="auto"/>
        </w:rPr>
        <w:t>During the three months ended December 31, 2020, Ashland completed the sale of a Specialty Additives facility, the assets and liabilities of which were classified as held for sale as of September 30, 2020. Net proceeds received from the sale were approximately $14 million in the December 31, 2020 quarter ($20 million in total including a deposit received in fiscal year 2020). Ashland recognized a pre-tax gain of $14 million recorded within the Net income on acquisitions and divestitures caption in the Statements of Consolidated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00"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75"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months ended December 31, 2021 and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50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4"/>
          </w:tcPr>
          <w:p>
            <w:pPr>
              <w:jc w:val="right"/>
              <w:ind w:right="50"/>
              <w:spacing w:after="0" w:line="201" w:lineRule="exact"/>
              <w:rPr>
                <w:sz w:val="20"/>
                <w:szCs w:val="20"/>
                <w:color w:val="auto"/>
              </w:rPr>
            </w:pPr>
            <w:r>
              <w:rPr>
                <w:rFonts w:ascii="Arial" w:cs="Arial" w:eastAsia="Arial" w:hAnsi="Arial"/>
                <w:sz w:val="18"/>
                <w:szCs w:val="18"/>
                <w:color w:val="auto"/>
              </w:rPr>
              <w:t>Three months ended</w:t>
            </w: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50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December 31</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50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Income (loss) from discontinued operations (net of tax)</w:t>
            </w:r>
          </w:p>
        </w:tc>
        <w:tc>
          <w:tcPr>
            <w:tcW w:w="8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Performance Adhesives</w:t>
            </w:r>
          </w:p>
        </w:tc>
        <w:tc>
          <w:tcPr>
            <w:tcW w:w="132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90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Distribution</w:t>
            </w:r>
          </w:p>
        </w:tc>
        <w:tc>
          <w:tcPr>
            <w:tcW w:w="8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b w:val="1"/>
                <w:bCs w:val="1"/>
                <w:color w:val="auto"/>
                <w:w w:val="90"/>
              </w:rPr>
              <w:t>Gain (loss) on disposal of discontinued operations (net of taxes)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Composites/Marl facility</w:t>
            </w:r>
          </w:p>
        </w:tc>
        <w:tc>
          <w:tcPr>
            <w:tcW w:w="8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5000" w:type="dxa"/>
            <w:vAlign w:val="bottom"/>
            <w:tcBorders>
              <w:top w:val="single" w:sz="8" w:color="CFF0FC"/>
            </w:tcBorders>
          </w:tcPr>
          <w:p>
            <w:pPr>
              <w:spacing w:after="0"/>
              <w:rPr>
                <w:sz w:val="17"/>
                <w:szCs w:val="17"/>
                <w:color w:val="auto"/>
              </w:rPr>
            </w:pPr>
          </w:p>
        </w:tc>
        <w:tc>
          <w:tcPr>
            <w:tcW w:w="82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80" w:type="dxa"/>
            <w:vAlign w:val="bottom"/>
            <w:tcBorders>
              <w:top w:val="single" w:sz="8" w:color="CFF0FC"/>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0" w:type="dxa"/>
            <w:vAlign w:val="bottom"/>
          </w:tcPr>
          <w:p>
            <w:pPr>
              <w:spacing w:after="0"/>
              <w:rPr>
                <w:sz w:val="10"/>
                <w:szCs w:val="10"/>
                <w:color w:val="auto"/>
              </w:rPr>
            </w:pPr>
          </w:p>
        </w:tc>
        <w:tc>
          <w:tcPr>
            <w:tcW w:w="50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50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-656590</wp:posOffset>
            </wp:positionV>
            <wp:extent cx="514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-656590</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 w:name="page7"/>
    <w:bookmarkEnd w:id="6"/>
    <w:p>
      <w:pPr>
        <w:jc w:val="both"/>
        <w:ind w:left="380" w:right="380"/>
        <w:spacing w:after="0" w:line="237" w:lineRule="auto"/>
        <w:rPr>
          <w:sz w:val="20"/>
          <w:szCs w:val="20"/>
          <w:color w:val="auto"/>
        </w:rPr>
      </w:pPr>
      <w:r>
        <w:rPr>
          <w:rFonts w:ascii="Arial" w:cs="Arial" w:eastAsia="Arial" w:hAnsi="Arial"/>
          <w:sz w:val="20"/>
          <w:szCs w:val="20"/>
          <w:color w:val="auto"/>
        </w:rPr>
        <w:t>The following table presents a reconciliation of the captions within Ashland's Statements of Consolidated Comprehensive Income (Loss) for the income (loss) from discontinued operations attributable to Performance Adhesives for the three months ended December 31, 2021 and 2020.</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5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3"/>
          </w:tcPr>
          <w:p>
            <w:pPr>
              <w:jc w:val="right"/>
              <w:ind w:right="160"/>
              <w:spacing w:after="0" w:line="201" w:lineRule="exact"/>
              <w:rPr>
                <w:sz w:val="20"/>
                <w:szCs w:val="20"/>
                <w:color w:val="auto"/>
              </w:rPr>
            </w:pPr>
            <w:r>
              <w:rPr>
                <w:rFonts w:ascii="Arial" w:cs="Arial" w:eastAsia="Arial" w:hAnsi="Arial"/>
                <w:sz w:val="18"/>
                <w:szCs w:val="18"/>
                <w:color w:val="auto"/>
              </w:rPr>
              <w:t>Three months ended</w:t>
            </w: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December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6"/>
        </w:trPr>
        <w:tc>
          <w:tcPr>
            <w:tcW w:w="5820" w:type="dxa"/>
            <w:vAlign w:val="bottom"/>
            <w:shd w:val="clear" w:color="auto" w:fill="CFF0FC"/>
          </w:tcPr>
          <w:p>
            <w:pPr>
              <w:ind w:left="80"/>
              <w:spacing w:after="0" w:line="156" w:lineRule="exact"/>
              <w:rPr>
                <w:sz w:val="20"/>
                <w:szCs w:val="20"/>
                <w:color w:val="auto"/>
              </w:rPr>
            </w:pPr>
            <w:r>
              <w:rPr>
                <w:rFonts w:ascii="Arial" w:cs="Arial" w:eastAsia="Arial" w:hAnsi="Arial"/>
                <w:sz w:val="18"/>
                <w:szCs w:val="18"/>
                <w:b w:val="1"/>
                <w:bCs w:val="1"/>
                <w:color w:val="auto"/>
              </w:rPr>
              <w:t>Income (loss) from discontinued operations attributable</w:t>
            </w:r>
          </w:p>
        </w:tc>
        <w:tc>
          <w:tcPr>
            <w:tcW w:w="48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Arial" w:cs="Arial" w:eastAsia="Arial" w:hAnsi="Arial"/>
                <w:sz w:val="18"/>
                <w:szCs w:val="18"/>
                <w:b w:val="1"/>
                <w:bCs w:val="1"/>
                <w:color w:val="auto"/>
              </w:rPr>
              <w:t>to Performance Adhesives</w:t>
            </w:r>
          </w:p>
        </w:tc>
        <w:tc>
          <w:tcPr>
            <w:tcW w:w="4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80"/>
              <w:spacing w:after="0" w:line="202" w:lineRule="exact"/>
              <w:rPr>
                <w:sz w:val="20"/>
                <w:szCs w:val="20"/>
                <w:color w:val="auto"/>
              </w:rPr>
            </w:pPr>
            <w:r>
              <w:rPr>
                <w:rFonts w:ascii="Arial" w:cs="Arial" w:eastAsia="Arial" w:hAnsi="Arial"/>
                <w:sz w:val="18"/>
                <w:szCs w:val="18"/>
                <w:color w:val="auto"/>
              </w:rPr>
              <w:t>Sales</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w:t>
            </w:r>
          </w:p>
        </w:tc>
        <w:tc>
          <w:tcPr>
            <w:tcW w:w="9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sales</w:t>
            </w:r>
          </w:p>
        </w:tc>
        <w:tc>
          <w:tcPr>
            <w:tcW w:w="4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(67 )</w:t>
            </w: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582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4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(5 )</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 expense</w:t>
            </w:r>
          </w:p>
        </w:tc>
        <w:tc>
          <w:tcPr>
            <w:tcW w:w="4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96"/>
        </w:trPr>
        <w:tc>
          <w:tcPr>
            <w:tcW w:w="5820" w:type="dxa"/>
            <w:vAlign w:val="bottom"/>
          </w:tcPr>
          <w:p>
            <w:pPr>
              <w:ind w:left="180"/>
              <w:spacing w:after="0" w:line="196" w:lineRule="exact"/>
              <w:rPr>
                <w:sz w:val="20"/>
                <w:szCs w:val="20"/>
                <w:color w:val="auto"/>
              </w:rPr>
            </w:pPr>
            <w:r>
              <w:rPr>
                <w:rFonts w:ascii="Arial" w:cs="Arial" w:eastAsia="Arial" w:hAnsi="Arial"/>
                <w:sz w:val="18"/>
                <w:szCs w:val="18"/>
                <w:color w:val="auto"/>
              </w:rPr>
              <w:t>Pretax income of discontinued operations</w:t>
            </w:r>
          </w:p>
        </w:tc>
        <w:tc>
          <w:tcPr>
            <w:tcW w:w="480" w:type="dxa"/>
            <w:vAlign w:val="bottom"/>
          </w:tcPr>
          <w:p>
            <w:pPr>
              <w:spacing w:after="0"/>
              <w:rPr>
                <w:sz w:val="17"/>
                <w:szCs w:val="17"/>
                <w:color w:val="auto"/>
              </w:rPr>
            </w:pPr>
          </w:p>
        </w:tc>
        <w:tc>
          <w:tcPr>
            <w:tcW w:w="17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96"/>
        </w:trPr>
        <w:tc>
          <w:tcPr>
            <w:tcW w:w="5820" w:type="dxa"/>
            <w:vAlign w:val="bottom"/>
          </w:tcPr>
          <w:p>
            <w:pPr>
              <w:ind w:left="180"/>
              <w:spacing w:after="0" w:line="182" w:lineRule="exact"/>
              <w:rPr>
                <w:sz w:val="20"/>
                <w:szCs w:val="20"/>
                <w:color w:val="auto"/>
              </w:rPr>
            </w:pPr>
            <w:r>
              <w:rPr>
                <w:rFonts w:ascii="Arial" w:cs="Arial" w:eastAsia="Arial" w:hAnsi="Arial"/>
                <w:sz w:val="18"/>
                <w:szCs w:val="18"/>
                <w:color w:val="auto"/>
              </w:rPr>
              <w:t>Income from discontinued operations</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17</w:t>
            </w:r>
          </w:p>
        </w:tc>
        <w:tc>
          <w:tcPr>
            <w:tcW w:w="900" w:type="dxa"/>
            <w:vAlign w:val="bottom"/>
            <w:gridSpan w:val="2"/>
          </w:tcPr>
          <w:p>
            <w:pPr>
              <w:jc w:val="right"/>
              <w:ind w:right="640"/>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-519430</wp:posOffset>
            </wp:positionV>
            <wp:extent cx="1117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-253365</wp:posOffset>
            </wp:positionV>
            <wp:extent cx="1117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Company-wide restructuring activities</w:t>
      </w:r>
    </w:p>
    <w:p>
      <w:pPr>
        <w:spacing w:after="0" w:line="100"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Fiscal 2020 and 2021 restructuring program</w:t>
      </w:r>
    </w:p>
    <w:p>
      <w:pPr>
        <w:spacing w:after="0" w:line="100" w:lineRule="exact"/>
        <w:rPr>
          <w:sz w:val="20"/>
          <w:szCs w:val="20"/>
          <w:color w:val="auto"/>
        </w:rPr>
      </w:pPr>
    </w:p>
    <w:p>
      <w:pPr>
        <w:jc w:val="both"/>
        <w:ind w:left="380" w:right="380"/>
        <w:spacing w:after="0" w:line="254" w:lineRule="auto"/>
        <w:rPr>
          <w:sz w:val="20"/>
          <w:szCs w:val="20"/>
          <w:color w:val="auto"/>
        </w:rPr>
      </w:pPr>
      <w:r>
        <w:rPr>
          <w:rFonts w:ascii="Arial" w:cs="Arial" w:eastAsia="Arial" w:hAnsi="Arial"/>
          <w:sz w:val="19"/>
          <w:szCs w:val="19"/>
          <w:color w:val="auto"/>
        </w:rPr>
        <w:t>Ashland recorded severance income of $1 million and expense of $8 million during the three months ended December 31, 2021 and 2020, respectively, attributable to executive management changes and business management changes within the organization. As of December 31, 2021, the severance reserve associated with this transition was $3 million.</w:t>
      </w:r>
    </w:p>
    <w:p>
      <w:pPr>
        <w:spacing w:after="0" w:line="62" w:lineRule="exact"/>
        <w:rPr>
          <w:sz w:val="20"/>
          <w:szCs w:val="20"/>
          <w:color w:val="auto"/>
        </w:rPr>
      </w:pPr>
    </w:p>
    <w:p>
      <w:pPr>
        <w:jc w:val="both"/>
        <w:ind w:left="380" w:right="380"/>
        <w:spacing w:after="0" w:line="237" w:lineRule="auto"/>
        <w:rPr>
          <w:sz w:val="20"/>
          <w:szCs w:val="20"/>
          <w:color w:val="auto"/>
        </w:rPr>
      </w:pPr>
      <w:r>
        <w:rPr>
          <w:rFonts w:ascii="Arial" w:cs="Arial" w:eastAsia="Arial" w:hAnsi="Arial"/>
          <w:sz w:val="20"/>
          <w:szCs w:val="20"/>
          <w:color w:val="auto"/>
        </w:rPr>
        <w:t>The following table details at December 31, 2021 and 2020, the amount of restructuring severance reserves related to this program. The severance reserves were primarily recorded within accrued expenses and other liabilities in the Condensed Consolidated Balance Sheet as of December 31, 2021 and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860" w:type="dxa"/>
            <w:vAlign w:val="bottom"/>
            <w:tcBorders>
              <w:top w:val="single" w:sz="8" w:color="auto"/>
              <w:bottom w:val="single" w:sz="8" w:color="auto"/>
            </w:tcBorders>
          </w:tcPr>
          <w:p>
            <w:pPr>
              <w:spacing w:after="0" w:line="202" w:lineRule="exact"/>
              <w:rPr>
                <w:sz w:val="20"/>
                <w:szCs w:val="20"/>
                <w:color w:val="auto"/>
              </w:rPr>
            </w:pPr>
            <w:r>
              <w:rPr>
                <w:rFonts w:ascii="Arial" w:cs="Arial" w:eastAsia="Arial" w:hAnsi="Arial"/>
                <w:sz w:val="18"/>
                <w:szCs w:val="18"/>
                <w:color w:val="auto"/>
              </w:rPr>
              <w:t>(In millions)</w:t>
            </w:r>
          </w:p>
        </w:tc>
        <w:tc>
          <w:tcPr>
            <w:tcW w:w="33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tcPr>
          <w:p>
            <w:pPr>
              <w:jc w:val="right"/>
              <w:ind w:right="990"/>
              <w:spacing w:after="0" w:line="202" w:lineRule="exact"/>
              <w:rPr>
                <w:sz w:val="20"/>
                <w:szCs w:val="20"/>
                <w:color w:val="auto"/>
              </w:rPr>
            </w:pPr>
            <w:r>
              <w:rPr>
                <w:rFonts w:ascii="Arial" w:cs="Arial" w:eastAsia="Arial" w:hAnsi="Arial"/>
                <w:sz w:val="18"/>
                <w:szCs w:val="18"/>
                <w:color w:val="auto"/>
              </w:rPr>
              <w:t>Severance costs</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of September 30, 2021</w:t>
            </w:r>
          </w:p>
        </w:tc>
        <w:tc>
          <w:tcPr>
            <w:tcW w:w="392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26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Restructuring reserve</w:t>
            </w:r>
          </w:p>
        </w:tc>
        <w:tc>
          <w:tcPr>
            <w:tcW w:w="3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Utilization (cash paid)</w:t>
            </w:r>
          </w:p>
        </w:tc>
        <w:tc>
          <w:tcPr>
            <w:tcW w:w="33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2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6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3920" w:type="dxa"/>
            <w:vAlign w:val="bottom"/>
            <w:gridSpan w:val="2"/>
          </w:tcPr>
          <w:p>
            <w:pPr>
              <w:jc w:val="right"/>
              <w:ind w:right="440"/>
              <w:spacing w:after="0" w:line="182" w:lineRule="exact"/>
              <w:rPr>
                <w:sz w:val="20"/>
                <w:szCs w:val="20"/>
                <w:color w:val="auto"/>
              </w:rPr>
            </w:pPr>
            <w:r>
              <w:rPr>
                <w:rFonts w:ascii="Arial" w:cs="Arial" w:eastAsia="Arial" w:hAnsi="Arial"/>
                <w:sz w:val="18"/>
                <w:szCs w:val="18"/>
                <w:color w:val="auto"/>
              </w:rPr>
              <w:t>$</w:t>
            </w:r>
          </w:p>
        </w:tc>
        <w:tc>
          <w:tcPr>
            <w:tcW w:w="26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8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(In millions)</w:t>
            </w:r>
          </w:p>
        </w:tc>
        <w:tc>
          <w:tcPr>
            <w:tcW w:w="3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jc w:val="right"/>
              <w:ind w:right="990"/>
              <w:spacing w:after="0" w:line="182" w:lineRule="exact"/>
              <w:rPr>
                <w:sz w:val="20"/>
                <w:szCs w:val="20"/>
                <w:color w:val="auto"/>
              </w:rPr>
            </w:pPr>
            <w:r>
              <w:rPr>
                <w:rFonts w:ascii="Arial" w:cs="Arial" w:eastAsia="Arial" w:hAnsi="Arial"/>
                <w:sz w:val="18"/>
                <w:szCs w:val="18"/>
                <w:color w:val="auto"/>
              </w:rPr>
              <w:t>Severance costs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of September 30, 2020</w:t>
            </w:r>
          </w:p>
        </w:tc>
        <w:tc>
          <w:tcPr>
            <w:tcW w:w="392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26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Restructuring reserve</w:t>
            </w:r>
          </w:p>
        </w:tc>
        <w:tc>
          <w:tcPr>
            <w:tcW w:w="3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Utilization (cash paid)</w:t>
            </w:r>
          </w:p>
        </w:tc>
        <w:tc>
          <w:tcPr>
            <w:tcW w:w="33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2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6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3920" w:type="dxa"/>
            <w:vAlign w:val="bottom"/>
            <w:gridSpan w:val="2"/>
          </w:tcPr>
          <w:p>
            <w:pPr>
              <w:jc w:val="right"/>
              <w:ind w:right="440"/>
              <w:spacing w:after="0" w:line="182" w:lineRule="exact"/>
              <w:rPr>
                <w:sz w:val="20"/>
                <w:szCs w:val="20"/>
                <w:color w:val="auto"/>
              </w:rPr>
            </w:pPr>
            <w:r>
              <w:rPr>
                <w:rFonts w:ascii="Arial" w:cs="Arial" w:eastAsia="Arial" w:hAnsi="Arial"/>
                <w:sz w:val="18"/>
                <w:szCs w:val="18"/>
                <w:color w:val="auto"/>
              </w:rPr>
              <w:t>$</w:t>
            </w:r>
          </w:p>
        </w:tc>
        <w:tc>
          <w:tcPr>
            <w:tcW w:w="26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36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80" w:type="dxa"/>
            <w:vAlign w:val="bottom"/>
            <w:vMerge w:val="restart"/>
          </w:tcPr>
          <w:p>
            <w:pPr>
              <w:jc w:val="right"/>
              <w:ind w:right="1910"/>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00" w:lineRule="exact"/>
        <w:rPr>
          <w:sz w:val="20"/>
          <w:szCs w:val="20"/>
          <w:color w:val="auto"/>
        </w:rPr>
      </w:pPr>
    </w:p>
    <w:p>
      <w:pPr>
        <w:jc w:val="both"/>
        <w:ind w:left="380" w:right="40"/>
        <w:spacing w:after="0" w:line="243"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94" w:lineRule="exact"/>
        <w:rPr>
          <w:sz w:val="20"/>
          <w:szCs w:val="20"/>
          <w:color w:val="auto"/>
        </w:rPr>
      </w:pPr>
    </w:p>
    <w:p>
      <w:pPr>
        <w:jc w:val="both"/>
        <w:ind w:left="380" w:right="40"/>
        <w:spacing w:after="0" w:line="237"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5" w:lineRule="exact"/>
        <w:rPr>
          <w:sz w:val="20"/>
          <w:szCs w:val="20"/>
          <w:color w:val="auto"/>
        </w:rPr>
      </w:pPr>
    </w:p>
    <w:p>
      <w:pPr>
        <w:jc w:val="both"/>
        <w:ind w:left="380" w:right="40"/>
        <w:spacing w:after="0" w:line="246" w:lineRule="auto"/>
        <w:rPr>
          <w:sz w:val="20"/>
          <w:szCs w:val="20"/>
          <w:color w:val="auto"/>
        </w:rPr>
      </w:pPr>
      <w:r>
        <w:rPr>
          <w:rFonts w:ascii="Arial" w:cs="Arial" w:eastAsia="Arial" w:hAnsi="Arial"/>
          <w:sz w:val="19"/>
          <w:szCs w:val="19"/>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68" w:lineRule="exact"/>
        <w:rPr>
          <w:sz w:val="20"/>
          <w:szCs w:val="20"/>
          <w:color w:val="auto"/>
        </w:rPr>
      </w:pPr>
    </w:p>
    <w:p>
      <w:pPr>
        <w:jc w:val="both"/>
        <w:ind w:left="380" w:right="40"/>
        <w:spacing w:after="0" w:line="244" w:lineRule="auto"/>
        <w:rPr>
          <w:sz w:val="20"/>
          <w:szCs w:val="20"/>
          <w:color w:val="auto"/>
        </w:rPr>
      </w:pPr>
      <w:r>
        <w:rPr>
          <w:rFonts w:ascii="Arial" w:cs="Arial" w:eastAsia="Arial" w:hAnsi="Arial"/>
          <w:sz w:val="19"/>
          <w:szCs w:val="19"/>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December 31, 2021.</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40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30"/>
              <w:spacing w:after="0" w:line="176" w:lineRule="exact"/>
              <w:rPr>
                <w:sz w:val="20"/>
                <w:szCs w:val="20"/>
                <w:color w:val="auto"/>
              </w:rPr>
            </w:pPr>
            <w:r>
              <w:rPr>
                <w:rFonts w:ascii="Arial" w:cs="Arial" w:eastAsia="Arial" w:hAnsi="Arial"/>
                <w:sz w:val="18"/>
                <w:szCs w:val="18"/>
                <w:color w:val="auto"/>
                <w:w w:val="89"/>
              </w:rPr>
              <w:t>Quoted prices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Significant</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in active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markets for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7"/>
              </w:rPr>
              <w:t>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w w:val="96"/>
              </w:rPr>
              <w:t>Carrying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identical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5"/>
              </w:rPr>
              <w:t>fair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80"/>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1"/>
              </w:rPr>
              <w:t>inputs</w:t>
            </w:r>
          </w:p>
        </w:tc>
        <w:tc>
          <w:tcPr>
            <w:tcW w:w="0" w:type="dxa"/>
            <w:vAlign w:val="bottom"/>
          </w:tcPr>
          <w:p>
            <w:pPr>
              <w:spacing w:after="0"/>
              <w:rPr>
                <w:sz w:val="1"/>
                <w:szCs w:val="1"/>
                <w:color w:val="auto"/>
              </w:rPr>
            </w:pPr>
          </w:p>
        </w:tc>
      </w:tr>
      <w:tr>
        <w:trPr>
          <w:trHeight w:val="21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value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Level 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196"/>
        </w:trPr>
        <w:tc>
          <w:tcPr>
            <w:tcW w:w="4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194</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194</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 (b)</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426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(c)</w:t>
            </w:r>
          </w:p>
        </w:tc>
        <w:tc>
          <w:tcPr>
            <w:tcW w:w="160" w:type="dxa"/>
            <w:vAlign w:val="bottom"/>
          </w:tcPr>
          <w:p>
            <w:pPr>
              <w:spacing w:after="0"/>
              <w:rPr>
                <w:sz w:val="17"/>
                <w:szCs w:val="17"/>
                <w:color w:val="auto"/>
              </w:rPr>
            </w:pP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(d)</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(d)</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633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633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629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ind w:left="100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line="182" w:lineRule="exact"/>
              <w:rPr>
                <w:sz w:val="20"/>
                <w:szCs w:val="20"/>
                <w:color w:val="auto"/>
              </w:rPr>
            </w:pPr>
            <w:r>
              <w:rPr>
                <w:rFonts w:ascii="Arial" w:cs="Arial" w:eastAsia="Arial" w:hAnsi="Arial"/>
                <w:sz w:val="18"/>
                <w:szCs w:val="18"/>
                <w:color w:val="auto"/>
              </w:rPr>
              <w:t>Total liabilities at fair value</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Pr>
          <w:p>
            <w:pPr>
              <w:ind w:left="100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-796290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-779780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-796290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-779780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-796290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-779780</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-796290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-779780</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-253365</wp:posOffset>
            </wp:positionV>
            <wp:extent cx="7747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-253365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-253365</wp:posOffset>
            </wp:positionV>
            <wp:extent cx="603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-253365</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restricted investments and $36 million within other current assets in the Condensed Consolidated Balance Sheets.</w:t>
      </w:r>
    </w:p>
    <w:p>
      <w:pPr>
        <w:spacing w:after="0" w:line="41" w:lineRule="exact"/>
        <w:rPr>
          <w:rFonts w:ascii="Arial" w:cs="Arial" w:eastAsia="Arial" w:hAnsi="Arial"/>
          <w:sz w:val="14"/>
          <w:szCs w:val="14"/>
          <w:color w:val="auto"/>
        </w:rPr>
      </w:pPr>
    </w:p>
    <w:p>
      <w:pPr>
        <w:ind w:left="740" w:hanging="35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$335 million related to the Asbestos trust and $91 million related to the Environmental trust.</w:t>
      </w:r>
    </w:p>
    <w:p>
      <w:pPr>
        <w:spacing w:after="0" w:line="28" w:lineRule="exact"/>
        <w:rPr>
          <w:rFonts w:ascii="Arial" w:cs="Arial" w:eastAsia="Arial" w:hAnsi="Arial"/>
          <w:sz w:val="14"/>
          <w:szCs w:val="14"/>
          <w:color w:val="auto"/>
        </w:rPr>
      </w:pPr>
    </w:p>
    <w:p>
      <w:pPr>
        <w:ind w:left="740" w:hanging="35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41" w:lineRule="exact"/>
        <w:rPr>
          <w:rFonts w:ascii="Arial" w:cs="Arial" w:eastAsia="Arial" w:hAnsi="Arial"/>
          <w:sz w:val="14"/>
          <w:szCs w:val="14"/>
          <w:color w:val="auto"/>
        </w:rPr>
      </w:pPr>
    </w:p>
    <w:p>
      <w:pPr>
        <w:ind w:left="740" w:hanging="35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accounts receivable in the Condensed Consolidated Balance Sheets.</w:t>
      </w:r>
    </w:p>
    <w:p>
      <w:pPr>
        <w:spacing w:after="0" w:line="41" w:lineRule="exact"/>
        <w:rPr>
          <w:rFonts w:ascii="Arial" w:cs="Arial" w:eastAsia="Arial" w:hAnsi="Arial"/>
          <w:sz w:val="14"/>
          <w:szCs w:val="14"/>
          <w:color w:val="auto"/>
        </w:rPr>
      </w:pPr>
    </w:p>
    <w:p>
      <w:pPr>
        <w:ind w:left="740" w:hanging="35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Condensed Consolidated Balance Sheets.</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9" w:right="67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110"/>
              <w:spacing w:after="0" w:line="176" w:lineRule="exact"/>
              <w:rPr>
                <w:sz w:val="20"/>
                <w:szCs w:val="20"/>
                <w:color w:val="auto"/>
              </w:rPr>
            </w:pPr>
            <w:r>
              <w:rPr>
                <w:rFonts w:ascii="Arial" w:cs="Arial" w:eastAsia="Arial" w:hAnsi="Arial"/>
                <w:sz w:val="18"/>
                <w:szCs w:val="18"/>
                <w:color w:val="auto"/>
                <w:w w:val="89"/>
              </w:rPr>
              <w:t>Quoted prices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Significant</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in active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1"/>
              </w:rPr>
              <w:t>markets for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w w:val="96"/>
              </w:rPr>
              <w:t>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identical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5"/>
              </w:rPr>
              <w:t>fair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0"/>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1"/>
              </w:rPr>
              <w:t>inputs</w:t>
            </w:r>
          </w:p>
        </w:tc>
        <w:tc>
          <w:tcPr>
            <w:tcW w:w="0" w:type="dxa"/>
            <w:vAlign w:val="bottom"/>
          </w:tcPr>
          <w:p>
            <w:pPr>
              <w:spacing w:after="0"/>
              <w:rPr>
                <w:sz w:val="1"/>
                <w:szCs w:val="1"/>
                <w:color w:val="auto"/>
              </w:rPr>
            </w:pPr>
          </w:p>
        </w:tc>
      </w:tr>
      <w:tr>
        <w:trPr>
          <w:trHeight w:val="21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value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Level 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196"/>
        </w:trPr>
        <w:tc>
          <w:tcPr>
            <w:tcW w:w="4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210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 (b)</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(c)</w:t>
            </w:r>
          </w:p>
        </w:tc>
        <w:tc>
          <w:tcPr>
            <w:tcW w:w="16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(d)</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(d)</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645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645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639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ind w:left="100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-428625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-411480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-428625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-411480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-428625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-411480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-428625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-411480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67036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90" w:lineRule="exact"/>
        <w:rPr>
          <w:sz w:val="20"/>
          <w:szCs w:val="20"/>
          <w:color w:val="auto"/>
        </w:rPr>
      </w:pPr>
    </w:p>
    <w:p>
      <w:pPr>
        <w:ind w:left="400" w:hanging="358"/>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restricted investments and $37 million within other current assets in the Condensed Consolidated Balance Sheets.</w:t>
      </w:r>
    </w:p>
    <w:p>
      <w:pPr>
        <w:spacing w:after="0" w:line="41" w:lineRule="exact"/>
        <w:rPr>
          <w:rFonts w:ascii="Arial" w:cs="Arial" w:eastAsia="Arial" w:hAnsi="Arial"/>
          <w:sz w:val="14"/>
          <w:szCs w:val="14"/>
          <w:color w:val="auto"/>
        </w:rPr>
      </w:pPr>
    </w:p>
    <w:p>
      <w:pPr>
        <w:ind w:left="400" w:hanging="358"/>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$333 million related to the Asbestos trust and $88 million related to the Environmental trust.</w:t>
      </w:r>
    </w:p>
    <w:p>
      <w:pPr>
        <w:spacing w:after="0" w:line="28" w:lineRule="exact"/>
        <w:rPr>
          <w:rFonts w:ascii="Arial" w:cs="Arial" w:eastAsia="Arial" w:hAnsi="Arial"/>
          <w:sz w:val="14"/>
          <w:szCs w:val="14"/>
          <w:color w:val="auto"/>
        </w:rPr>
      </w:pPr>
    </w:p>
    <w:p>
      <w:pPr>
        <w:ind w:left="400" w:hanging="358"/>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41" w:lineRule="exact"/>
        <w:rPr>
          <w:rFonts w:ascii="Arial" w:cs="Arial" w:eastAsia="Arial" w:hAnsi="Arial"/>
          <w:sz w:val="14"/>
          <w:szCs w:val="14"/>
          <w:color w:val="auto"/>
        </w:rPr>
      </w:pPr>
    </w:p>
    <w:p>
      <w:pPr>
        <w:ind w:left="400" w:hanging="358"/>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receivable in the Condensed Consolidated Balance Sheets.</w:t>
      </w:r>
    </w:p>
    <w:p>
      <w:pPr>
        <w:spacing w:after="0" w:line="41" w:lineRule="exact"/>
        <w:rPr>
          <w:rFonts w:ascii="Arial" w:cs="Arial" w:eastAsia="Arial" w:hAnsi="Arial"/>
          <w:sz w:val="14"/>
          <w:szCs w:val="14"/>
          <w:color w:val="auto"/>
        </w:rPr>
      </w:pPr>
    </w:p>
    <w:p>
      <w:pPr>
        <w:ind w:left="400" w:hanging="358"/>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Condensed Consolidated Balance Sheets.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Restricted investments</w:t>
      </w:r>
    </w:p>
    <w:p>
      <w:pPr>
        <w:spacing w:after="0" w:line="100" w:lineRule="exact"/>
        <w:rPr>
          <w:sz w:val="20"/>
          <w:szCs w:val="20"/>
          <w:color w:val="auto"/>
        </w:rPr>
      </w:pPr>
    </w:p>
    <w:p>
      <w:pPr>
        <w:jc w:val="both"/>
        <w:ind w:left="40" w:right="40"/>
        <w:spacing w:after="0" w:line="254" w:lineRule="auto"/>
        <w:rPr>
          <w:sz w:val="20"/>
          <w:szCs w:val="20"/>
          <w:color w:val="auto"/>
        </w:rPr>
      </w:pPr>
      <w:r>
        <w:rPr>
          <w:rFonts w:ascii="Arial" w:cs="Arial" w:eastAsia="Arial" w:hAnsi="Arial"/>
          <w:sz w:val="19"/>
          <w:szCs w:val="19"/>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December 31, 2021 and September 30, 2021:</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63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14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8"/>
                <w:szCs w:val="18"/>
                <w:color w:val="auto"/>
              </w:rPr>
              <w:t>December 31</w:t>
            </w:r>
          </w:p>
        </w:tc>
        <w:tc>
          <w:tcPr>
            <w:tcW w:w="4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ind w:right="470"/>
              <w:spacing w:after="0" w:line="162"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Original cost</w:t>
            </w:r>
          </w:p>
        </w:tc>
        <w:tc>
          <w:tcPr>
            <w:tcW w:w="1420" w:type="dxa"/>
            <w:vAlign w:val="bottom"/>
            <w:shd w:val="clear" w:color="auto" w:fill="CFF0FC"/>
          </w:tcPr>
          <w:p>
            <w:pPr>
              <w:jc w:val="right"/>
              <w:ind w:right="125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335</w:t>
            </w:r>
          </w:p>
        </w:tc>
        <w:tc>
          <w:tcPr>
            <w:tcW w:w="48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Accumulated adjustments, net</w:t>
            </w:r>
          </w:p>
        </w:tc>
        <w:tc>
          <w:tcPr>
            <w:tcW w:w="1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 xml:space="preserve">Adjusted cost, beginning of year </w:t>
            </w:r>
            <w:r>
              <w:rPr>
                <w:rFonts w:ascii="Arial" w:cs="Arial" w:eastAsia="Arial" w:hAnsi="Arial"/>
                <w:sz w:val="14"/>
                <w:szCs w:val="14"/>
                <w:color w:val="auto"/>
              </w:rPr>
              <w:t>(a)</w:t>
            </w: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372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142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6360" w:type="dxa"/>
            <w:vAlign w:val="bottom"/>
          </w:tcPr>
          <w:p>
            <w:pPr>
              <w:spacing w:after="0" w:line="202" w:lineRule="exact"/>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142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Funds restricted for specific transactions </w:t>
            </w:r>
            <w:r>
              <w:rPr>
                <w:rFonts w:ascii="Arial" w:cs="Arial" w:eastAsia="Arial" w:hAnsi="Arial"/>
                <w:sz w:val="14"/>
                <w:szCs w:val="14"/>
                <w:color w:val="auto"/>
              </w:rPr>
              <w:t>(d)</w:t>
            </w: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Disbursements</w:t>
            </w:r>
          </w:p>
        </w:tc>
        <w:tc>
          <w:tcPr>
            <w:tcW w:w="1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(7 )</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Fair value</w:t>
            </w:r>
          </w:p>
        </w:tc>
        <w:tc>
          <w:tcPr>
            <w:tcW w:w="1420" w:type="dxa"/>
            <w:vAlign w:val="bottom"/>
            <w:tcBorders>
              <w:bottom w:val="single" w:sz="8" w:color="auto"/>
            </w:tcBorders>
            <w:shd w:val="clear" w:color="auto" w:fill="CFF0FC"/>
          </w:tcPr>
          <w:p>
            <w:pPr>
              <w:jc w:val="right"/>
              <w:ind w:right="125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426</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15"/>
        </w:trPr>
        <w:tc>
          <w:tcPr>
            <w:tcW w:w="6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-119380</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-102235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ind w:left="400" w:right="40" w:hanging="358"/>
        <w:spacing w:after="0" w:line="26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adjusted cost of the demand deposits includes accumulated investment income, realized gains, additional funds restricted for specific transactions and disbursements recorded in previous periods. The adjusted cost as of December 31, 2021 includes the $90 million funding to establish the environmental trust.</w:t>
      </w:r>
    </w:p>
    <w:p>
      <w:pPr>
        <w:ind w:left="400" w:hanging="358"/>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Investment income relates to the demand deposit and includes interest income as well as dividend income transferred from the equity and fixed income mutual funds.</w:t>
      </w:r>
    </w:p>
    <w:p>
      <w:pPr>
        <w:spacing w:after="0" w:line="53" w:lineRule="exact"/>
        <w:rPr>
          <w:rFonts w:ascii="Arial" w:cs="Arial" w:eastAsia="Arial" w:hAnsi="Arial"/>
          <w:sz w:val="13"/>
          <w:szCs w:val="13"/>
          <w:color w:val="auto"/>
        </w:rPr>
      </w:pPr>
    </w:p>
    <w:p>
      <w:pPr>
        <w:ind w:left="400" w:hanging="358"/>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41" w:lineRule="exact"/>
        <w:rPr>
          <w:rFonts w:ascii="Arial" w:cs="Arial" w:eastAsia="Arial" w:hAnsi="Arial"/>
          <w:sz w:val="14"/>
          <w:szCs w:val="14"/>
          <w:color w:val="auto"/>
        </w:rPr>
      </w:pPr>
    </w:p>
    <w:p>
      <w:pPr>
        <w:ind w:left="400" w:hanging="358"/>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September 30, 2021 period included $90 million to establish the environmental trust.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393" w:right="679" w:bottom="1440" w:gutter="0" w:footer="0" w:header="0"/>
        </w:sectPr>
      </w:pPr>
    </w:p>
    <w:bookmarkStart w:id="9" w:name="page10"/>
    <w:bookmarkEnd w:id="9"/>
    <w:p>
      <w:pPr>
        <w:ind w:left="380"/>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December 31, 2021 and</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September 30, 2021:</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4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color w:val="auto"/>
              </w:rPr>
              <w:t>Gross</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color w:val="auto"/>
              </w:rPr>
              <w:t>Gross</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99"/>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color w:val="auto"/>
                <w:w w:val="92"/>
              </w:rPr>
              <w:t>Adjusted Cost</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color w:val="auto"/>
                <w:w w:val="94"/>
              </w:rPr>
              <w:t>Unrealized Gain</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color w:val="auto"/>
                <w:w w:val="95"/>
              </w:rPr>
              <w:t>Unrealized Loss</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color w:val="auto"/>
                <w:w w:val="95"/>
              </w:rPr>
              <w:t>Fair Value</w:t>
            </w: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 of December 31, 2021</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Demand deposit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w:t>
            </w: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mutual fund</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190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Fixed income mutual fund</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225</w:t>
            </w:r>
          </w:p>
        </w:tc>
      </w:tr>
      <w:tr>
        <w:trPr>
          <w:trHeight w:val="236"/>
        </w:trPr>
        <w:tc>
          <w:tcPr>
            <w:tcW w:w="44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Fair value</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373</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55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1"/>
              <w:spacing w:after="0" w:line="182" w:lineRule="exact"/>
              <w:rPr>
                <w:sz w:val="20"/>
                <w:szCs w:val="20"/>
                <w:color w:val="auto"/>
              </w:rPr>
            </w:pPr>
            <w:r>
              <w:rPr>
                <w:rFonts w:ascii="Arial" w:cs="Arial" w:eastAsia="Arial" w:hAnsi="Arial"/>
                <w:sz w:val="18"/>
                <w:szCs w:val="18"/>
                <w:color w:val="auto"/>
              </w:rPr>
              <w:t>426</w:t>
            </w:r>
          </w:p>
        </w:tc>
      </w:tr>
      <w:tr>
        <w:trPr>
          <w:trHeight w:val="183"/>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 of September 30, 2021</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Demand deposit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w:t>
            </w: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mutual fund</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186</w:t>
            </w: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Fixed income mutual fund</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229</w:t>
            </w:r>
          </w:p>
        </w:tc>
      </w:tr>
      <w:tr>
        <w:trPr>
          <w:trHeight w:val="236"/>
        </w:trPr>
        <w:tc>
          <w:tcPr>
            <w:tcW w:w="44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Fair value</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372</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1"/>
              <w:spacing w:after="0" w:line="182" w:lineRule="exact"/>
              <w:rPr>
                <w:sz w:val="20"/>
                <w:szCs w:val="20"/>
                <w:color w:val="auto"/>
              </w:rPr>
            </w:pPr>
            <w:r>
              <w:rPr>
                <w:rFonts w:ascii="Arial" w:cs="Arial" w:eastAsia="Arial" w:hAnsi="Arial"/>
                <w:sz w:val="18"/>
                <w:szCs w:val="18"/>
                <w:color w:val="auto"/>
              </w:rPr>
              <w:t>421</w:t>
            </w:r>
          </w:p>
        </w:tc>
      </w:tr>
      <w:tr>
        <w:trPr>
          <w:trHeight w:val="115"/>
        </w:trPr>
        <w:tc>
          <w:tcPr>
            <w:tcW w:w="4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-925195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-908050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-925195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-908050</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-925195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-908050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-119380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-102235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-119380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-102235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-119380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-102235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5"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The following table presents the investment income, net gains and losses realized and disbursements related to the investments within the portfolio for the three months ended December 31, 2021 and 2020.</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6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3"/>
          </w:tcPr>
          <w:p>
            <w:pPr>
              <w:jc w:val="center"/>
              <w:ind w:left="710"/>
              <w:spacing w:after="0" w:line="201" w:lineRule="exact"/>
              <w:rPr>
                <w:sz w:val="20"/>
                <w:szCs w:val="20"/>
                <w:color w:val="auto"/>
              </w:rPr>
            </w:pPr>
            <w:r>
              <w:rPr>
                <w:rFonts w:ascii="Arial" w:cs="Arial" w:eastAsia="Arial" w:hAnsi="Arial"/>
                <w:sz w:val="18"/>
                <w:szCs w:val="18"/>
                <w:color w:val="auto"/>
                <w:w w:val="87"/>
              </w:rPr>
              <w:t>Three months ended</w:t>
            </w: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90"/>
              </w:rPr>
              <w:t>December 31</w:t>
            </w: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 income</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0" w:type="dxa"/>
            <w:vAlign w:val="bottom"/>
          </w:tcPr>
          <w:p>
            <w:pPr>
              <w:spacing w:after="0" w:line="202" w:lineRule="exact"/>
              <w:rPr>
                <w:sz w:val="20"/>
                <w:szCs w:val="20"/>
                <w:color w:val="auto"/>
              </w:rPr>
            </w:pPr>
            <w:r>
              <w:rPr>
                <w:rFonts w:ascii="Arial" w:cs="Arial" w:eastAsia="Arial" w:hAnsi="Arial"/>
                <w:sz w:val="18"/>
                <w:szCs w:val="18"/>
                <w:color w:val="auto"/>
              </w:rPr>
              <w:t xml:space="preserve">Net gains (losses) </w:t>
            </w:r>
            <w:r>
              <w:rPr>
                <w:rFonts w:ascii="Arial" w:cs="Arial" w:eastAsia="Arial" w:hAnsi="Arial"/>
                <w:sz w:val="14"/>
                <w:szCs w:val="14"/>
                <w:color w:val="auto"/>
              </w:rPr>
              <w:t>(a)</w:t>
            </w:r>
          </w:p>
        </w:tc>
        <w:tc>
          <w:tcPr>
            <w:tcW w:w="4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Disbursements</w:t>
            </w:r>
          </w:p>
        </w:tc>
        <w:tc>
          <w:tcPr>
            <w:tcW w:w="4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(7 )</w:t>
            </w:r>
          </w:p>
        </w:tc>
        <w:tc>
          <w:tcPr>
            <w:tcW w:w="8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35"/>
        </w:trPr>
        <w:tc>
          <w:tcPr>
            <w:tcW w:w="6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740" w:right="380" w:hanging="358"/>
        <w:spacing w:after="0" w:line="257" w:lineRule="auto"/>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Ashland determined that all gains and (losses) were related to investment securities with readily determinable fair values. Due to the accounting guidance adopted in the first quarter of fiscal year 2019, the net unrealized gains and (losses) during fiscal September 30, 2019 and forward were recorded within the net interest and other expense caption in the Statements of Consolidated Income (Loss).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Foreign currency derivatives</w:t>
      </w:r>
    </w:p>
    <w:p>
      <w:pPr>
        <w:spacing w:after="0" w:line="100" w:lineRule="exact"/>
        <w:rPr>
          <w:sz w:val="20"/>
          <w:szCs w:val="20"/>
          <w:color w:val="auto"/>
        </w:rPr>
      </w:pPr>
    </w:p>
    <w:p>
      <w:pPr>
        <w:jc w:val="both"/>
        <w:ind w:left="380" w:right="380"/>
        <w:spacing w:after="0" w:line="257"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The impacts of these contracts were largely offset by gains and losses resulting from the impact of changes in exchange rates on transactions denominated in non-functional currencies. The following table summarizes the net gains and losses recognized during the three months ended December 31, 2021 and 2020 within the Statements of Consolidated Comprehensive Income (Loss).</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6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right"/>
              <w:ind w:right="1310"/>
              <w:spacing w:after="0" w:line="201" w:lineRule="exact"/>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17"/>
        </w:trPr>
        <w:tc>
          <w:tcPr>
            <w:tcW w:w="62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1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w:t>
            </w:r>
          </w:p>
        </w:tc>
        <w:tc>
          <w:tcPr>
            <w:tcW w:w="186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2021</w:t>
            </w: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Foreign currency derivative gains</w:t>
            </w:r>
          </w:p>
        </w:tc>
        <w:tc>
          <w:tcPr>
            <w:tcW w:w="1260" w:type="dxa"/>
            <w:vAlign w:val="bottom"/>
            <w:shd w:val="clear" w:color="auto" w:fill="CFF0FC"/>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5"/>
        </w:trPr>
        <w:tc>
          <w:tcPr>
            <w:tcW w:w="6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380" w:right="380"/>
        <w:spacing w:after="0" w:line="237" w:lineRule="auto"/>
        <w:rPr>
          <w:sz w:val="20"/>
          <w:szCs w:val="20"/>
          <w:color w:val="auto"/>
        </w:rPr>
      </w:pPr>
      <w:r>
        <w:rPr>
          <w:rFonts w:ascii="Arial" w:cs="Arial" w:eastAsia="Arial" w:hAnsi="Arial"/>
          <w:sz w:val="20"/>
          <w:szCs w:val="20"/>
          <w:color w:val="auto"/>
        </w:rPr>
        <w:t>The following table summarizes the fair values of the outstanding foreign currency derivatives as of December 31, 2021 and September 30, 2021 included in accounts receivable and accrued expenses and other liabilities of the Condensed Consolidated Balance Sheets.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December 31</w:t>
            </w:r>
          </w:p>
        </w:tc>
        <w:tc>
          <w:tcPr>
            <w:tcW w:w="5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50"/>
              <w:spacing w:after="0" w:line="201" w:lineRule="exact"/>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7"/>
                <w:szCs w:val="17"/>
                <w:color w:val="auto"/>
              </w:rPr>
            </w:pPr>
          </w:p>
        </w:tc>
      </w:tr>
      <w:tr>
        <w:trPr>
          <w:trHeight w:val="217"/>
        </w:trPr>
        <w:tc>
          <w:tcPr>
            <w:tcW w:w="420" w:type="dxa"/>
            <w:vAlign w:val="bottom"/>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r>
      <w:tr>
        <w:trPr>
          <w:trHeight w:val="196"/>
        </w:trPr>
        <w:tc>
          <w:tcPr>
            <w:tcW w:w="42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Foreign currency derivative assets</w:t>
            </w:r>
          </w:p>
        </w:tc>
        <w:tc>
          <w:tcPr>
            <w:tcW w:w="3820" w:type="dxa"/>
            <w:vAlign w:val="bottom"/>
            <w:shd w:val="clear" w:color="auto" w:fill="CFF0FC"/>
          </w:tcPr>
          <w:p>
            <w:pPr>
              <w:jc w:val="right"/>
              <w:ind w:right="141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w:t>
            </w:r>
          </w:p>
        </w:tc>
        <w:tc>
          <w:tcPr>
            <w:tcW w:w="4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Notional contract values</w:t>
            </w:r>
          </w:p>
        </w:tc>
        <w:tc>
          <w:tcPr>
            <w:tcW w:w="3820" w:type="dxa"/>
            <w:vAlign w:val="bottom"/>
          </w:tcPr>
          <w:p>
            <w:pPr>
              <w:spacing w:after="0"/>
              <w:rPr>
                <w:sz w:val="17"/>
                <w:szCs w:val="17"/>
                <w:color w:val="auto"/>
              </w:rPr>
            </w:pPr>
          </w:p>
        </w:tc>
        <w:tc>
          <w:tcPr>
            <w:tcW w:w="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252</w:t>
            </w:r>
          </w:p>
        </w:tc>
        <w:tc>
          <w:tcPr>
            <w:tcW w:w="44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920" w:type="dxa"/>
            <w:vAlign w:val="bottom"/>
            <w:shd w:val="clear" w:color="auto" w:fill="CFF0FC"/>
          </w:tcPr>
          <w:p>
            <w:pPr>
              <w:spacing w:after="0"/>
              <w:rPr>
                <w:sz w:val="17"/>
                <w:szCs w:val="17"/>
                <w:color w:val="auto"/>
              </w:rPr>
            </w:pPr>
          </w:p>
        </w:tc>
        <w:tc>
          <w:tcPr>
            <w:tcW w:w="3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Foreign currency derivative liabilities</w:t>
            </w:r>
          </w:p>
        </w:tc>
        <w:tc>
          <w:tcPr>
            <w:tcW w:w="3820" w:type="dxa"/>
            <w:vAlign w:val="bottom"/>
          </w:tcPr>
          <w:p>
            <w:pPr>
              <w:jc w:val="right"/>
              <w:ind w:right="141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Notional contract values</w:t>
            </w:r>
          </w:p>
        </w:tc>
        <w:tc>
          <w:tcPr>
            <w:tcW w:w="38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156</w:t>
            </w:r>
          </w:p>
        </w:tc>
        <w:tc>
          <w:tcPr>
            <w:tcW w:w="4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w:t>
            </w:r>
          </w:p>
        </w:tc>
        <w:tc>
          <w:tcPr>
            <w:tcW w:w="400" w:type="dxa"/>
            <w:vAlign w:val="bottom"/>
          </w:tcPr>
          <w:p>
            <w:pPr>
              <w:spacing w:after="0"/>
              <w:rPr>
                <w:sz w:val="17"/>
                <w:szCs w:val="17"/>
                <w:color w:val="auto"/>
              </w:rPr>
            </w:pPr>
          </w:p>
        </w:tc>
      </w:tr>
      <w:tr>
        <w:trPr>
          <w:trHeight w:val="135"/>
        </w:trPr>
        <w:tc>
          <w:tcPr>
            <w:tcW w:w="420" w:type="dxa"/>
            <w:vAlign w:val="bottom"/>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r>
      <w:tr>
        <w:trPr>
          <w:trHeight w:val="520"/>
        </w:trPr>
        <w:tc>
          <w:tcPr>
            <w:tcW w:w="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20" w:type="dxa"/>
            <w:vAlign w:val="bottom"/>
          </w:tcPr>
          <w:p>
            <w:pPr>
              <w:jc w:val="right"/>
              <w:ind w:right="235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 w:name="page11"/>
    <w:bookmarkEnd w:id="10"/>
    <w:p>
      <w:pPr>
        <w:ind w:left="380"/>
        <w:spacing w:after="0"/>
        <w:rPr>
          <w:sz w:val="20"/>
          <w:szCs w:val="20"/>
          <w:color w:val="auto"/>
        </w:rPr>
      </w:pPr>
      <w:r>
        <w:rPr>
          <w:rFonts w:ascii="Arial" w:cs="Arial" w:eastAsia="Arial" w:hAnsi="Arial"/>
          <w:sz w:val="20"/>
          <w:szCs w:val="20"/>
          <w:b w:val="1"/>
          <w:bCs w:val="1"/>
          <w:color w:val="auto"/>
        </w:rPr>
        <w:t>Commodity derivatives</w:t>
      </w:r>
    </w:p>
    <w:p>
      <w:pPr>
        <w:spacing w:after="0" w:line="100"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To manage its exposure to the market price volatility of natural gas consumed by its US plants during the manufacturing process, Ashland regularly enters into forward contracts that are designated as cash flow hedges. Ashland recognized gains of $2 million and zero during the three months ended December 31, 2021 and 2020, respectively, within the Statements of Consolidated Comprehensive Income (Loss).</w:t>
      </w:r>
    </w:p>
    <w:p>
      <w:pPr>
        <w:spacing w:after="0" w:line="75" w:lineRule="exact"/>
        <w:rPr>
          <w:sz w:val="20"/>
          <w:szCs w:val="20"/>
          <w:color w:val="auto"/>
        </w:rPr>
      </w:pPr>
    </w:p>
    <w:p>
      <w:pPr>
        <w:jc w:val="both"/>
        <w:ind w:left="380" w:right="380"/>
        <w:spacing w:after="0" w:line="363" w:lineRule="auto"/>
        <w:rPr>
          <w:sz w:val="20"/>
          <w:szCs w:val="20"/>
          <w:color w:val="auto"/>
        </w:rPr>
      </w:pPr>
      <w:r>
        <w:rPr>
          <w:rFonts w:ascii="Arial" w:cs="Arial" w:eastAsia="Arial" w:hAnsi="Arial"/>
          <w:sz w:val="16"/>
          <w:szCs w:val="16"/>
          <w:color w:val="auto"/>
        </w:rPr>
        <w:t>The following table summarizes the fair values of the outstanding commodity derivatives as of December 31, 2021, and September 30, 2021 included in accounts receivable and accrued expenses and other liabilities of the Condensed Consolidated Balance Sheets.</w:t>
      </w:r>
    </w:p>
    <w:tbl>
      <w:tblPr>
        <w:tblLayout w:type="fixed"/>
        <w:tblInd w:w="420" w:type="dxa"/>
        <w:tblCellMar>
          <w:top w:w="0" w:type="dxa"/>
          <w:left w:w="0" w:type="dxa"/>
          <w:bottom w:w="0" w:type="dxa"/>
          <w:right w:w="0" w:type="dxa"/>
        </w:tblCellMar>
      </w:tblPr>
      <w:tr>
        <w:trPr>
          <w:trHeight w:val="182"/>
        </w:trPr>
        <w:tc>
          <w:tcPr>
            <w:tcW w:w="426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December 31</w:t>
            </w: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September 30</w:t>
            </w:r>
          </w:p>
        </w:tc>
        <w:tc>
          <w:tcPr>
            <w:tcW w:w="40" w:type="dxa"/>
            <w:vAlign w:val="bottom"/>
          </w:tcPr>
          <w:p>
            <w:pPr>
              <w:spacing w:after="0"/>
              <w:rPr>
                <w:sz w:val="15"/>
                <w:szCs w:val="15"/>
                <w:color w:val="auto"/>
              </w:rPr>
            </w:pPr>
          </w:p>
        </w:tc>
      </w:tr>
      <w:tr>
        <w:trPr>
          <w:trHeight w:val="217"/>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Commodity derivative assets</w:t>
            </w:r>
          </w:p>
        </w:tc>
        <w:tc>
          <w:tcPr>
            <w:tcW w:w="3580" w:type="dxa"/>
            <w:vAlign w:val="bottom"/>
            <w:shd w:val="clear" w:color="auto" w:fill="CFF0FC"/>
          </w:tcPr>
          <w:p>
            <w:pPr>
              <w:jc w:val="right"/>
              <w:ind w:right="149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4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Notional contract values</w:t>
            </w:r>
          </w:p>
        </w:tc>
        <w:tc>
          <w:tcPr>
            <w:tcW w:w="35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r>
      <w:tr>
        <w:trPr>
          <w:trHeight w:val="203"/>
        </w:trPr>
        <w:tc>
          <w:tcPr>
            <w:tcW w:w="426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Commodity derivative liabilities</w:t>
            </w:r>
          </w:p>
        </w:tc>
        <w:tc>
          <w:tcPr>
            <w:tcW w:w="3580" w:type="dxa"/>
            <w:vAlign w:val="bottom"/>
          </w:tcPr>
          <w:p>
            <w:pPr>
              <w:jc w:val="right"/>
              <w:ind w:right="14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4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Notional contract values</w:t>
            </w:r>
          </w:p>
        </w:tc>
        <w:tc>
          <w:tcPr>
            <w:tcW w:w="35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r>
      <w:tr>
        <w:trPr>
          <w:trHeight w:val="135"/>
        </w:trPr>
        <w:tc>
          <w:tcPr>
            <w:tcW w:w="4260" w:type="dxa"/>
            <w:vAlign w:val="bottom"/>
            <w:tcBorders>
              <w:bottom w:val="single" w:sz="8" w:color="auto"/>
            </w:tcBorders>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financial instruments</w:t>
      </w:r>
    </w:p>
    <w:p>
      <w:pPr>
        <w:spacing w:after="0" w:line="100" w:lineRule="exact"/>
        <w:rPr>
          <w:sz w:val="20"/>
          <w:szCs w:val="20"/>
          <w:color w:val="auto"/>
        </w:rPr>
      </w:pPr>
    </w:p>
    <w:p>
      <w:pPr>
        <w:jc w:val="both"/>
        <w:ind w:left="380" w:right="380"/>
        <w:spacing w:after="0" w:line="267" w:lineRule="auto"/>
        <w:rPr>
          <w:sz w:val="20"/>
          <w:szCs w:val="20"/>
          <w:color w:val="auto"/>
        </w:rPr>
      </w:pPr>
      <w:r>
        <w:rPr>
          <w:rFonts w:ascii="Arial" w:cs="Arial" w:eastAsia="Arial" w:hAnsi="Arial"/>
          <w:sz w:val="18"/>
          <w:szCs w:val="18"/>
          <w:color w:val="auto"/>
        </w:rPr>
        <w:t>At December 31, 2021 and September 30, 2021, Ashland's long-term debt (including the current portion and excluding debt issuance cost discounts) had a carrying value of $1,610 million and $1,622 million, respectively, compared to a fair value of $1,752 million and $1,794 million, respectively. The fair values of long-term debt are based on quoted market prices or, if market prices are not available, the present values of the underlying cash flows discounted at Ashland’s incremental borrowing rates.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00"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summarizes Ashland’s inventories as of the reported Condensed Consolidated Balance Sheet dates.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400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37"/>
              <w:spacing w:after="0" w:line="201" w:lineRule="exact"/>
              <w:rPr>
                <w:sz w:val="20"/>
                <w:szCs w:val="20"/>
                <w:color w:val="auto"/>
              </w:rPr>
            </w:pPr>
            <w:r>
              <w:rPr>
                <w:rFonts w:ascii="Arial" w:cs="Arial" w:eastAsia="Arial" w:hAnsi="Arial"/>
                <w:sz w:val="18"/>
                <w:szCs w:val="18"/>
                <w:color w:val="auto"/>
              </w:rPr>
              <w:t>December 31</w:t>
            </w: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ind w:right="475"/>
              <w:spacing w:after="0" w:line="201" w:lineRule="exact"/>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7"/>
                <w:szCs w:val="17"/>
                <w:color w:val="auto"/>
              </w:rPr>
            </w:pPr>
          </w:p>
        </w:tc>
      </w:tr>
      <w:tr>
        <w:trPr>
          <w:trHeight w:val="217"/>
        </w:trPr>
        <w:tc>
          <w:tcPr>
            <w:tcW w:w="42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374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r>
      <w:tr>
        <w:trPr>
          <w:trHeight w:val="183"/>
        </w:trPr>
        <w:tc>
          <w:tcPr>
            <w:tcW w:w="420" w:type="dxa"/>
            <w:vAlign w:val="bottom"/>
          </w:tcPr>
          <w:p>
            <w:pPr>
              <w:spacing w:after="0"/>
              <w:rPr>
                <w:sz w:val="15"/>
                <w:szCs w:val="15"/>
                <w:color w:val="auto"/>
              </w:rPr>
            </w:pPr>
          </w:p>
        </w:tc>
        <w:tc>
          <w:tcPr>
            <w:tcW w:w="4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Finished products</w:t>
            </w:r>
          </w:p>
        </w:tc>
        <w:tc>
          <w:tcPr>
            <w:tcW w:w="3740" w:type="dxa"/>
            <w:vAlign w:val="bottom"/>
            <w:gridSpan w:val="2"/>
            <w:shd w:val="clear" w:color="auto" w:fill="CFF0FC"/>
          </w:tcPr>
          <w:p>
            <w:pPr>
              <w:jc w:val="right"/>
              <w:ind w:right="1397"/>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319</w:t>
            </w:r>
          </w:p>
        </w:tc>
        <w:tc>
          <w:tcPr>
            <w:tcW w:w="46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15"/>
              <w:spacing w:after="0" w:line="183" w:lineRule="exact"/>
              <w:rPr>
                <w:sz w:val="20"/>
                <w:szCs w:val="20"/>
                <w:color w:val="auto"/>
              </w:rPr>
            </w:pPr>
            <w:r>
              <w:rPr>
                <w:rFonts w:ascii="Arial" w:cs="Arial" w:eastAsia="Arial" w:hAnsi="Arial"/>
                <w:sz w:val="16"/>
                <w:szCs w:val="16"/>
                <w:color w:val="auto"/>
              </w:rPr>
              <w:t>282</w:t>
            </w:r>
          </w:p>
        </w:tc>
        <w:tc>
          <w:tcPr>
            <w:tcW w:w="400" w:type="dxa"/>
            <w:vAlign w:val="bottom"/>
          </w:tcPr>
          <w:p>
            <w:pPr>
              <w:spacing w:after="0"/>
              <w:rPr>
                <w:sz w:val="15"/>
                <w:szCs w:val="15"/>
                <w:color w:val="auto"/>
              </w:rPr>
            </w:pPr>
          </w:p>
        </w:tc>
      </w:tr>
      <w:tr>
        <w:trPr>
          <w:trHeight w:val="189"/>
        </w:trPr>
        <w:tc>
          <w:tcPr>
            <w:tcW w:w="42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Raw materials, supplies and work in process</w:t>
            </w:r>
          </w:p>
        </w:tc>
        <w:tc>
          <w:tcPr>
            <w:tcW w:w="21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191</w:t>
            </w:r>
          </w:p>
        </w:tc>
        <w:tc>
          <w:tcPr>
            <w:tcW w:w="400" w:type="dxa"/>
            <w:vAlign w:val="bottom"/>
          </w:tcPr>
          <w:p>
            <w:pPr>
              <w:spacing w:after="0"/>
              <w:rPr>
                <w:sz w:val="16"/>
                <w:szCs w:val="16"/>
                <w:color w:val="auto"/>
              </w:rPr>
            </w:pPr>
          </w:p>
        </w:tc>
      </w:tr>
      <w:tr>
        <w:trPr>
          <w:trHeight w:val="223"/>
        </w:trPr>
        <w:tc>
          <w:tcPr>
            <w:tcW w:w="4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39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530</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6"/>
                <w:szCs w:val="16"/>
                <w:color w:val="auto"/>
              </w:rPr>
              <w:t>473</w:t>
            </w:r>
          </w:p>
        </w:tc>
        <w:tc>
          <w:tcPr>
            <w:tcW w:w="400" w:type="dxa"/>
            <w:vAlign w:val="bottom"/>
          </w:tcPr>
          <w:p>
            <w:pPr>
              <w:spacing w:after="0"/>
              <w:rPr>
                <w:sz w:val="19"/>
                <w:szCs w:val="19"/>
                <w:color w:val="auto"/>
              </w:rPr>
            </w:pPr>
          </w:p>
        </w:tc>
      </w:tr>
      <w:tr>
        <w:trPr>
          <w:trHeight w:val="507"/>
        </w:trPr>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180" w:type="dxa"/>
            <w:vAlign w:val="bottom"/>
          </w:tcPr>
          <w:p>
            <w:pPr>
              <w:jc w:val="right"/>
              <w:ind w:right="793"/>
              <w:spacing w:after="0"/>
              <w:rPr>
                <w:sz w:val="20"/>
                <w:szCs w:val="20"/>
                <w:color w:val="auto"/>
              </w:rPr>
            </w:pPr>
            <w:r>
              <w:rPr>
                <w:rFonts w:ascii="Arial" w:cs="Arial" w:eastAsia="Arial" w:hAnsi="Arial"/>
                <w:sz w:val="18"/>
                <w:szCs w:val="18"/>
                <w:color w:val="auto"/>
              </w:rPr>
              <w:t>11</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2"/>
        </w:trPr>
        <w:tc>
          <w:tcPr>
            <w:tcW w:w="42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-436880</wp:posOffset>
            </wp:positionV>
            <wp:extent cx="120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-419735</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Goodwill</w:t>
      </w:r>
    </w:p>
    <w:p>
      <w:pPr>
        <w:spacing w:after="0" w:line="100" w:lineRule="exact"/>
        <w:rPr>
          <w:sz w:val="20"/>
          <w:szCs w:val="20"/>
          <w:color w:val="auto"/>
        </w:rPr>
      </w:pPr>
    </w:p>
    <w:p>
      <w:pPr>
        <w:jc w:val="both"/>
        <w:ind w:left="380" w:right="380"/>
        <w:spacing w:after="0" w:line="244" w:lineRule="auto"/>
        <w:rPr>
          <w:sz w:val="20"/>
          <w:szCs w:val="20"/>
          <w:color w:val="auto"/>
        </w:rPr>
      </w:pPr>
      <w:r>
        <w:rPr>
          <w:rFonts w:ascii="Arial" w:cs="Arial" w:eastAsia="Arial" w:hAnsi="Arial"/>
          <w:sz w:val="19"/>
          <w:szCs w:val="19"/>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in the case of reporting units, not to exceed to the associated carrying amount of goodwill.</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w:t>
      </w:r>
      <w:r>
        <w:rPr>
          <w:rFonts w:ascii="Arial" w:cs="Arial" w:eastAsia="Arial" w:hAnsi="Arial"/>
          <w:sz w:val="19"/>
          <w:szCs w:val="19"/>
          <w:color w:val="auto"/>
        </w:rPr>
        <w:t>o indicators of impairment were identified in the three months ended December 31, 2021.</w:t>
      </w:r>
    </w:p>
    <w:p>
      <w:pPr>
        <w:spacing w:after="0" w:line="106" w:lineRule="exact"/>
        <w:rPr>
          <w:sz w:val="20"/>
          <w:szCs w:val="20"/>
          <w:color w:val="auto"/>
        </w:rPr>
      </w:pPr>
    </w:p>
    <w:p>
      <w:pPr>
        <w:jc w:val="both"/>
        <w:ind w:left="380" w:right="380"/>
        <w:spacing w:after="0" w:line="232" w:lineRule="auto"/>
        <w:rPr>
          <w:sz w:val="20"/>
          <w:szCs w:val="20"/>
          <w:color w:val="auto"/>
        </w:rPr>
      </w:pPr>
      <w:r>
        <w:rPr>
          <w:rFonts w:ascii="Arial" w:cs="Arial" w:eastAsia="Arial" w:hAnsi="Arial"/>
          <w:sz w:val="20"/>
          <w:szCs w:val="20"/>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is a progression of goodwill by reportable segment for the three months ended December 31, 2021.</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3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0"/>
              <w:spacing w:after="0" w:line="201" w:lineRule="exact"/>
              <w:rPr>
                <w:sz w:val="20"/>
                <w:szCs w:val="20"/>
                <w:color w:val="auto"/>
              </w:rPr>
            </w:pPr>
            <w:r>
              <w:rPr>
                <w:rFonts w:ascii="Arial" w:cs="Arial" w:eastAsia="Arial" w:hAnsi="Arial"/>
                <w:sz w:val="18"/>
                <w:szCs w:val="18"/>
                <w:color w:val="auto"/>
              </w:rPr>
              <w:t>Life</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90"/>
              <w:spacing w:after="0" w:line="201" w:lineRule="exact"/>
              <w:rPr>
                <w:sz w:val="20"/>
                <w:szCs w:val="20"/>
                <w:color w:val="auto"/>
              </w:rPr>
            </w:pPr>
            <w:r>
              <w:rPr>
                <w:rFonts w:ascii="Arial" w:cs="Arial" w:eastAsia="Arial" w:hAnsi="Arial"/>
                <w:sz w:val="18"/>
                <w:szCs w:val="18"/>
                <w:color w:val="auto"/>
                <w:w w:val="95"/>
              </w:rPr>
              <w:t>Personal</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Specialty</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7"/>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Sciences</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 xml:space="preserve">Care </w:t>
            </w:r>
            <w:r>
              <w:rPr>
                <w:rFonts w:ascii="Arial" w:cs="Arial" w:eastAsia="Arial" w:hAnsi="Arial"/>
                <w:sz w:val="14"/>
                <w:szCs w:val="14"/>
                <w:color w:val="auto"/>
              </w:rPr>
              <w:t>(a)</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 xml:space="preserve">Additives </w:t>
            </w:r>
            <w:r>
              <w:rPr>
                <w:rFonts w:ascii="Arial" w:cs="Arial" w:eastAsia="Arial" w:hAnsi="Arial"/>
                <w:sz w:val="14"/>
                <w:szCs w:val="14"/>
                <w:color w:val="auto"/>
                <w:w w:val="94"/>
              </w:rPr>
              <w:t>(a)</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Intermediates </w:t>
            </w:r>
            <w:r>
              <w:rPr>
                <w:rFonts w:ascii="Arial" w:cs="Arial" w:eastAsia="Arial" w:hAnsi="Arial"/>
                <w:sz w:val="14"/>
                <w:szCs w:val="14"/>
                <w:color w:val="auto"/>
              </w:rPr>
              <w:t>(a)</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196"/>
        </w:trPr>
        <w:tc>
          <w:tcPr>
            <w:tcW w:w="3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September 30, 2021</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856</w:t>
            </w:r>
          </w:p>
        </w:tc>
        <w:tc>
          <w:tcPr>
            <w:tcW w:w="3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129</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445</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ind w:left="122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1,430</w:t>
            </w: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(2 )</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(5 )</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36"/>
        </w:trPr>
        <w:tc>
          <w:tcPr>
            <w:tcW w:w="31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844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127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440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ind w:left="122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1,411</w:t>
            </w:r>
          </w:p>
        </w:tc>
      </w:tr>
      <w:tr>
        <w:trPr>
          <w:trHeight w:val="115"/>
        </w:trPr>
        <w:tc>
          <w:tcPr>
            <w:tcW w:w="3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-119380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-102235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-119380</wp:posOffset>
            </wp:positionV>
            <wp:extent cx="146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-102235</wp:posOffset>
            </wp:positionV>
            <wp:extent cx="1460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-119380</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-102235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-119380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-102235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9" w:lineRule="exact"/>
        <w:rPr>
          <w:sz w:val="20"/>
          <w:szCs w:val="20"/>
          <w:color w:val="auto"/>
        </w:rPr>
      </w:pPr>
    </w:p>
    <w:p>
      <w:pPr>
        <w:ind w:left="740" w:right="380" w:hanging="358"/>
        <w:spacing w:after="0" w:line="273" w:lineRule="auto"/>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2021 and September 30, 2021, there were accumulated impairments of $356 million, $174 million and $90 million related to the Personal Care, Specialty Additives and Intermediates reportable segments, respectively.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intangible assets</w:t>
      </w:r>
    </w:p>
    <w:p>
      <w:pPr>
        <w:spacing w:after="0" w:line="100"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75"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 indicators of impairment were identified in the three months ended December 31, 2021.</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Intangible assets were comprised of the following as of December 31, 2021 and September 30,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46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December 31, 2021</w:t>
            </w:r>
          </w:p>
        </w:tc>
        <w:tc>
          <w:tcPr>
            <w:tcW w:w="3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182"/>
        </w:trPr>
        <w:tc>
          <w:tcPr>
            <w:tcW w:w="4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2"/>
              </w:rPr>
              <w:t>Net</w:t>
            </w:r>
          </w:p>
        </w:tc>
        <w:tc>
          <w:tcPr>
            <w:tcW w:w="400" w:type="dxa"/>
            <w:vAlign w:val="bottom"/>
          </w:tcPr>
          <w:p>
            <w:pPr>
              <w:spacing w:after="0"/>
              <w:rPr>
                <w:sz w:val="15"/>
                <w:szCs w:val="15"/>
                <w:color w:val="auto"/>
              </w:rPr>
            </w:pPr>
          </w:p>
        </w:tc>
      </w:tr>
      <w:tr>
        <w:trPr>
          <w:trHeight w:val="203"/>
        </w:trPr>
        <w:tc>
          <w:tcPr>
            <w:tcW w:w="4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3"/>
              </w:rPr>
              <w:t>carrying</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3"/>
              </w:rPr>
              <w:t>carrying</w:t>
            </w:r>
          </w:p>
        </w:tc>
        <w:tc>
          <w:tcPr>
            <w:tcW w:w="400" w:type="dxa"/>
            <w:vAlign w:val="bottom"/>
          </w:tcPr>
          <w:p>
            <w:pPr>
              <w:spacing w:after="0"/>
              <w:rPr>
                <w:sz w:val="17"/>
                <w:szCs w:val="17"/>
                <w:color w:val="auto"/>
              </w:rPr>
            </w:pPr>
          </w:p>
        </w:tc>
      </w:tr>
      <w:tr>
        <w:trPr>
          <w:trHeight w:val="217"/>
        </w:trPr>
        <w:tc>
          <w:tcPr>
            <w:tcW w:w="4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c>
          <w:tcPr>
            <w:tcW w:w="400" w:type="dxa"/>
            <w:vAlign w:val="bottom"/>
          </w:tcPr>
          <w:p>
            <w:pPr>
              <w:spacing w:after="0"/>
              <w:rPr>
                <w:sz w:val="18"/>
                <w:szCs w:val="18"/>
                <w:color w:val="auto"/>
              </w:rPr>
            </w:pPr>
          </w:p>
        </w:tc>
      </w:tr>
      <w:tr>
        <w:trPr>
          <w:trHeight w:val="196"/>
        </w:trPr>
        <w:tc>
          <w:tcPr>
            <w:tcW w:w="420" w:type="dxa"/>
            <w:vAlign w:val="bottom"/>
          </w:tcPr>
          <w:p>
            <w:pPr>
              <w:spacing w:after="0"/>
              <w:rPr>
                <w:sz w:val="17"/>
                <w:szCs w:val="17"/>
                <w:color w:val="auto"/>
              </w:rPr>
            </w:pPr>
          </w:p>
        </w:tc>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Definite-lived intangibles</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Trademarks and trade names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(34 )</w:t>
            </w:r>
          </w:p>
        </w:tc>
        <w:tc>
          <w:tcPr>
            <w:tcW w:w="6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6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Intellectual property</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745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(504 )</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241</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Customer and supplier relationships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842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(359 )</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483</w:t>
            </w: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6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1,687</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(897 )</w:t>
            </w: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790</w:t>
            </w: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Indefinite-lived intangibles</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278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400" w:type="dxa"/>
            <w:vAlign w:val="bottom"/>
          </w:tcPr>
          <w:p>
            <w:pPr>
              <w:spacing w:after="0"/>
              <w:rPr>
                <w:sz w:val="17"/>
                <w:szCs w:val="17"/>
                <w:color w:val="auto"/>
              </w:rPr>
            </w:pPr>
          </w:p>
        </w:tc>
      </w:tr>
      <w:tr>
        <w:trPr>
          <w:trHeight w:val="236"/>
        </w:trPr>
        <w:tc>
          <w:tcPr>
            <w:tcW w:w="420" w:type="dxa"/>
            <w:vAlign w:val="bottom"/>
          </w:tcPr>
          <w:p>
            <w:pPr>
              <w:spacing w:after="0"/>
              <w:rPr>
                <w:sz w:val="20"/>
                <w:szCs w:val="20"/>
                <w:color w:val="auto"/>
              </w:rPr>
            </w:pPr>
          </w:p>
        </w:tc>
        <w:tc>
          <w:tcPr>
            <w:tcW w:w="46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1,965</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(897 )</w:t>
            </w:r>
          </w:p>
        </w:tc>
        <w:tc>
          <w:tcPr>
            <w:tcW w:w="3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1,068</w:t>
            </w:r>
          </w:p>
        </w:tc>
        <w:tc>
          <w:tcPr>
            <w:tcW w:w="400" w:type="dxa"/>
            <w:vAlign w:val="bottom"/>
          </w:tcPr>
          <w:p>
            <w:pPr>
              <w:spacing w:after="0"/>
              <w:rPr>
                <w:sz w:val="20"/>
                <w:szCs w:val="20"/>
                <w:color w:val="auto"/>
              </w:rPr>
            </w:pPr>
          </w:p>
        </w:tc>
      </w:tr>
      <w:tr>
        <w:trPr>
          <w:trHeight w:val="507"/>
        </w:trPr>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-956310</wp:posOffset>
            </wp:positionV>
            <wp:extent cx="939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-956310</wp:posOffset>
            </wp:positionV>
            <wp:extent cx="23177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-427990</wp:posOffset>
            </wp:positionV>
            <wp:extent cx="93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-410845</wp:posOffset>
            </wp:positionV>
            <wp:extent cx="93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-427990</wp:posOffset>
            </wp:positionV>
            <wp:extent cx="2317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-410845</wp:posOffset>
            </wp:positionV>
            <wp:extent cx="2317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tbl>
      <w:tblPr>
        <w:tblLayout w:type="fixed"/>
        <w:tblInd w:w="420" w:type="dxa"/>
        <w:tblCellMar>
          <w:top w:w="0" w:type="dxa"/>
          <w:left w:w="0" w:type="dxa"/>
          <w:bottom w:w="0" w:type="dxa"/>
          <w:right w:w="0" w:type="dxa"/>
        </w:tblCellMar>
      </w:tblPr>
      <w:tr>
        <w:trPr>
          <w:trHeight w:val="203"/>
        </w:trPr>
        <w:tc>
          <w:tcPr>
            <w:tcW w:w="46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99"/>
              </w:rPr>
              <w:t>September 30, 2021</w:t>
            </w:r>
          </w:p>
        </w:tc>
        <w:tc>
          <w:tcPr>
            <w:tcW w:w="3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r>
      <w:tr>
        <w:trPr>
          <w:trHeight w:val="182"/>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2"/>
              </w:rPr>
              <w:t>Net</w:t>
            </w:r>
          </w:p>
        </w:tc>
      </w:tr>
      <w:tr>
        <w:trPr>
          <w:trHeight w:val="203"/>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3"/>
              </w:rPr>
              <w:t>carrying</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3"/>
              </w:rPr>
              <w:t>carrying</w:t>
            </w:r>
          </w:p>
        </w:tc>
      </w:tr>
      <w:tr>
        <w:trPr>
          <w:trHeight w:val="217"/>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Definite-lived intangibles</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Trademarks and trade names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101</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(32 )</w:t>
            </w:r>
          </w:p>
        </w:tc>
        <w:tc>
          <w:tcPr>
            <w:tcW w:w="6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w:t>
            </w:r>
          </w:p>
        </w:tc>
      </w:tr>
      <w:tr>
        <w:trPr>
          <w:trHeight w:val="203"/>
        </w:trPr>
        <w:tc>
          <w:tcPr>
            <w:tcW w:w="46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Intellectual property</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750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(495 )</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255</w:t>
            </w:r>
          </w:p>
        </w:tc>
      </w:tr>
      <w:tr>
        <w:trPr>
          <w:trHeight w:val="203"/>
        </w:trPr>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Customer and supplier relationships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849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(352 )</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497</w:t>
            </w:r>
          </w:p>
        </w:tc>
      </w:tr>
      <w:tr>
        <w:trPr>
          <w:trHeight w:val="196"/>
        </w:trPr>
        <w:tc>
          <w:tcPr>
            <w:tcW w:w="46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1,700</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(879 )</w:t>
            </w:r>
          </w:p>
        </w:tc>
        <w:tc>
          <w:tcPr>
            <w:tcW w:w="3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821</w:t>
            </w: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Indefinite-lived intangibles</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4600" w:type="dxa"/>
            <w:vAlign w:val="bottom"/>
          </w:tcPr>
          <w:p>
            <w:pPr>
              <w:ind w:left="80"/>
              <w:spacing w:after="0" w:line="202" w:lineRule="exact"/>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278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278</w:t>
            </w:r>
          </w:p>
        </w:tc>
      </w:tr>
      <w:tr>
        <w:trPr>
          <w:trHeight w:val="236"/>
        </w:trPr>
        <w:tc>
          <w:tcPr>
            <w:tcW w:w="46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1,978</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(879 )</w:t>
            </w:r>
          </w:p>
        </w:tc>
        <w:tc>
          <w:tcPr>
            <w:tcW w:w="3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1,099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-553720</wp:posOffset>
            </wp:positionV>
            <wp:extent cx="939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-553720</wp:posOffset>
            </wp:positionV>
            <wp:extent cx="23177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93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2317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231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12" w:lineRule="exact"/>
        <w:rPr>
          <w:sz w:val="20"/>
          <w:szCs w:val="20"/>
          <w:color w:val="auto"/>
        </w:rPr>
      </w:pPr>
    </w:p>
    <w:p>
      <w:pPr>
        <w:jc w:val="both"/>
        <w:ind w:left="380"/>
        <w:spacing w:after="0" w:line="260" w:lineRule="auto"/>
        <w:rPr>
          <w:sz w:val="20"/>
          <w:szCs w:val="20"/>
          <w:color w:val="auto"/>
        </w:rPr>
      </w:pPr>
      <w:r>
        <w:rPr>
          <w:rFonts w:ascii="Arial" w:cs="Arial" w:eastAsia="Arial" w:hAnsi="Arial"/>
          <w:sz w:val="18"/>
          <w:szCs w:val="18"/>
          <w:color w:val="auto"/>
        </w:rPr>
        <w:t>Amortization expense recognized on intangible assets was $24 million and $21 million for the three months ended December 31, 2021 and 2020, respectively, and is included in the intangibles amortization expense caption of the Statements of Consolidated Comprehensive Income (Loss). Estimated amortization expense for future periods is $94 million in 2022 (includes three months actual and nine months estimated), $93 million in 2023, $80 million in 2024, $78 million in 2025 and $75 million in 2026. Actual amounts may change from such estimated amounts due to fluctuations in foreign currency exchange rates, additional intangible asset acquisitions and divestitures, potential impairment, accelerated amortization, or other events.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 AND OTHER FINANCING ACTIVITIES</w:t>
      </w:r>
    </w:p>
    <w:p>
      <w:pPr>
        <w:spacing w:after="0" w:line="100"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6160" w:type="dxa"/>
            <w:vAlign w:val="bottom"/>
            <w:tcBorders>
              <w:top w:val="single" w:sz="8" w:color="auto"/>
              <w:bottom w:val="single" w:sz="8" w:color="auto"/>
            </w:tcBorders>
          </w:tcPr>
          <w:p>
            <w:pPr>
              <w:spacing w:after="0" w:line="202" w:lineRule="exact"/>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9"/>
              </w:rPr>
              <w:t>December 31, 2021</w:t>
            </w: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September 30, 2021</w:t>
            </w: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3.375% Senior Notes, due 2031</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450</w:t>
            </w:r>
          </w:p>
        </w:tc>
        <w:tc>
          <w:tcPr>
            <w:tcW w:w="48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450</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2.00% Senior Notes, due 2028 (Euro 500 million principal)</w:t>
            </w:r>
          </w:p>
        </w:tc>
        <w:tc>
          <w:tcPr>
            <w:tcW w:w="280" w:type="dxa"/>
            <w:vAlign w:val="bottom"/>
          </w:tcPr>
          <w:p>
            <w:pPr>
              <w:spacing w:after="0"/>
              <w:rPr>
                <w:sz w:val="17"/>
                <w:szCs w:val="17"/>
                <w:color w:val="auto"/>
              </w:rPr>
            </w:pPr>
          </w:p>
        </w:tc>
        <w:tc>
          <w:tcPr>
            <w:tcW w:w="1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580</w:t>
            </w: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6.875% notes, due 2043</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282</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Term loan A</w:t>
            </w:r>
          </w:p>
        </w:tc>
        <w:tc>
          <w:tcPr>
            <w:tcW w:w="280" w:type="dxa"/>
            <w:vAlign w:val="bottom"/>
          </w:tcPr>
          <w:p>
            <w:pPr>
              <w:spacing w:after="0"/>
              <w:rPr>
                <w:sz w:val="17"/>
                <w:szCs w:val="17"/>
                <w:color w:val="auto"/>
              </w:rPr>
            </w:pPr>
          </w:p>
        </w:tc>
        <w:tc>
          <w:tcPr>
            <w:tcW w:w="1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250</w:t>
            </w: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receivable securitizations</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6.50% junior subordinated notes, due 2029</w:t>
            </w:r>
          </w:p>
        </w:tc>
        <w:tc>
          <w:tcPr>
            <w:tcW w:w="280" w:type="dxa"/>
            <w:vAlign w:val="bottom"/>
          </w:tcPr>
          <w:p>
            <w:pPr>
              <w:spacing w:after="0"/>
              <w:rPr>
                <w:sz w:val="17"/>
                <w:szCs w:val="17"/>
                <w:color w:val="auto"/>
              </w:rPr>
            </w:pPr>
          </w:p>
        </w:tc>
        <w:tc>
          <w:tcPr>
            <w:tcW w:w="1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w:t>
            </w: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240</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225</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w:t>
            </w: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1,969</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1,970</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Short-term debt (includes current portion of long-term debt)</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(389 )</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(374 )</w:t>
            </w:r>
          </w:p>
        </w:tc>
      </w:tr>
      <w:tr>
        <w:trPr>
          <w:trHeight w:val="236"/>
        </w:trPr>
        <w:tc>
          <w:tcPr>
            <w:tcW w:w="6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Long-term debt (less current portion)</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1,580</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1,596</w:t>
            </w:r>
          </w:p>
        </w:tc>
      </w:tr>
      <w:tr>
        <w:trPr>
          <w:trHeight w:val="115"/>
        </w:trPr>
        <w:tc>
          <w:tcPr>
            <w:tcW w:w="6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-119380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-102235</wp:posOffset>
            </wp:positionV>
            <wp:extent cx="111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69" w:lineRule="exact"/>
        <w:rPr>
          <w:sz w:val="20"/>
          <w:szCs w:val="20"/>
          <w:color w:val="auto"/>
        </w:rPr>
      </w:pPr>
    </w:p>
    <w:p>
      <w:pPr>
        <w:ind w:left="740" w:hanging="358"/>
        <w:spacing w:after="0" w:line="333" w:lineRule="auto"/>
        <w:tabs>
          <w:tab w:leader="none" w:pos="7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$17 million of debt issuance cost discounts as of both December 31, 2021 and September 30, 2021. Additionally, as of both December 31, 2021 and September 30, 2021, Other includes a European short-term loan facility with an outstanding balance $23 million.</w:t>
      </w:r>
    </w:p>
    <w:p>
      <w:pPr>
        <w:spacing w:after="0" w:line="28"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The scheduled aggregate maturities of long-term debt by year (including the current portion and excluding debt issuance costs) are as follows as of December 31, 2021: $9 million remaining in 2022, $22 million in 2023, $44 million in 2024, $175 million in 2025 and zero in 2026.</w:t>
      </w:r>
    </w:p>
    <w:p>
      <w:pPr>
        <w:spacing w:after="0" w:line="69" w:lineRule="exact"/>
        <w:rPr>
          <w:sz w:val="20"/>
          <w:szCs w:val="20"/>
          <w:color w:val="auto"/>
        </w:rPr>
      </w:pPr>
    </w:p>
    <w:p>
      <w:pPr>
        <w:ind w:left="380" w:right="4700"/>
        <w:spacing w:after="0" w:line="341" w:lineRule="auto"/>
        <w:rPr>
          <w:sz w:val="20"/>
          <w:szCs w:val="20"/>
          <w:color w:val="auto"/>
        </w:rPr>
      </w:pPr>
      <w:r>
        <w:rPr>
          <w:rFonts w:ascii="Arial" w:cs="Arial" w:eastAsia="Arial" w:hAnsi="Arial"/>
          <w:sz w:val="20"/>
          <w:szCs w:val="20"/>
          <w:b w:val="1"/>
          <w:bCs w:val="1"/>
          <w:color w:val="auto"/>
        </w:rPr>
        <w:t xml:space="preserve">Accounts Receivable Facilities and Off-Balance Sheet Arrangements </w:t>
      </w:r>
      <w:r>
        <w:rPr>
          <w:rFonts w:ascii="Arial" w:cs="Arial" w:eastAsia="Arial" w:hAnsi="Arial"/>
          <w:sz w:val="20"/>
          <w:szCs w:val="20"/>
          <w:i w:val="1"/>
          <w:iCs w:val="1"/>
          <w:color w:val="auto"/>
        </w:rPr>
        <w:t>U.S. Accounts Receivable Sales Program</w:t>
      </w:r>
    </w:p>
    <w:p>
      <w:pPr>
        <w:jc w:val="both"/>
        <w:ind w:left="380"/>
        <w:spacing w:after="0" w:line="296" w:lineRule="auto"/>
        <w:rPr>
          <w:sz w:val="20"/>
          <w:szCs w:val="20"/>
          <w:color w:val="auto"/>
        </w:rPr>
      </w:pPr>
      <w:r>
        <w:rPr>
          <w:rFonts w:ascii="Arial" w:cs="Arial" w:eastAsia="Arial" w:hAnsi="Arial"/>
          <w:sz w:val="16"/>
          <w:szCs w:val="16"/>
          <w:color w:val="auto"/>
        </w:rPr>
        <w:t>Ashland continues to maintain its U.S. Accounts Receivable Sales Program entered into during fiscal 2021.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 of Condensed Consolidated Cash Flows. Losses on sale of assets, including related transaction expenses are recorded within the Net interest and other expense (income) caption of the Statement of Consolidated Comprehensive Income (Loss). Ashland regularly assesses its servicing obligations and records them as assets or liabilities when appropriate. Ashland also monitors its obligation with regards to the limited guarantee and records the resulting</w:t>
      </w:r>
    </w:p>
    <w:p>
      <w:pPr>
        <w:spacing w:after="0" w:line="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4" w:right="719" w:bottom="1440" w:gutter="0" w:footer="0" w:header="0"/>
        </w:sectPr>
      </w:pPr>
    </w:p>
    <w:bookmarkStart w:id="13" w:name="page14"/>
    <w:bookmarkEnd w:id="13"/>
    <w:p>
      <w:pPr>
        <w:jc w:val="both"/>
        <w:ind w:left="380"/>
        <w:spacing w:after="0" w:line="246" w:lineRule="auto"/>
        <w:rPr>
          <w:sz w:val="20"/>
          <w:szCs w:val="20"/>
          <w:color w:val="auto"/>
        </w:rPr>
      </w:pPr>
      <w:r>
        <w:rPr>
          <w:rFonts w:ascii="Arial" w:cs="Arial" w:eastAsia="Arial" w:hAnsi="Arial"/>
          <w:sz w:val="20"/>
          <w:szCs w:val="20"/>
          <w:color w:val="auto"/>
        </w:rPr>
        <w:t>guarantee liability when warranted. When applicable, Ashland discloses the amount of the receivable that serves as over-collateralization as a restricted asset.</w:t>
      </w:r>
    </w:p>
    <w:p>
      <w:pPr>
        <w:spacing w:after="0" w:line="69" w:lineRule="exact"/>
        <w:rPr>
          <w:sz w:val="20"/>
          <w:szCs w:val="20"/>
          <w:color w:val="auto"/>
        </w:rPr>
      </w:pPr>
    </w:p>
    <w:p>
      <w:pPr>
        <w:jc w:val="both"/>
        <w:ind w:left="380"/>
        <w:spacing w:after="0"/>
        <w:rPr>
          <w:sz w:val="20"/>
          <w:szCs w:val="20"/>
          <w:color w:val="auto"/>
        </w:rPr>
      </w:pPr>
      <w:r>
        <w:rPr>
          <w:rFonts w:ascii="Arial" w:cs="Arial" w:eastAsia="Arial" w:hAnsi="Arial"/>
          <w:sz w:val="19"/>
          <w:szCs w:val="19"/>
          <w:color w:val="auto"/>
        </w:rPr>
        <w:t>Ashland recognized a loss of less then $1 million within its Statement of Consolidated Comprehensive Income (Loss) for the three months ended December 31, 2021 within the net interest and other expense (income) caption associated with sales under the program. Ashland has recorded $100 million of sales at December 31, 2021 against the buyer’s limit, which was $100 million at December 31, 2021 compared to $113 million of sales at September 30, 2021 against the buyer's limit, which was $125 million at September 30, 2021. Ashland transferred $143 million and $167 million in receivables to the special purpose entity (SPE) as of December 31, 2021 and September 30, 2021, respectively. Ashland recorded liabilities related to its service obligations and limited guarantee as of December 31, 2021 and September 30, 2021 of less than $1 million. As of December 31, 2021, the year-to-date gross cash proceeds received for receivables transferred and derecognized was $124 million, of which $137 million was collected, which includes collections from the sales in prior year transferred to the buyer. The difference of $13 million for receivables transferred and derecognized versus collected represents the impact of a reduction in sales volume during the current quarter, of which $3 million related to Performance Adhesives.</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Foreign Accounts Receivable Securitization Facility</w:t>
      </w:r>
    </w:p>
    <w:p>
      <w:pPr>
        <w:spacing w:after="0" w:line="94"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At December 31, 2021 and September 30, 2021, the outstanding amount of accounts receivable transferred by Ashland was $138 million and $152 million, respectively, and there were $113 million and $117 million, respectively, of borrowings (denominated in multiple currencies) under the facility.</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Available borrowing capacity and liquidity</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color w:val="auto"/>
        </w:rPr>
        <w:t>The borrowing capacity remaining under the 2020 Credit Agreement which included the $600 million Revolving Credit Facility was $341 million due to an outstanding balance of $240 million, as well as a reduction of $19 million for letters of credit outstanding as of December 31, 2021. Ashland's total borrowing capacity at December 31, 2021 was $341 million, which included zero of available capacity from the foreign 2018 Accounts Receivable Securitization Facility.</w:t>
      </w:r>
    </w:p>
    <w:p>
      <w:pPr>
        <w:spacing w:after="0" w:line="75"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Additionally, Ashland had no available liquidity under its current U.S. Accounts Receivable Sales Program as of December 31, 2021.</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00" w:lineRule="exact"/>
        <w:rPr>
          <w:sz w:val="20"/>
          <w:szCs w:val="20"/>
          <w:color w:val="auto"/>
        </w:rPr>
      </w:pPr>
    </w:p>
    <w:p>
      <w:pPr>
        <w:jc w:val="both"/>
        <w:ind w:left="380"/>
        <w:spacing w:after="0" w:line="248"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2021, Ashland is in compliance with all debt agreement covenant restrictions.</w:t>
      </w:r>
    </w:p>
    <w:p>
      <w:pPr>
        <w:spacing w:after="0" w:line="6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maximum consolidated net leverage ratio permitted under Ashland's current credit agreement (the 2020 Credit Agreement) is 4.0. At December 31, 2021, Ashland’s calculation of the consolidated net leverage ratio was 3.1.</w:t>
      </w:r>
    </w:p>
    <w:p>
      <w:pPr>
        <w:spacing w:after="0" w:line="6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minimum required consolidated interest coverage ratio under the 2020 Credit Agreement during its entire duration is 3.0. At December 31, 2021, Ashland’s calculation of the interest coverage ratio was 9.4.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00"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Ashland leases certain office buildings, transportation equipment, warehouses and storage facilities, and equipment. Substantially all of Ashland’s leases are operating leases or short-term leases. Real estate leases represented over 80% of the total lease liability at December 31, 2021 and September 30, 2021, respectively.</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93" w:right="719" w:bottom="1440" w:gutter="0" w:footer="0" w:header="0"/>
        </w:sectPr>
      </w:pPr>
    </w:p>
    <w:bookmarkStart w:id="14" w:name="page15"/>
    <w:bookmarkEnd w:id="14"/>
    <w:p>
      <w:pPr>
        <w:ind w:left="380"/>
        <w:spacing w:after="0"/>
        <w:rPr>
          <w:sz w:val="20"/>
          <w:szCs w:val="20"/>
          <w:color w:val="auto"/>
        </w:rPr>
      </w:pPr>
      <w:r>
        <w:rPr>
          <w:rFonts w:ascii="Arial" w:cs="Arial" w:eastAsia="Arial" w:hAnsi="Arial"/>
          <w:sz w:val="19"/>
          <w:szCs w:val="19"/>
          <w:color w:val="auto"/>
        </w:rPr>
        <w:t>The components of lease cost recognized within the Statements of Consolidated Comprehensive Income (Loss) were as follows:</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2100" w:type="dxa"/>
            <w:vAlign w:val="bottom"/>
            <w:tcBorders>
              <w:top w:val="single" w:sz="8" w:color="auto"/>
            </w:tcBorders>
          </w:tcPr>
          <w:p>
            <w:pPr>
              <w:spacing w:after="0"/>
              <w:rPr>
                <w:sz w:val="17"/>
                <w:szCs w:val="17"/>
                <w:color w:val="auto"/>
              </w:rPr>
            </w:pPr>
          </w:p>
        </w:tc>
        <w:tc>
          <w:tcPr>
            <w:tcW w:w="49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4"/>
          </w:tcPr>
          <w:p>
            <w:pPr>
              <w:jc w:val="right"/>
              <w:ind w:right="890"/>
              <w:spacing w:after="0" w:line="201" w:lineRule="exact"/>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7"/>
        </w:trPr>
        <w:tc>
          <w:tcPr>
            <w:tcW w:w="21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4940" w:type="dxa"/>
            <w:vAlign w:val="bottom"/>
            <w:vMerge w:val="restart"/>
          </w:tcPr>
          <w:p>
            <w:pPr>
              <w:ind w:left="2360"/>
              <w:spacing w:after="0"/>
              <w:rPr>
                <w:sz w:val="20"/>
                <w:szCs w:val="20"/>
                <w:color w:val="auto"/>
              </w:rPr>
            </w:pPr>
            <w:r>
              <w:rPr>
                <w:rFonts w:ascii="Arial" w:cs="Arial" w:eastAsia="Arial" w:hAnsi="Arial"/>
                <w:sz w:val="18"/>
                <w:szCs w:val="18"/>
                <w:color w:val="auto"/>
              </w:rPr>
              <w:t>Location</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auto"/>
            </w:tcBorders>
            <w:vMerge w:val="continue"/>
          </w:tcPr>
          <w:p>
            <w:pPr>
              <w:spacing w:after="0"/>
              <w:rPr>
                <w:sz w:val="17"/>
                <w:szCs w:val="17"/>
                <w:color w:val="auto"/>
              </w:rPr>
            </w:pPr>
          </w:p>
        </w:tc>
        <w:tc>
          <w:tcPr>
            <w:tcW w:w="49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21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Lease cost:</w:t>
            </w:r>
          </w:p>
        </w:tc>
        <w:tc>
          <w:tcPr>
            <w:tcW w:w="49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Operating lease cost</w:t>
            </w:r>
          </w:p>
        </w:tc>
        <w:tc>
          <w:tcPr>
            <w:tcW w:w="4940" w:type="dxa"/>
            <w:vAlign w:val="bottom"/>
          </w:tcPr>
          <w:p>
            <w:pPr>
              <w:ind w:left="660"/>
              <w:spacing w:after="0" w:line="202" w:lineRule="exact"/>
              <w:rPr>
                <w:sz w:val="20"/>
                <w:szCs w:val="20"/>
                <w:color w:val="auto"/>
              </w:rPr>
            </w:pPr>
            <w:r>
              <w:rPr>
                <w:rFonts w:ascii="Arial" w:cs="Arial" w:eastAsia="Arial" w:hAnsi="Arial"/>
                <w:sz w:val="18"/>
                <w:szCs w:val="18"/>
                <w:color w:val="auto"/>
              </w:rPr>
              <w:t>Selling, General &amp; Administrative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70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cost</w:t>
            </w:r>
          </w:p>
        </w:tc>
        <w:tc>
          <w:tcPr>
            <w:tcW w:w="494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rPr>
              <w:t>Cost of Sales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4940" w:type="dxa"/>
            <w:vAlign w:val="bottom"/>
          </w:tcPr>
          <w:p>
            <w:pPr>
              <w:ind w:left="660"/>
              <w:spacing w:after="0" w:line="202" w:lineRule="exact"/>
              <w:rPr>
                <w:sz w:val="20"/>
                <w:szCs w:val="20"/>
                <w:color w:val="auto"/>
              </w:rPr>
            </w:pPr>
            <w:r>
              <w:rPr>
                <w:rFonts w:ascii="Arial" w:cs="Arial" w:eastAsia="Arial" w:hAnsi="Arial"/>
                <w:sz w:val="18"/>
                <w:szCs w:val="18"/>
                <w:color w:val="auto"/>
              </w:rPr>
              <w:t>Selling, General &amp; Administrative</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Variable lease cost</w:t>
            </w:r>
          </w:p>
        </w:tc>
        <w:tc>
          <w:tcPr>
            <w:tcW w:w="494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rPr>
              <w:t>Cost of Sales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Short-term leases</w:t>
            </w:r>
          </w:p>
        </w:tc>
        <w:tc>
          <w:tcPr>
            <w:tcW w:w="4940" w:type="dxa"/>
            <w:vAlign w:val="bottom"/>
          </w:tcPr>
          <w:p>
            <w:pPr>
              <w:ind w:left="660"/>
              <w:spacing w:after="0" w:line="202" w:lineRule="exact"/>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lease cost</w:t>
            </w:r>
          </w:p>
        </w:tc>
        <w:tc>
          <w:tcPr>
            <w:tcW w:w="49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128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28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Ashland’s lease assets and liabilities as presented in the Condensed Consolidated Balance Sheet:</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69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90"/>
              <w:spacing w:after="0" w:line="176" w:lineRule="exact"/>
              <w:rPr>
                <w:sz w:val="20"/>
                <w:szCs w:val="20"/>
                <w:color w:val="auto"/>
              </w:rPr>
            </w:pPr>
            <w:r>
              <w:rPr>
                <w:rFonts w:ascii="Arial" w:cs="Arial" w:eastAsia="Arial" w:hAnsi="Arial"/>
                <w:sz w:val="18"/>
                <w:szCs w:val="18"/>
                <w:color w:val="auto"/>
                <w:w w:val="94"/>
              </w:rPr>
              <w:t>December 31</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90"/>
              <w:spacing w:after="0" w:line="176" w:lineRule="exact"/>
              <w:rPr>
                <w:sz w:val="20"/>
                <w:szCs w:val="20"/>
                <w:color w:val="auto"/>
              </w:rPr>
            </w:pPr>
            <w:r>
              <w:rPr>
                <w:rFonts w:ascii="Arial" w:cs="Arial" w:eastAsia="Arial" w:hAnsi="Arial"/>
                <w:sz w:val="18"/>
                <w:szCs w:val="18"/>
                <w:color w:val="auto"/>
                <w:w w:val="95"/>
              </w:rPr>
              <w:t>September 30</w:t>
            </w:r>
          </w:p>
        </w:tc>
        <w:tc>
          <w:tcPr>
            <w:tcW w:w="0" w:type="dxa"/>
            <w:vAlign w:val="bottom"/>
          </w:tcPr>
          <w:p>
            <w:pPr>
              <w:spacing w:after="0"/>
              <w:rPr>
                <w:sz w:val="1"/>
                <w:szCs w:val="1"/>
                <w:color w:val="auto"/>
              </w:rPr>
            </w:pPr>
          </w:p>
        </w:tc>
      </w:tr>
      <w:tr>
        <w:trPr>
          <w:trHeight w:val="203"/>
        </w:trPr>
        <w:tc>
          <w:tcPr>
            <w:tcW w:w="6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0"/>
              <w:spacing w:after="0" w:line="20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Operating lease assets, net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6"/>
        </w:trPr>
        <w:tc>
          <w:tcPr>
            <w:tcW w:w="69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lease assets</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117</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Current operating lease obligations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6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operating lease obligations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6940" w:type="dxa"/>
            <w:vAlign w:val="bottom"/>
          </w:tcPr>
          <w:p>
            <w:pPr>
              <w:spacing w:after="0" w:line="182" w:lineRule="exact"/>
              <w:rPr>
                <w:sz w:val="20"/>
                <w:szCs w:val="20"/>
                <w:color w:val="auto"/>
              </w:rPr>
            </w:pPr>
            <w:r>
              <w:rPr>
                <w:rFonts w:ascii="Arial" w:cs="Arial" w:eastAsia="Arial" w:hAnsi="Arial"/>
                <w:sz w:val="18"/>
                <w:szCs w:val="18"/>
                <w:b w:val="1"/>
                <w:bCs w:val="1"/>
                <w:color w:val="auto"/>
              </w:rPr>
              <w:t>Total lease liabilities</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126</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-702310</wp:posOffset>
            </wp:positionV>
            <wp:extent cx="120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-685165</wp:posOffset>
            </wp:positionV>
            <wp:extent cx="120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-159385</wp:posOffset>
            </wp:positionV>
            <wp:extent cx="1200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71" w:lineRule="exact"/>
        <w:rPr>
          <w:sz w:val="20"/>
          <w:szCs w:val="20"/>
          <w:color w:val="auto"/>
        </w:rPr>
      </w:pPr>
    </w:p>
    <w:p>
      <w:pPr>
        <w:jc w:val="both"/>
        <w:ind w:left="380" w:right="380"/>
        <w:spacing w:after="0" w:line="263" w:lineRule="auto"/>
        <w:rPr>
          <w:sz w:val="20"/>
          <w:szCs w:val="20"/>
          <w:color w:val="auto"/>
        </w:rPr>
      </w:pPr>
      <w:r>
        <w:rPr>
          <w:rFonts w:ascii="Arial" w:cs="Arial" w:eastAsia="Arial" w:hAnsi="Arial"/>
          <w:sz w:val="18"/>
          <w:szCs w:val="18"/>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both December 31, 2021 and September 30, 2021 was approximately 15 years.</w:t>
      </w:r>
    </w:p>
    <w:p>
      <w:pPr>
        <w:spacing w:after="0" w:line="54" w:lineRule="exact"/>
        <w:rPr>
          <w:sz w:val="20"/>
          <w:szCs w:val="20"/>
          <w:color w:val="auto"/>
        </w:rPr>
      </w:pPr>
    </w:p>
    <w:p>
      <w:pPr>
        <w:jc w:val="both"/>
        <w:ind w:left="380" w:right="380"/>
        <w:spacing w:after="0" w:line="241" w:lineRule="auto"/>
        <w:rPr>
          <w:sz w:val="20"/>
          <w:szCs w:val="20"/>
          <w:color w:val="auto"/>
        </w:rPr>
      </w:pPr>
      <w:r>
        <w:rPr>
          <w:rFonts w:ascii="Arial" w:cs="Arial" w:eastAsia="Arial" w:hAnsi="Arial"/>
          <w:sz w:val="19"/>
          <w:szCs w:val="19"/>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December 31, 2021 and September 30, 2021 was 2.8%, respectively. There are no leases that have not yet commenced but that create significant rights and obligations.</w:t>
      </w:r>
    </w:p>
    <w:p>
      <w:pPr>
        <w:spacing w:after="0" w:line="77"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Right-of-use assets exchanged for new operating lease obligations was $1 million and $2 million for the three months ended December 31, 2021 and 2020, respectively.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provides cash paid for amounts included in the measurement of operating lease liabilities: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412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2"/>
          </w:tcPr>
          <w:p>
            <w:pPr>
              <w:jc w:val="center"/>
              <w:ind w:right="490"/>
              <w:spacing w:after="0" w:line="201" w:lineRule="exact"/>
              <w:rPr>
                <w:sz w:val="20"/>
                <w:szCs w:val="20"/>
                <w:color w:val="auto"/>
              </w:rPr>
            </w:pPr>
            <w:r>
              <w:rPr>
                <w:rFonts w:ascii="Arial" w:cs="Arial" w:eastAsia="Arial" w:hAnsi="Arial"/>
                <w:sz w:val="18"/>
                <w:szCs w:val="18"/>
                <w:color w:val="auto"/>
                <w:w w:val="89"/>
              </w:rPr>
              <w:t>Three months ended</w:t>
            </w:r>
          </w:p>
        </w:tc>
        <w:tc>
          <w:tcPr>
            <w:tcW w:w="4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217"/>
        </w:trPr>
        <w:tc>
          <w:tcPr>
            <w:tcW w:w="42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88"/>
              </w:rPr>
              <w:t>December 31</w:t>
            </w:r>
          </w:p>
        </w:tc>
        <w:tc>
          <w:tcPr>
            <w:tcW w:w="4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196"/>
        </w:trPr>
        <w:tc>
          <w:tcPr>
            <w:tcW w:w="420" w:type="dxa"/>
            <w:vAlign w:val="bottom"/>
          </w:tcPr>
          <w:p>
            <w:pPr>
              <w:spacing w:after="0"/>
              <w:rPr>
                <w:sz w:val="17"/>
                <w:szCs w:val="17"/>
                <w:color w:val="auto"/>
              </w:rPr>
            </w:pPr>
          </w:p>
        </w:tc>
        <w:tc>
          <w:tcPr>
            <w:tcW w:w="4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 millions)</w:t>
            </w:r>
          </w:p>
        </w:tc>
        <w:tc>
          <w:tcPr>
            <w:tcW w:w="3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382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7</w:t>
            </w:r>
          </w:p>
        </w:tc>
        <w:tc>
          <w:tcPr>
            <w:tcW w:w="1360" w:type="dxa"/>
            <w:vAlign w:val="bottom"/>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400" w:type="dxa"/>
            <w:vAlign w:val="bottom"/>
          </w:tcPr>
          <w:p>
            <w:pPr>
              <w:spacing w:after="0"/>
              <w:rPr>
                <w:sz w:val="17"/>
                <w:szCs w:val="17"/>
                <w:color w:val="auto"/>
              </w:rPr>
            </w:pPr>
          </w:p>
        </w:tc>
      </w:tr>
      <w:tr>
        <w:trPr>
          <w:trHeight w:val="527"/>
        </w:trPr>
        <w:tc>
          <w:tcPr>
            <w:tcW w:w="4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20" w:type="dxa"/>
            <w:vAlign w:val="bottom"/>
          </w:tcPr>
          <w:p>
            <w:pPr>
              <w:jc w:val="right"/>
              <w:ind w:right="2550"/>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38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5" w:name="page16"/>
    <w:bookmarkEnd w:id="15"/>
    <w:p>
      <w:pPr>
        <w:ind w:left="380"/>
        <w:spacing w:after="0"/>
        <w:rPr>
          <w:sz w:val="20"/>
          <w:szCs w:val="20"/>
          <w:color w:val="auto"/>
        </w:rPr>
      </w:pPr>
      <w:r>
        <w:rPr>
          <w:rFonts w:ascii="Arial" w:cs="Arial" w:eastAsia="Arial" w:hAnsi="Arial"/>
          <w:sz w:val="19"/>
          <w:szCs w:val="19"/>
          <w:color w:val="auto"/>
        </w:rPr>
        <w:t>The following table summarizes Ashland's maturities of lease liabilities as of December 31, 2021 and September 30, 2021:</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69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10"/>
              <w:spacing w:after="0" w:line="176" w:lineRule="exact"/>
              <w:rPr>
                <w:sz w:val="20"/>
                <w:szCs w:val="20"/>
                <w:color w:val="auto"/>
              </w:rPr>
            </w:pPr>
            <w:r>
              <w:rPr>
                <w:rFonts w:ascii="Arial" w:cs="Arial" w:eastAsia="Arial" w:hAnsi="Arial"/>
                <w:sz w:val="18"/>
                <w:szCs w:val="18"/>
                <w:color w:val="auto"/>
                <w:w w:val="94"/>
              </w:rPr>
              <w:t>December 31</w:t>
            </w: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310"/>
              <w:spacing w:after="0" w:line="176" w:lineRule="exact"/>
              <w:rPr>
                <w:sz w:val="20"/>
                <w:szCs w:val="20"/>
                <w:color w:val="auto"/>
              </w:rPr>
            </w:pPr>
            <w:r>
              <w:rPr>
                <w:rFonts w:ascii="Arial" w:cs="Arial" w:eastAsia="Arial" w:hAnsi="Arial"/>
                <w:sz w:val="18"/>
                <w:szCs w:val="18"/>
                <w:color w:val="auto"/>
                <w:w w:val="93"/>
              </w:rPr>
              <w:t>September 30</w:t>
            </w:r>
          </w:p>
        </w:tc>
        <w:tc>
          <w:tcPr>
            <w:tcW w:w="0" w:type="dxa"/>
            <w:vAlign w:val="bottom"/>
          </w:tcPr>
          <w:p>
            <w:pPr>
              <w:spacing w:after="0"/>
              <w:rPr>
                <w:sz w:val="1"/>
                <w:szCs w:val="1"/>
                <w:color w:val="auto"/>
              </w:rPr>
            </w:pPr>
          </w:p>
        </w:tc>
      </w:tr>
      <w:tr>
        <w:trPr>
          <w:trHeight w:val="203"/>
        </w:trPr>
        <w:tc>
          <w:tcPr>
            <w:tcW w:w="6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0"/>
              <w:spacing w:after="0" w:line="20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Remainder of 2022</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32</w:t>
            </w:r>
          </w:p>
        </w:tc>
        <w:tc>
          <w:tcPr>
            <w:tcW w:w="3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165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Less amount of lease payment representing interest</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(39 )</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6"/>
        </w:trPr>
        <w:tc>
          <w:tcPr>
            <w:tcW w:w="69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present value of lease payments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126</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120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INCOME TAXES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Current fiscal year</w:t>
      </w:r>
    </w:p>
    <w:p>
      <w:pPr>
        <w:spacing w:after="0" w:line="100" w:lineRule="exact"/>
        <w:rPr>
          <w:sz w:val="20"/>
          <w:szCs w:val="20"/>
          <w:color w:val="auto"/>
        </w:rPr>
      </w:pPr>
    </w:p>
    <w:p>
      <w:pPr>
        <w:jc w:val="both"/>
        <w:ind w:left="380"/>
        <w:spacing w:after="0" w:line="272" w:lineRule="auto"/>
        <w:rPr>
          <w:sz w:val="20"/>
          <w:szCs w:val="20"/>
          <w:color w:val="auto"/>
        </w:rPr>
      </w:pPr>
      <w:r>
        <w:rPr>
          <w:rFonts w:ascii="Arial" w:cs="Arial" w:eastAsia="Arial" w:hAnsi="Arial"/>
          <w:sz w:val="19"/>
          <w:szCs w:val="19"/>
          <w:color w:val="auto"/>
        </w:rPr>
        <w:t>Ashland’s effective tax rate in any interim period is subject to adjustments related to discrete items and the mix of domestic and foreign operating results. The overall effective tax rate was 13% for the three months ended December 31, 2021.</w:t>
      </w:r>
    </w:p>
    <w:p>
      <w:pPr>
        <w:spacing w:after="0" w:line="45" w:lineRule="exact"/>
        <w:rPr>
          <w:sz w:val="20"/>
          <w:szCs w:val="20"/>
          <w:color w:val="auto"/>
        </w:rPr>
      </w:pPr>
    </w:p>
    <w:p>
      <w:pPr>
        <w:ind w:left="380" w:right="400"/>
        <w:spacing w:after="0" w:line="338" w:lineRule="auto"/>
        <w:rPr>
          <w:sz w:val="20"/>
          <w:szCs w:val="20"/>
          <w:color w:val="auto"/>
        </w:rPr>
      </w:pPr>
      <w:r>
        <w:rPr>
          <w:rFonts w:ascii="Arial" w:cs="Arial" w:eastAsia="Arial" w:hAnsi="Arial"/>
          <w:sz w:val="20"/>
          <w:szCs w:val="20"/>
          <w:color w:val="auto"/>
        </w:rPr>
        <w:t xml:space="preserve">The current quarter tax rate was impacted by jurisdictional income mix, as well as $3 million from favorable tax discrete items. </w:t>
      </w:r>
      <w:r>
        <w:rPr>
          <w:rFonts w:ascii="Arial" w:cs="Arial" w:eastAsia="Arial" w:hAnsi="Arial"/>
          <w:sz w:val="20"/>
          <w:szCs w:val="20"/>
          <w:b w:val="1"/>
          <w:bCs w:val="1"/>
          <w:color w:val="auto"/>
        </w:rPr>
        <w:t>Prior fiscal year</w:t>
      </w:r>
    </w:p>
    <w:p>
      <w:pPr>
        <w:jc w:val="both"/>
        <w:ind w:left="380"/>
        <w:spacing w:after="0" w:line="237" w:lineRule="auto"/>
        <w:rPr>
          <w:sz w:val="20"/>
          <w:szCs w:val="20"/>
          <w:color w:val="auto"/>
        </w:rPr>
      </w:pPr>
      <w:r>
        <w:rPr>
          <w:rFonts w:ascii="Arial" w:cs="Arial" w:eastAsia="Arial" w:hAnsi="Arial"/>
          <w:sz w:val="20"/>
          <w:szCs w:val="20"/>
          <w:color w:val="auto"/>
        </w:rPr>
        <w:t>The overall effective tax rate was a benefit of 13% for the three months ended December 31, 2020. The quarter tax rate was primarily impacted by jurisdictional income mix, as well as $13 million from favorable tax discrete items primarily related to the Specialty Additives facility sale.</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Unrecognized tax benefits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unrecognized tax benefits are summarized as follows for the three months ended December 31, 2021.</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-128270</wp:posOffset>
            </wp:positionV>
            <wp:extent cx="66262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196"/>
        </w:trPr>
        <w:tc>
          <w:tcPr>
            <w:tcW w:w="80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October 1, 2021</w:t>
            </w:r>
          </w:p>
        </w:tc>
        <w:tc>
          <w:tcPr>
            <w:tcW w:w="108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82</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Increases related to positions taken in the current year</w:t>
            </w:r>
          </w:p>
        </w:tc>
        <w:tc>
          <w:tcPr>
            <w:tcW w:w="108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r>
      <w:tr>
        <w:trPr>
          <w:trHeight w:val="203"/>
        </w:trPr>
        <w:tc>
          <w:tcPr>
            <w:tcW w:w="8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10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196"/>
        </w:trPr>
        <w:tc>
          <w:tcPr>
            <w:tcW w:w="808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Borders>
              <w:bottom w:val="single" w:sz="8" w:color="auto"/>
            </w:tcBorders>
          </w:tcPr>
          <w:p>
            <w:pPr>
              <w:jc w:val="right"/>
              <w:ind w:right="8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82</w:t>
            </w: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5"/>
        </w:trPr>
        <w:tc>
          <w:tcPr>
            <w:tcW w:w="80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91"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$6 million and $16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Plan contributions</w:t>
      </w:r>
    </w:p>
    <w:p>
      <w:pPr>
        <w:spacing w:after="0" w:line="100"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For the three months ended December 31, 2021, Ashland contributed $1 million to its non-U.S. pension plans and zero to its U.S. pension plans. Ashland expects to make additional contributions of approximately $4 million to its non-U.S. and less than $1 million to its U.S. pension plans during the remainder of fiscal 2022.</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14" w:right="719" w:bottom="1440" w:gutter="0" w:footer="0" w:header="0"/>
        </w:sectPr>
      </w:pPr>
    </w:p>
    <w:bookmarkStart w:id="16" w:name="page17"/>
    <w:bookmarkEnd w:id="16"/>
    <w:p>
      <w:pPr>
        <w:ind w:left="38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66040</wp:posOffset>
            </wp:positionV>
            <wp:extent cx="85725"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274320"/>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66040</wp:posOffset>
            </wp:positionV>
            <wp:extent cx="59690"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274320"/>
                    </a:xfrm>
                    <a:prstGeom prst="rect">
                      <a:avLst/>
                    </a:prstGeom>
                    <a:noFill/>
                  </pic:spPr>
                </pic:pic>
              </a:graphicData>
            </a:graphic>
          </wp:anchor>
        </w:drawing>
      </w:r>
    </w:p>
    <w:p>
      <w:pPr>
        <w:spacing w:after="0" w:line="84"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3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4"/>
            <w:vMerge w:val="restart"/>
          </w:tcPr>
          <w:p>
            <w:pPr>
              <w:jc w:val="right"/>
              <w:ind w:right="610"/>
              <w:spacing w:after="0"/>
              <w:rPr>
                <w:sz w:val="20"/>
                <w:szCs w:val="20"/>
                <w:color w:val="auto"/>
              </w:rPr>
            </w:pPr>
            <w:r>
              <w:rPr>
                <w:rFonts w:ascii="Arial" w:cs="Arial" w:eastAsia="Arial" w:hAnsi="Arial"/>
                <w:sz w:val="18"/>
                <w:szCs w:val="18"/>
                <w:color w:val="auto"/>
                <w:w w:val="91"/>
              </w:rPr>
              <w:t>Pension benefits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5"/>
          </w:tcPr>
          <w:p>
            <w:pPr>
              <w:jc w:val="right"/>
              <w:ind w:right="430"/>
              <w:spacing w:after="0" w:line="176" w:lineRule="exact"/>
              <w:rPr>
                <w:sz w:val="20"/>
                <w:szCs w:val="20"/>
                <w:color w:val="auto"/>
              </w:rPr>
            </w:pPr>
            <w:r>
              <w:rPr>
                <w:rFonts w:ascii="Arial" w:cs="Arial" w:eastAsia="Arial" w:hAnsi="Arial"/>
                <w:sz w:val="18"/>
                <w:szCs w:val="18"/>
                <w:color w:val="auto"/>
              </w:rPr>
              <w:t>Other postretirement</w:t>
            </w: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220"/>
              <w:spacing w:after="0" w:line="202" w:lineRule="exact"/>
              <w:rPr>
                <w:sz w:val="20"/>
                <w:szCs w:val="20"/>
                <w:color w:val="auto"/>
              </w:rPr>
            </w:pPr>
            <w:r>
              <w:rPr>
                <w:rFonts w:ascii="Arial" w:cs="Arial" w:eastAsia="Arial" w:hAnsi="Arial"/>
                <w:sz w:val="18"/>
                <w:szCs w:val="18"/>
                <w:color w:val="auto"/>
              </w:rPr>
              <w:t>benefits</w:t>
            </w:r>
          </w:p>
        </w:tc>
        <w:tc>
          <w:tcPr>
            <w:tcW w:w="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2021</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2020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2021</w:t>
            </w:r>
          </w:p>
        </w:tc>
        <w:tc>
          <w:tcPr>
            <w:tcW w:w="400" w:type="dxa"/>
            <w:vAlign w:val="bottom"/>
          </w:tcPr>
          <w:p>
            <w:pPr>
              <w:spacing w:after="0"/>
              <w:rPr>
                <w:sz w:val="17"/>
                <w:szCs w:val="17"/>
                <w:color w:val="auto"/>
              </w:rPr>
            </w:pPr>
          </w:p>
        </w:tc>
        <w:tc>
          <w:tcPr>
            <w:tcW w:w="1380" w:type="dxa"/>
            <w:vAlign w:val="bottom"/>
            <w:gridSpan w:val="3"/>
          </w:tcPr>
          <w:p>
            <w:pPr>
              <w:jc w:val="right"/>
              <w:ind w:right="110"/>
              <w:spacing w:after="0" w:line="196" w:lineRule="exact"/>
              <w:rPr>
                <w:sz w:val="20"/>
                <w:szCs w:val="20"/>
                <w:color w:val="auto"/>
              </w:rPr>
            </w:pPr>
            <w:r>
              <w:rPr>
                <w:rFonts w:ascii="Arial" w:cs="Arial" w:eastAsia="Arial" w:hAnsi="Arial"/>
                <w:sz w:val="18"/>
                <w:szCs w:val="18"/>
                <w:color w:val="auto"/>
              </w:rPr>
              <w:t>2020</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Three months ended December 31</w:t>
            </w:r>
          </w:p>
        </w:tc>
        <w:tc>
          <w:tcPr>
            <w:tcW w:w="10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102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340" w:type="dxa"/>
            <w:vAlign w:val="bottom"/>
            <w:gridSpan w:val="2"/>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320" w:type="dxa"/>
            <w:vAlign w:val="bottom"/>
            <w:gridSpan w:val="2"/>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cost</w:t>
            </w: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2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(2 )</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(2 )</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net periodic benefit costs</w:t>
            </w:r>
          </w:p>
        </w:tc>
        <w:tc>
          <w:tcPr>
            <w:tcW w:w="1020" w:type="dxa"/>
            <w:vAlign w:val="bottom"/>
            <w:tcBorders>
              <w:top w:val="single" w:sz="8" w:color="auto"/>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-25400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-25400</wp:posOffset>
            </wp:positionV>
            <wp:extent cx="34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342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9"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 which netted to zero for the three months ended December 31, 2021 and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Asbestos litigation</w:t>
      </w:r>
    </w:p>
    <w:p>
      <w:pPr>
        <w:spacing w:after="0" w:line="100" w:lineRule="exact"/>
        <w:rPr>
          <w:sz w:val="20"/>
          <w:szCs w:val="20"/>
          <w:color w:val="auto"/>
        </w:rPr>
      </w:pPr>
    </w:p>
    <w:p>
      <w:pPr>
        <w:jc w:val="both"/>
        <w:ind w:left="380"/>
        <w:spacing w:after="0" w:line="243" w:lineRule="auto"/>
        <w:rPr>
          <w:sz w:val="20"/>
          <w:szCs w:val="20"/>
          <w:color w:val="auto"/>
        </w:rPr>
      </w:pPr>
      <w:r>
        <w:rPr>
          <w:rFonts w:ascii="Arial" w:cs="Arial" w:eastAsia="Arial" w:hAnsi="Arial"/>
          <w:sz w:val="19"/>
          <w:szCs w:val="19"/>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1" w:lineRule="exact"/>
        <w:rPr>
          <w:sz w:val="20"/>
          <w:szCs w:val="20"/>
          <w:color w:val="auto"/>
        </w:rPr>
      </w:pPr>
    </w:p>
    <w:p>
      <w:pPr>
        <w:jc w:val="both"/>
        <w:ind w:left="380"/>
        <w:spacing w:after="0" w:line="241"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Ashland asbestos-related litigation</w:t>
      </w:r>
    </w:p>
    <w:p>
      <w:pPr>
        <w:spacing w:after="0" w:line="94" w:lineRule="exact"/>
        <w:rPr>
          <w:sz w:val="20"/>
          <w:szCs w:val="20"/>
          <w:color w:val="auto"/>
        </w:rPr>
      </w:pPr>
    </w:p>
    <w:p>
      <w:pPr>
        <w:jc w:val="both"/>
        <w:ind w:left="380"/>
        <w:spacing w:after="0" w:line="275"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7" w:right="719"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202"/>
        </w:trPr>
        <w:tc>
          <w:tcPr>
            <w:tcW w:w="42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3"/>
          </w:tcPr>
          <w:p>
            <w:pPr>
              <w:jc w:val="right"/>
              <w:ind w:right="470"/>
              <w:spacing w:after="0" w:line="201" w:lineRule="exact"/>
              <w:rPr>
                <w:sz w:val="20"/>
                <w:szCs w:val="20"/>
                <w:color w:val="auto"/>
              </w:rPr>
            </w:pPr>
            <w:r>
              <w:rPr>
                <w:rFonts w:ascii="Arial" w:cs="Arial" w:eastAsia="Arial" w:hAnsi="Arial"/>
                <w:sz w:val="18"/>
                <w:szCs w:val="18"/>
                <w:color w:val="auto"/>
              </w:rPr>
              <w:t>Three months ended</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4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276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color w:val="auto"/>
                <w:w w:val="89"/>
              </w:rPr>
              <w:t>Years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gridSpan w:val="2"/>
          </w:tcPr>
          <w:p>
            <w:pPr>
              <w:jc w:val="right"/>
              <w:ind w:right="370"/>
              <w:spacing w:after="0" w:line="196"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2021</w:t>
            </w:r>
          </w:p>
        </w:tc>
        <w:tc>
          <w:tcPr>
            <w:tcW w:w="1240" w:type="dxa"/>
            <w:vAlign w:val="bottom"/>
            <w:tcBorders>
              <w:bottom w:val="single" w:sz="8" w:color="auto"/>
            </w:tcBorders>
            <w:gridSpan w:val="2"/>
          </w:tcPr>
          <w:p>
            <w:pPr>
              <w:jc w:val="right"/>
              <w:ind w:right="330"/>
              <w:spacing w:after="0" w:line="196" w:lineRule="exact"/>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Open claims - beginning of year</w:t>
            </w:r>
          </w:p>
        </w:tc>
        <w:tc>
          <w:tcPr>
            <w:tcW w:w="11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49</w:t>
            </w:r>
          </w:p>
        </w:tc>
        <w:tc>
          <w:tcPr>
            <w:tcW w:w="128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49</w:t>
            </w:r>
          </w:p>
        </w:tc>
        <w:tc>
          <w:tcPr>
            <w:tcW w:w="124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4220" w:type="dxa"/>
            <w:vAlign w:val="bottom"/>
          </w:tcPr>
          <w:p>
            <w:pPr>
              <w:spacing w:after="0" w:line="202" w:lineRule="exact"/>
              <w:rPr>
                <w:sz w:val="20"/>
                <w:szCs w:val="20"/>
                <w:color w:val="auto"/>
              </w:rPr>
            </w:pPr>
            <w:r>
              <w:rPr>
                <w:rFonts w:ascii="Arial" w:cs="Arial" w:eastAsia="Arial" w:hAnsi="Arial"/>
                <w:sz w:val="18"/>
                <w:szCs w:val="18"/>
                <w:color w:val="auto"/>
              </w:rPr>
              <w:t>New claims filed</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Claims settled</w:t>
            </w:r>
          </w:p>
        </w:tc>
        <w:tc>
          <w:tcPr>
            <w:tcW w:w="11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Claims dismissed</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Open claims - end of period</w:t>
            </w:r>
          </w:p>
        </w:tc>
        <w:tc>
          <w:tcPr>
            <w:tcW w:w="11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-24765</wp:posOffset>
            </wp:positionV>
            <wp:extent cx="94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-7620</wp:posOffset>
            </wp:positionV>
            <wp:extent cx="946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-24765</wp:posOffset>
            </wp:positionV>
            <wp:extent cx="94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-7620</wp:posOffset>
            </wp:positionV>
            <wp:extent cx="94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-24765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-24765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liability</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During the most recent annual update of this estimate completed during fiscal year 2021, it was determined that the liability for Ashland asbestos-related claims should be increased by $12 million. Total reserves for asbestos claims were $307 million at December 31, 2021 compared to $320 million at September 30, 2021.</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4"/>
          </w:tcPr>
          <w:p>
            <w:pPr>
              <w:jc w:val="right"/>
              <w:ind w:right="470"/>
              <w:spacing w:after="0" w:line="201" w:lineRule="exact"/>
              <w:rPr>
                <w:sz w:val="20"/>
                <w:szCs w:val="20"/>
                <w:color w:val="auto"/>
              </w:rPr>
            </w:pPr>
            <w:r>
              <w:rPr>
                <w:rFonts w:ascii="Arial" w:cs="Arial" w:eastAsia="Arial" w:hAnsi="Arial"/>
                <w:sz w:val="18"/>
                <w:szCs w:val="18"/>
                <w:color w:val="auto"/>
                <w:w w:val="99"/>
              </w:rPr>
              <w:t>Three months ended</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Years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Asbestos reserve - beginning of year</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320</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335</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335</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352</w:t>
            </w:r>
          </w:p>
        </w:tc>
        <w:tc>
          <w:tcPr>
            <w:tcW w:w="4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Reserve adjustment</w:t>
            </w:r>
          </w:p>
        </w:tc>
        <w:tc>
          <w:tcPr>
            <w:tcW w:w="22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Amounts paid</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96"/>
        </w:trPr>
        <w:tc>
          <w:tcPr>
            <w:tcW w:w="4180" w:type="dxa"/>
            <w:vAlign w:val="bottom"/>
          </w:tcPr>
          <w:p>
            <w:pPr>
              <w:spacing w:after="0" w:line="182" w:lineRule="exact"/>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307</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325</w:t>
            </w:r>
          </w:p>
        </w:tc>
        <w:tc>
          <w:tcPr>
            <w:tcW w:w="3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320</w:t>
            </w:r>
          </w:p>
        </w:tc>
        <w:tc>
          <w:tcPr>
            <w:tcW w:w="3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335</w:t>
            </w:r>
          </w:p>
        </w:tc>
        <w:tc>
          <w:tcPr>
            <w:tcW w:w="4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-253365</wp:posOffset>
            </wp:positionV>
            <wp:extent cx="946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-253365</wp:posOffset>
            </wp:positionV>
            <wp:extent cx="939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-253365</wp:posOffset>
            </wp:positionV>
            <wp:extent cx="857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-253365</wp:posOffset>
            </wp:positionV>
            <wp:extent cx="857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10" w:lineRule="exact"/>
        <w:rPr>
          <w:sz w:val="20"/>
          <w:szCs w:val="20"/>
          <w:color w:val="auto"/>
        </w:rPr>
      </w:pPr>
    </w:p>
    <w:p>
      <w:pPr>
        <w:ind w:left="360" w:hanging="358"/>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Included $29 million classified in accrued expenses and other liabilities on the Condensed Consolidated Balance Sheets as of December 31, 2021 and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receivables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At December 31, 2021, Ashland’s receivable for recoveries of litigation defense and claim settlement costs from insurers amounted to $99 million (excluding the Hercules receivable for asbestos claims) compared to $100 million at September 30, 2021. During fiscal year 2021, the annual update of the model used for purposes of valuing the asbestos reserve and its impact on valuation of future recoveries from insurers was completed. This model update resulted in a $8 million increase in the receivable for probable insurance recoveries.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282" w:right="71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1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4"/>
          </w:tcPr>
          <w:p>
            <w:pPr>
              <w:jc w:val="right"/>
              <w:ind w:right="140"/>
              <w:spacing w:after="0" w:line="201" w:lineRule="exact"/>
              <w:rPr>
                <w:sz w:val="20"/>
                <w:szCs w:val="20"/>
                <w:color w:val="auto"/>
              </w:rPr>
            </w:pPr>
            <w:r>
              <w:rPr>
                <w:rFonts w:ascii="Arial" w:cs="Arial" w:eastAsia="Arial" w:hAnsi="Arial"/>
                <w:sz w:val="18"/>
                <w:szCs w:val="18"/>
                <w:color w:val="auto"/>
              </w:rPr>
              <w:t>Three months ended</w:t>
            </w: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20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w w:val="90"/>
              </w:rPr>
              <w:t>Years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96"/>
        </w:trPr>
        <w:tc>
          <w:tcPr>
            <w:tcW w:w="4180" w:type="dxa"/>
            <w:vAlign w:val="bottom"/>
          </w:tcPr>
          <w:p>
            <w:pPr>
              <w:spacing w:after="0" w:line="196" w:lineRule="exact"/>
              <w:rPr>
                <w:sz w:val="20"/>
                <w:szCs w:val="20"/>
                <w:color w:val="auto"/>
              </w:rPr>
            </w:pPr>
            <w:r>
              <w:rPr>
                <w:rFonts w:ascii="Arial" w:cs="Arial" w:eastAsia="Arial" w:hAnsi="Arial"/>
                <w:sz w:val="18"/>
                <w:szCs w:val="18"/>
                <w:color w:val="auto"/>
              </w:rPr>
              <w:t>Insurance receivable - beginning of year</w:t>
            </w:r>
          </w:p>
        </w:tc>
        <w:tc>
          <w:tcPr>
            <w:tcW w:w="72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100</w:t>
            </w:r>
          </w:p>
        </w:tc>
        <w:tc>
          <w:tcPr>
            <w:tcW w:w="8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3"/>
              </w:rPr>
              <w:t>103</w:t>
            </w:r>
          </w:p>
        </w:tc>
        <w:tc>
          <w:tcPr>
            <w:tcW w:w="860" w:type="dxa"/>
            <w:vAlign w:val="bottom"/>
            <w:gridSpan w:val="2"/>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3"/>
              </w:rPr>
              <w:t>103</w:t>
            </w:r>
          </w:p>
        </w:tc>
        <w:tc>
          <w:tcPr>
            <w:tcW w:w="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123</w:t>
            </w:r>
          </w:p>
        </w:tc>
        <w:tc>
          <w:tcPr>
            <w:tcW w:w="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Insurance settlement</w:t>
            </w:r>
          </w:p>
        </w:tc>
        <w:tc>
          <w:tcPr>
            <w:tcW w:w="720" w:type="dxa"/>
            <w:vAlign w:val="bottom"/>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Amounts collected</w:t>
            </w:r>
          </w:p>
        </w:tc>
        <w:tc>
          <w:tcPr>
            <w:tcW w:w="7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96"/>
        </w:trPr>
        <w:tc>
          <w:tcPr>
            <w:tcW w:w="4180" w:type="dxa"/>
            <w:vAlign w:val="bottom"/>
          </w:tcPr>
          <w:p>
            <w:pPr>
              <w:spacing w:after="0" w:line="182" w:lineRule="exact"/>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720" w:type="dxa"/>
            <w:vAlign w:val="bottom"/>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99</w:t>
            </w:r>
          </w:p>
        </w:tc>
        <w:tc>
          <w:tcPr>
            <w:tcW w:w="880" w:type="dxa"/>
            <w:vAlign w:val="bottom"/>
            <w:gridSpan w:val="2"/>
          </w:tcPr>
          <w:p>
            <w:pPr>
              <w:jc w:val="right"/>
              <w:ind w:right="640"/>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98</w:t>
            </w:r>
          </w:p>
        </w:tc>
        <w:tc>
          <w:tcPr>
            <w:tcW w:w="860" w:type="dxa"/>
            <w:vAlign w:val="bottom"/>
            <w:gridSpan w:val="2"/>
          </w:tcPr>
          <w:p>
            <w:pPr>
              <w:jc w:val="right"/>
              <w:ind w:right="510"/>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93"/>
              </w:rPr>
              <w:t>100</w:t>
            </w:r>
          </w:p>
        </w:tc>
        <w:tc>
          <w:tcPr>
            <w:tcW w:w="3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103</w:t>
            </w:r>
          </w:p>
        </w:tc>
        <w:tc>
          <w:tcPr>
            <w:tcW w:w="4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-253365</wp:posOffset>
            </wp:positionV>
            <wp:extent cx="946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-253365</wp:posOffset>
            </wp:positionV>
            <wp:extent cx="939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-253365</wp:posOffset>
            </wp:positionV>
            <wp:extent cx="857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-253365</wp:posOffset>
            </wp:positionV>
            <wp:extent cx="857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69" w:lineRule="exact"/>
        <w:rPr>
          <w:sz w:val="20"/>
          <w:szCs w:val="20"/>
          <w:color w:val="auto"/>
        </w:rPr>
      </w:pPr>
    </w:p>
    <w:p>
      <w:pPr>
        <w:ind w:left="360" w:hanging="358"/>
        <w:spacing w:after="0" w:line="273"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three months ended December 31, 2020 includes a reserve adjustment of $2 million related to allowances for credit losses as a result of Ashland’s adoption of the new credit measurement standard. The total allowance for credit losses was $2 million as of December 31, 2021.</w:t>
      </w:r>
    </w:p>
    <w:p>
      <w:pPr>
        <w:spacing w:after="0" w:line="38" w:lineRule="exact"/>
        <w:rPr>
          <w:rFonts w:ascii="Arial" w:cs="Arial" w:eastAsia="Arial" w:hAnsi="Arial"/>
          <w:sz w:val="14"/>
          <w:szCs w:val="14"/>
          <w:color w:val="auto"/>
        </w:rPr>
      </w:pPr>
    </w:p>
    <w:p>
      <w:pPr>
        <w:ind w:left="360" w:hanging="358"/>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$12 million classified in accounts receivable on the Condensed Consolidated Balance Sheets as of December 31, 2021 and September 30,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litigation</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16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4"/>
          </w:tcPr>
          <w:p>
            <w:pPr>
              <w:jc w:val="center"/>
              <w:ind w:right="30"/>
              <w:spacing w:after="0" w:line="201" w:lineRule="exact"/>
              <w:rPr>
                <w:sz w:val="20"/>
                <w:szCs w:val="20"/>
                <w:color w:val="auto"/>
              </w:rPr>
            </w:pPr>
            <w:r>
              <w:rPr>
                <w:rFonts w:ascii="Arial" w:cs="Arial" w:eastAsia="Arial" w:hAnsi="Arial"/>
                <w:sz w:val="18"/>
                <w:szCs w:val="18"/>
                <w:color w:val="auto"/>
                <w:w w:val="89"/>
              </w:rPr>
              <w:t>Three months ended</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6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8"/>
              </w:rPr>
              <w:t>December 31</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color w:val="auto"/>
                <w:w w:val="89"/>
              </w:rPr>
              <w:t>Years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84"/>
              </w:rPr>
              <w:t>2020</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2021</w:t>
            </w:r>
          </w:p>
        </w:tc>
        <w:tc>
          <w:tcPr>
            <w:tcW w:w="1260" w:type="dxa"/>
            <w:vAlign w:val="bottom"/>
            <w:tcBorders>
              <w:bottom w:val="single" w:sz="8" w:color="auto"/>
            </w:tcBorders>
            <w:gridSpan w:val="2"/>
          </w:tcPr>
          <w:p>
            <w:pPr>
              <w:jc w:val="right"/>
              <w:ind w:right="330"/>
              <w:spacing w:after="0" w:line="196" w:lineRule="exact"/>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Open claims - beginning of year</w:t>
            </w:r>
          </w:p>
        </w:tc>
        <w:tc>
          <w:tcPr>
            <w:tcW w:w="11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New claims filed</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Claims dismissed</w:t>
            </w: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96"/>
        </w:trPr>
        <w:tc>
          <w:tcPr>
            <w:tcW w:w="4160" w:type="dxa"/>
            <w:vAlign w:val="bottom"/>
          </w:tcPr>
          <w:p>
            <w:pPr>
              <w:spacing w:after="0" w:line="182" w:lineRule="exact"/>
              <w:rPr>
                <w:sz w:val="20"/>
                <w:szCs w:val="20"/>
                <w:color w:val="auto"/>
              </w:rPr>
            </w:pPr>
            <w:r>
              <w:rPr>
                <w:rFonts w:ascii="Arial" w:cs="Arial" w:eastAsia="Arial" w:hAnsi="Arial"/>
                <w:sz w:val="18"/>
                <w:szCs w:val="18"/>
                <w:color w:val="auto"/>
              </w:rPr>
              <w:t>Open claims - end of period</w:t>
            </w:r>
          </w:p>
        </w:tc>
        <w:tc>
          <w:tcPr>
            <w:tcW w:w="11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12</w:t>
            </w:r>
          </w:p>
        </w:tc>
        <w:tc>
          <w:tcPr>
            <w:tcW w:w="128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-253365</wp:posOffset>
            </wp:positionV>
            <wp:extent cx="10287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-253365</wp:posOffset>
            </wp:positionV>
            <wp:extent cx="10287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-253365</wp:posOffset>
            </wp:positionV>
            <wp:extent cx="9461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-253365</wp:posOffset>
            </wp:positionV>
            <wp:extent cx="9461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liability</w:t>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 As a result of the most recent annual update of this estimate, completed during fiscal year 2021, it was determined that the liability for Hercules asbestos-related claims should be increased by $8 million. Total reserves for asbestos claims were $211 million at December 31, 2021 compared to $217 million at September 30, 2021.</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4"/>
          </w:tcPr>
          <w:p>
            <w:pPr>
              <w:jc w:val="right"/>
              <w:ind w:right="470"/>
              <w:spacing w:after="0" w:line="201" w:lineRule="exact"/>
              <w:rPr>
                <w:sz w:val="20"/>
                <w:szCs w:val="20"/>
                <w:color w:val="auto"/>
              </w:rPr>
            </w:pPr>
            <w:r>
              <w:rPr>
                <w:rFonts w:ascii="Arial" w:cs="Arial" w:eastAsia="Arial" w:hAnsi="Arial"/>
                <w:sz w:val="18"/>
                <w:szCs w:val="18"/>
                <w:color w:val="auto"/>
              </w:rPr>
              <w:t>Three months ended</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6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Years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Asbestos reserve - beginning of year</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217</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229</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229</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252</w:t>
            </w:r>
          </w:p>
        </w:tc>
        <w:tc>
          <w:tcPr>
            <w:tcW w:w="4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Reserve adjustments</w:t>
            </w:r>
          </w:p>
        </w:tc>
        <w:tc>
          <w:tcPr>
            <w:tcW w:w="22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Amounts paid</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96"/>
        </w:trPr>
        <w:tc>
          <w:tcPr>
            <w:tcW w:w="4160" w:type="dxa"/>
            <w:vAlign w:val="bottom"/>
          </w:tcPr>
          <w:p>
            <w:pPr>
              <w:spacing w:after="0" w:line="182" w:lineRule="exact"/>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211</w:t>
            </w:r>
          </w:p>
        </w:tc>
        <w:tc>
          <w:tcPr>
            <w:tcW w:w="3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224</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217</w:t>
            </w:r>
          </w:p>
        </w:tc>
        <w:tc>
          <w:tcPr>
            <w:tcW w:w="3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229</w:t>
            </w:r>
          </w:p>
        </w:tc>
        <w:tc>
          <w:tcPr>
            <w:tcW w:w="40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-253365</wp:posOffset>
            </wp:positionV>
            <wp:extent cx="939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-253365</wp:posOffset>
            </wp:positionV>
            <wp:extent cx="939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-253365</wp:posOffset>
            </wp:positionV>
            <wp:extent cx="857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-253365</wp:posOffset>
            </wp:positionV>
            <wp:extent cx="857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69" w:lineRule="exact"/>
        <w:rPr>
          <w:sz w:val="20"/>
          <w:szCs w:val="20"/>
          <w:color w:val="auto"/>
        </w:rPr>
      </w:pPr>
    </w:p>
    <w:p>
      <w:pPr>
        <w:ind w:left="360" w:hanging="358"/>
        <w:spacing w:after="0" w:line="273"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$17 million and $18 million classified in accrued expenses and other liabilities on the Condensed Consolidated Balance Sheets as of December 31, 2021 and September 30, 2021, respectively.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93" w:right="719" w:bottom="1440" w:gutter="0" w:footer="0" w:header="0"/>
        </w:sectPr>
      </w:pPr>
    </w:p>
    <w:bookmarkStart w:id="19" w:name="page20"/>
    <w:bookmarkEnd w:id="19"/>
    <w:p>
      <w:pPr>
        <w:spacing w:after="0"/>
        <w:rPr>
          <w:sz w:val="20"/>
          <w:szCs w:val="20"/>
          <w:color w:val="auto"/>
        </w:rPr>
      </w:pPr>
      <w:r>
        <w:rPr>
          <w:rFonts w:ascii="Arial" w:cs="Arial" w:eastAsia="Arial" w:hAnsi="Arial"/>
          <w:sz w:val="20"/>
          <w:szCs w:val="20"/>
          <w:i w:val="1"/>
          <w:iCs w:val="1"/>
          <w:color w:val="auto"/>
        </w:rPr>
        <w:t>Hercules asbestos-related receivables</w:t>
      </w:r>
    </w:p>
    <w:p>
      <w:pPr>
        <w:spacing w:after="0" w:line="9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 of December 31, 2021, Ashland’s receivable for recoveries of litigation defense and claims costs from insurers with respect to Hercules amounted to $47 million. During fiscal year 2021, the annual update of the model used for purposes of valuing the asbestos reserve and its impact on valuation of future recoveries from insurers was completed. This model update resulted in an increase of $2 million in the receivable for probable insurance recoveries.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4"/>
          </w:tcPr>
          <w:p>
            <w:pPr>
              <w:jc w:val="right"/>
              <w:ind w:right="470"/>
              <w:spacing w:after="0" w:line="201" w:lineRule="exact"/>
              <w:rPr>
                <w:sz w:val="20"/>
                <w:szCs w:val="20"/>
                <w:color w:val="auto"/>
              </w:rPr>
            </w:pPr>
            <w:r>
              <w:rPr>
                <w:rFonts w:ascii="Arial" w:cs="Arial" w:eastAsia="Arial" w:hAnsi="Arial"/>
                <w:sz w:val="18"/>
                <w:szCs w:val="18"/>
                <w:color w:val="auto"/>
              </w:rPr>
              <w:t>Three months ended</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Years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84"/>
              </w:rPr>
              <w:t>2020</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Insurance receivable - beginning of year</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47</w:t>
            </w:r>
          </w:p>
        </w:tc>
        <w:tc>
          <w:tcPr>
            <w:tcW w:w="5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47</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47</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49</w:t>
            </w:r>
          </w:p>
        </w:tc>
        <w:tc>
          <w:tcPr>
            <w:tcW w:w="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22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Amounts collected</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120" w:type="dxa"/>
            <w:vAlign w:val="bottom"/>
          </w:tcPr>
          <w:p>
            <w:pPr>
              <w:spacing w:after="0" w:line="182" w:lineRule="exact"/>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46</w:t>
            </w:r>
          </w:p>
        </w:tc>
        <w:tc>
          <w:tcPr>
            <w:tcW w:w="3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47</w:t>
            </w:r>
          </w:p>
        </w:tc>
        <w:tc>
          <w:tcPr>
            <w:tcW w:w="3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47</w:t>
            </w:r>
          </w:p>
        </w:tc>
        <w:tc>
          <w:tcPr>
            <w:tcW w:w="4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-253365</wp:posOffset>
            </wp:positionV>
            <wp:extent cx="10287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-253365</wp:posOffset>
            </wp:positionV>
            <wp:extent cx="10287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-253365</wp:posOffset>
            </wp:positionV>
            <wp:extent cx="939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-253365</wp:posOffset>
            </wp:positionV>
            <wp:extent cx="939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69" w:lineRule="exact"/>
        <w:rPr>
          <w:sz w:val="20"/>
          <w:szCs w:val="20"/>
          <w:color w:val="auto"/>
        </w:rPr>
      </w:pPr>
    </w:p>
    <w:p>
      <w:pPr>
        <w:ind w:left="360" w:hanging="358"/>
        <w:spacing w:after="0" w:line="273"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three months ended December 31, 2020 includes a reserve adjustment of $1 million related to allowances for credit losses as a result of Ashland’s adoption of the new credit measurement standard. The total allowance for credit losses was $1 million as of December 31, 2021.</w:t>
      </w:r>
    </w:p>
    <w:p>
      <w:pPr>
        <w:spacing w:after="0" w:line="106" w:lineRule="exact"/>
        <w:rPr>
          <w:rFonts w:ascii="Arial" w:cs="Arial" w:eastAsia="Arial" w:hAnsi="Arial"/>
          <w:sz w:val="14"/>
          <w:szCs w:val="14"/>
          <w:color w:val="auto"/>
        </w:rPr>
      </w:pPr>
    </w:p>
    <w:p>
      <w:pPr>
        <w:ind w:left="360" w:hanging="358"/>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 million classified in accounts receivable on the Condensed Consolidated Balance Sheets as of December 31, 2021 and September 30,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$482 million for the Ashland asbestos-related litigation (current reserve of $307 million) and approximately $334 million for the Hercules asbestos-related litigation (current reserve of $211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Ashland is subject to various federal, state and local environmental laws and regulations that require environmental assessment or remediation efforts (collectively, environmental remediation) at multiple locations. At December 31, 2021, such locations included 80 sites where Ashland has been identified as a potentially responsible party under Superfund or similar state laws, 112 current and former operating facilities (including certain operating facilities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93" w:right="7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conveyed as part of previous divestitures) and about 1,225 service station properties, of which 17 are being actively remediated.</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Ashland’s reserves for environmental remediation and related environmental litigation amounted to $197 million at December 31, 2021 compared to $207 million at September 30, 2021, of which $142 million at December 31, 2021 and $152 million at September 30, 2021 were classified in other noncurrent liabilities on the Condensed Consolidated Balance Sheets. The remaining reserves were classified in accrued expenses and other liabilities on the Condensed Consolidated Balance Sheets.</w:t>
      </w:r>
    </w:p>
    <w:p>
      <w:pPr>
        <w:spacing w:after="0" w:line="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three months ended December 31, 2021 and 2020.</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6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Three months ended</w:t>
            </w: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Reserve - beginning of period</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207</w:t>
            </w:r>
          </w:p>
        </w:tc>
        <w:tc>
          <w:tcPr>
            <w:tcW w:w="82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6620" w:type="dxa"/>
            <w:vAlign w:val="bottom"/>
          </w:tcPr>
          <w:p>
            <w:pPr>
              <w:ind w:left="180"/>
              <w:spacing w:after="0" w:line="202" w:lineRule="exact"/>
              <w:rPr>
                <w:sz w:val="20"/>
                <w:szCs w:val="20"/>
                <w:color w:val="auto"/>
              </w:rPr>
            </w:pPr>
            <w:r>
              <w:rPr>
                <w:rFonts w:ascii="Arial" w:cs="Arial" w:eastAsia="Arial" w:hAnsi="Arial"/>
                <w:sz w:val="18"/>
                <w:szCs w:val="18"/>
                <w:color w:val="auto"/>
              </w:rPr>
              <w:t>Disbursements</w:t>
            </w: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(14 )</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Revised obligation estimates and accretion</w:t>
            </w:r>
          </w:p>
        </w:tc>
        <w:tc>
          <w:tcPr>
            <w:tcW w:w="3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620" w:type="dxa"/>
            <w:vAlign w:val="bottom"/>
          </w:tcPr>
          <w:p>
            <w:pPr>
              <w:spacing w:after="0" w:line="182" w:lineRule="exact"/>
              <w:rPr>
                <w:sz w:val="20"/>
                <w:szCs w:val="20"/>
                <w:color w:val="auto"/>
              </w:rPr>
            </w:pPr>
            <w:r>
              <w:rPr>
                <w:rFonts w:ascii="Arial" w:cs="Arial" w:eastAsia="Arial" w:hAnsi="Arial"/>
                <w:sz w:val="18"/>
                <w:szCs w:val="18"/>
                <w:color w:val="auto"/>
              </w:rPr>
              <w:t>Reserve - end of period</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197</w:t>
            </w:r>
          </w:p>
        </w:tc>
        <w:tc>
          <w:tcPr>
            <w:tcW w:w="820" w:type="dxa"/>
            <w:vAlign w:val="bottom"/>
            <w:gridSpan w:val="2"/>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18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5378450</wp:posOffset>
            </wp:positionH>
            <wp:positionV relativeFrom="paragraph">
              <wp:posOffset>-253365</wp:posOffset>
            </wp:positionV>
            <wp:extent cx="15430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December 31, 2021 and September 30, 2021, Ashland’s recorded receivable for these probable insurance recoveries was $15 million and $16 million, of which $13 million at December 31, 2021 and September 30, 2021 was classified in other noncurrent assets on the Condensed Consolidated Balance Sheets.</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ended December 31, 2021 and 2020.</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6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4"/>
          </w:tcPr>
          <w:p>
            <w:pPr>
              <w:jc w:val="right"/>
              <w:spacing w:after="0" w:line="201" w:lineRule="exact"/>
              <w:rPr>
                <w:sz w:val="20"/>
                <w:szCs w:val="20"/>
                <w:color w:val="auto"/>
              </w:rPr>
            </w:pPr>
            <w:r>
              <w:rPr>
                <w:rFonts w:ascii="Arial" w:cs="Arial" w:eastAsia="Arial" w:hAnsi="Arial"/>
                <w:sz w:val="18"/>
                <w:szCs w:val="18"/>
                <w:color w:val="auto"/>
              </w:rPr>
              <w:t>Three months ended</w:t>
            </w: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December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Environmental expense</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Legal expense</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expense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Insurance receivable</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96"/>
        </w:trPr>
        <w:tc>
          <w:tcPr>
            <w:tcW w:w="662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(a)</w:t>
            </w: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w:t>
            </w:r>
          </w:p>
        </w:tc>
        <w:tc>
          <w:tcPr>
            <w:tcW w:w="320" w:type="dxa"/>
            <w:vAlign w:val="bottom"/>
            <w:tcBorders>
              <w:top w:val="single" w:sz="8" w:color="CFF0FC"/>
            </w:tcBorders>
            <w:gridSpan w:val="2"/>
          </w:tcPr>
          <w:p>
            <w:pPr>
              <w:spacing w:after="0"/>
              <w:rPr>
                <w:sz w:val="17"/>
                <w:szCs w:val="17"/>
                <w:color w:val="auto"/>
              </w:rPr>
            </w:pPr>
          </w:p>
        </w:tc>
        <w:tc>
          <w:tcPr>
            <w:tcW w:w="60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5327015</wp:posOffset>
            </wp:positionH>
            <wp:positionV relativeFrom="paragraph">
              <wp:posOffset>-253365</wp:posOffset>
            </wp:positionV>
            <wp:extent cx="431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-253365</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69" w:lineRule="exact"/>
        <w:rPr>
          <w:sz w:val="20"/>
          <w:szCs w:val="20"/>
          <w:color w:val="auto"/>
        </w:rPr>
      </w:pPr>
    </w:p>
    <w:p>
      <w:pPr>
        <w:jc w:val="both"/>
        <w:ind w:left="360" w:hanging="358"/>
        <w:spacing w:after="0" w:line="257"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expense of $1 million for the three months ended December 31, 2021 and 2020,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$465 million. The largest reserve for any site is 14% of the remediation reserve.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93" w:right="719" w:bottom="1440" w:gutter="0" w:footer="0" w:header="0"/>
        </w:sectPr>
      </w:pPr>
    </w:p>
    <w:bookmarkStart w:id="21" w:name="page22"/>
    <w:bookmarkEnd w:id="21"/>
    <w:p>
      <w:pPr>
        <w:ind w:left="380"/>
        <w:spacing w:after="0"/>
        <w:rPr>
          <w:sz w:val="20"/>
          <w:szCs w:val="20"/>
          <w:color w:val="auto"/>
        </w:rPr>
      </w:pPr>
      <w:r>
        <w:rPr>
          <w:rFonts w:ascii="Arial" w:cs="Arial" w:eastAsia="Arial" w:hAnsi="Arial"/>
          <w:sz w:val="20"/>
          <w:szCs w:val="20"/>
          <w:b w:val="1"/>
          <w:bCs w:val="1"/>
          <w:color w:val="auto"/>
        </w:rPr>
        <w:t>Other legal proceedings and claims</w:t>
      </w:r>
    </w:p>
    <w:p>
      <w:pPr>
        <w:spacing w:after="0" w:line="100" w:lineRule="exact"/>
        <w:rPr>
          <w:sz w:val="20"/>
          <w:szCs w:val="20"/>
          <w:color w:val="auto"/>
        </w:rPr>
      </w:pPr>
    </w:p>
    <w:p>
      <w:pPr>
        <w:jc w:val="both"/>
        <w:ind w:left="380" w:right="380"/>
        <w:spacing w:after="0" w:line="258"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2021 and September 30, 2021. There is a reasonable possibility that a loss exceeding amounts already recognized may be incurred related to these actions; however, Ashland believes that such potential losses were immaterial as of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EARNINGS PER SHARE</w:t>
      </w:r>
    </w:p>
    <w:p>
      <w:pPr>
        <w:spacing w:after="0" w:line="100" w:lineRule="exact"/>
        <w:rPr>
          <w:sz w:val="20"/>
          <w:szCs w:val="20"/>
          <w:color w:val="auto"/>
        </w:rPr>
      </w:pPr>
    </w:p>
    <w:p>
      <w:pPr>
        <w:jc w:val="both"/>
        <w:ind w:left="380" w:right="380"/>
        <w:spacing w:after="0" w:line="244"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 million and 2 million at December 31, 2021 and 2020, respectively. Earnings per share is reported under the treasury stock method.</w:t>
      </w:r>
    </w:p>
    <w:p>
      <w:pPr>
        <w:sectPr>
          <w:pgSz w:w="11900" w:h="16838" w:orient="portrait"/>
          <w:cols w:equalWidth="0" w:num="1">
            <w:col w:w="11240"/>
          </w:cols>
          <w:pgMar w:left="320" w:top="38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-396240</wp:posOffset>
            </wp:positionV>
            <wp:extent cx="65919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6350</wp:posOffset>
            </wp:positionV>
            <wp:extent cx="662622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Numerator</w:t>
      </w:r>
    </w:p>
    <w:p>
      <w:pPr>
        <w:ind w:left="420"/>
        <w:spacing w:after="0"/>
        <w:rPr>
          <w:sz w:val="20"/>
          <w:szCs w:val="20"/>
          <w:color w:val="auto"/>
        </w:rPr>
      </w:pPr>
      <w:r>
        <w:rPr>
          <w:rFonts w:ascii="Arial" w:cs="Arial" w:eastAsia="Arial" w:hAnsi="Arial"/>
          <w:sz w:val="18"/>
          <w:szCs w:val="18"/>
          <w:color w:val="auto"/>
        </w:rPr>
        <w:t>Numerator for basic and diluted EPS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wp:posOffset>
            </wp:positionV>
            <wp:extent cx="662622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Income (loss) from continuing operations</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-635</wp:posOffset>
            </wp:positionV>
            <wp:extent cx="6626225"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26225" cy="240030"/>
                    </a:xfrm>
                    <a:prstGeom prst="rect">
                      <a:avLst/>
                    </a:prstGeom>
                    <a:noFill/>
                  </pic:spPr>
                </pic:pic>
              </a:graphicData>
            </a:graphic>
          </wp:anchor>
        </w:drawing>
      </w:r>
    </w:p>
    <w:p>
      <w:pPr>
        <w:ind w:left="420"/>
        <w:spacing w:after="0" w:line="203" w:lineRule="auto"/>
        <w:rPr>
          <w:sz w:val="20"/>
          <w:szCs w:val="20"/>
          <w:color w:val="auto"/>
        </w:rPr>
      </w:pPr>
      <w:r>
        <w:rPr>
          <w:rFonts w:ascii="Arial" w:cs="Arial" w:eastAsia="Arial" w:hAnsi="Arial"/>
          <w:sz w:val="18"/>
          <w:szCs w:val="18"/>
          <w:color w:val="auto"/>
        </w:rPr>
        <w:t>Denominator for basic EPS - Weighted-</w:t>
      </w:r>
    </w:p>
    <w:p>
      <w:pPr>
        <w:ind w:left="560"/>
        <w:spacing w:after="0"/>
        <w:rPr>
          <w:sz w:val="20"/>
          <w:szCs w:val="20"/>
          <w:color w:val="auto"/>
        </w:rPr>
      </w:pPr>
      <w:r>
        <w:rPr>
          <w:rFonts w:ascii="Arial" w:cs="Arial" w:eastAsia="Arial" w:hAnsi="Arial"/>
          <w:sz w:val="18"/>
          <w:szCs w:val="18"/>
          <w:color w:val="auto"/>
        </w:rPr>
        <w:t>average common shares outstanding</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Share based awards convertible 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wp:posOffset>
            </wp:positionV>
            <wp:extent cx="6626225"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26225" cy="24003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Denominator for diluted EPS - Adjusted weighted-</w:t>
      </w:r>
    </w:p>
    <w:p>
      <w:pPr>
        <w:ind w:left="560"/>
        <w:spacing w:after="0" w:line="234" w:lineRule="auto"/>
        <w:rPr>
          <w:sz w:val="20"/>
          <w:szCs w:val="20"/>
          <w:color w:val="auto"/>
        </w:rPr>
      </w:pPr>
      <w:r>
        <w:rPr>
          <w:rFonts w:ascii="Arial" w:cs="Arial" w:eastAsia="Arial" w:hAnsi="Arial"/>
          <w:sz w:val="18"/>
          <w:szCs w:val="18"/>
          <w:color w:val="auto"/>
        </w:rPr>
        <w:t>average shares and assumed conversions</w:t>
      </w:r>
    </w:p>
    <w:p>
      <w:pPr>
        <w:ind w:left="420"/>
        <w:spacing w:after="0" w:line="235" w:lineRule="auto"/>
        <w:rPr>
          <w:sz w:val="20"/>
          <w:szCs w:val="20"/>
          <w:color w:val="auto"/>
        </w:rPr>
      </w:pPr>
      <w:r>
        <w:rPr>
          <w:rFonts w:ascii="Arial" w:cs="Arial" w:eastAsia="Arial" w:hAnsi="Arial"/>
          <w:sz w:val="18"/>
          <w:szCs w:val="18"/>
          <w:b w:val="1"/>
          <w:bCs w:val="1"/>
          <w:color w:val="auto"/>
        </w:rPr>
        <w:t>EPS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0</wp:posOffset>
            </wp:positionV>
            <wp:extent cx="662622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26225" cy="128905"/>
                    </a:xfrm>
                    <a:prstGeom prst="rect">
                      <a:avLst/>
                    </a:prstGeom>
                    <a:noFill/>
                  </pic:spPr>
                </pic:pic>
              </a:graphicData>
            </a:graphic>
          </wp:anchor>
        </w:drawing>
      </w:r>
    </w:p>
    <w:p>
      <w:pPr>
        <w:ind w:left="600"/>
        <w:spacing w:after="0" w:line="235" w:lineRule="auto"/>
        <w:rPr>
          <w:sz w:val="20"/>
          <w:szCs w:val="20"/>
          <w:color w:val="auto"/>
        </w:rPr>
      </w:pPr>
      <w:r>
        <w:rPr>
          <w:rFonts w:ascii="Arial" w:cs="Arial" w:eastAsia="Arial" w:hAnsi="Arial"/>
          <w:sz w:val="18"/>
          <w:szCs w:val="18"/>
          <w:color w:val="auto"/>
        </w:rPr>
        <w:t>Basic</w:t>
      </w:r>
    </w:p>
    <w:p>
      <w:pPr>
        <w:ind w:left="6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81915</wp:posOffset>
            </wp:positionV>
            <wp:extent cx="56407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Three months ended</w:t>
      </w:r>
    </w:p>
    <w:p>
      <w:pPr>
        <w:spacing w:after="0" w:line="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196"/>
        </w:trPr>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2021</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2020</w:t>
            </w:r>
          </w:p>
        </w:tc>
      </w:tr>
      <w:tr>
        <w:trPr>
          <w:trHeight w:val="601"/>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47"/>
        </w:trPr>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7"/>
        </w:trPr>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31"/>
        </w:trPr>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71"/>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0.56</w:t>
            </w:r>
          </w:p>
        </w:tc>
        <w:tc>
          <w:tcPr>
            <w:tcW w:w="6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121"/>
        </w:trPr>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38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EQUITY ITEMS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Stockholder dividends</w:t>
      </w:r>
    </w:p>
    <w:p>
      <w:pPr>
        <w:spacing w:after="0" w:line="100" w:lineRule="exact"/>
        <w:rPr>
          <w:sz w:val="20"/>
          <w:szCs w:val="20"/>
          <w:color w:val="auto"/>
        </w:rPr>
      </w:pPr>
    </w:p>
    <w:p>
      <w:pPr>
        <w:ind w:left="380" w:right="380"/>
        <w:spacing w:after="0" w:line="246" w:lineRule="auto"/>
        <w:rPr>
          <w:sz w:val="20"/>
          <w:szCs w:val="20"/>
          <w:color w:val="auto"/>
        </w:rPr>
      </w:pPr>
      <w:r>
        <w:rPr>
          <w:rFonts w:ascii="Arial" w:cs="Arial" w:eastAsia="Arial" w:hAnsi="Arial"/>
          <w:sz w:val="20"/>
          <w:szCs w:val="20"/>
          <w:color w:val="auto"/>
        </w:rPr>
        <w:t>Dividends of 30 cents per share were paid in the first quarter of fiscal 2022 and 27.5 cents per share were paid in the first quarter of fiscal 2021.</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73" w:lineRule="exact"/>
        <w:rPr>
          <w:sz w:val="20"/>
          <w:szCs w:val="20"/>
          <w:color w:val="auto"/>
        </w:rPr>
      </w:pPr>
    </w:p>
    <w:p>
      <w:pPr>
        <w:ind w:left="380" w:right="380"/>
        <w:spacing w:after="0" w:line="246"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center"/>
              <w:ind w:left="90"/>
              <w:spacing w:after="0" w:line="202" w:lineRule="exact"/>
              <w:rPr>
                <w:sz w:val="20"/>
                <w:szCs w:val="20"/>
                <w:color w:val="auto"/>
              </w:rPr>
            </w:pPr>
            <w:r>
              <w:rPr>
                <w:rFonts w:ascii="Arial" w:cs="Arial" w:eastAsia="Arial" w:hAnsi="Arial"/>
                <w:sz w:val="18"/>
                <w:szCs w:val="18"/>
                <w:color w:val="auto"/>
                <w:w w:val="89"/>
              </w:rPr>
              <w:t>2021</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89"/>
              </w:rPr>
              <w:t>2020</w:t>
            </w: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Before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8"/>
                <w:szCs w:val="18"/>
                <w:color w:val="auto"/>
                <w:w w:val="86"/>
              </w:rPr>
              <w:t>Tax</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color w:val="auto"/>
              </w:rPr>
              <w:t>Net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230"/>
              <w:spacing w:after="0"/>
              <w:rPr>
                <w:sz w:val="20"/>
                <w:szCs w:val="20"/>
                <w:color w:val="auto"/>
              </w:rPr>
            </w:pPr>
            <w:r>
              <w:rPr>
                <w:rFonts w:ascii="Arial" w:cs="Arial" w:eastAsia="Arial" w:hAnsi="Arial"/>
                <w:sz w:val="18"/>
                <w:szCs w:val="18"/>
                <w:color w:val="auto"/>
                <w:w w:val="97"/>
              </w:rPr>
              <w:t>Before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30"/>
              <w:spacing w:after="0" w:line="156" w:lineRule="exact"/>
              <w:rPr>
                <w:sz w:val="20"/>
                <w:szCs w:val="20"/>
                <w:color w:val="auto"/>
              </w:rPr>
            </w:pPr>
            <w:r>
              <w:rPr>
                <w:rFonts w:ascii="Arial" w:cs="Arial" w:eastAsia="Arial" w:hAnsi="Arial"/>
                <w:sz w:val="18"/>
                <w:szCs w:val="18"/>
                <w:color w:val="auto"/>
                <w:w w:val="93"/>
              </w:rPr>
              <w:t>Tax</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Net of</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37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7"/>
              </w:rPr>
              <w:t>(expense)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4"/>
              </w:rPr>
              <w:t>(expense)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tax</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benefit</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benefit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Three months ended December 31</w:t>
            </w:r>
          </w:p>
        </w:tc>
        <w:tc>
          <w:tcPr>
            <w:tcW w:w="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translation gain (loss)</w:t>
            </w:r>
          </w:p>
        </w:tc>
        <w:tc>
          <w:tcPr>
            <w:tcW w:w="700" w:type="dxa"/>
            <w:vAlign w:val="bottom"/>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(18 )</w:t>
            </w:r>
          </w:p>
        </w:tc>
        <w:tc>
          <w:tcPr>
            <w:tcW w:w="980" w:type="dxa"/>
            <w:vAlign w:val="bottom"/>
            <w:gridSpan w:val="2"/>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1</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68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w w:val="99"/>
              </w:rPr>
              <w:t>Unrealized gain (loss) on commodity hedges</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(4 )</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3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comprehensive income (loss)</w:t>
            </w:r>
          </w:p>
        </w:tc>
        <w:tc>
          <w:tcPr>
            <w:tcW w:w="700" w:type="dxa"/>
            <w:vAlign w:val="bottom"/>
            <w:tcBorders>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(22 )</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(20 )</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68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-436880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-419100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-436880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-419100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-436880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-419100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-436880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-419100</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-436880</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-419100</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22" w:name="page23"/>
    <w:bookmarkEnd w:id="22"/>
    <w:p>
      <w:pPr>
        <w:ind w:left="380"/>
        <w:spacing w:after="0"/>
        <w:rPr>
          <w:sz w:val="20"/>
          <w:szCs w:val="20"/>
          <w:color w:val="auto"/>
        </w:rPr>
      </w:pPr>
      <w:r>
        <w:rPr>
          <w:rFonts w:ascii="Arial" w:cs="Arial" w:eastAsia="Arial" w:hAnsi="Arial"/>
          <w:sz w:val="20"/>
          <w:szCs w:val="20"/>
          <w:b w:val="1"/>
          <w:bCs w:val="1"/>
          <w:color w:val="auto"/>
        </w:rPr>
        <w:t>Summary of stockholders’ equity</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91"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67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Three months ended</w:t>
            </w: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Common stock and paid in capital</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328</w:t>
            </w:r>
          </w:p>
        </w:tc>
        <w:tc>
          <w:tcPr>
            <w:tcW w:w="820" w:type="dxa"/>
            <w:vAlign w:val="bottom"/>
            <w:gridSpan w:val="2"/>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 xml:space="preserve">Common shares issued under stock incentive and other plans </w:t>
            </w:r>
            <w:r>
              <w:rPr>
                <w:rFonts w:ascii="Arial" w:cs="Arial" w:eastAsia="Arial" w:hAnsi="Arial"/>
                <w:sz w:val="14"/>
                <w:szCs w:val="14"/>
                <w:color w:val="auto"/>
              </w:rPr>
              <w:t>(a)</w:t>
            </w: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700" w:type="dxa"/>
            <w:vAlign w:val="bottom"/>
          </w:tcPr>
          <w:p>
            <w:pPr>
              <w:ind w:left="180"/>
              <w:spacing w:after="0" w:line="196" w:lineRule="exact"/>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328</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Retained earnings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8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2,796</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Adoption of new accounting pronouncements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Regular dividends</w:t>
            </w: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6"/>
        </w:trPr>
        <w:tc>
          <w:tcPr>
            <w:tcW w:w="6700" w:type="dxa"/>
            <w:vAlign w:val="bottom"/>
          </w:tcPr>
          <w:p>
            <w:pPr>
              <w:ind w:left="180"/>
              <w:spacing w:after="0" w:line="196" w:lineRule="exact"/>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2,827</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(372 )</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Unrealized translation gain (loss)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Unrealized loss on commodity hedges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(392 )</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196"/>
        </w:trPr>
        <w:tc>
          <w:tcPr>
            <w:tcW w:w="6700" w:type="dxa"/>
            <w:vAlign w:val="bottom"/>
          </w:tcPr>
          <w:p>
            <w:pPr>
              <w:spacing w:after="0" w:line="182" w:lineRule="exact"/>
              <w:rPr>
                <w:sz w:val="20"/>
                <w:szCs w:val="20"/>
                <w:color w:val="auto"/>
              </w:rPr>
            </w:pPr>
            <w:r>
              <w:rPr>
                <w:rFonts w:ascii="Arial" w:cs="Arial" w:eastAsia="Arial" w:hAnsi="Arial"/>
                <w:sz w:val="18"/>
                <w:szCs w:val="18"/>
                <w:color w:val="auto"/>
              </w:rPr>
              <w:t>Total stockholders' equity</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2,763</w:t>
            </w:r>
          </w:p>
        </w:tc>
        <w:tc>
          <w:tcPr>
            <w:tcW w:w="820" w:type="dxa"/>
            <w:vAlign w:val="bottom"/>
            <w:gridSpan w:val="2"/>
          </w:tcPr>
          <w:p>
            <w:pPr>
              <w:jc w:val="right"/>
              <w:ind w:right="43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182" w:lineRule="exact"/>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dividends declared per common share</w:t>
            </w:r>
          </w:p>
        </w:tc>
        <w:tc>
          <w:tcPr>
            <w:tcW w:w="380" w:type="dxa"/>
            <w:vAlign w:val="bottom"/>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0.300</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rPr>
              <w:t>0.275</w:t>
            </w:r>
          </w:p>
        </w:tc>
        <w:tc>
          <w:tcPr>
            <w:tcW w:w="0" w:type="dxa"/>
            <w:vAlign w:val="bottom"/>
          </w:tcPr>
          <w:p>
            <w:pPr>
              <w:spacing w:after="0"/>
              <w:rPr>
                <w:sz w:val="1"/>
                <w:szCs w:val="1"/>
                <w:color w:val="auto"/>
              </w:rPr>
            </w:pPr>
          </w:p>
        </w:tc>
      </w:tr>
      <w:tr>
        <w:trPr>
          <w:trHeight w:val="135"/>
        </w:trPr>
        <w:tc>
          <w:tcPr>
            <w:tcW w:w="67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-1967865</wp:posOffset>
            </wp:positionV>
            <wp:extent cx="12890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-1179195</wp:posOffset>
            </wp:positionV>
            <wp:extent cx="12890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-382270</wp:posOffset>
            </wp:positionV>
            <wp:extent cx="12890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Common shares issued were 94,715 shares and 99,194 for the three months ended December 31, 2021 and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16"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68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gridSpan w:val="4"/>
          </w:tcPr>
          <w:p>
            <w:pPr>
              <w:jc w:val="right"/>
              <w:ind w:right="1010"/>
              <w:spacing w:after="0" w:line="201" w:lineRule="exact"/>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7"/>
        </w:trPr>
        <w:tc>
          <w:tcPr>
            <w:tcW w:w="68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December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14"/>
                <w:szCs w:val="14"/>
                <w:color w:val="auto"/>
              </w:rPr>
              <w:t>(a)</w:t>
            </w: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SARs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Nonvested stock awards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Performance share awards</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70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-253365</wp:posOffset>
            </wp:positionV>
            <wp:extent cx="18859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8595" cy="571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$2 million of expense related to cash-settled nonvested restricted stock awards during the three months ended December 31, 2021.</w:t>
      </w:r>
    </w:p>
    <w:p>
      <w:pPr>
        <w:spacing w:after="0" w:line="41" w:lineRule="exact"/>
        <w:rPr>
          <w:rFonts w:ascii="Arial" w:cs="Arial" w:eastAsia="Arial" w:hAnsi="Arial"/>
          <w:sz w:val="14"/>
          <w:szCs w:val="14"/>
          <w:color w:val="auto"/>
        </w:rPr>
      </w:pPr>
    </w:p>
    <w:p>
      <w:pPr>
        <w:ind w:left="740" w:hanging="358"/>
        <w:spacing w:after="0"/>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$1 million of expense related to cash-settled nonvested restricted stock awards during the three months ended December 31, 2020.</w:t>
      </w:r>
    </w:p>
    <w:p>
      <w:pPr>
        <w:spacing w:after="0" w:line="1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400" w:right="7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NOTE P – REVENUE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Disaggregation of revenue</w:t>
      </w:r>
    </w:p>
    <w:p>
      <w:pPr>
        <w:spacing w:after="0" w:line="100"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See the following tables for details.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45720</wp:posOffset>
            </wp:positionV>
            <wp:extent cx="6638925"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38925" cy="154305"/>
                    </a:xfrm>
                    <a:prstGeom prst="rect">
                      <a:avLst/>
                    </a:prstGeom>
                    <a:noFill/>
                  </pic:spPr>
                </pic:pic>
              </a:graphicData>
            </a:graphic>
          </wp:anchor>
        </w:drawing>
      </w:r>
    </w:p>
    <w:p>
      <w:pPr>
        <w:spacing w:after="0" w:line="7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Sales by geography</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73"/>
        </w:trPr>
        <w:tc>
          <w:tcPr>
            <w:tcW w:w="306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4"/>
          </w:tcPr>
          <w:p>
            <w:pPr>
              <w:ind w:left="1020"/>
              <w:spacing w:after="0" w:line="173" w:lineRule="exact"/>
              <w:rPr>
                <w:sz w:val="20"/>
                <w:szCs w:val="20"/>
                <w:color w:val="auto"/>
              </w:rPr>
            </w:pPr>
            <w:r>
              <w:rPr>
                <w:rFonts w:ascii="Arial" w:cs="Arial" w:eastAsia="Arial" w:hAnsi="Arial"/>
                <w:sz w:val="16"/>
                <w:szCs w:val="16"/>
                <w:color w:val="auto"/>
                <w:w w:val="98"/>
              </w:rPr>
              <w:t>Three months ended</w:t>
            </w:r>
          </w:p>
        </w:tc>
        <w:tc>
          <w:tcPr>
            <w:tcW w:w="13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0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30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color w:val="auto"/>
              </w:rPr>
              <w:t>December 31</w:t>
            </w:r>
          </w:p>
        </w:tc>
        <w:tc>
          <w:tcPr>
            <w:tcW w:w="13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vMerge w:val="continue"/>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tcPr>
          <w:p>
            <w:pPr>
              <w:jc w:val="center"/>
              <w:ind w:left="659"/>
              <w:spacing w:after="0" w:line="183" w:lineRule="exact"/>
              <w:rPr>
                <w:sz w:val="20"/>
                <w:szCs w:val="20"/>
                <w:color w:val="auto"/>
              </w:rPr>
            </w:pPr>
            <w:r>
              <w:rPr>
                <w:rFonts w:ascii="Arial" w:cs="Arial" w:eastAsia="Arial" w:hAnsi="Arial"/>
                <w:sz w:val="16"/>
                <w:szCs w:val="16"/>
                <w:color w:val="auto"/>
                <w:w w:val="92"/>
              </w:rPr>
              <w:t>Life Sciences</w:t>
            </w:r>
          </w:p>
        </w:tc>
        <w:tc>
          <w:tcPr>
            <w:tcW w:w="1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North America</w:t>
            </w:r>
          </w:p>
        </w:tc>
        <w:tc>
          <w:tcPr>
            <w:tcW w:w="3500" w:type="dxa"/>
            <w:vAlign w:val="bottom"/>
            <w:gridSpan w:val="2"/>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960" w:type="dxa"/>
            <w:vAlign w:val="bottom"/>
            <w:gridSpan w:val="3"/>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Europe</w:t>
            </w:r>
          </w:p>
        </w:tc>
        <w:tc>
          <w:tcPr>
            <w:tcW w:w="3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80"/>
              <w:spacing w:after="0"/>
              <w:rPr>
                <w:sz w:val="20"/>
                <w:szCs w:val="20"/>
                <w:color w:val="auto"/>
              </w:rPr>
            </w:pPr>
            <w:r>
              <w:rPr>
                <w:rFonts w:ascii="Arial" w:cs="Arial" w:eastAsia="Arial" w:hAnsi="Arial"/>
                <w:sz w:val="16"/>
                <w:szCs w:val="16"/>
                <w:color w:val="auto"/>
              </w:rPr>
              <w:t>Asia Pacific</w:t>
            </w:r>
          </w:p>
        </w:tc>
        <w:tc>
          <w:tcPr>
            <w:tcW w:w="30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Latin America &amp; other</w:t>
            </w:r>
          </w:p>
        </w:tc>
        <w:tc>
          <w:tcPr>
            <w:tcW w:w="3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170</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170</w:t>
            </w: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ind w:left="1020"/>
              <w:spacing w:after="0" w:line="173" w:lineRule="exact"/>
              <w:rPr>
                <w:sz w:val="20"/>
                <w:szCs w:val="20"/>
                <w:color w:val="auto"/>
              </w:rPr>
            </w:pPr>
            <w:r>
              <w:rPr>
                <w:rFonts w:ascii="Arial" w:cs="Arial" w:eastAsia="Arial" w:hAnsi="Arial"/>
                <w:sz w:val="16"/>
                <w:szCs w:val="16"/>
                <w:color w:val="auto"/>
              </w:rPr>
              <w:t>Three</w:t>
            </w:r>
          </w:p>
        </w:tc>
        <w:tc>
          <w:tcPr>
            <w:tcW w:w="960" w:type="dxa"/>
            <w:vAlign w:val="bottom"/>
            <w:gridSpan w:val="3"/>
          </w:tcPr>
          <w:p>
            <w:pPr>
              <w:jc w:val="right"/>
              <w:ind w:right="79"/>
              <w:spacing w:after="0" w:line="173" w:lineRule="exact"/>
              <w:rPr>
                <w:sz w:val="20"/>
                <w:szCs w:val="20"/>
                <w:color w:val="auto"/>
              </w:rPr>
            </w:pPr>
            <w:r>
              <w:rPr>
                <w:rFonts w:ascii="Arial" w:cs="Arial" w:eastAsia="Arial" w:hAnsi="Arial"/>
                <w:sz w:val="16"/>
                <w:szCs w:val="16"/>
                <w:color w:val="auto"/>
                <w:w w:val="76"/>
              </w:rPr>
              <w:t>months ended</w:t>
            </w: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0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30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color w:val="auto"/>
              </w:rPr>
              <w:t>December 31</w:t>
            </w:r>
          </w:p>
        </w:tc>
        <w:tc>
          <w:tcPr>
            <w:tcW w:w="13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vMerge w:val="continue"/>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tcPr>
          <w:p>
            <w:pPr>
              <w:jc w:val="center"/>
              <w:ind w:left="639"/>
              <w:spacing w:after="0" w:line="183" w:lineRule="exact"/>
              <w:rPr>
                <w:sz w:val="20"/>
                <w:szCs w:val="20"/>
                <w:color w:val="auto"/>
              </w:rPr>
            </w:pPr>
            <w:r>
              <w:rPr>
                <w:rFonts w:ascii="Arial" w:cs="Arial" w:eastAsia="Arial" w:hAnsi="Arial"/>
                <w:sz w:val="16"/>
                <w:szCs w:val="16"/>
                <w:color w:val="auto"/>
                <w:w w:val="87"/>
              </w:rPr>
              <w:t>Personal Care</w:t>
            </w:r>
          </w:p>
        </w:tc>
        <w:tc>
          <w:tcPr>
            <w:tcW w:w="1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North America</w:t>
            </w:r>
          </w:p>
        </w:tc>
        <w:tc>
          <w:tcPr>
            <w:tcW w:w="3500" w:type="dxa"/>
            <w:vAlign w:val="bottom"/>
            <w:gridSpan w:val="2"/>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w:t>
            </w:r>
          </w:p>
        </w:tc>
        <w:tc>
          <w:tcPr>
            <w:tcW w:w="960" w:type="dxa"/>
            <w:vAlign w:val="bottom"/>
            <w:gridSpan w:val="3"/>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Europe</w:t>
            </w:r>
          </w:p>
        </w:tc>
        <w:tc>
          <w:tcPr>
            <w:tcW w:w="3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80"/>
              <w:spacing w:after="0"/>
              <w:rPr>
                <w:sz w:val="20"/>
                <w:szCs w:val="20"/>
                <w:color w:val="auto"/>
              </w:rPr>
            </w:pPr>
            <w:r>
              <w:rPr>
                <w:rFonts w:ascii="Arial" w:cs="Arial" w:eastAsia="Arial" w:hAnsi="Arial"/>
                <w:sz w:val="16"/>
                <w:szCs w:val="16"/>
                <w:color w:val="auto"/>
              </w:rPr>
              <w:t>Asia Pacific</w:t>
            </w:r>
          </w:p>
        </w:tc>
        <w:tc>
          <w:tcPr>
            <w:tcW w:w="30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Latin America &amp; other</w:t>
            </w:r>
          </w:p>
        </w:tc>
        <w:tc>
          <w:tcPr>
            <w:tcW w:w="3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147</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126</w:t>
            </w: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ind w:left="1020"/>
              <w:spacing w:after="0" w:line="173" w:lineRule="exact"/>
              <w:rPr>
                <w:sz w:val="20"/>
                <w:szCs w:val="20"/>
                <w:color w:val="auto"/>
              </w:rPr>
            </w:pPr>
            <w:r>
              <w:rPr>
                <w:rFonts w:ascii="Arial" w:cs="Arial" w:eastAsia="Arial" w:hAnsi="Arial"/>
                <w:sz w:val="16"/>
                <w:szCs w:val="16"/>
                <w:color w:val="auto"/>
              </w:rPr>
              <w:t>Three</w:t>
            </w:r>
          </w:p>
        </w:tc>
        <w:tc>
          <w:tcPr>
            <w:tcW w:w="960" w:type="dxa"/>
            <w:vAlign w:val="bottom"/>
            <w:gridSpan w:val="3"/>
          </w:tcPr>
          <w:p>
            <w:pPr>
              <w:jc w:val="right"/>
              <w:ind w:right="79"/>
              <w:spacing w:after="0" w:line="173" w:lineRule="exact"/>
              <w:rPr>
                <w:sz w:val="20"/>
                <w:szCs w:val="20"/>
                <w:color w:val="auto"/>
              </w:rPr>
            </w:pPr>
            <w:r>
              <w:rPr>
                <w:rFonts w:ascii="Arial" w:cs="Arial" w:eastAsia="Arial" w:hAnsi="Arial"/>
                <w:sz w:val="16"/>
                <w:szCs w:val="16"/>
                <w:color w:val="auto"/>
                <w:w w:val="76"/>
              </w:rPr>
              <w:t>months ended</w:t>
            </w: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0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30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color w:val="auto"/>
              </w:rPr>
              <w:t>December 31</w:t>
            </w:r>
          </w:p>
        </w:tc>
        <w:tc>
          <w:tcPr>
            <w:tcW w:w="13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vMerge w:val="continue"/>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tcPr>
          <w:p>
            <w:pPr>
              <w:jc w:val="center"/>
              <w:ind w:left="659"/>
              <w:spacing w:after="0" w:line="183" w:lineRule="exact"/>
              <w:rPr>
                <w:sz w:val="20"/>
                <w:szCs w:val="20"/>
                <w:color w:val="auto"/>
              </w:rPr>
            </w:pPr>
            <w:r>
              <w:rPr>
                <w:rFonts w:ascii="Arial" w:cs="Arial" w:eastAsia="Arial" w:hAnsi="Arial"/>
                <w:sz w:val="16"/>
                <w:szCs w:val="16"/>
                <w:color w:val="auto"/>
                <w:w w:val="95"/>
              </w:rPr>
              <w:t>Specialty Additives</w:t>
            </w:r>
          </w:p>
        </w:tc>
        <w:tc>
          <w:tcPr>
            <w:tcW w:w="1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North America</w:t>
            </w:r>
          </w:p>
        </w:tc>
        <w:tc>
          <w:tcPr>
            <w:tcW w:w="3500" w:type="dxa"/>
            <w:vAlign w:val="bottom"/>
            <w:gridSpan w:val="2"/>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w:t>
            </w:r>
          </w:p>
        </w:tc>
        <w:tc>
          <w:tcPr>
            <w:tcW w:w="960" w:type="dxa"/>
            <w:vAlign w:val="bottom"/>
            <w:gridSpan w:val="3"/>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Europe</w:t>
            </w:r>
          </w:p>
        </w:tc>
        <w:tc>
          <w:tcPr>
            <w:tcW w:w="3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80"/>
              <w:spacing w:after="0"/>
              <w:rPr>
                <w:sz w:val="20"/>
                <w:szCs w:val="20"/>
                <w:color w:val="auto"/>
              </w:rPr>
            </w:pPr>
            <w:r>
              <w:rPr>
                <w:rFonts w:ascii="Arial" w:cs="Arial" w:eastAsia="Arial" w:hAnsi="Arial"/>
                <w:sz w:val="16"/>
                <w:szCs w:val="16"/>
                <w:color w:val="auto"/>
              </w:rPr>
              <w:t>Asia Pacific</w:t>
            </w:r>
          </w:p>
        </w:tc>
        <w:tc>
          <w:tcPr>
            <w:tcW w:w="30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Latin America &amp; other</w:t>
            </w:r>
          </w:p>
        </w:tc>
        <w:tc>
          <w:tcPr>
            <w:tcW w:w="3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156</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147</w:t>
            </w: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ind w:left="1020"/>
              <w:spacing w:after="0" w:line="173" w:lineRule="exact"/>
              <w:rPr>
                <w:sz w:val="20"/>
                <w:szCs w:val="20"/>
                <w:color w:val="auto"/>
              </w:rPr>
            </w:pPr>
            <w:r>
              <w:rPr>
                <w:rFonts w:ascii="Arial" w:cs="Arial" w:eastAsia="Arial" w:hAnsi="Arial"/>
                <w:sz w:val="16"/>
                <w:szCs w:val="16"/>
                <w:color w:val="auto"/>
              </w:rPr>
              <w:t>Three</w:t>
            </w:r>
          </w:p>
        </w:tc>
        <w:tc>
          <w:tcPr>
            <w:tcW w:w="960" w:type="dxa"/>
            <w:vAlign w:val="bottom"/>
            <w:gridSpan w:val="3"/>
          </w:tcPr>
          <w:p>
            <w:pPr>
              <w:jc w:val="right"/>
              <w:ind w:right="79"/>
              <w:spacing w:after="0" w:line="173" w:lineRule="exact"/>
              <w:rPr>
                <w:sz w:val="20"/>
                <w:szCs w:val="20"/>
                <w:color w:val="auto"/>
              </w:rPr>
            </w:pPr>
            <w:r>
              <w:rPr>
                <w:rFonts w:ascii="Arial" w:cs="Arial" w:eastAsia="Arial" w:hAnsi="Arial"/>
                <w:sz w:val="16"/>
                <w:szCs w:val="16"/>
                <w:color w:val="auto"/>
                <w:w w:val="76"/>
              </w:rPr>
              <w:t>months ended</w:t>
            </w: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0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30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color w:val="auto"/>
              </w:rPr>
              <w:t>December 31</w:t>
            </w:r>
          </w:p>
        </w:tc>
        <w:tc>
          <w:tcPr>
            <w:tcW w:w="13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vMerge w:val="continue"/>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2"/>
          </w:tcPr>
          <w:p>
            <w:pPr>
              <w:jc w:val="center"/>
              <w:ind w:left="659"/>
              <w:spacing w:after="0" w:line="183" w:lineRule="exact"/>
              <w:rPr>
                <w:sz w:val="20"/>
                <w:szCs w:val="20"/>
                <w:color w:val="auto"/>
              </w:rPr>
            </w:pPr>
            <w:r>
              <w:rPr>
                <w:rFonts w:ascii="Arial" w:cs="Arial" w:eastAsia="Arial" w:hAnsi="Arial"/>
                <w:sz w:val="16"/>
                <w:szCs w:val="16"/>
                <w:color w:val="auto"/>
                <w:w w:val="90"/>
              </w:rPr>
              <w:t>Intermediates</w:t>
            </w:r>
          </w:p>
        </w:tc>
        <w:tc>
          <w:tcPr>
            <w:tcW w:w="1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North America</w:t>
            </w:r>
          </w:p>
        </w:tc>
        <w:tc>
          <w:tcPr>
            <w:tcW w:w="3500" w:type="dxa"/>
            <w:vAlign w:val="bottom"/>
            <w:gridSpan w:val="2"/>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w:t>
            </w:r>
          </w:p>
        </w:tc>
        <w:tc>
          <w:tcPr>
            <w:tcW w:w="960" w:type="dxa"/>
            <w:vAlign w:val="bottom"/>
            <w:gridSpan w:val="3"/>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Europe</w:t>
            </w:r>
          </w:p>
        </w:tc>
        <w:tc>
          <w:tcPr>
            <w:tcW w:w="3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80"/>
              <w:spacing w:after="0"/>
              <w:rPr>
                <w:sz w:val="20"/>
                <w:szCs w:val="20"/>
                <w:color w:val="auto"/>
              </w:rPr>
            </w:pPr>
            <w:r>
              <w:rPr>
                <w:rFonts w:ascii="Arial" w:cs="Arial" w:eastAsia="Arial" w:hAnsi="Arial"/>
                <w:sz w:val="16"/>
                <w:szCs w:val="16"/>
                <w:color w:val="auto"/>
              </w:rPr>
              <w:t>Asia Pacific</w:t>
            </w:r>
          </w:p>
        </w:tc>
        <w:tc>
          <w:tcPr>
            <w:tcW w:w="30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Latin America &amp; other</w:t>
            </w:r>
          </w:p>
        </w:tc>
        <w:tc>
          <w:tcPr>
            <w:tcW w:w="3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spacing w:after="0"/>
              <w:rPr>
                <w:sz w:val="19"/>
                <w:szCs w:val="19"/>
                <w:color w:val="auto"/>
              </w:rPr>
            </w:pPr>
          </w:p>
        </w:tc>
        <w:tc>
          <w:tcPr>
            <w:tcW w:w="30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w:t>
            </w: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-3830955</wp:posOffset>
            </wp:positionV>
            <wp:extent cx="342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-3813810</wp:posOffset>
            </wp:positionV>
            <wp:extent cx="34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-3830955</wp:posOffset>
            </wp:positionV>
            <wp:extent cx="342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-3813810</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-2562225</wp:posOffset>
            </wp:positionV>
            <wp:extent cx="342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-2545080</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-2562225</wp:posOffset>
            </wp:positionV>
            <wp:extent cx="34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-2545080</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-1293495</wp:posOffset>
            </wp:positionV>
            <wp:extent cx="342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-1276350</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-1293495</wp:posOffset>
            </wp:positionV>
            <wp:extent cx="342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-1276350</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342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wp:posOffset>
            </wp:positionV>
            <wp:extent cx="342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342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Trade receivables</w:t>
      </w:r>
    </w:p>
    <w:p>
      <w:pPr>
        <w:spacing w:after="0" w:line="100"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$288 million and $308 million as of December 31, 2021 and September 30, 2021, respectively. See Note H for additional information on Ashland’s program to sell certain receivables on a revolving basis to third party banks up to an aggregate purchase limit (U.S Accounts Receivable Sales Program).</w:t>
      </w:r>
    </w:p>
    <w:p>
      <w:pPr>
        <w:spacing w:after="0" w:line="2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7" w:right="71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00" w:lineRule="exact"/>
        <w:rPr>
          <w:sz w:val="20"/>
          <w:szCs w:val="20"/>
          <w:color w:val="auto"/>
        </w:rPr>
      </w:pPr>
    </w:p>
    <w:p>
      <w:pPr>
        <w:jc w:val="both"/>
        <w:ind w:left="380"/>
        <w:spacing w:after="0" w:line="246"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Change in reportable segments</w:t>
      </w:r>
    </w:p>
    <w:p>
      <w:pPr>
        <w:spacing w:after="0" w:line="100" w:lineRule="exact"/>
        <w:rPr>
          <w:sz w:val="20"/>
          <w:szCs w:val="20"/>
          <w:color w:val="auto"/>
        </w:rPr>
      </w:pPr>
    </w:p>
    <w:p>
      <w:pPr>
        <w:jc w:val="both"/>
        <w:ind w:left="380"/>
        <w:spacing w:after="0" w:line="248" w:lineRule="auto"/>
        <w:rPr>
          <w:sz w:val="20"/>
          <w:szCs w:val="20"/>
          <w:color w:val="auto"/>
        </w:rPr>
      </w:pPr>
      <w:r>
        <w:rPr>
          <w:rFonts w:ascii="Arial" w:cs="Arial" w:eastAsia="Arial" w:hAnsi="Arial"/>
          <w:sz w:val="19"/>
          <w:szCs w:val="19"/>
          <w:color w:val="auto"/>
        </w:rPr>
        <w:t>As previously described in Note B, Ashland announced that it had signed a definitive agreement on August 30, 2021 to sell its Performance Adhesives segment. The operating results and cash flows for the Performance Adhesives segment have been classified as discontinued operations within the Consolidated Financial Statements for all periods presented. As a result, Ashland's reportable segments included Life Sciences, Personal Care, Specialty Additives and Intermediates.</w:t>
      </w:r>
    </w:p>
    <w:p>
      <w:pPr>
        <w:spacing w:after="0" w:line="6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Unallocated and Other includes corporate governance activities and certain legacy matters. The historical segment information has been recast to conform to the current segment structure.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00" w:lineRule="exact"/>
        <w:rPr>
          <w:sz w:val="20"/>
          <w:szCs w:val="20"/>
          <w:color w:val="auto"/>
        </w:rPr>
      </w:pPr>
    </w:p>
    <w:p>
      <w:pPr>
        <w:jc w:val="both"/>
        <w:ind w:left="380"/>
        <w:spacing w:after="0" w:line="243"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for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71" w:lineRule="exact"/>
        <w:rPr>
          <w:sz w:val="20"/>
          <w:szCs w:val="20"/>
          <w:color w:val="auto"/>
        </w:rPr>
      </w:pPr>
    </w:p>
    <w:p>
      <w:pPr>
        <w:jc w:val="both"/>
        <w:ind w:left="380"/>
        <w:spacing w:after="0" w:line="230" w:lineRule="auto"/>
        <w:rPr>
          <w:sz w:val="20"/>
          <w:szCs w:val="20"/>
          <w:color w:val="auto"/>
        </w:rPr>
      </w:pPr>
      <w:r>
        <w:rPr>
          <w:rFonts w:ascii="Arial" w:cs="Arial" w:eastAsia="Arial" w:hAnsi="Arial"/>
          <w:sz w:val="20"/>
          <w:szCs w:val="20"/>
          <w:color w:val="auto"/>
        </w:rPr>
        <w:t>Personal Care (formerly 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7" w:lineRule="exact"/>
        <w:rPr>
          <w:sz w:val="20"/>
          <w:szCs w:val="20"/>
          <w:color w:val="auto"/>
        </w:rPr>
      </w:pPr>
    </w:p>
    <w:p>
      <w:pPr>
        <w:jc w:val="both"/>
        <w:ind w:left="380"/>
        <w:spacing w:after="0" w:line="241"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74"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Intermediates (formerly 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as a feedstock to Life Sciences, Personal Care, and Specialty Additives for use as a raw material.</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81" w:right="719" w:bottom="1440" w:gutter="0" w:footer="0" w:header="0"/>
        </w:sectPr>
      </w:pPr>
    </w:p>
    <w:bookmarkStart w:id="25" w:name="page26"/>
    <w:bookmarkEnd w:id="25"/>
    <w:p>
      <w:pPr>
        <w:jc w:val="both"/>
        <w:ind w:left="380" w:right="380"/>
        <w:spacing w:after="0" w:line="272"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 results</w:t>
      </w:r>
    </w:p>
    <w:p>
      <w:pPr>
        <w:spacing w:after="0" w:line="100" w:lineRule="exact"/>
        <w:rPr>
          <w:sz w:val="20"/>
          <w:szCs w:val="20"/>
          <w:color w:val="auto"/>
        </w:rPr>
      </w:pPr>
    </w:p>
    <w:p>
      <w:pPr>
        <w:jc w:val="both"/>
        <w:ind w:left="380" w:right="380"/>
        <w:spacing w:after="0" w:line="256"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0"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months ended December 31, 2021 and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38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4"/>
          </w:tcPr>
          <w:p>
            <w:pPr>
              <w:jc w:val="right"/>
              <w:ind w:right="110"/>
              <w:spacing w:after="0" w:line="201" w:lineRule="exact"/>
              <w:rPr>
                <w:sz w:val="20"/>
                <w:szCs w:val="20"/>
                <w:color w:val="auto"/>
              </w:rPr>
            </w:pPr>
            <w:r>
              <w:rPr>
                <w:rFonts w:ascii="Arial" w:cs="Arial" w:eastAsia="Arial" w:hAnsi="Arial"/>
                <w:sz w:val="18"/>
                <w:szCs w:val="18"/>
                <w:color w:val="auto"/>
              </w:rPr>
              <w:t>Three months ended</w:t>
            </w: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3800" w:type="dxa"/>
            <w:vAlign w:val="bottom"/>
            <w:vMerge w:val="restart"/>
          </w:tcPr>
          <w:p>
            <w:pPr>
              <w:spacing w:after="0"/>
              <w:rPr>
                <w:sz w:val="20"/>
                <w:szCs w:val="20"/>
                <w:color w:val="auto"/>
              </w:rPr>
            </w:pPr>
            <w:r>
              <w:rPr>
                <w:rFonts w:ascii="Arial" w:cs="Arial" w:eastAsia="Arial" w:hAnsi="Arial"/>
                <w:sz w:val="18"/>
                <w:szCs w:val="18"/>
                <w:color w:val="auto"/>
              </w:rPr>
              <w:t>(In millions - unaudited)</w:t>
            </w:r>
          </w:p>
        </w:tc>
        <w:tc>
          <w:tcPr>
            <w:tcW w:w="16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December 31</w:t>
            </w:r>
          </w:p>
        </w:tc>
        <w:tc>
          <w:tcPr>
            <w:tcW w:w="1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9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SALES</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216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 xml:space="preserve">Intersegment sales </w:t>
            </w:r>
            <w:r>
              <w:rPr>
                <w:rFonts w:ascii="Arial" w:cs="Arial" w:eastAsia="Arial" w:hAnsi="Arial"/>
                <w:sz w:val="14"/>
                <w:szCs w:val="14"/>
                <w:color w:val="auto"/>
              </w:rPr>
              <w:t>(a)</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(14 )</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380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468</w:t>
            </w:r>
          </w:p>
        </w:tc>
        <w:tc>
          <w:tcPr>
            <w:tcW w:w="80" w:type="dxa"/>
            <w:vAlign w:val="bottom"/>
            <w:tcBorders>
              <w:bottom w:val="single" w:sz="8" w:color="CFF0FC"/>
            </w:tcBorders>
            <w:shd w:val="clear" w:color="auto" w:fill="CFF0FC"/>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800" w:type="dxa"/>
            <w:vAlign w:val="bottom"/>
          </w:tcPr>
          <w:p>
            <w:pPr>
              <w:spacing w:after="0" w:line="183" w:lineRule="exact"/>
              <w:rPr>
                <w:sz w:val="20"/>
                <w:szCs w:val="20"/>
                <w:color w:val="auto"/>
              </w:rPr>
            </w:pPr>
            <w:r>
              <w:rPr>
                <w:rFonts w:ascii="Arial" w:cs="Arial" w:eastAsia="Arial" w:hAnsi="Arial"/>
                <w:sz w:val="18"/>
                <w:szCs w:val="18"/>
                <w:b w:val="1"/>
                <w:bCs w:val="1"/>
                <w:color w:val="auto"/>
              </w:rPr>
              <w:t>OPERATING INCOME (LOSS)</w:t>
            </w: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2160" w:type="dxa"/>
            <w:vAlign w:val="bottom"/>
            <w:gridSpan w:val="2"/>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Unallocated and other</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(27 )</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0" w:type="dxa"/>
            <w:vAlign w:val="bottom"/>
            <w:tcBorders>
              <w:top w:val="single" w:sz="8" w:color="CFF0FC"/>
            </w:tcBorders>
          </w:tcPr>
          <w:p>
            <w:pPr>
              <w:spacing w:after="0"/>
              <w:rPr>
                <w:sz w:val="17"/>
                <w:szCs w:val="17"/>
                <w:color w:val="auto"/>
              </w:rPr>
            </w:pPr>
          </w:p>
        </w:tc>
        <w:tc>
          <w:tcPr>
            <w:tcW w:w="162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80" w:type="dxa"/>
            <w:vAlign w:val="bottom"/>
            <w:tcBorders>
              <w:top w:val="single" w:sz="8" w:color="CFF0FC"/>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DEPRECIATION EXPENSE</w:t>
            </w:r>
          </w:p>
        </w:tc>
        <w:tc>
          <w:tcPr>
            <w:tcW w:w="16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216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16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160" w:type="dxa"/>
            <w:vAlign w:val="bottom"/>
            <w:gridSpan w:val="2"/>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980" w:type="dxa"/>
            <w:vAlign w:val="bottom"/>
            <w:gridSpan w:val="2"/>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AMORTIZATION EXPENSE</w:t>
            </w:r>
          </w:p>
        </w:tc>
        <w:tc>
          <w:tcPr>
            <w:tcW w:w="16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216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16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160" w:type="dxa"/>
            <w:vAlign w:val="bottom"/>
            <w:gridSpan w:val="2"/>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980" w:type="dxa"/>
            <w:vAlign w:val="bottom"/>
            <w:gridSpan w:val="2"/>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16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216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1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Unallocated and other</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(27 )</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380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80" w:type="dxa"/>
            <w:vAlign w:val="bottom"/>
            <w:tcBorders>
              <w:bottom w:val="single" w:sz="8" w:color="CFF0FC"/>
            </w:tcBorders>
            <w:shd w:val="clear" w:color="auto" w:fill="CFF0FC"/>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-3977005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-3959860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-3977005</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-3959860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-3176905</wp:posOffset>
            </wp:positionV>
            <wp:extent cx="5969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-3176905</wp:posOffset>
            </wp:positionV>
            <wp:extent cx="60325" cy="160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-2371090</wp:posOffset>
            </wp:positionV>
            <wp:extent cx="603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-2371090</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-1565275</wp:posOffset>
            </wp:positionV>
            <wp:extent cx="6032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-1565275</wp:posOffset>
            </wp:positionV>
            <wp:extent cx="5969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-496570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-479425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-496570</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-479425</wp:posOffset>
            </wp:positionV>
            <wp:extent cx="596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26" w:name="page27"/>
    <w:bookmarkEnd w:id="26"/>
    <w:tbl>
      <w:tblPr>
        <w:tblLayout w:type="fixed"/>
        <w:tblInd w:w="38"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December 31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September 30</w:t>
            </w:r>
          </w:p>
        </w:tc>
        <w:tc>
          <w:tcPr>
            <w:tcW w:w="40" w:type="dxa"/>
            <w:vAlign w:val="bottom"/>
          </w:tcPr>
          <w:p>
            <w:pPr>
              <w:spacing w:after="0"/>
              <w:rPr>
                <w:sz w:val="17"/>
                <w:szCs w:val="17"/>
                <w:color w:val="auto"/>
              </w:rPr>
            </w:pPr>
          </w:p>
        </w:tc>
      </w:tr>
      <w:tr>
        <w:trPr>
          <w:trHeight w:val="21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8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r>
      <w:tr>
        <w:trPr>
          <w:trHeight w:val="203"/>
        </w:trPr>
        <w:tc>
          <w:tcPr>
            <w:tcW w:w="534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1800" w:type="dxa"/>
            <w:vAlign w:val="bottom"/>
          </w:tcPr>
          <w:p>
            <w:pPr>
              <w:jc w:val="right"/>
              <w:ind w:right="161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1,922</w:t>
            </w:r>
          </w:p>
        </w:tc>
        <w:tc>
          <w:tcPr>
            <w:tcW w:w="700" w:type="dxa"/>
            <w:vAlign w:val="bottom"/>
            <w:gridSpan w:val="3"/>
          </w:tcPr>
          <w:p>
            <w:pPr>
              <w:jc w:val="right"/>
              <w:ind w:right="207"/>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1,945</w:t>
            </w:r>
          </w:p>
        </w:tc>
        <w:tc>
          <w:tcPr>
            <w:tcW w:w="40" w:type="dxa"/>
            <w:vAlign w:val="bottom"/>
          </w:tcPr>
          <w:p>
            <w:pPr>
              <w:spacing w:after="0"/>
              <w:rPr>
                <w:sz w:val="17"/>
                <w:szCs w:val="17"/>
                <w:color w:val="auto"/>
              </w:rPr>
            </w:pPr>
          </w:p>
        </w:tc>
      </w:tr>
      <w:tr>
        <w:trPr>
          <w:trHeight w:val="203"/>
        </w:trPr>
        <w:tc>
          <w:tcPr>
            <w:tcW w:w="5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18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1,110</w:t>
            </w: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1,145</w:t>
            </w:r>
          </w:p>
        </w:tc>
        <w:tc>
          <w:tcPr>
            <w:tcW w:w="40" w:type="dxa"/>
            <w:vAlign w:val="bottom"/>
            <w:shd w:val="clear" w:color="auto" w:fill="CFF0FC"/>
          </w:tcPr>
          <w:p>
            <w:pPr>
              <w:spacing w:after="0"/>
              <w:rPr>
                <w:sz w:val="17"/>
                <w:szCs w:val="17"/>
                <w:color w:val="auto"/>
              </w:rPr>
            </w:pPr>
          </w:p>
        </w:tc>
      </w:tr>
      <w:tr>
        <w:trPr>
          <w:trHeight w:val="203"/>
        </w:trPr>
        <w:tc>
          <w:tcPr>
            <w:tcW w:w="534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18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1,618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1,636</w:t>
            </w:r>
          </w:p>
        </w:tc>
        <w:tc>
          <w:tcPr>
            <w:tcW w:w="40" w:type="dxa"/>
            <w:vAlign w:val="bottom"/>
          </w:tcPr>
          <w:p>
            <w:pPr>
              <w:spacing w:after="0"/>
              <w:rPr>
                <w:sz w:val="17"/>
                <w:szCs w:val="17"/>
                <w:color w:val="auto"/>
              </w:rPr>
            </w:pPr>
          </w:p>
        </w:tc>
      </w:tr>
      <w:tr>
        <w:trPr>
          <w:trHeight w:val="203"/>
        </w:trPr>
        <w:tc>
          <w:tcPr>
            <w:tcW w:w="5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18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40" w:type="dxa"/>
            <w:vAlign w:val="bottom"/>
            <w:shd w:val="clear" w:color="auto" w:fill="CFF0FC"/>
          </w:tcPr>
          <w:p>
            <w:pPr>
              <w:spacing w:after="0"/>
              <w:rPr>
                <w:sz w:val="17"/>
                <w:szCs w:val="17"/>
                <w:color w:val="auto"/>
              </w:rPr>
            </w:pPr>
          </w:p>
        </w:tc>
      </w:tr>
      <w:tr>
        <w:trPr>
          <w:trHeight w:val="203"/>
        </w:trPr>
        <w:tc>
          <w:tcPr>
            <w:tcW w:w="534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Unallocated and other</w:t>
            </w:r>
          </w:p>
        </w:tc>
        <w:tc>
          <w:tcPr>
            <w:tcW w:w="1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1,726</w:t>
            </w:r>
          </w:p>
        </w:tc>
        <w:tc>
          <w:tcPr>
            <w:tcW w:w="40" w:type="dxa"/>
            <w:vAlign w:val="bottom"/>
          </w:tcPr>
          <w:p>
            <w:pPr>
              <w:spacing w:after="0"/>
              <w:rPr>
                <w:sz w:val="17"/>
                <w:szCs w:val="17"/>
                <w:color w:val="auto"/>
              </w:rPr>
            </w:pPr>
          </w:p>
        </w:tc>
      </w:tr>
      <w:tr>
        <w:trPr>
          <w:trHeight w:val="236"/>
        </w:trPr>
        <w:tc>
          <w:tcPr>
            <w:tcW w:w="5340" w:type="dxa"/>
            <w:vAlign w:val="bottom"/>
            <w:tcBorders>
              <w:bottom w:val="single" w:sz="8" w:color="CFF0FC"/>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ind w:right="16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6,549</w:t>
            </w:r>
          </w:p>
        </w:tc>
        <w:tc>
          <w:tcPr>
            <w:tcW w:w="340" w:type="dxa"/>
            <w:vAlign w:val="bottom"/>
            <w:tcBorders>
              <w:bottom w:val="single" w:sz="8" w:color="CFF0FC"/>
            </w:tcBorders>
            <w:gridSpan w:val="2"/>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6,612</w:t>
            </w:r>
          </w:p>
        </w:tc>
        <w:tc>
          <w:tcPr>
            <w:tcW w:w="40" w:type="dxa"/>
            <w:vAlign w:val="bottom"/>
            <w:tcBorders>
              <w:bottom w:val="single" w:sz="8" w:color="CFF0FC"/>
            </w:tcBorders>
            <w:shd w:val="clear" w:color="auto" w:fill="CFF0FC"/>
          </w:tcPr>
          <w:p>
            <w:pPr>
              <w:spacing w:after="0"/>
              <w:rPr>
                <w:sz w:val="20"/>
                <w:szCs w:val="20"/>
                <w:color w:val="auto"/>
              </w:rPr>
            </w:pPr>
          </w:p>
        </w:tc>
      </w:tr>
      <w:tr>
        <w:trPr>
          <w:trHeight w:val="115"/>
        </w:trPr>
        <w:tc>
          <w:tcPr>
            <w:tcW w:w="53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-119380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-102235</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-119380</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-102235</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9" w:lineRule="exact"/>
        <w:rPr>
          <w:sz w:val="20"/>
          <w:szCs w:val="20"/>
          <w:color w:val="auto"/>
        </w:rPr>
      </w:pPr>
    </w:p>
    <w:p>
      <w:pPr>
        <w:ind w:left="358" w:hanging="358"/>
        <w:spacing w:after="0"/>
        <w:tabs>
          <w:tab w:leader="none" w:pos="3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Intersegment sales from Intermediates are accounted for at prices that approximate fair value. All other intersegment sales are accounted for at cost.</w:t>
      </w:r>
    </w:p>
    <w:p>
      <w:pPr>
        <w:spacing w:after="0" w:line="41" w:lineRule="exact"/>
        <w:rPr>
          <w:rFonts w:ascii="Arial" w:cs="Arial" w:eastAsia="Arial" w:hAnsi="Arial"/>
          <w:sz w:val="14"/>
          <w:szCs w:val="14"/>
          <w:color w:val="auto"/>
        </w:rPr>
      </w:pPr>
    </w:p>
    <w:p>
      <w:pPr>
        <w:ind w:left="358" w:hanging="358"/>
        <w:spacing w:after="0"/>
        <w:tabs>
          <w:tab w:leader="none" w:pos="358"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a capital project impairment of $9 million for the three months ended December 20, 2020 relating to a long-term capital project plan change at a plant facility.</w:t>
      </w:r>
    </w:p>
    <w:p>
      <w:pPr>
        <w:spacing w:after="0" w:line="39" w:lineRule="exact"/>
        <w:rPr>
          <w:rFonts w:ascii="Arial" w:cs="Arial" w:eastAsia="Arial" w:hAnsi="Arial"/>
          <w:sz w:val="13"/>
          <w:szCs w:val="13"/>
          <w:color w:val="auto"/>
        </w:rPr>
      </w:pPr>
    </w:p>
    <w:p>
      <w:pPr>
        <w:ind w:left="358" w:hanging="358"/>
        <w:spacing w:after="0" w:line="273" w:lineRule="auto"/>
        <w:tabs>
          <w:tab w:leader="none" w:pos="3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200" w:lineRule="exact"/>
        <w:rPr>
          <w:sz w:val="20"/>
          <w:szCs w:val="20"/>
          <w:color w:val="auto"/>
        </w:rPr>
      </w:pPr>
    </w:p>
    <w:p>
      <w:pPr>
        <w:spacing w:after="0" w:line="316"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8"/>
          </w:cols>
          <w:pgMar w:left="702" w:top="283" w:right="71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0" w:lineRule="exact"/>
        <w:rPr>
          <w:sz w:val="20"/>
          <w:szCs w:val="20"/>
          <w:color w:val="auto"/>
        </w:rPr>
      </w:pPr>
    </w:p>
    <w:p>
      <w:pPr>
        <w:jc w:val="both"/>
        <w:ind w:left="380"/>
        <w:spacing w:after="0" w:line="253" w:lineRule="auto"/>
        <w:rPr>
          <w:sz w:val="20"/>
          <w:szCs w:val="20"/>
          <w:color w:val="auto"/>
        </w:rPr>
      </w:pPr>
      <w:r>
        <w:rPr>
          <w:rFonts w:ascii="Arial" w:cs="Arial" w:eastAsia="Arial" w:hAnsi="Arial"/>
          <w:sz w:val="18"/>
          <w:szCs w:val="18"/>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acquisition of Schülke &amp; Mayr’s personal care business and the sale of the Performance Adhesive business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Ashland’s growth strategies; the competitive nature of Ashland’s business;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6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35" w:right="71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0"/>
          <w:szCs w:val="20"/>
          <w:color w:val="auto"/>
        </w:rPr>
      </w:pPr>
    </w:p>
    <w:p>
      <w:pPr>
        <w:ind w:right="4000"/>
        <w:spacing w:after="0" w:line="252"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both"/>
        <w:ind w:left="380" w:right="160"/>
        <w:spacing w:after="0" w:line="246"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Ashland profile</w:t>
      </w:r>
    </w:p>
    <w:p>
      <w:pPr>
        <w:spacing w:after="0" w:line="100" w:lineRule="exact"/>
        <w:rPr>
          <w:sz w:val="20"/>
          <w:szCs w:val="20"/>
          <w:color w:val="auto"/>
        </w:rPr>
      </w:pPr>
    </w:p>
    <w:p>
      <w:pPr>
        <w:jc w:val="both"/>
        <w:ind w:left="380" w:right="160"/>
        <w:spacing w:after="0" w:line="267" w:lineRule="auto"/>
        <w:rPr>
          <w:sz w:val="20"/>
          <w:szCs w:val="20"/>
          <w:color w:val="auto"/>
        </w:rPr>
      </w:pPr>
      <w:r>
        <w:rPr>
          <w:rFonts w:ascii="Arial" w:cs="Arial" w:eastAsia="Arial" w:hAnsi="Arial"/>
          <w:sz w:val="18"/>
          <w:szCs w:val="18"/>
          <w:color w:val="auto"/>
        </w:rPr>
        <w:t>Ashland is a premier specialty additives and materials company with a conscious and proactive mindset for sustainability. The Company serves customers in a wide range of consumer and industrial markets, including adhesives, architectural coatings, construction, energy, food and beverage, nutraceuticals, personal care and pharmaceutical. With approximately 4,100 (3,800 excluding Performance Adhesives) employees worldwide, Ashland serves customers in more than 100 countries.</w:t>
      </w:r>
    </w:p>
    <w:p>
      <w:pPr>
        <w:spacing w:after="0" w:line="51" w:lineRule="exact"/>
        <w:rPr>
          <w:sz w:val="20"/>
          <w:szCs w:val="20"/>
          <w:color w:val="auto"/>
        </w:rPr>
      </w:pPr>
    </w:p>
    <w:p>
      <w:pPr>
        <w:jc w:val="both"/>
        <w:ind w:left="380" w:right="160"/>
        <w:spacing w:after="0" w:line="300" w:lineRule="auto"/>
        <w:rPr>
          <w:sz w:val="20"/>
          <w:szCs w:val="20"/>
          <w:color w:val="auto"/>
        </w:rPr>
      </w:pPr>
      <w:r>
        <w:rPr>
          <w:rFonts w:ascii="Arial" w:cs="Arial" w:eastAsia="Arial" w:hAnsi="Arial"/>
          <w:sz w:val="18"/>
          <w:szCs w:val="18"/>
          <w:color w:val="auto"/>
        </w:rPr>
        <w:t>Ashland’s sales generated outside of North America were 68% for both the three months ended December 31, 2021 and 2020. Sales by region expressed as a percentage of total consolidated sales for the three months ended December 31 were as follows:</w:t>
      </w:r>
    </w:p>
    <w:p>
      <w:pPr>
        <w:spacing w:after="0" w:line="19"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66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left="610"/>
              <w:spacing w:after="0" w:line="201" w:lineRule="exact"/>
              <w:rPr>
                <w:sz w:val="20"/>
                <w:szCs w:val="20"/>
                <w:color w:val="auto"/>
              </w:rPr>
            </w:pPr>
            <w:r>
              <w:rPr>
                <w:rFonts w:ascii="Arial" w:cs="Arial" w:eastAsia="Arial" w:hAnsi="Arial"/>
                <w:sz w:val="18"/>
                <w:szCs w:val="18"/>
                <w:color w:val="auto"/>
                <w:w w:val="87"/>
              </w:rPr>
              <w:t>Three months ended</w:t>
            </w: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40" w:type="dxa"/>
            <w:vAlign w:val="bottom"/>
            <w:vMerge w:val="restart"/>
          </w:tcPr>
          <w:p>
            <w:pPr>
              <w:spacing w:after="0"/>
              <w:rPr>
                <w:sz w:val="20"/>
                <w:szCs w:val="20"/>
                <w:color w:val="auto"/>
              </w:rPr>
            </w:pPr>
            <w:r>
              <w:rPr>
                <w:rFonts w:ascii="Arial" w:cs="Arial" w:eastAsia="Arial" w:hAnsi="Arial"/>
                <w:sz w:val="18"/>
                <w:szCs w:val="18"/>
                <w:color w:val="auto"/>
              </w:rPr>
              <w:t>Sales by Geography</w:t>
            </w:r>
          </w:p>
        </w:tc>
        <w:tc>
          <w:tcPr>
            <w:tcW w:w="28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0"/>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32 %</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35 %</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Asia Pacific</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Latin America &amp; other</w:t>
            </w: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100 %</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15"/>
        </w:trPr>
        <w:tc>
          <w:tcPr>
            <w:tcW w:w="66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-119380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-102235</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Ashland includes only U.S. and Canada in its North America designation.</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segments</w:t>
      </w:r>
    </w:p>
    <w:p>
      <w:pPr>
        <w:spacing w:after="0" w:line="100" w:lineRule="exact"/>
        <w:rPr>
          <w:sz w:val="20"/>
          <w:szCs w:val="20"/>
          <w:color w:val="auto"/>
        </w:rPr>
      </w:pPr>
    </w:p>
    <w:p>
      <w:pPr>
        <w:jc w:val="both"/>
        <w:ind w:left="380" w:right="160"/>
        <w:spacing w:after="0" w:line="229" w:lineRule="auto"/>
        <w:rPr>
          <w:sz w:val="20"/>
          <w:szCs w:val="20"/>
          <w:color w:val="auto"/>
        </w:rPr>
      </w:pPr>
      <w:r>
        <w:rPr>
          <w:rFonts w:ascii="Arial" w:cs="Arial" w:eastAsia="Arial" w:hAnsi="Arial"/>
          <w:sz w:val="20"/>
          <w:szCs w:val="20"/>
          <w:color w:val="auto"/>
        </w:rPr>
        <w:t>On August 31, 2021, Ashland announced its agreement with Arkema, a French société anonyme, to sell the Performance Adhesive business for the sum of $1.65 billion. The transaction is expected to close by the March 2022 quarter end, subject to closing conditions. Ashland expects net proceeds from the sale to be approximately $1.2 to $1.3 billion, with the aim of using the proceeds to invest in the growth of its other reportable core businesses as well as to optimize its balance sheet through debt reductions or utilization of unused authorized share repurchase program amounts. The expected divestiture represents a strategic shift in Ashland's business and qualifies as a discontinued operation. As a result, the assets, liabilities, operating results and cash flows related to Performance Adhesives have been classified as discontinued operations for all periods presented within the Consolidated Financial Statements.</w:t>
      </w:r>
    </w:p>
    <w:p>
      <w:pPr>
        <w:spacing w:after="0" w:line="81" w:lineRule="exact"/>
        <w:rPr>
          <w:sz w:val="20"/>
          <w:szCs w:val="20"/>
          <w:color w:val="auto"/>
        </w:rPr>
      </w:pPr>
    </w:p>
    <w:p>
      <w:pPr>
        <w:jc w:val="both"/>
        <w:ind w:left="380" w:right="160"/>
        <w:spacing w:after="0" w:line="248" w:lineRule="auto"/>
        <w:rPr>
          <w:sz w:val="20"/>
          <w:szCs w:val="20"/>
          <w:color w:val="auto"/>
        </w:rPr>
      </w:pPr>
      <w:r>
        <w:rPr>
          <w:rFonts w:ascii="Arial" w:cs="Arial" w:eastAsia="Arial" w:hAnsi="Arial"/>
          <w:sz w:val="19"/>
          <w:szCs w:val="19"/>
          <w:color w:val="auto"/>
        </w:rPr>
        <w:t>As a result, Ashland’s reportable segments include Life Sciences, Personal Care (formerly Personal Care &amp; Household), Specialty Additives and Intermediates (formerly Intermediates and Solvents). Unallocated and Other includes corporate governance activities and certain legacy matters. The contribution to sales by each reportable segment expressed as a percentage of total consolidated sales for the three months ended December 31 was as follows:</w:t>
      </w: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19" w:right="559" w:bottom="1440" w:gutter="0" w:footer="0" w:header="0"/>
        </w:sectPr>
      </w:pPr>
    </w:p>
    <w:bookmarkStart w:id="29" w:name="page30"/>
    <w:bookmarkEnd w:id="29"/>
    <w:tbl>
      <w:tblPr>
        <w:tblLayout w:type="fixed"/>
        <w:tblInd w:w="420" w:type="dxa"/>
        <w:tblCellMar>
          <w:top w:w="0" w:type="dxa"/>
          <w:left w:w="0" w:type="dxa"/>
          <w:bottom w:w="0" w:type="dxa"/>
          <w:right w:w="0" w:type="dxa"/>
        </w:tblCellMar>
      </w:tblPr>
      <w:tr>
        <w:trPr>
          <w:trHeight w:val="202"/>
        </w:trPr>
        <w:tc>
          <w:tcPr>
            <w:tcW w:w="66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left="610"/>
              <w:spacing w:after="0" w:line="201" w:lineRule="exact"/>
              <w:rPr>
                <w:sz w:val="20"/>
                <w:szCs w:val="20"/>
                <w:color w:val="auto"/>
              </w:rPr>
            </w:pPr>
            <w:r>
              <w:rPr>
                <w:rFonts w:ascii="Arial" w:cs="Arial" w:eastAsia="Arial" w:hAnsi="Arial"/>
                <w:sz w:val="18"/>
                <w:szCs w:val="18"/>
                <w:color w:val="auto"/>
                <w:w w:val="87"/>
              </w:rPr>
              <w:t>Three months ended</w:t>
            </w: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40" w:type="dxa"/>
            <w:vAlign w:val="bottom"/>
            <w:vMerge w:val="restart"/>
          </w:tcPr>
          <w:p>
            <w:pPr>
              <w:spacing w:after="0"/>
              <w:rPr>
                <w:sz w:val="20"/>
                <w:szCs w:val="20"/>
                <w:color w:val="auto"/>
              </w:rPr>
            </w:pPr>
            <w:r>
              <w:rPr>
                <w:rFonts w:ascii="Arial" w:cs="Arial" w:eastAsia="Arial" w:hAnsi="Arial"/>
                <w:sz w:val="18"/>
                <w:szCs w:val="18"/>
                <w:color w:val="auto"/>
              </w:rPr>
              <w:t>Sales by Reportable Segment</w:t>
            </w:r>
          </w:p>
        </w:tc>
        <w:tc>
          <w:tcPr>
            <w:tcW w:w="28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0"/>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Life Sciences</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33 %</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Personal Care</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29 %</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Specialty Additives</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Intermediates</w:t>
            </w: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100 %</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DEVELOPMENTS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Business results current quarter</w:t>
      </w:r>
    </w:p>
    <w:p>
      <w:pPr>
        <w:spacing w:after="0" w:line="100" w:lineRule="exact"/>
        <w:rPr>
          <w:sz w:val="20"/>
          <w:szCs w:val="20"/>
          <w:color w:val="auto"/>
        </w:rPr>
      </w:pPr>
    </w:p>
    <w:p>
      <w:pPr>
        <w:jc w:val="both"/>
        <w:ind w:left="380"/>
        <w:spacing w:after="0" w:line="243" w:lineRule="auto"/>
        <w:rPr>
          <w:sz w:val="20"/>
          <w:szCs w:val="20"/>
          <w:color w:val="auto"/>
        </w:rPr>
      </w:pPr>
      <w:r>
        <w:rPr>
          <w:rFonts w:ascii="Arial" w:cs="Arial" w:eastAsia="Arial" w:hAnsi="Arial"/>
          <w:sz w:val="19"/>
          <w:szCs w:val="19"/>
          <w:color w:val="auto"/>
        </w:rPr>
        <w:t>Ashland recorded net income of $48 million (income of $32 million in continuing operations and $16 million in discontinued operations) and net income of $56 million (income of $43 million in continuing operations and $13 million in discontinued operations) in the current and prior year quarters, respectively. Ashland’s EBITDA of $118 million increased by $15 million for the current quarter, while Ashland’s Adjusted EBITDA of $106 million increased by $5 million for the current quarter, each compared to the prior year quarter (see U.S. GAAP reconciliation below under consolidated review). These increases were primarily driven by the operations of the acquired Schülke business along with improved pricing and mix, partially offset by increased plant, manufacturing, and shipping costs and unfavorable foreign currency.</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00"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60" w:lineRule="exact"/>
        <w:rPr>
          <w:sz w:val="20"/>
          <w:szCs w:val="20"/>
          <w:color w:val="auto"/>
        </w:rPr>
      </w:pPr>
    </w:p>
    <w:p>
      <w:pPr>
        <w:jc w:val="both"/>
        <w:ind w:left="380"/>
        <w:spacing w:after="0" w:line="241" w:lineRule="auto"/>
        <w:rPr>
          <w:sz w:val="20"/>
          <w:szCs w:val="20"/>
          <w:color w:val="auto"/>
        </w:rPr>
      </w:pPr>
      <w:r>
        <w:rPr>
          <w:rFonts w:ascii="Arial" w:cs="Arial" w:eastAsia="Arial" w:hAnsi="Arial"/>
          <w:sz w:val="19"/>
          <w:szCs w:val="19"/>
          <w:color w:val="auto"/>
        </w:rPr>
        <w:t>Ashland continues to successfully navigate the uncertain environment associated with the COVID-19 pandemic. Through the first quarter of fiscal 2022, Ashland has not experienced any additional major operating surprises related to the COVID-19 pandemic, continues to maintain supply chains in a challenging environment, had strong safety performance in the face of unprecedented pressures and improved operating discipline across each of its businesses. Ashland's businesses continued to show resiliency in the face of difficult economic circumstances. While sales were up in the quarter period-over-period, continued supply-chain and labor-shortage challenges inhibited Ashland's ability to meet strong overall customer demand. As a result, approximately $20 million of confirmed orders were delayed in late December with the large majority being shipped in early January. Additionally, Ashland continues to carry a large backlog of unconfirmed orders it cannot commit to supply at this time. Ashland’s overall liquidity remains strong and Ashland is able to meet its operating cash needs and other investing and financing cash requirements at this time, including those necessary to grow the business.</w:t>
      </w:r>
    </w:p>
    <w:p>
      <w:pPr>
        <w:spacing w:after="0" w:line="74" w:lineRule="exact"/>
        <w:rPr>
          <w:sz w:val="20"/>
          <w:szCs w:val="20"/>
          <w:color w:val="auto"/>
        </w:rPr>
      </w:pPr>
    </w:p>
    <w:p>
      <w:pPr>
        <w:jc w:val="both"/>
        <w:ind w:left="380"/>
        <w:spacing w:after="0" w:line="275"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items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Performance Adhesives</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30" w:right="719" w:bottom="1440" w:gutter="0" w:footer="0" w:header="0"/>
        </w:sectPr>
      </w:pPr>
    </w:p>
    <w:bookmarkStart w:id="30" w:name="page31"/>
    <w:bookmarkEnd w:id="30"/>
    <w:p>
      <w:pPr>
        <w:jc w:val="both"/>
        <w:ind w:left="380"/>
        <w:spacing w:after="0" w:line="239" w:lineRule="auto"/>
        <w:rPr>
          <w:sz w:val="20"/>
          <w:szCs w:val="20"/>
          <w:color w:val="auto"/>
        </w:rPr>
      </w:pPr>
      <w:r>
        <w:rPr>
          <w:rFonts w:ascii="Arial" w:cs="Arial" w:eastAsia="Arial" w:hAnsi="Arial"/>
          <w:sz w:val="19"/>
          <w:szCs w:val="19"/>
          <w:color w:val="auto"/>
        </w:rPr>
        <w:t>In May 2021, Ashland announced a strategic review of its Performance Adhesives business unit. On August 31, 2021, Ashland announced that it had signed a definitive agreement to sell substantially all of the assets and liabilities of its Performance Adhesives segment in a transaction valued at $1.65 billion. The transaction is expected to close prior to the end of the March 2022 quarter, contingent on certain customary regulatory approvals, standard conditions and completion of required employee information and consultation processes. Since this transaction represents a strategic shift in Ashland’s business and had a major effect on Ashland’s operations and financial results, the operating results and cash flows related to Performance Adhesives have been reflected as discontinued operations in the statement of Consolidated Comprehensive Income (Loss) and Statements of Condensed Consolidated Cash Flows. See Notes B and C of the Notes to the Condensed Consolidated Financial Statements for more information. Certain indirect corporate costs included within the selling, general and administrative expense caption of the Statement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$4 million for both the three months ended December 31, 2021, and 2020, respectively. Ashland is currently implementing plans to eliminate certain of these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Operational business model changes and restructurings</w:t>
      </w:r>
    </w:p>
    <w:p>
      <w:pPr>
        <w:spacing w:after="0" w:line="94" w:lineRule="exact"/>
        <w:rPr>
          <w:sz w:val="20"/>
          <w:szCs w:val="20"/>
          <w:color w:val="auto"/>
        </w:rPr>
      </w:pPr>
    </w:p>
    <w:p>
      <w:pPr>
        <w:jc w:val="both"/>
        <w:ind w:left="380"/>
        <w:spacing w:after="0" w:line="246" w:lineRule="auto"/>
        <w:rPr>
          <w:sz w:val="20"/>
          <w:szCs w:val="20"/>
          <w:color w:val="auto"/>
        </w:rPr>
      </w:pPr>
      <w:r>
        <w:rPr>
          <w:rFonts w:ascii="Arial" w:cs="Arial" w:eastAsia="Arial" w:hAnsi="Arial"/>
          <w:sz w:val="19"/>
          <w:szCs w:val="19"/>
          <w:color w:val="auto"/>
        </w:rPr>
        <w:t>As previously disclosed, during the second quarter of fiscal year 2020, Ashland changed the manner in which it manages the business moving from a functionally led to a business led organization. This new business-centric operational redesign of core operating systems and processes lead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targeted the following savings:</w:t>
      </w:r>
    </w:p>
    <w:p>
      <w:pPr>
        <w:spacing w:after="0" w:line="68" w:lineRule="exact"/>
        <w:rPr>
          <w:sz w:val="20"/>
          <w:szCs w:val="20"/>
          <w:color w:val="auto"/>
        </w:rPr>
      </w:pPr>
    </w:p>
    <w:p>
      <w:pPr>
        <w:ind w:left="1120" w:hanging="363"/>
        <w:spacing w:after="0"/>
        <w:tabs>
          <w:tab w:leader="none" w:pos="11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$50 million of incremental SARD cost savings</w:t>
      </w:r>
    </w:p>
    <w:p>
      <w:pPr>
        <w:spacing w:after="0" w:line="26" w:lineRule="exact"/>
        <w:rPr>
          <w:rFonts w:ascii="Arial" w:cs="Arial" w:eastAsia="Arial" w:hAnsi="Arial"/>
          <w:sz w:val="20"/>
          <w:szCs w:val="20"/>
          <w:color w:val="auto"/>
        </w:rPr>
      </w:pPr>
    </w:p>
    <w:p>
      <w:pPr>
        <w:ind w:left="1120" w:hanging="363"/>
        <w:spacing w:after="0"/>
        <w:tabs>
          <w:tab w:leader="none" w:pos="11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$50 million of incremental COGS productivity savings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As of December 31, 2021, Ashland has substantially achieved all of its target run-rate cost savings under these initiatives.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Net income</w:t>
      </w:r>
    </w:p>
    <w:p>
      <w:pPr>
        <w:spacing w:after="0" w:line="94" w:lineRule="exact"/>
        <w:rPr>
          <w:sz w:val="20"/>
          <w:szCs w:val="20"/>
          <w:color w:val="auto"/>
        </w:rPr>
      </w:pPr>
    </w:p>
    <w:p>
      <w:pPr>
        <w:ind w:left="380"/>
        <w:spacing w:after="0" w:line="246"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income taxes, discontinued operations and other significant events or transactions that are unusual or nonrecurring.</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Key financial results for the three months ended December 31, 2021 and 2020 included the following:</w:t>
      </w:r>
    </w:p>
    <w:p>
      <w:pPr>
        <w:spacing w:after="0" w:line="94" w:lineRule="exact"/>
        <w:rPr>
          <w:sz w:val="20"/>
          <w:szCs w:val="20"/>
          <w:color w:val="auto"/>
        </w:rPr>
      </w:pPr>
    </w:p>
    <w:p>
      <w:pPr>
        <w:ind w:left="740" w:hanging="358"/>
        <w:spacing w:after="0" w:line="246"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Ashland’s net income amounted to $48 million compared to $56 million for the three months ended December 31, 2021 and 2020, respectively, or income of $0.83 and $0.92 diluted earnings per share, respectively.</w:t>
      </w:r>
    </w:p>
    <w:p>
      <w:pPr>
        <w:spacing w:after="0" w:line="68" w:lineRule="exact"/>
        <w:rPr>
          <w:rFonts w:ascii="Arial" w:cs="Arial" w:eastAsia="Arial" w:hAnsi="Arial"/>
          <w:sz w:val="20"/>
          <w:szCs w:val="20"/>
          <w:color w:val="auto"/>
        </w:rPr>
      </w:pPr>
    </w:p>
    <w:p>
      <w:pPr>
        <w:ind w:left="740" w:hanging="358"/>
        <w:spacing w:after="0" w:line="246"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$16 million and $13 million during the three months ended December 31, 2021 and 2020, respectively.</w:t>
      </w:r>
    </w:p>
    <w:p>
      <w:pPr>
        <w:spacing w:after="0" w:line="68" w:lineRule="exact"/>
        <w:rPr>
          <w:rFonts w:ascii="Arial" w:cs="Arial" w:eastAsia="Arial" w:hAnsi="Arial"/>
          <w:sz w:val="20"/>
          <w:szCs w:val="20"/>
          <w:color w:val="auto"/>
        </w:rPr>
      </w:pPr>
    </w:p>
    <w:p>
      <w:pPr>
        <w:ind w:left="740" w:hanging="358"/>
        <w:spacing w:after="0" w:line="246"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income of $32 million and $43 million for the three months ended December 31, 2021 and 2020, respectively.</w:t>
      </w:r>
    </w:p>
    <w:p>
      <w:pPr>
        <w:spacing w:after="0" w:line="68" w:lineRule="exact"/>
        <w:rPr>
          <w:rFonts w:ascii="Arial" w:cs="Arial" w:eastAsia="Arial" w:hAnsi="Arial"/>
          <w:sz w:val="20"/>
          <w:szCs w:val="20"/>
          <w:color w:val="auto"/>
        </w:rPr>
      </w:pPr>
    </w:p>
    <w:p>
      <w:pPr>
        <w:jc w:val="both"/>
        <w:ind w:left="740" w:hanging="358"/>
        <w:spacing w:after="0" w:line="30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income tax rates were an expense of 13% and a benefit of 13% for the three months ended December 31, 2021 and 2020, respectively, and were significantly impacted by certain tax discrete items in both the current and prior year quarters.</w:t>
      </w:r>
    </w:p>
    <w:p>
      <w:pPr>
        <w:spacing w:after="0" w:line="22" w:lineRule="exact"/>
        <w:rPr>
          <w:rFonts w:ascii="Arial" w:cs="Arial" w:eastAsia="Arial" w:hAnsi="Arial"/>
          <w:sz w:val="18"/>
          <w:szCs w:val="18"/>
          <w:color w:val="auto"/>
        </w:rPr>
      </w:pPr>
    </w:p>
    <w:p>
      <w:pPr>
        <w:jc w:val="both"/>
        <w:ind w:left="740" w:hanging="358"/>
        <w:spacing w:after="0" w:line="237"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(income) of $5 million and income of $7 million for the three months ended December 31, 2021 and 2020, respectively. This includes gains of $4 million and $18 million on restricted investments, respectively, for the current and prior year quarters.</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33" w:right="719" w:bottom="1440" w:gutter="0" w:footer="0" w:header="0"/>
        </w:sectPr>
      </w:pPr>
    </w:p>
    <w:bookmarkStart w:id="31" w:name="page32"/>
    <w:bookmarkEnd w:id="31"/>
    <w:p>
      <w:pPr>
        <w:ind w:left="740" w:hanging="358"/>
        <w:spacing w:after="0"/>
        <w:tabs>
          <w:tab w:leader="none" w:pos="7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Net income on acquisitions and divestitures totaled income $14 million for the three months ended December 31, 2020.</w:t>
      </w:r>
    </w:p>
    <w:p>
      <w:pPr>
        <w:spacing w:after="0" w:line="105" w:lineRule="exact"/>
        <w:rPr>
          <w:rFonts w:ascii="Arial" w:cs="Arial" w:eastAsia="Arial" w:hAnsi="Arial"/>
          <w:sz w:val="19"/>
          <w:szCs w:val="19"/>
          <w:color w:val="auto"/>
        </w:rPr>
      </w:pPr>
    </w:p>
    <w:p>
      <w:pPr>
        <w:ind w:left="740" w:hanging="358"/>
        <w:spacing w:after="0"/>
        <w:tabs>
          <w:tab w:leader="none" w:pos="7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Operating income was $42 million and $17 million for the three months ended December 31, 2021 and 2020, respectively.</w:t>
      </w:r>
    </w:p>
    <w:p>
      <w:pPr>
        <w:spacing w:after="0" w:line="106"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Operating income</w:t>
      </w:r>
    </w:p>
    <w:p>
      <w:pPr>
        <w:spacing w:after="0" w:line="94"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Operating income/loss amounted to income of $42 million and $17 million for the three months ended December 31, 2021 and 2020,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75" w:lineRule="exact"/>
        <w:rPr>
          <w:sz w:val="20"/>
          <w:szCs w:val="20"/>
          <w:color w:val="auto"/>
        </w:rPr>
      </w:pPr>
    </w:p>
    <w:p>
      <w:pPr>
        <w:jc w:val="both"/>
        <w:ind w:left="740" w:right="380" w:hanging="358"/>
        <w:spacing w:after="0" w:line="263"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As a result of these activities, Ashland recorded expenses in the current and prior year quarters. See Note D in the Notes to Condensed Consolidated Financial Statements for further information on the restructuring activities.</w:t>
      </w:r>
    </w:p>
    <w:p>
      <w:pPr>
        <w:spacing w:after="0" w:line="53" w:lineRule="exact"/>
        <w:rPr>
          <w:rFonts w:ascii="Arial" w:cs="Arial" w:eastAsia="Arial" w:hAnsi="Arial"/>
          <w:sz w:val="18"/>
          <w:szCs w:val="18"/>
          <w:color w:val="auto"/>
        </w:rPr>
      </w:pPr>
    </w:p>
    <w:p>
      <w:pPr>
        <w:ind w:left="740" w:right="380" w:hanging="358"/>
        <w:spacing w:after="0" w:line="246" w:lineRule="auto"/>
        <w:tabs>
          <w:tab w:leader="none" w:pos="7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During the three months ended December 31, 2020, Ashland incurred an impairment charge associated with a long-term capital project plan change at a plant facility.</w:t>
      </w:r>
    </w:p>
    <w:p>
      <w:pPr>
        <w:spacing w:after="0" w:line="68" w:lineRule="exact"/>
        <w:rPr>
          <w:rFonts w:ascii="Arial" w:cs="Arial" w:eastAsia="Arial" w:hAnsi="Arial"/>
          <w:sz w:val="20"/>
          <w:szCs w:val="20"/>
          <w:color w:val="auto"/>
        </w:rPr>
      </w:pPr>
    </w:p>
    <w:p>
      <w:pPr>
        <w:jc w:val="both"/>
        <w:ind w:left="740" w:right="380" w:hanging="358"/>
        <w:spacing w:after="0" w:line="263"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related to operating facilities and previously divested businesses or non-operational sites. See Note L of the Notes to Condensed Consolidated Financial Statements for more information.</w:t>
      </w:r>
    </w:p>
    <w:p>
      <w:pPr>
        <w:spacing w:after="0" w:line="54" w:lineRule="exact"/>
        <w:rPr>
          <w:sz w:val="20"/>
          <w:szCs w:val="20"/>
          <w:color w:val="auto"/>
        </w:rPr>
      </w:pPr>
    </w:p>
    <w:p>
      <w:pPr>
        <w:ind w:left="380" w:right="380"/>
        <w:spacing w:after="0" w:line="246" w:lineRule="auto"/>
        <w:rPr>
          <w:sz w:val="20"/>
          <w:szCs w:val="20"/>
          <w:color w:val="auto"/>
        </w:rPr>
      </w:pPr>
      <w:r>
        <w:rPr>
          <w:rFonts w:ascii="Arial" w:cs="Arial" w:eastAsia="Arial" w:hAnsi="Arial"/>
          <w:sz w:val="20"/>
          <w:szCs w:val="20"/>
          <w:color w:val="auto"/>
        </w:rPr>
        <w:t>Operating income for the three months ended December 31, 2021 and 2020 included depreciation and amortization of $60 million and $59 million, respectively.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94" w:lineRule="exact"/>
        <w:rPr>
          <w:sz w:val="20"/>
          <w:szCs w:val="20"/>
          <w:color w:val="auto"/>
        </w:rPr>
      </w:pPr>
    </w:p>
    <w:p>
      <w:pPr>
        <w:ind w:left="740" w:right="380" w:hanging="358"/>
        <w:spacing w:after="0" w:line="246" w:lineRule="auto"/>
        <w:tabs>
          <w:tab w:leader="none" w:pos="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Net income on acquisitions and divestitures – Ashland recorded income of $14 million during the three months ended December 31, 2020 related to the sale of a Specialty Additives facility.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94" w:lineRule="exact"/>
        <w:rPr>
          <w:sz w:val="20"/>
          <w:szCs w:val="20"/>
          <w:color w:val="auto"/>
        </w:rPr>
      </w:pPr>
    </w:p>
    <w:p>
      <w:pPr>
        <w:ind w:left="380" w:right="380"/>
        <w:spacing w:after="0" w:line="246"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months ended December 31, 2021 and 2020.</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4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740" w:type="dxa"/>
            <w:vAlign w:val="bottom"/>
            <w:tcBorders>
              <w:top w:val="single" w:sz="8" w:color="auto"/>
              <w:bottom w:val="single" w:sz="8" w:color="auto"/>
            </w:tcBorders>
          </w:tcPr>
          <w:p>
            <w:pPr>
              <w:spacing w:after="0"/>
              <w:rPr>
                <w:sz w:val="17"/>
                <w:szCs w:val="17"/>
                <w:color w:val="auto"/>
              </w:rPr>
            </w:pPr>
          </w:p>
        </w:tc>
        <w:tc>
          <w:tcPr>
            <w:tcW w:w="3880" w:type="dxa"/>
            <w:vAlign w:val="bottom"/>
            <w:tcBorders>
              <w:top w:val="single" w:sz="8" w:color="auto"/>
              <w:bottom w:val="single" w:sz="8" w:color="auto"/>
            </w:tcBorders>
            <w:gridSpan w:val="4"/>
          </w:tcPr>
          <w:p>
            <w:pPr>
              <w:jc w:val="right"/>
              <w:ind w:right="430"/>
              <w:spacing w:after="0" w:line="202" w:lineRule="exact"/>
              <w:rPr>
                <w:sz w:val="20"/>
                <w:szCs w:val="20"/>
                <w:color w:val="auto"/>
              </w:rPr>
            </w:pPr>
            <w:r>
              <w:rPr>
                <w:rFonts w:ascii="Arial" w:cs="Arial" w:eastAsia="Arial" w:hAnsi="Arial"/>
                <w:sz w:val="18"/>
                <w:szCs w:val="18"/>
                <w:color w:val="auto"/>
              </w:rPr>
              <w:t>Three months ended December 31</w:t>
            </w:r>
          </w:p>
        </w:tc>
        <w:tc>
          <w:tcPr>
            <w:tcW w:w="1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2021</w:t>
            </w:r>
          </w:p>
        </w:tc>
        <w:tc>
          <w:tcPr>
            <w:tcW w:w="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2020</w:t>
            </w: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Sales</w:t>
            </w:r>
          </w:p>
        </w:tc>
        <w:tc>
          <w:tcPr>
            <w:tcW w:w="740" w:type="dxa"/>
            <w:vAlign w:val="bottom"/>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512</w:t>
            </w:r>
          </w:p>
        </w:tc>
        <w:tc>
          <w:tcPr>
            <w:tcW w:w="86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468</w:t>
            </w:r>
          </w:p>
        </w:tc>
        <w:tc>
          <w:tcPr>
            <w:tcW w:w="76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provides a reconciliation of the change in sales for the three ended December 31,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4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right"/>
              <w:ind w:right="490"/>
              <w:spacing w:after="0" w:line="201" w:lineRule="exact"/>
              <w:rPr>
                <w:sz w:val="20"/>
                <w:szCs w:val="20"/>
                <w:color w:val="auto"/>
              </w:rPr>
            </w:pPr>
            <w:r>
              <w:rPr>
                <w:rFonts w:ascii="Arial" w:cs="Arial" w:eastAsia="Arial" w:hAnsi="Arial"/>
                <w:sz w:val="18"/>
                <w:szCs w:val="18"/>
                <w:color w:val="auto"/>
                <w:w w:val="98"/>
              </w:rPr>
              <w:t>Three months ended</w:t>
            </w:r>
          </w:p>
        </w:tc>
        <w:tc>
          <w:tcPr>
            <w:tcW w:w="400" w:type="dxa"/>
            <w:vAlign w:val="bottom"/>
          </w:tcPr>
          <w:p>
            <w:pPr>
              <w:spacing w:after="0"/>
              <w:rPr>
                <w:sz w:val="17"/>
                <w:szCs w:val="17"/>
                <w:color w:val="auto"/>
              </w:rPr>
            </w:pPr>
          </w:p>
        </w:tc>
      </w:tr>
      <w:tr>
        <w:trPr>
          <w:trHeight w:val="217"/>
        </w:trPr>
        <w:tc>
          <w:tcPr>
            <w:tcW w:w="420" w:type="dxa"/>
            <w:vAlign w:val="bottom"/>
          </w:tcPr>
          <w:p>
            <w:pPr>
              <w:spacing w:after="0"/>
              <w:rPr>
                <w:sz w:val="18"/>
                <w:szCs w:val="18"/>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December 31, 2021</w:t>
            </w:r>
          </w:p>
        </w:tc>
        <w:tc>
          <w:tcPr>
            <w:tcW w:w="400" w:type="dxa"/>
            <w:vAlign w:val="bottom"/>
          </w:tcPr>
          <w:p>
            <w:pPr>
              <w:spacing w:after="0"/>
              <w:rPr>
                <w:sz w:val="18"/>
                <w:szCs w:val="18"/>
                <w:color w:val="auto"/>
              </w:rPr>
            </w:pPr>
          </w:p>
        </w:tc>
      </w:tr>
      <w:tr>
        <w:trPr>
          <w:trHeight w:val="196"/>
        </w:trPr>
        <w:tc>
          <w:tcPr>
            <w:tcW w:w="420" w:type="dxa"/>
            <w:vAlign w:val="bottom"/>
          </w:tcPr>
          <w:p>
            <w:pPr>
              <w:spacing w:after="0"/>
              <w:rPr>
                <w:sz w:val="17"/>
                <w:szCs w:val="17"/>
                <w:color w:val="auto"/>
              </w:rPr>
            </w:pPr>
          </w:p>
        </w:tc>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Volume</w:t>
            </w:r>
          </w:p>
        </w:tc>
        <w:tc>
          <w:tcPr>
            <w:tcW w:w="49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2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Pricing</w:t>
            </w:r>
          </w:p>
        </w:tc>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Currency exchange</w:t>
            </w:r>
          </w:p>
        </w:tc>
        <w:tc>
          <w:tcPr>
            <w:tcW w:w="4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Acquisition</w:t>
            </w:r>
          </w:p>
        </w:tc>
        <w:tc>
          <w:tcPr>
            <w:tcW w:w="4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400" w:type="dxa"/>
            <w:vAlign w:val="bottom"/>
          </w:tcPr>
          <w:p>
            <w:pPr>
              <w:spacing w:after="0"/>
              <w:rPr>
                <w:sz w:val="17"/>
                <w:szCs w:val="17"/>
                <w:color w:val="auto"/>
              </w:rPr>
            </w:pPr>
          </w:p>
        </w:tc>
      </w:tr>
      <w:tr>
        <w:trPr>
          <w:trHeight w:val="236"/>
        </w:trPr>
        <w:tc>
          <w:tcPr>
            <w:tcW w:w="420" w:type="dxa"/>
            <w:vAlign w:val="bottom"/>
          </w:tcPr>
          <w:p>
            <w:pPr>
              <w:spacing w:after="0"/>
              <w:rPr>
                <w:sz w:val="20"/>
                <w:szCs w:val="20"/>
                <w:color w:val="auto"/>
              </w:rPr>
            </w:pPr>
          </w:p>
        </w:tc>
        <w:tc>
          <w:tcPr>
            <w:tcW w:w="32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Change in sales</w:t>
            </w:r>
          </w:p>
        </w:tc>
        <w:tc>
          <w:tcPr>
            <w:tcW w:w="46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44</w:t>
            </w:r>
          </w:p>
        </w:tc>
        <w:tc>
          <w:tcPr>
            <w:tcW w:w="400" w:type="dxa"/>
            <w:vAlign w:val="bottom"/>
          </w:tcPr>
          <w:p>
            <w:pPr>
              <w:spacing w:after="0"/>
              <w:rPr>
                <w:sz w:val="20"/>
                <w:szCs w:val="20"/>
                <w:color w:val="auto"/>
              </w:rPr>
            </w:pPr>
          </w:p>
        </w:tc>
      </w:tr>
      <w:tr>
        <w:trPr>
          <w:trHeight w:val="507"/>
        </w:trPr>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40" w:type="dxa"/>
            <w:vAlign w:val="bottom"/>
          </w:tcPr>
          <w:p>
            <w:pPr>
              <w:jc w:val="right"/>
              <w:ind w:right="251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8"/>
          <w:szCs w:val="18"/>
          <w:color w:val="auto"/>
        </w:rPr>
        <w:t>Sales for the current quarter increased $44 million compared to the prior year quarter. Favorable volume, including the acquisition of Schülke within the Personal Care reportable segment, and product pricing associated with cost inflation pricing actions increased sales by $24 million and $26 million, respectively, partially offset by unfavorable foreign currency exchange of $6 million.</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8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17"/>
                <w:szCs w:val="17"/>
                <w:color w:val="auto"/>
              </w:rPr>
            </w:pPr>
          </w:p>
        </w:tc>
        <w:tc>
          <w:tcPr>
            <w:tcW w:w="3180" w:type="dxa"/>
            <w:vAlign w:val="bottom"/>
            <w:tcBorders>
              <w:top w:val="single" w:sz="8" w:color="auto"/>
              <w:bottom w:val="single" w:sz="8" w:color="auto"/>
            </w:tcBorders>
            <w:gridSpan w:val="4"/>
          </w:tcPr>
          <w:p>
            <w:pPr>
              <w:jc w:val="right"/>
              <w:ind w:right="130"/>
              <w:spacing w:after="0" w:line="202" w:lineRule="exact"/>
              <w:rPr>
                <w:sz w:val="20"/>
                <w:szCs w:val="20"/>
                <w:color w:val="auto"/>
              </w:rPr>
            </w:pPr>
            <w:r>
              <w:rPr>
                <w:rFonts w:ascii="Arial" w:cs="Arial" w:eastAsia="Arial" w:hAnsi="Arial"/>
                <w:sz w:val="18"/>
                <w:szCs w:val="18"/>
                <w:color w:val="auto"/>
              </w:rPr>
              <w:t>Three months ended December 31</w:t>
            </w:r>
          </w:p>
        </w:tc>
        <w:tc>
          <w:tcPr>
            <w:tcW w:w="8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Cost of sales</w:t>
            </w: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351</w:t>
            </w:r>
          </w:p>
        </w:tc>
        <w:tc>
          <w:tcPr>
            <w:tcW w:w="5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321</w:t>
            </w:r>
          </w:p>
        </w:tc>
        <w:tc>
          <w:tcPr>
            <w:tcW w:w="5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31.4 %</w:t>
            </w:r>
          </w:p>
        </w:tc>
        <w:tc>
          <w:tcPr>
            <w:tcW w:w="5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31.4 %</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reconciliation of the change in cost of sales between the three months ended December 31, 2021 and 2020.</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jc w:val="right"/>
              <w:ind w:right="470"/>
              <w:spacing w:after="0" w:line="201" w:lineRule="exact"/>
              <w:rPr>
                <w:sz w:val="20"/>
                <w:szCs w:val="20"/>
                <w:color w:val="auto"/>
              </w:rPr>
            </w:pPr>
            <w:r>
              <w:rPr>
                <w:rFonts w:ascii="Arial" w:cs="Arial" w:eastAsia="Arial" w:hAnsi="Arial"/>
                <w:sz w:val="18"/>
                <w:szCs w:val="18"/>
                <w:color w:val="auto"/>
                <w:w w:val="98"/>
              </w:rPr>
              <w:t>Three months ended</w:t>
            </w:r>
          </w:p>
        </w:tc>
      </w:tr>
      <w:tr>
        <w:trPr>
          <w:trHeight w:val="217"/>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December 31, 2021</w:t>
            </w:r>
          </w:p>
        </w:tc>
      </w:tr>
      <w:tr>
        <w:trPr>
          <w:trHeight w:val="196"/>
        </w:trPr>
        <w:tc>
          <w:tcPr>
            <w:tcW w:w="7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Changes in:</w:t>
            </w:r>
          </w:p>
        </w:tc>
        <w:tc>
          <w:tcPr>
            <w:tcW w:w="280" w:type="dxa"/>
            <w:vAlign w:val="bottom"/>
            <w:shd w:val="clear" w:color="auto" w:fill="CFF0FC"/>
          </w:tcPr>
          <w:p>
            <w:pPr>
              <w:spacing w:after="0"/>
              <w:rPr>
                <w:sz w:val="17"/>
                <w:szCs w:val="17"/>
                <w:color w:val="auto"/>
              </w:rPr>
            </w:pPr>
          </w:p>
        </w:tc>
        <w:tc>
          <w:tcPr>
            <w:tcW w:w="2220" w:type="dxa"/>
            <w:vAlign w:val="bottom"/>
            <w:shd w:val="clear" w:color="auto" w:fill="CFF0FC"/>
          </w:tcPr>
          <w:p>
            <w:pPr>
              <w:spacing w:after="0"/>
              <w:rPr>
                <w:sz w:val="17"/>
                <w:szCs w:val="17"/>
                <w:color w:val="auto"/>
              </w:rPr>
            </w:pPr>
          </w:p>
        </w:tc>
      </w:tr>
      <w:tr>
        <w:trPr>
          <w:trHeight w:val="203"/>
        </w:trPr>
        <w:tc>
          <w:tcPr>
            <w:tcW w:w="7920" w:type="dxa"/>
            <w:vAlign w:val="bottom"/>
          </w:tcPr>
          <w:p>
            <w:pPr>
              <w:ind w:left="180"/>
              <w:spacing w:after="0" w:line="202" w:lineRule="exact"/>
              <w:rPr>
                <w:sz w:val="20"/>
                <w:szCs w:val="20"/>
                <w:color w:val="auto"/>
              </w:rPr>
            </w:pPr>
            <w:r>
              <w:rPr>
                <w:rFonts w:ascii="Arial" w:cs="Arial" w:eastAsia="Arial" w:hAnsi="Arial"/>
                <w:sz w:val="18"/>
                <w:szCs w:val="18"/>
                <w:color w:val="auto"/>
              </w:rPr>
              <w:t>Volume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r>
      <w:tr>
        <w:trPr>
          <w:trHeight w:val="203"/>
        </w:trPr>
        <w:tc>
          <w:tcPr>
            <w:tcW w:w="79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Price/mix</w:t>
            </w:r>
          </w:p>
        </w:tc>
        <w:tc>
          <w:tcPr>
            <w:tcW w:w="280" w:type="dxa"/>
            <w:vAlign w:val="bottom"/>
            <w:shd w:val="clear" w:color="auto" w:fill="CFF0FC"/>
          </w:tcPr>
          <w:p>
            <w:pPr>
              <w:spacing w:after="0"/>
              <w:rPr>
                <w:sz w:val="17"/>
                <w:szCs w:val="17"/>
                <w:color w:val="auto"/>
              </w:rPr>
            </w:pPr>
          </w:p>
        </w:tc>
        <w:tc>
          <w:tcPr>
            <w:tcW w:w="2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w:t>
            </w:r>
          </w:p>
        </w:tc>
      </w:tr>
      <w:tr>
        <w:trPr>
          <w:trHeight w:val="203"/>
        </w:trPr>
        <w:tc>
          <w:tcPr>
            <w:tcW w:w="7920" w:type="dxa"/>
            <w:vAlign w:val="bottom"/>
          </w:tcPr>
          <w:p>
            <w:pPr>
              <w:ind w:left="180"/>
              <w:spacing w:after="0" w:line="202" w:lineRule="exact"/>
              <w:rPr>
                <w:sz w:val="20"/>
                <w:szCs w:val="20"/>
                <w:color w:val="auto"/>
              </w:rPr>
            </w:pPr>
            <w:r>
              <w:rPr>
                <w:rFonts w:ascii="Arial" w:cs="Arial" w:eastAsia="Arial" w:hAnsi="Arial"/>
                <w:sz w:val="18"/>
                <w:szCs w:val="18"/>
                <w:color w:val="auto"/>
              </w:rPr>
              <w:t>Currency exchange</w:t>
            </w:r>
          </w:p>
        </w:tc>
        <w:tc>
          <w:tcPr>
            <w:tcW w:w="28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r>
      <w:tr>
        <w:trPr>
          <w:trHeight w:val="203"/>
        </w:trPr>
        <w:tc>
          <w:tcPr>
            <w:tcW w:w="79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Acquisition</w:t>
            </w:r>
          </w:p>
        </w:tc>
        <w:tc>
          <w:tcPr>
            <w:tcW w:w="280" w:type="dxa"/>
            <w:vAlign w:val="bottom"/>
            <w:tcBorders>
              <w:bottom w:val="single" w:sz="8" w:color="auto"/>
            </w:tcBorders>
            <w:shd w:val="clear" w:color="auto" w:fill="CFF0FC"/>
          </w:tcPr>
          <w:p>
            <w:pPr>
              <w:spacing w:after="0"/>
              <w:rPr>
                <w:sz w:val="17"/>
                <w:szCs w:val="17"/>
                <w:color w:val="auto"/>
              </w:rPr>
            </w:pPr>
          </w:p>
        </w:tc>
        <w:tc>
          <w:tcPr>
            <w:tcW w:w="22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10</w:t>
            </w:r>
          </w:p>
        </w:tc>
      </w:tr>
      <w:tr>
        <w:trPr>
          <w:trHeight w:val="196"/>
        </w:trPr>
        <w:tc>
          <w:tcPr>
            <w:tcW w:w="7920" w:type="dxa"/>
            <w:vAlign w:val="bottom"/>
          </w:tcPr>
          <w:p>
            <w:pPr>
              <w:spacing w:after="0" w:line="182" w:lineRule="exact"/>
              <w:rPr>
                <w:sz w:val="20"/>
                <w:szCs w:val="20"/>
                <w:color w:val="auto"/>
              </w:rPr>
            </w:pPr>
            <w:r>
              <w:rPr>
                <w:rFonts w:ascii="Arial" w:cs="Arial" w:eastAsia="Arial" w:hAnsi="Arial"/>
                <w:sz w:val="18"/>
                <w:szCs w:val="18"/>
                <w:color w:val="auto"/>
              </w:rPr>
              <w:t>Change in cost of sales</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30</w:t>
            </w: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Cost of sales for the current quarter increased $30 million compared to the prior year quarter. Price/mix, which includes cost inflation associated with plant manufacturing and shipping costs, and higher volume, including Schülke, increased cost of sales by $19 million and $14 million, respectively. These increases were partially offset by foreign currency exchange, which decreased cost of sales by $3 million.</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8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top w:val="single" w:sz="8" w:color="auto"/>
              <w:bottom w:val="single" w:sz="8" w:color="auto"/>
            </w:tcBorders>
          </w:tcPr>
          <w:p>
            <w:pPr>
              <w:spacing w:after="0"/>
              <w:rPr>
                <w:sz w:val="17"/>
                <w:szCs w:val="17"/>
                <w:color w:val="auto"/>
              </w:rPr>
            </w:pPr>
          </w:p>
        </w:tc>
        <w:tc>
          <w:tcPr>
            <w:tcW w:w="3180" w:type="dxa"/>
            <w:vAlign w:val="bottom"/>
            <w:tcBorders>
              <w:top w:val="single" w:sz="8" w:color="auto"/>
              <w:bottom w:val="single" w:sz="8" w:color="auto"/>
            </w:tcBorders>
            <w:gridSpan w:val="4"/>
          </w:tcPr>
          <w:p>
            <w:pPr>
              <w:jc w:val="right"/>
              <w:ind w:right="130"/>
              <w:spacing w:after="0" w:line="202" w:lineRule="exact"/>
              <w:rPr>
                <w:sz w:val="20"/>
                <w:szCs w:val="20"/>
                <w:color w:val="auto"/>
              </w:rPr>
            </w:pPr>
            <w:r>
              <w:rPr>
                <w:rFonts w:ascii="Arial" w:cs="Arial" w:eastAsia="Arial" w:hAnsi="Arial"/>
                <w:sz w:val="18"/>
                <w:szCs w:val="18"/>
                <w:color w:val="auto"/>
              </w:rPr>
              <w:t>Three months ended December 31</w:t>
            </w:r>
          </w:p>
        </w:tc>
        <w:tc>
          <w:tcPr>
            <w:tcW w:w="8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Selling, general and administrative expense</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82</w:t>
            </w:r>
          </w:p>
        </w:tc>
        <w:tc>
          <w:tcPr>
            <w:tcW w:w="5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101</w:t>
            </w:r>
          </w:p>
        </w:tc>
        <w:tc>
          <w:tcPr>
            <w:tcW w:w="58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5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16.0 %</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21.6 %</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Selling, general and administrative expense for the current quarter decreased $19 million compared to the prior year quarter with expenses as a percent of sales decreasing 5.6 percentage points. Key drivers of the fluctuation in selling, general and administrative expense compared to the prior year quarter were:</w:t>
      </w:r>
    </w:p>
    <w:p>
      <w:pPr>
        <w:spacing w:after="0" w:line="75" w:lineRule="exact"/>
        <w:rPr>
          <w:sz w:val="20"/>
          <w:szCs w:val="20"/>
          <w:color w:val="auto"/>
        </w:rPr>
      </w:pPr>
    </w:p>
    <w:p>
      <w:pPr>
        <w:ind w:left="360" w:hanging="358"/>
        <w:spacing w:after="0" w:line="246"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Expense of $1 million and $12 million comprised of key items for severance, lease abandonment and other restructuring costs during the three months ended December 31, 2021 and 2020, respectively;</w:t>
      </w:r>
    </w:p>
    <w:p>
      <w:pPr>
        <w:spacing w:after="0" w:line="68" w:lineRule="exact"/>
        <w:rPr>
          <w:rFonts w:ascii="Arial" w:cs="Arial" w:eastAsia="Arial" w:hAnsi="Arial"/>
          <w:sz w:val="20"/>
          <w:szCs w:val="20"/>
          <w:color w:val="auto"/>
        </w:rPr>
      </w:pPr>
    </w:p>
    <w:p>
      <w:pPr>
        <w:ind w:left="360" w:hanging="358"/>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$9 million related to a capital project impairment during the three months ended December 31, 2020;</w:t>
      </w:r>
    </w:p>
    <w:p>
      <w:pPr>
        <w:spacing w:after="0" w:line="94" w:lineRule="exact"/>
        <w:rPr>
          <w:rFonts w:ascii="Arial" w:cs="Arial" w:eastAsia="Arial" w:hAnsi="Arial"/>
          <w:sz w:val="20"/>
          <w:szCs w:val="20"/>
          <w:color w:val="auto"/>
        </w:rPr>
      </w:pPr>
    </w:p>
    <w:p>
      <w:pPr>
        <w:ind w:left="360" w:hanging="358"/>
        <w:spacing w:after="0" w:line="246"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$3 million and $4 million in net environmental-related expenses during the current and prior year period, respectively (see Note L for more information); and</w:t>
      </w:r>
    </w:p>
    <w:p>
      <w:pPr>
        <w:spacing w:after="0" w:line="68" w:lineRule="exact"/>
        <w:rPr>
          <w:rFonts w:ascii="Arial" w:cs="Arial" w:eastAsia="Arial" w:hAnsi="Arial"/>
          <w:sz w:val="20"/>
          <w:szCs w:val="20"/>
          <w:color w:val="auto"/>
        </w:rPr>
      </w:pPr>
    </w:p>
    <w:p>
      <w:pPr>
        <w:ind w:left="360" w:hanging="358"/>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$2 million increase in selling, general and administrative expense related to the Schülke acquisition.</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9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17"/>
                <w:szCs w:val="17"/>
                <w:color w:val="auto"/>
              </w:rPr>
            </w:pPr>
          </w:p>
        </w:tc>
        <w:tc>
          <w:tcPr>
            <w:tcW w:w="3120" w:type="dxa"/>
            <w:vAlign w:val="bottom"/>
            <w:tcBorders>
              <w:top w:val="single" w:sz="8" w:color="auto"/>
              <w:bottom w:val="single" w:sz="8" w:color="auto"/>
            </w:tcBorders>
            <w:gridSpan w:val="4"/>
          </w:tcPr>
          <w:p>
            <w:pPr>
              <w:jc w:val="right"/>
              <w:ind w:right="110"/>
              <w:spacing w:after="0" w:line="202" w:lineRule="exact"/>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Research and development expense</w:t>
            </w: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w:t>
            </w:r>
          </w:p>
        </w:tc>
        <w:tc>
          <w:tcPr>
            <w:tcW w:w="64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w:t>
            </w:r>
          </w:p>
        </w:tc>
        <w:tc>
          <w:tcPr>
            <w:tcW w:w="6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expense is consistent with the prior year quarter.</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9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17"/>
                <w:szCs w:val="17"/>
                <w:color w:val="auto"/>
              </w:rPr>
            </w:pPr>
          </w:p>
        </w:tc>
        <w:tc>
          <w:tcPr>
            <w:tcW w:w="3120" w:type="dxa"/>
            <w:vAlign w:val="bottom"/>
            <w:tcBorders>
              <w:top w:val="single" w:sz="8" w:color="auto"/>
              <w:bottom w:val="single" w:sz="8" w:color="auto"/>
            </w:tcBorders>
            <w:gridSpan w:val="4"/>
          </w:tcPr>
          <w:p>
            <w:pPr>
              <w:jc w:val="right"/>
              <w:ind w:right="110"/>
              <w:spacing w:after="0" w:line="202" w:lineRule="exact"/>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Intangibles amortization expense</w:t>
            </w: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w:t>
            </w:r>
          </w:p>
        </w:tc>
        <w:tc>
          <w:tcPr>
            <w:tcW w:w="64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w:t>
            </w:r>
          </w:p>
        </w:tc>
        <w:tc>
          <w:tcPr>
            <w:tcW w:w="6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amortization expense in the current quarter is due to the amortization of intangible assets associated with the Schülke acquisition.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60" w:right="719" w:bottom="1440" w:gutter="0" w:footer="0" w:header="0"/>
        </w:sectPr>
      </w:pPr>
    </w:p>
    <w:bookmarkStart w:id="33" w:name="page34"/>
    <w:bookmarkEnd w:id="33"/>
    <w:tbl>
      <w:tblPr>
        <w:tblLayout w:type="fixed"/>
        <w:tblInd w:w="40" w:type="dxa"/>
        <w:tblCellMar>
          <w:top w:w="0" w:type="dxa"/>
          <w:left w:w="0" w:type="dxa"/>
          <w:bottom w:w="0" w:type="dxa"/>
          <w:right w:w="0" w:type="dxa"/>
        </w:tblCellMar>
      </w:tblPr>
      <w:tr>
        <w:trPr>
          <w:trHeight w:val="203"/>
        </w:trPr>
        <w:tc>
          <w:tcPr>
            <w:tcW w:w="5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17"/>
                <w:szCs w:val="17"/>
                <w:color w:val="auto"/>
              </w:rPr>
            </w:pPr>
          </w:p>
        </w:tc>
        <w:tc>
          <w:tcPr>
            <w:tcW w:w="3120" w:type="dxa"/>
            <w:vAlign w:val="bottom"/>
            <w:tcBorders>
              <w:top w:val="single" w:sz="8" w:color="auto"/>
              <w:bottom w:val="single" w:sz="8" w:color="auto"/>
            </w:tcBorders>
            <w:gridSpan w:val="8"/>
          </w:tcPr>
          <w:p>
            <w:pPr>
              <w:jc w:val="right"/>
              <w:ind w:right="127"/>
              <w:spacing w:after="0" w:line="202" w:lineRule="exact"/>
              <w:rPr>
                <w:sz w:val="20"/>
                <w:szCs w:val="20"/>
                <w:color w:val="auto"/>
              </w:rPr>
            </w:pPr>
            <w:r>
              <w:rPr>
                <w:rFonts w:ascii="Arial" w:cs="Arial" w:eastAsia="Arial" w:hAnsi="Arial"/>
                <w:sz w:val="18"/>
                <w:szCs w:val="18"/>
                <w:color w:val="auto"/>
              </w:rPr>
              <w:t>Three months ended December 31</w:t>
            </w: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Change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Equity and other income</w:t>
            </w:r>
          </w:p>
        </w:tc>
        <w:tc>
          <w:tcPr>
            <w:tcW w:w="5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Other income</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780" w:type="dxa"/>
            <w:vAlign w:val="bottom"/>
            <w:gridSpan w:val="3"/>
          </w:tcPr>
          <w:p>
            <w:pPr>
              <w:jc w:val="right"/>
              <w:ind w:right="407"/>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7027545</wp:posOffset>
            </wp:positionH>
            <wp:positionV relativeFrom="page">
              <wp:posOffset>204470</wp:posOffset>
            </wp:positionV>
            <wp:extent cx="76835"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-24765</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-7620</wp:posOffset>
            </wp:positionV>
            <wp:extent cx="431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-24765</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-7620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-24765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-7620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income of $5 million in the prior year quarter is primarily due to a gain on sale of excess corporate property of roughly $4 million.</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3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440" w:type="dxa"/>
            <w:vAlign w:val="bottom"/>
            <w:tcBorders>
              <w:top w:val="single" w:sz="8" w:color="auto"/>
              <w:bottom w:val="single" w:sz="8" w:color="auto"/>
            </w:tcBorders>
          </w:tcPr>
          <w:p>
            <w:pPr>
              <w:spacing w:after="0"/>
              <w:rPr>
                <w:sz w:val="17"/>
                <w:szCs w:val="17"/>
                <w:color w:val="auto"/>
              </w:rPr>
            </w:pPr>
          </w:p>
        </w:tc>
        <w:tc>
          <w:tcPr>
            <w:tcW w:w="2920" w:type="dxa"/>
            <w:vAlign w:val="bottom"/>
            <w:tcBorders>
              <w:top w:val="single" w:sz="8" w:color="auto"/>
              <w:bottom w:val="single" w:sz="8" w:color="auto"/>
            </w:tcBorders>
            <w:gridSpan w:val="6"/>
          </w:tcPr>
          <w:p>
            <w:pPr>
              <w:jc w:val="right"/>
              <w:ind w:right="27"/>
              <w:spacing w:after="0" w:line="202" w:lineRule="exact"/>
              <w:rPr>
                <w:sz w:val="20"/>
                <w:szCs w:val="20"/>
                <w:color w:val="auto"/>
              </w:rPr>
            </w:pPr>
            <w:r>
              <w:rPr>
                <w:rFonts w:ascii="Arial" w:cs="Arial" w:eastAsia="Arial" w:hAnsi="Arial"/>
                <w:sz w:val="18"/>
                <w:szCs w:val="18"/>
                <w:color w:val="auto"/>
              </w:rPr>
              <w:t>Three months ended December 31</w:t>
            </w: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interest and other expense (income)</w:t>
            </w: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660" w:type="dxa"/>
            <w:vAlign w:val="bottom"/>
            <w:gridSpan w:val="2"/>
          </w:tcPr>
          <w:p>
            <w:pPr>
              <w:jc w:val="right"/>
              <w:ind w:right="34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Loss (income) from restricted investments</w:t>
            </w: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(23 )</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Other financing costs</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(7 )</w:t>
            </w: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4846955</wp:posOffset>
            </wp:positionH>
            <wp:positionV relativeFrom="paragraph">
              <wp:posOffset>-25400</wp:posOffset>
            </wp:positionV>
            <wp:extent cx="1111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-7620</wp:posOffset>
            </wp:positionV>
            <wp:extent cx="1111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-25400</wp:posOffset>
            </wp:positionV>
            <wp:extent cx="1028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-7620</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Net interest and other expense increased by $12 million during the current quarter compared to the prior year quarter. Interest expense increased $1 million primarily due to higher debt levels during the current quarter compared to the prior year quarter. Restricted investments income of $12 million and $23 million included gains of $4 million compared to $18 million for the three months ended December 31, 2021 and 2020, respectively. See Note E for more information on the restricted investments.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540" w:type="dxa"/>
            <w:vAlign w:val="bottom"/>
            <w:tcBorders>
              <w:top w:val="single" w:sz="8" w:color="auto"/>
              <w:bottom w:val="single" w:sz="8" w:color="auto"/>
            </w:tcBorders>
          </w:tcPr>
          <w:p>
            <w:pPr>
              <w:spacing w:after="0"/>
              <w:rPr>
                <w:sz w:val="17"/>
                <w:szCs w:val="17"/>
                <w:color w:val="auto"/>
              </w:rPr>
            </w:pPr>
          </w:p>
        </w:tc>
        <w:tc>
          <w:tcPr>
            <w:tcW w:w="3100" w:type="dxa"/>
            <w:vAlign w:val="bottom"/>
            <w:tcBorders>
              <w:top w:val="single" w:sz="8" w:color="auto"/>
              <w:bottom w:val="single" w:sz="8" w:color="auto"/>
            </w:tcBorders>
            <w:gridSpan w:val="4"/>
          </w:tcPr>
          <w:p>
            <w:pPr>
              <w:jc w:val="right"/>
              <w:ind w:right="110"/>
              <w:spacing w:after="0" w:line="202" w:lineRule="exact"/>
              <w:rPr>
                <w:sz w:val="20"/>
                <w:szCs w:val="20"/>
                <w:color w:val="auto"/>
              </w:rPr>
            </w:pPr>
            <w:r>
              <w:rPr>
                <w:rFonts w:ascii="Arial" w:cs="Arial" w:eastAsia="Arial" w:hAnsi="Arial"/>
                <w:sz w:val="18"/>
                <w:szCs w:val="18"/>
                <w:color w:val="auto"/>
              </w:rPr>
              <w:t>Three months ended December 31</w:t>
            </w: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on acquisitions and divestitures</w:t>
            </w: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w:t>
            </w:r>
          </w:p>
        </w:tc>
        <w:tc>
          <w:tcPr>
            <w:tcW w:w="6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The activity in the prior year quarter relates to a a $14 million gain related to the sale of a Specialty Additives facility.</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440" w:type="dxa"/>
            <w:vAlign w:val="bottom"/>
            <w:tcBorders>
              <w:top w:val="single" w:sz="8" w:color="auto"/>
              <w:bottom w:val="single" w:sz="8" w:color="auto"/>
            </w:tcBorders>
          </w:tcPr>
          <w:p>
            <w:pPr>
              <w:spacing w:after="0"/>
              <w:rPr>
                <w:sz w:val="17"/>
                <w:szCs w:val="17"/>
                <w:color w:val="auto"/>
              </w:rPr>
            </w:pPr>
          </w:p>
        </w:tc>
        <w:tc>
          <w:tcPr>
            <w:tcW w:w="3220" w:type="dxa"/>
            <w:vAlign w:val="bottom"/>
            <w:tcBorders>
              <w:top w:val="single" w:sz="8" w:color="auto"/>
              <w:bottom w:val="single" w:sz="8" w:color="auto"/>
            </w:tcBorders>
            <w:gridSpan w:val="4"/>
          </w:tcPr>
          <w:p>
            <w:pPr>
              <w:jc w:val="right"/>
              <w:ind w:right="130"/>
              <w:spacing w:after="0" w:line="202" w:lineRule="exact"/>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Income tax expense (benefit)</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5</w:t>
            </w:r>
          </w:p>
        </w:tc>
        <w:tc>
          <w:tcPr>
            <w:tcW w:w="5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(5 )</w:t>
            </w:r>
          </w:p>
        </w:tc>
        <w:tc>
          <w:tcPr>
            <w:tcW w:w="68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4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13 %</w:t>
            </w:r>
          </w:p>
        </w:tc>
        <w:tc>
          <w:tcPr>
            <w:tcW w:w="5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(13 )%</w:t>
            </w: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13% for the three months ended December 31, 2021 and was primarily impacted by jurisdictional income mix, as well as favorable discrete items of $3 million.</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overall effective tax rate was a benefit of 13% for the three months ended December 31, 2020 and was primarily impacted by jurisdictional income mix, as well as favorable discrete items of $13 million primarily related to the sale of a Specialty Additives facility.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tax expense (benefit)</w:t>
      </w:r>
    </w:p>
    <w:p>
      <w:pPr>
        <w:spacing w:after="0" w:line="9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22" w:right="719" w:bottom="1440" w:gutter="0" w:footer="0" w:header="0"/>
        </w:sectPr>
      </w:pPr>
    </w:p>
    <w:bookmarkStart w:id="34" w:name="page35"/>
    <w:bookmarkEnd w:id="34"/>
    <w:p>
      <w:pPr>
        <w:spacing w:after="0" w:line="246" w:lineRule="auto"/>
        <w:rPr>
          <w:sz w:val="20"/>
          <w:szCs w:val="20"/>
          <w:color w:val="auto"/>
        </w:rPr>
      </w:pPr>
      <w:r>
        <w:rPr>
          <w:rFonts w:ascii="Arial" w:cs="Arial" w:eastAsia="Arial" w:hAnsi="Arial"/>
          <w:sz w:val="20"/>
          <w:szCs w:val="20"/>
          <w:color w:val="auto"/>
        </w:rPr>
        <w:t>The effective tax rate during the three months ended December 31, 2021 and 2020 was significantly impacted by the following tax specific key items:</w:t>
      </w:r>
    </w:p>
    <w:p>
      <w:pPr>
        <w:spacing w:after="0" w:line="69" w:lineRule="exact"/>
        <w:rPr>
          <w:sz w:val="20"/>
          <w:szCs w:val="20"/>
          <w:color w:val="auto"/>
        </w:rPr>
      </w:pPr>
    </w:p>
    <w:p>
      <w:pPr>
        <w:ind w:left="360" w:hanging="358"/>
        <w:spacing w:after="0" w:line="246"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 the impact of the sale of a Specialty Additives facility.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3"/>
          </w:tcPr>
          <w:p>
            <w:pPr>
              <w:jc w:val="right"/>
              <w:ind w:right="210"/>
              <w:spacing w:after="0" w:line="201" w:lineRule="exact"/>
              <w:rPr>
                <w:sz w:val="20"/>
                <w:szCs w:val="20"/>
                <w:color w:val="auto"/>
              </w:rPr>
            </w:pPr>
            <w:r>
              <w:rPr>
                <w:rFonts w:ascii="Arial" w:cs="Arial" w:eastAsia="Arial" w:hAnsi="Arial"/>
                <w:sz w:val="18"/>
                <w:szCs w:val="18"/>
                <w:color w:val="auto"/>
              </w:rPr>
              <w:t>Three months ended</w:t>
            </w: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Income (loss) from continuing operations before income taxes</w:t>
            </w: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37</w:t>
            </w:r>
          </w:p>
        </w:tc>
        <w:tc>
          <w:tcPr>
            <w:tcW w:w="980" w:type="dxa"/>
            <w:vAlign w:val="bottom"/>
            <w:gridSpan w:val="2"/>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5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income from continuing operations</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b w:val="1"/>
                <w:bCs w:val="1"/>
                <w:color w:val="auto"/>
              </w:rPr>
              <w:t>before income taxes</w:t>
            </w:r>
          </w:p>
        </w:tc>
        <w:tc>
          <w:tcPr>
            <w:tcW w:w="520" w:type="dxa"/>
            <w:vAlign w:val="bottom"/>
            <w:tcBorders>
              <w:bottom w:val="single" w:sz="8" w:color="auto"/>
            </w:tcBorders>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6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 (benefit)</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5</w:t>
            </w:r>
          </w:p>
        </w:tc>
        <w:tc>
          <w:tcPr>
            <w:tcW w:w="980" w:type="dxa"/>
            <w:vAlign w:val="bottom"/>
            <w:gridSpan w:val="2"/>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tax rate adjustments:</w:t>
            </w:r>
          </w:p>
        </w:tc>
        <w:tc>
          <w:tcPr>
            <w:tcW w:w="5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Tax effect of key items</w:t>
            </w:r>
          </w:p>
        </w:tc>
        <w:tc>
          <w:tcPr>
            <w:tcW w:w="5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6840" w:type="dxa"/>
            <w:vAlign w:val="bottom"/>
          </w:tcPr>
          <w:p>
            <w:pPr>
              <w:ind w:left="80"/>
              <w:spacing w:after="0" w:line="202" w:lineRule="exact"/>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Restructuring and separation activity</w:t>
            </w:r>
          </w:p>
        </w:tc>
        <w:tc>
          <w:tcPr>
            <w:tcW w:w="5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 income tax rate adjustments</w:t>
            </w: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Adjusted income tax expense</w:t>
            </w: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6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5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13 %</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35"/>
        </w:trPr>
        <w:tc>
          <w:tcPr>
            <w:tcW w:w="68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-1719580</wp:posOffset>
            </wp:positionV>
            <wp:extent cx="12001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-1456690</wp:posOffset>
            </wp:positionV>
            <wp:extent cx="1200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-1439545</wp:posOffset>
            </wp:positionV>
            <wp:extent cx="1200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-1170940</wp:posOffset>
            </wp:positionV>
            <wp:extent cx="12001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-647700</wp:posOffset>
            </wp:positionV>
            <wp:extent cx="12001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-376555</wp:posOffset>
            </wp:positionV>
            <wp:extent cx="1200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-359410</wp:posOffset>
            </wp:positionV>
            <wp:extent cx="1200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ind w:left="360" w:hanging="358"/>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Adjusted EBITDA reconciliation table disclosed in this MD&amp;A for a summary of the key items, before tax.</w:t>
      </w:r>
    </w:p>
    <w:p>
      <w:pPr>
        <w:spacing w:after="0" w:line="13" w:lineRule="exact"/>
        <w:rPr>
          <w:rFonts w:ascii="Arial" w:cs="Arial" w:eastAsia="Arial" w:hAnsi="Arial"/>
          <w:sz w:val="14"/>
          <w:szCs w:val="14"/>
          <w:color w:val="auto"/>
        </w:rPr>
      </w:pPr>
    </w:p>
    <w:p>
      <w:pPr>
        <w:ind w:left="360" w:hanging="358"/>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disclosed in this MD&amp;A.</w:t>
      </w:r>
    </w:p>
    <w:p>
      <w:pPr>
        <w:spacing w:after="0" w:line="1" w:lineRule="exact"/>
        <w:rPr>
          <w:rFonts w:ascii="Arial" w:cs="Arial" w:eastAsia="Arial" w:hAnsi="Arial"/>
          <w:sz w:val="14"/>
          <w:szCs w:val="14"/>
          <w:color w:val="auto"/>
        </w:rPr>
      </w:pPr>
    </w:p>
    <w:p>
      <w:pPr>
        <w:ind w:left="360" w:hanging="358"/>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top w:val="single" w:sz="8" w:color="auto"/>
              <w:bottom w:val="single" w:sz="8" w:color="auto"/>
            </w:tcBorders>
          </w:tcPr>
          <w:p>
            <w:pPr>
              <w:spacing w:after="0"/>
              <w:rPr>
                <w:sz w:val="17"/>
                <w:szCs w:val="17"/>
                <w:color w:val="auto"/>
              </w:rPr>
            </w:pPr>
          </w:p>
        </w:tc>
        <w:tc>
          <w:tcPr>
            <w:tcW w:w="2900" w:type="dxa"/>
            <w:vAlign w:val="bottom"/>
            <w:tcBorders>
              <w:top w:val="single" w:sz="8" w:color="auto"/>
              <w:bottom w:val="single" w:sz="8" w:color="auto"/>
            </w:tcBorders>
            <w:gridSpan w:val="6"/>
          </w:tcPr>
          <w:p>
            <w:pPr>
              <w:jc w:val="right"/>
              <w:ind w:right="100"/>
              <w:spacing w:after="0" w:line="202" w:lineRule="exact"/>
              <w:rPr>
                <w:sz w:val="20"/>
                <w:szCs w:val="20"/>
                <w:color w:val="auto"/>
              </w:rPr>
            </w:pPr>
            <w:r>
              <w:rPr>
                <w:rFonts w:ascii="Arial" w:cs="Arial" w:eastAsia="Arial" w:hAnsi="Arial"/>
                <w:sz w:val="18"/>
                <w:szCs w:val="18"/>
                <w:color w:val="auto"/>
                <w:w w:val="99"/>
              </w:rPr>
              <w:t>Three months ended December 31</w:t>
            </w: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Income (loss) from discontinued operation (net of taxes)</w:t>
            </w: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60"/>
              <w:spacing w:after="0" w:line="202" w:lineRule="exact"/>
              <w:rPr>
                <w:sz w:val="20"/>
                <w:szCs w:val="20"/>
                <w:color w:val="auto"/>
              </w:rPr>
            </w:pPr>
            <w:r>
              <w:rPr>
                <w:rFonts w:ascii="Arial" w:cs="Arial" w:eastAsia="Arial" w:hAnsi="Arial"/>
                <w:sz w:val="18"/>
                <w:szCs w:val="18"/>
                <w:color w:val="auto"/>
              </w:rPr>
              <w:t>Performance Adhesives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Distribution</w:t>
            </w: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b w:val="1"/>
                <w:bCs w:val="1"/>
                <w:color w:val="auto"/>
              </w:rPr>
              <w:t>Gain (loss) on disposal of discontinued operations (net of taxes)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Composites/Marl facility</w:t>
            </w: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66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4864100</wp:posOffset>
            </wp:positionH>
            <wp:positionV relativeFrom="paragraph">
              <wp:posOffset>-159385</wp:posOffset>
            </wp:positionV>
            <wp:extent cx="10287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-159385</wp:posOffset>
            </wp:positionV>
            <wp:extent cx="939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activity for Distribution and Composites/Marl facility during the current and prior year quarters was related to post-closing adjustments. The Composites/Marl Facility activity for the prior year quarter included post-closing purchase price dispute adjustments. The Performance Adhesives segment sales and pre-tax operating income included in discontinued operations were $96 million and $22 million, and $84 million and $24 million respectively, for the current and prior year quarter.</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comprehensive income (loss)</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comparative analysis of the components of other comprehensive income is provided below for the three months ended December 31, 2021 and 2020.</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(In millions)</w:t>
            </w:r>
          </w:p>
        </w:tc>
        <w:tc>
          <w:tcPr>
            <w:tcW w:w="540" w:type="dxa"/>
            <w:vAlign w:val="bottom"/>
            <w:tcBorders>
              <w:top w:val="single" w:sz="8" w:color="auto"/>
              <w:bottom w:val="single" w:sz="8" w:color="auto"/>
            </w:tcBorders>
          </w:tcPr>
          <w:p>
            <w:pPr>
              <w:spacing w:after="0"/>
              <w:rPr>
                <w:sz w:val="17"/>
                <w:szCs w:val="17"/>
                <w:color w:val="auto"/>
              </w:rPr>
            </w:pPr>
          </w:p>
        </w:tc>
        <w:tc>
          <w:tcPr>
            <w:tcW w:w="3480" w:type="dxa"/>
            <w:vAlign w:val="bottom"/>
            <w:tcBorders>
              <w:top w:val="single" w:sz="8" w:color="auto"/>
              <w:bottom w:val="single" w:sz="8" w:color="auto"/>
            </w:tcBorders>
            <w:gridSpan w:val="6"/>
          </w:tcPr>
          <w:p>
            <w:pPr>
              <w:jc w:val="right"/>
              <w:ind w:right="340"/>
              <w:spacing w:after="0" w:line="202" w:lineRule="exact"/>
              <w:rPr>
                <w:sz w:val="20"/>
                <w:szCs w:val="20"/>
                <w:color w:val="auto"/>
              </w:rPr>
            </w:pPr>
            <w:r>
              <w:rPr>
                <w:rFonts w:ascii="Arial" w:cs="Arial" w:eastAsia="Arial" w:hAnsi="Arial"/>
                <w:sz w:val="18"/>
                <w:szCs w:val="18"/>
                <w:color w:val="auto"/>
              </w:rPr>
              <w:t>Three months ended December 31</w:t>
            </w:r>
          </w:p>
        </w:tc>
        <w:tc>
          <w:tcPr>
            <w:tcW w:w="9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Other comprehensive income (loss) (net of taxes)</w:t>
            </w: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Unrealized translation gain (loss)</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(17 )</w:t>
            </w: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gain (loss) on commodity hedges</w:t>
            </w: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(20 )</w:t>
            </w:r>
          </w:p>
        </w:tc>
        <w:tc>
          <w:tcPr>
            <w:tcW w:w="76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-159385</wp:posOffset>
            </wp:positionV>
            <wp:extent cx="15430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-159385</wp:posOffset>
            </wp:positionV>
            <wp:extent cx="14605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5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Total other comprehensive income (loss), net of tax, for the current quarter decreased $68 million compared to the prior year quarter primarily as a result of the following:</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33" w:right="719" w:bottom="1440" w:gutter="0" w:footer="0" w:header="0"/>
        </w:sectPr>
      </w:pPr>
    </w:p>
    <w:bookmarkStart w:id="35" w:name="page36"/>
    <w:bookmarkEnd w:id="35"/>
    <w:p>
      <w:pPr>
        <w:jc w:val="both"/>
        <w:ind w:left="740" w:hanging="363"/>
        <w:spacing w:after="0" w:line="234" w:lineRule="auto"/>
        <w:tabs>
          <w:tab w:leader="none" w:pos="7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For the three months ended December 31, 2021, the change in unrealized gain (loss) from foreign currency translation adjustments resulted in a loss of $17 million compared to a gain of $48 million for the three months ended December 31, 2020. The fluctuations in unrealized translation gains and losses are primarily due to translating foreign subsidiary financial statements from local currencies to U.S. Dollars.</w:t>
      </w:r>
    </w:p>
    <w:p>
      <w:pPr>
        <w:spacing w:after="0" w:line="75" w:lineRule="exact"/>
        <w:rPr>
          <w:rFonts w:ascii="Arial" w:cs="Arial" w:eastAsia="Arial" w:hAnsi="Arial"/>
          <w:sz w:val="20"/>
          <w:szCs w:val="20"/>
          <w:color w:val="auto"/>
        </w:rPr>
      </w:pPr>
    </w:p>
    <w:p>
      <w:pPr>
        <w:ind w:left="740" w:hanging="363"/>
        <w:spacing w:after="0" w:line="246" w:lineRule="auto"/>
        <w:tabs>
          <w:tab w:leader="none" w:pos="7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For the three months ended December 31, 2021, the change in commodity hedges is primarily due to the fluctuations of the market prices of the underlying commodities.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5" w:lineRule="exact"/>
        <w:rPr>
          <w:sz w:val="20"/>
          <w:szCs w:val="20"/>
          <w:color w:val="auto"/>
        </w:rPr>
      </w:pPr>
    </w:p>
    <w:p>
      <w:pPr>
        <w:ind w:left="360" w:hanging="358"/>
        <w:spacing w:after="0" w:line="246"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8" w:lineRule="exact"/>
        <w:rPr>
          <w:rFonts w:ascii="Arial" w:cs="Arial" w:eastAsia="Arial" w:hAnsi="Arial"/>
          <w:sz w:val="20"/>
          <w:szCs w:val="20"/>
          <w:color w:val="auto"/>
        </w:rPr>
      </w:pPr>
    </w:p>
    <w:p>
      <w:pPr>
        <w:jc w:val="both"/>
        <w:ind w:left="360" w:hanging="358"/>
        <w:spacing w:after="0" w:line="237"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remeasurement gains and losses related to pension and other postretirement plans).</w:t>
      </w:r>
    </w:p>
    <w:p>
      <w:pPr>
        <w:spacing w:after="0" w:line="74" w:lineRule="exact"/>
        <w:rPr>
          <w:rFonts w:ascii="Arial" w:cs="Arial" w:eastAsia="Arial" w:hAnsi="Arial"/>
          <w:sz w:val="20"/>
          <w:szCs w:val="20"/>
          <w:color w:val="auto"/>
        </w:rPr>
      </w:pPr>
    </w:p>
    <w:p>
      <w:pPr>
        <w:ind w:left="360" w:hanging="358"/>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94" w:lineRule="exact"/>
        <w:rPr>
          <w:rFonts w:ascii="Arial" w:cs="Arial" w:eastAsia="Arial" w:hAnsi="Arial"/>
          <w:sz w:val="20"/>
          <w:szCs w:val="20"/>
          <w:color w:val="auto"/>
        </w:rPr>
      </w:pPr>
    </w:p>
    <w:p>
      <w:pPr>
        <w:ind w:left="360" w:hanging="358"/>
        <w:spacing w:after="0" w:line="246"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360" w:hanging="358"/>
        <w:spacing w:after="0" w:line="300"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22" w:lineRule="exact"/>
        <w:rPr>
          <w:rFonts w:ascii="Arial" w:cs="Arial" w:eastAsia="Arial" w:hAnsi="Arial"/>
          <w:sz w:val="18"/>
          <w:szCs w:val="18"/>
          <w:color w:val="auto"/>
        </w:rPr>
      </w:pPr>
    </w:p>
    <w:p>
      <w:pPr>
        <w:ind w:left="360" w:hanging="358"/>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w:t>
      </w:r>
    </w:p>
    <w:p>
      <w:pPr>
        <w:spacing w:after="0" w:line="94" w:lineRule="exact"/>
        <w:rPr>
          <w:rFonts w:ascii="Arial" w:cs="Arial" w:eastAsia="Arial" w:hAnsi="Arial"/>
          <w:sz w:val="20"/>
          <w:szCs w:val="20"/>
          <w:color w:val="auto"/>
        </w:rPr>
      </w:pPr>
    </w:p>
    <w:p>
      <w:pPr>
        <w:ind w:left="360" w:hanging="358"/>
        <w:spacing w:after="0"/>
        <w:tabs>
          <w:tab w:leader="none" w:pos="3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Ongoing free cash flow – operating cash flows less capital expenditures and certain other adjustments as applicable.</w:t>
      </w:r>
    </w:p>
    <w:p>
      <w:pPr>
        <w:spacing w:after="0" w:line="105" w:lineRule="exact"/>
        <w:rPr>
          <w:rFonts w:ascii="Arial" w:cs="Arial" w:eastAsia="Arial" w:hAnsi="Arial"/>
          <w:sz w:val="19"/>
          <w:szCs w:val="19"/>
          <w:color w:val="auto"/>
        </w:rPr>
      </w:pPr>
    </w:p>
    <w:p>
      <w:pPr>
        <w:ind w:left="360" w:hanging="358"/>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Ongoing free cash flow conversion – ongoing free cash flow divided by adjusted EBITDA.</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33" w:right="719" w:bottom="1440" w:gutter="0" w:footer="0" w:header="0"/>
        </w:sectPr>
      </w:pPr>
    </w:p>
    <w:bookmarkStart w:id="36" w:name="page37"/>
    <w:bookmarkEnd w:id="36"/>
    <w:p>
      <w:pPr>
        <w:jc w:val="both"/>
        <w:ind w:left="380" w:right="380"/>
        <w:spacing w:after="0" w:line="260" w:lineRule="auto"/>
        <w:rPr>
          <w:sz w:val="20"/>
          <w:szCs w:val="20"/>
          <w:color w:val="auto"/>
        </w:rPr>
      </w:pPr>
      <w:r>
        <w:rPr>
          <w:rFonts w:ascii="Arial" w:cs="Arial" w:eastAsia="Arial" w:hAnsi="Arial"/>
          <w:sz w:val="18"/>
          <w:szCs w:val="18"/>
          <w:color w:val="auto"/>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59" w:lineRule="exact"/>
        <w:rPr>
          <w:sz w:val="20"/>
          <w:szCs w:val="20"/>
          <w:color w:val="auto"/>
        </w:rPr>
      </w:pPr>
    </w:p>
    <w:p>
      <w:pPr>
        <w:jc w:val="both"/>
        <w:ind w:left="380" w:right="380"/>
        <w:spacing w:after="0" w:line="258" w:lineRule="auto"/>
        <w:rPr>
          <w:sz w:val="20"/>
          <w:szCs w:val="20"/>
          <w:color w:val="auto"/>
        </w:rPr>
      </w:pPr>
      <w:r>
        <w:rPr>
          <w:rFonts w:ascii="Arial" w:cs="Arial" w:eastAsia="Arial" w:hAnsi="Arial"/>
          <w:sz w:val="18"/>
          <w:szCs w:val="18"/>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62" w:lineRule="exact"/>
        <w:rPr>
          <w:sz w:val="20"/>
          <w:szCs w:val="20"/>
          <w:color w:val="auto"/>
        </w:rPr>
      </w:pPr>
    </w:p>
    <w:p>
      <w:pPr>
        <w:jc w:val="both"/>
        <w:ind w:left="380" w:right="380"/>
        <w:spacing w:after="0" w:line="257"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w:t>
      </w:r>
    </w:p>
    <w:p>
      <w:pPr>
        <w:spacing w:after="0" w:line="94" w:lineRule="exact"/>
        <w:rPr>
          <w:sz w:val="20"/>
          <w:szCs w:val="20"/>
          <w:color w:val="auto"/>
        </w:rPr>
      </w:pPr>
    </w:p>
    <w:p>
      <w:pPr>
        <w:jc w:val="both"/>
        <w:ind w:left="380" w:right="380"/>
        <w:spacing w:after="0" w:line="232" w:lineRule="auto"/>
        <w:rPr>
          <w:sz w:val="20"/>
          <w:szCs w:val="20"/>
          <w:color w:val="auto"/>
        </w:rPr>
      </w:pPr>
      <w:r>
        <w:rPr>
          <w:rFonts w:ascii="Arial" w:cs="Arial" w:eastAsia="Arial" w:hAnsi="Arial"/>
          <w:sz w:val="20"/>
          <w:szCs w:val="20"/>
          <w:color w:val="auto"/>
        </w:rPr>
        <w:t>EBITDA totaled income of $118 million and $103 million for the three months ended December 31, 2021 and 2020,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442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w w:val="98"/>
              </w:rPr>
              <w:t>Three months ended</w:t>
            </w:r>
          </w:p>
        </w:tc>
        <w:tc>
          <w:tcPr>
            <w:tcW w:w="5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442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420" w:type="dxa"/>
            <w:vAlign w:val="bottom"/>
            <w:tcBorders>
              <w:bottom w:val="single" w:sz="8" w:color="auto"/>
            </w:tcBorders>
            <w:vMerge w:val="continue"/>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4"/>
              </w:rPr>
              <w:t>2020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42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37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48</w:t>
            </w:r>
          </w:p>
        </w:tc>
        <w:tc>
          <w:tcPr>
            <w:tcW w:w="820" w:type="dxa"/>
            <w:vAlign w:val="bottom"/>
            <w:gridSpan w:val="2"/>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3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Net interest and other expense (income)</w:t>
            </w:r>
          </w:p>
        </w:tc>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5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60</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42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118</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3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(16 )</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Key items included in EBITDA:</w:t>
            </w:r>
          </w:p>
        </w:tc>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Restructuring, separation and other costs</w:t>
            </w:r>
          </w:p>
        </w:tc>
        <w:tc>
          <w:tcPr>
            <w:tcW w:w="3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tcPr>
          <w:p>
            <w:pPr>
              <w:ind w:left="260"/>
              <w:spacing w:after="0" w:line="202" w:lineRule="exact"/>
              <w:rPr>
                <w:sz w:val="20"/>
                <w:szCs w:val="20"/>
                <w:color w:val="auto"/>
              </w:rPr>
            </w:pPr>
            <w:r>
              <w:rPr>
                <w:rFonts w:ascii="Arial" w:cs="Arial" w:eastAsia="Arial" w:hAnsi="Arial"/>
                <w:sz w:val="18"/>
                <w:szCs w:val="18"/>
                <w:color w:val="auto"/>
              </w:rPr>
              <w:t>Capital project impairment</w:t>
            </w:r>
          </w:p>
        </w:tc>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Environmental reserve adjustments</w:t>
            </w:r>
          </w:p>
        </w:tc>
        <w:tc>
          <w:tcPr>
            <w:tcW w:w="3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tcPr>
          <w:p>
            <w:pPr>
              <w:ind w:left="260"/>
              <w:spacing w:after="0" w:line="202" w:lineRule="exact"/>
              <w:rPr>
                <w:sz w:val="20"/>
                <w:szCs w:val="20"/>
                <w:color w:val="auto"/>
              </w:rPr>
            </w:pPr>
            <w:r>
              <w:rPr>
                <w:rFonts w:ascii="Arial" w:cs="Arial" w:eastAsia="Arial" w:hAnsi="Arial"/>
                <w:sz w:val="18"/>
                <w:szCs w:val="18"/>
                <w:color w:val="auto"/>
              </w:rPr>
              <w:t>Net gain on acquisitions and divestitures</w:t>
            </w:r>
          </w:p>
        </w:tc>
        <w:tc>
          <w:tcPr>
            <w:tcW w:w="3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key items included in EBITDA</w:t>
            </w:r>
          </w:p>
        </w:tc>
        <w:tc>
          <w:tcPr>
            <w:tcW w:w="35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42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5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101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4420" w:type="dxa"/>
            <w:vAlign w:val="bottom"/>
            <w:shd w:val="clear" w:color="auto" w:fill="CFF0FC"/>
          </w:tcPr>
          <w:p>
            <w:pPr>
              <w:spacing w:after="0"/>
              <w:rPr>
                <w:sz w:val="15"/>
                <w:szCs w:val="15"/>
                <w:color w:val="auto"/>
              </w:rPr>
            </w:pPr>
          </w:p>
        </w:tc>
        <w:tc>
          <w:tcPr>
            <w:tcW w:w="3780" w:type="dxa"/>
            <w:vAlign w:val="bottom"/>
            <w:gridSpan w:val="2"/>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Total key items included in EBITDA</w:t>
            </w:r>
          </w:p>
        </w:tc>
        <w:tc>
          <w:tcPr>
            <w:tcW w:w="37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Unrealized gain on securities</w:t>
            </w:r>
          </w:p>
        </w:tc>
        <w:tc>
          <w:tcPr>
            <w:tcW w:w="35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420" w:type="dxa"/>
            <w:vAlign w:val="bottom"/>
          </w:tcPr>
          <w:p>
            <w:pPr>
              <w:spacing w:after="0" w:line="182" w:lineRule="exact"/>
              <w:rPr>
                <w:sz w:val="20"/>
                <w:szCs w:val="20"/>
                <w:color w:val="auto"/>
              </w:rPr>
            </w:pPr>
            <w:r>
              <w:rPr>
                <w:rFonts w:ascii="Arial" w:cs="Arial" w:eastAsia="Arial" w:hAnsi="Arial"/>
                <w:sz w:val="18"/>
                <w:szCs w:val="18"/>
                <w:color w:val="auto"/>
              </w:rPr>
              <w:t>Total key items, before tax</w:t>
            </w:r>
          </w:p>
        </w:tc>
        <w:tc>
          <w:tcPr>
            <w:tcW w:w="37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30"/>
              <w:spacing w:after="0" w:line="18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(7 )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500" w:type="dxa"/>
            <w:vAlign w:val="bottom"/>
            <w:vMerge w:val="restart"/>
          </w:tcPr>
          <w:p>
            <w:pPr>
              <w:jc w:val="right"/>
              <w:ind w:right="2530"/>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-2165350</wp:posOffset>
            </wp:positionV>
            <wp:extent cx="12890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-1119505</wp:posOffset>
            </wp:positionV>
            <wp:extent cx="12890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-570865</wp:posOffset>
            </wp:positionV>
            <wp:extent cx="12890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37" w:name="page38"/>
    <w:bookmarkEnd w:id="37"/>
    <w:p>
      <w:pPr>
        <w:ind w:left="38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94"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following table reflects the U.S. GAAP calculation for the income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7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w w:val="98"/>
              </w:rPr>
              <w:t>Three months ended</w:t>
            </w: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196"/>
        </w:trPr>
        <w:tc>
          <w:tcPr>
            <w:tcW w:w="7900" w:type="dxa"/>
            <w:vAlign w:val="bottom"/>
          </w:tcPr>
          <w:p>
            <w:pPr>
              <w:spacing w:after="0" w:line="196" w:lineRule="exact"/>
              <w:rPr>
                <w:sz w:val="20"/>
                <w:szCs w:val="20"/>
                <w:color w:val="auto"/>
              </w:rPr>
            </w:pPr>
            <w:r>
              <w:rPr>
                <w:rFonts w:ascii="Arial" w:cs="Arial" w:eastAsia="Arial" w:hAnsi="Arial"/>
                <w:sz w:val="18"/>
                <w:szCs w:val="18"/>
                <w:color w:val="auto"/>
              </w:rPr>
              <w:t>Diluted EPS from continuing operations (as reported)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0.55</w:t>
            </w:r>
          </w:p>
        </w:tc>
        <w:tc>
          <w:tcPr>
            <w:tcW w:w="820" w:type="dxa"/>
            <w:vAlign w:val="bottom"/>
            <w:gridSpan w:val="2"/>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3"/>
        </w:trPr>
        <w:tc>
          <w:tcPr>
            <w:tcW w:w="7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Key items, before tax:</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Restructuring, separation and other costs</w:t>
            </w:r>
          </w:p>
        </w:tc>
        <w:tc>
          <w:tcPr>
            <w:tcW w:w="2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0.02</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3"/>
        </w:trPr>
        <w:tc>
          <w:tcPr>
            <w:tcW w:w="7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Environmental reserve adjustments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0.05</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Capital project impairment</w:t>
            </w:r>
          </w:p>
        </w:tc>
        <w:tc>
          <w:tcPr>
            <w:tcW w:w="2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7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gain on securities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(0.07 )</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(0.29 )</w:t>
            </w: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Net gain on acquisitions and divestitures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6"/>
              </w:rPr>
              <w:t>(0.23 )</w:t>
            </w:r>
          </w:p>
        </w:tc>
        <w:tc>
          <w:tcPr>
            <w:tcW w:w="0" w:type="dxa"/>
            <w:vAlign w:val="bottom"/>
          </w:tcPr>
          <w:p>
            <w:pPr>
              <w:spacing w:after="0"/>
              <w:rPr>
                <w:sz w:val="1"/>
                <w:szCs w:val="1"/>
                <w:color w:val="auto"/>
              </w:rPr>
            </w:pPr>
          </w:p>
        </w:tc>
      </w:tr>
      <w:tr>
        <w:trPr>
          <w:trHeight w:val="196"/>
        </w:trPr>
        <w:tc>
          <w:tcPr>
            <w:tcW w:w="7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Key items, before tax</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(0.12 )</w:t>
            </w: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6"/>
        </w:trPr>
        <w:tc>
          <w:tcPr>
            <w:tcW w:w="7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Key items, after tax</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(0.07 )</w:t>
            </w: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Tax specific key items: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Restructuring and separation activity</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(0.22 )</w:t>
            </w:r>
          </w:p>
        </w:tc>
        <w:tc>
          <w:tcPr>
            <w:tcW w:w="0" w:type="dxa"/>
            <w:vAlign w:val="bottom"/>
          </w:tcPr>
          <w:p>
            <w:pPr>
              <w:spacing w:after="0"/>
              <w:rPr>
                <w:sz w:val="1"/>
                <w:szCs w:val="1"/>
                <w:color w:val="auto"/>
              </w:rPr>
            </w:pPr>
          </w:p>
        </w:tc>
      </w:tr>
      <w:tr>
        <w:trPr>
          <w:trHeight w:val="196"/>
        </w:trPr>
        <w:tc>
          <w:tcPr>
            <w:tcW w:w="7900" w:type="dxa"/>
            <w:vAlign w:val="bottom"/>
          </w:tcPr>
          <w:p>
            <w:pPr>
              <w:spacing w:after="0" w:line="196" w:lineRule="exact"/>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(0.22 )</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key items</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(0.29 )</w:t>
            </w:r>
          </w:p>
        </w:tc>
        <w:tc>
          <w:tcPr>
            <w:tcW w:w="0" w:type="dxa"/>
            <w:vAlign w:val="bottom"/>
          </w:tcPr>
          <w:p>
            <w:pPr>
              <w:spacing w:after="0"/>
              <w:rPr>
                <w:sz w:val="1"/>
                <w:szCs w:val="1"/>
                <w:color w:val="auto"/>
              </w:rPr>
            </w:pPr>
          </w:p>
        </w:tc>
      </w:tr>
      <w:tr>
        <w:trPr>
          <w:trHeight w:val="196"/>
        </w:trPr>
        <w:tc>
          <w:tcPr>
            <w:tcW w:w="7900" w:type="dxa"/>
            <w:vAlign w:val="bottom"/>
          </w:tcPr>
          <w:p>
            <w:pPr>
              <w:spacing w:after="0" w:line="196" w:lineRule="exact"/>
              <w:rPr>
                <w:sz w:val="20"/>
                <w:szCs w:val="20"/>
                <w:color w:val="auto"/>
              </w:rPr>
            </w:pPr>
            <w:r>
              <w:rPr>
                <w:rFonts w:ascii="Arial" w:cs="Arial" w:eastAsia="Arial" w:hAnsi="Arial"/>
                <w:sz w:val="18"/>
                <w:szCs w:val="18"/>
                <w:color w:val="auto"/>
              </w:rPr>
              <w:t>Adjusted diluted EPS from continuing operations (non-GAAP)</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0.55</w:t>
            </w:r>
          </w:p>
        </w:tc>
        <w:tc>
          <w:tcPr>
            <w:tcW w:w="820" w:type="dxa"/>
            <w:vAlign w:val="bottom"/>
            <w:gridSpan w:val="2"/>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Amortization expense adjustment (net of tax) (c)</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0.33</w:t>
            </w:r>
          </w:p>
        </w:tc>
        <w:tc>
          <w:tcPr>
            <w:tcW w:w="2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30"/>
              <w:spacing w:after="0" w:line="18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56"/>
        </w:trPr>
        <w:tc>
          <w:tcPr>
            <w:tcW w:w="7900" w:type="dxa"/>
            <w:vAlign w:val="bottom"/>
          </w:tcPr>
          <w:p>
            <w:pPr>
              <w:spacing w:after="0" w:line="156" w:lineRule="exact"/>
              <w:rPr>
                <w:sz w:val="20"/>
                <w:szCs w:val="20"/>
                <w:color w:val="auto"/>
              </w:rPr>
            </w:pPr>
            <w:r>
              <w:rPr>
                <w:rFonts w:ascii="Arial" w:cs="Arial" w:eastAsia="Arial" w:hAnsi="Arial"/>
                <w:sz w:val="18"/>
                <w:szCs w:val="18"/>
                <w:color w:val="auto"/>
              </w:rPr>
              <w:t>Adjusted diluted EPS from continuing operations (non-GAAP) excluding intangibles amortization</w:t>
            </w: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0.88</w:t>
            </w:r>
          </w:p>
        </w:tc>
        <w:tc>
          <w:tcPr>
            <w:tcW w:w="82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75"/>
        </w:trPr>
        <w:tc>
          <w:tcPr>
            <w:tcW w:w="7900" w:type="dxa"/>
            <w:vAlign w:val="bottom"/>
          </w:tcPr>
          <w:p>
            <w:pPr>
              <w:spacing w:after="0" w:line="156" w:lineRule="exact"/>
              <w:rPr>
                <w:sz w:val="20"/>
                <w:szCs w:val="20"/>
                <w:color w:val="auto"/>
              </w:rPr>
            </w:pPr>
            <w:r>
              <w:rPr>
                <w:rFonts w:ascii="Arial" w:cs="Arial" w:eastAsia="Arial" w:hAnsi="Arial"/>
                <w:sz w:val="18"/>
                <w:szCs w:val="18"/>
                <w:color w:val="auto"/>
              </w:rPr>
              <w:t>expense</w:t>
            </w: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-904875</wp:posOffset>
            </wp:positionV>
            <wp:extent cx="12890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-630555</wp:posOffset>
            </wp:positionV>
            <wp:extent cx="12890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-339090</wp:posOffset>
            </wp:positionV>
            <wp:extent cx="12890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spacing w:after="0" w:line="41" w:lineRule="exact"/>
        <w:rPr>
          <w:rFonts w:ascii="Arial" w:cs="Arial" w:eastAsia="Arial" w:hAnsi="Arial"/>
          <w:sz w:val="14"/>
          <w:szCs w:val="14"/>
          <w:color w:val="auto"/>
        </w:rPr>
      </w:pPr>
    </w:p>
    <w:p>
      <w:pPr>
        <w:jc w:val="both"/>
        <w:ind w:left="740" w:hanging="358"/>
        <w:spacing w:after="0" w:line="254"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Statements of Consolidated Comprehensive Income (Loss) caption review section above.</w:t>
      </w:r>
    </w:p>
    <w:p>
      <w:pPr>
        <w:spacing w:after="0" w:line="1" w:lineRule="exact"/>
        <w:rPr>
          <w:rFonts w:ascii="Arial" w:cs="Arial" w:eastAsia="Arial" w:hAnsi="Arial"/>
          <w:sz w:val="14"/>
          <w:szCs w:val="14"/>
          <w:color w:val="auto"/>
        </w:rPr>
      </w:pPr>
    </w:p>
    <w:p>
      <w:pPr>
        <w:ind w:left="740" w:hanging="358"/>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20% and 21% for the three months ended December 31, 2021 and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00"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Ashland’s reportable segments include Life Sciences, Personal Care (formerly Personal Care and Household), Specialty Additives, and Intermediates (formerly Intermediates and Solvents). Unallocated and Other includes corporate governance activities and certain legacy matters.</w:t>
      </w:r>
    </w:p>
    <w:p>
      <w:pPr>
        <w:spacing w:after="0" w:line="75"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w:t>
      </w:r>
    </w:p>
    <w:p>
      <w:pPr>
        <w:spacing w:after="0" w:line="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33" w:right="71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internal accounting practices are improved, more refined information becomes available and the industry or market changes.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Significant revisions to Ashland’s methodologies are adjusted for all segments on a retrospective basis.</w:t>
      </w:r>
    </w:p>
    <w:p>
      <w:pPr>
        <w:spacing w:after="0" w:line="7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discloses sales, operating income, depreciation and amortization and EBITDA by reportable segment for the three months ended December 31, 2021 and 2020.</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4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right"/>
              <w:ind w:right="130"/>
              <w:spacing w:after="0" w:line="201" w:lineRule="exact"/>
              <w:rPr>
                <w:sz w:val="20"/>
                <w:szCs w:val="20"/>
                <w:color w:val="auto"/>
              </w:rPr>
            </w:pPr>
            <w:r>
              <w:rPr>
                <w:rFonts w:ascii="Arial" w:cs="Arial" w:eastAsia="Arial" w:hAnsi="Arial"/>
                <w:sz w:val="18"/>
                <w:szCs w:val="18"/>
                <w:color w:val="auto"/>
              </w:rPr>
              <w:t>Three months ended</w:t>
            </w: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vMerge w:val="restart"/>
          </w:tcPr>
          <w:p>
            <w:pPr>
              <w:spacing w:after="0"/>
              <w:rPr>
                <w:sz w:val="20"/>
                <w:szCs w:val="20"/>
                <w:color w:val="auto"/>
              </w:rPr>
            </w:pPr>
            <w:r>
              <w:rPr>
                <w:rFonts w:ascii="Arial" w:cs="Arial" w:eastAsia="Arial" w:hAnsi="Arial"/>
                <w:sz w:val="18"/>
                <w:szCs w:val="18"/>
                <w:color w:val="auto"/>
              </w:rPr>
              <w:t>(In millions - unaudited)</w:t>
            </w:r>
          </w:p>
        </w:tc>
        <w:tc>
          <w:tcPr>
            <w:tcW w:w="5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December 31</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990"/>
              <w:spacing w:after="0" w:line="196" w:lineRule="exact"/>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4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SALES</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w:t>
            </w: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147</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156</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 xml:space="preserve">Intersegment sales </w:t>
            </w:r>
            <w:r>
              <w:rPr>
                <w:rFonts w:ascii="Arial" w:cs="Arial" w:eastAsia="Arial" w:hAnsi="Arial"/>
                <w:sz w:val="14"/>
                <w:szCs w:val="14"/>
                <w:color w:val="auto"/>
              </w:rPr>
              <w:t>(a)</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(14 )</w:t>
            </w: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512</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83"/>
        </w:trPr>
        <w:tc>
          <w:tcPr>
            <w:tcW w:w="5420" w:type="dxa"/>
            <w:vAlign w:val="bottom"/>
          </w:tcPr>
          <w:p>
            <w:pPr>
              <w:spacing w:after="0" w:line="183" w:lineRule="exact"/>
              <w:rPr>
                <w:sz w:val="20"/>
                <w:szCs w:val="20"/>
                <w:color w:val="auto"/>
              </w:rPr>
            </w:pPr>
            <w:r>
              <w:rPr>
                <w:rFonts w:ascii="Arial" w:cs="Arial" w:eastAsia="Arial" w:hAnsi="Arial"/>
                <w:sz w:val="18"/>
                <w:szCs w:val="18"/>
                <w:b w:val="1"/>
                <w:bCs w:val="1"/>
                <w:color w:val="auto"/>
              </w:rPr>
              <w:t>OPERATING INCOME (LOSS)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54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980" w:type="dxa"/>
            <w:vAlign w:val="bottom"/>
            <w:gridSpan w:val="2"/>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54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color w:val="auto"/>
              </w:rPr>
              <w:t>(b)</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54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2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w:t>
            </w:r>
          </w:p>
        </w:tc>
        <w:tc>
          <w:tcPr>
            <w:tcW w:w="980" w:type="dxa"/>
            <w:vAlign w:val="bottom"/>
            <w:gridSpan w:val="2"/>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DEPRECIATION EXPENSE</w:t>
            </w:r>
          </w:p>
        </w:tc>
        <w:tc>
          <w:tcPr>
            <w:tcW w:w="5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54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AMORTIZATION EXPENSE</w:t>
            </w:r>
          </w:p>
        </w:tc>
        <w:tc>
          <w:tcPr>
            <w:tcW w:w="5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4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540" w:type="dxa"/>
            <w:vAlign w:val="bottom"/>
            <w:tcBorders>
              <w:bottom w:val="single" w:sz="8" w:color="auto"/>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55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(c)</w:t>
            </w:r>
          </w:p>
        </w:tc>
        <w:tc>
          <w:tcPr>
            <w:tcW w:w="5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17"/>
                <w:szCs w:val="17"/>
                <w:color w:val="auto"/>
              </w:rPr>
            </w:pP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i w:val="1"/>
                <w:iCs w:val="1"/>
                <w:color w:val="auto"/>
              </w:rPr>
              <w:t>Intermediates</w:t>
            </w:r>
          </w:p>
        </w:tc>
        <w:tc>
          <w:tcPr>
            <w:tcW w:w="54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4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(27 )</w:t>
            </w: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102</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5010150</wp:posOffset>
            </wp:positionH>
            <wp:positionV relativeFrom="paragraph">
              <wp:posOffset>-3505200</wp:posOffset>
            </wp:positionV>
            <wp:extent cx="1460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-3488055</wp:posOffset>
            </wp:positionV>
            <wp:extent cx="1460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-2705100</wp:posOffset>
            </wp:positionV>
            <wp:extent cx="14605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-1899285</wp:posOffset>
            </wp:positionV>
            <wp:extent cx="14605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-1093470</wp:posOffset>
            </wp:positionV>
            <wp:extent cx="14605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-24765</wp:posOffset>
            </wp:positionV>
            <wp:extent cx="1460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-7620</wp:posOffset>
            </wp:positionV>
            <wp:extent cx="1460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85725</wp:posOffset>
            </wp:positionV>
            <wp:extent cx="66262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23" w:lineRule="exact"/>
        <w:rPr>
          <w:sz w:val="20"/>
          <w:szCs w:val="20"/>
          <w:color w:val="auto"/>
        </w:rPr>
      </w:pPr>
    </w:p>
    <w:p>
      <w:pPr>
        <w:ind w:left="360" w:hanging="358"/>
        <w:spacing w:after="0"/>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Intersegment sales from Intermediates are accounted for at prices that approximate fair value. All other intersegment sales are accounted for at cost.</w:t>
      </w:r>
    </w:p>
    <w:p>
      <w:pPr>
        <w:spacing w:after="0" w:line="41" w:lineRule="exact"/>
        <w:rPr>
          <w:rFonts w:ascii="Arial" w:cs="Arial" w:eastAsia="Arial" w:hAnsi="Arial"/>
          <w:sz w:val="14"/>
          <w:szCs w:val="14"/>
          <w:color w:val="auto"/>
        </w:rPr>
      </w:pPr>
    </w:p>
    <w:p>
      <w:pPr>
        <w:ind w:left="360" w:hanging="358"/>
        <w:spacing w:after="0"/>
        <w:tabs>
          <w:tab w:leader="none" w:pos="3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a capital project impairment of $9 million for the three months ended December 31, 2020 relating to a long-term capital project plan change at a plant facility.</w:t>
      </w:r>
    </w:p>
    <w:p>
      <w:pPr>
        <w:spacing w:after="0" w:line="53" w:lineRule="exact"/>
        <w:rPr>
          <w:rFonts w:ascii="Arial" w:cs="Arial" w:eastAsia="Arial" w:hAnsi="Arial"/>
          <w:sz w:val="13"/>
          <w:szCs w:val="13"/>
          <w:color w:val="auto"/>
        </w:rPr>
      </w:pPr>
    </w:p>
    <w:p>
      <w:pPr>
        <w:ind w:left="360" w:hanging="358"/>
        <w:spacing w:after="0" w:line="273" w:lineRule="auto"/>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33" w:right="719" w:bottom="1440" w:gutter="0" w:footer="0" w:header="0"/>
        </w:sectPr>
      </w:pPr>
    </w:p>
    <w:bookmarkStart w:id="39" w:name="page40"/>
    <w:bookmarkEnd w:id="39"/>
    <w:p>
      <w:pPr>
        <w:ind w:left="380"/>
        <w:spacing w:after="0"/>
        <w:rPr>
          <w:sz w:val="20"/>
          <w:szCs w:val="20"/>
          <w:color w:val="auto"/>
        </w:rPr>
      </w:pPr>
      <w:r>
        <w:rPr>
          <w:rFonts w:ascii="Arial" w:cs="Arial" w:eastAsia="Arial" w:hAnsi="Arial"/>
          <w:sz w:val="20"/>
          <w:szCs w:val="20"/>
          <w:b w:val="1"/>
          <w:bCs w:val="1"/>
          <w:color w:val="auto"/>
        </w:rPr>
        <w:t>Life Sciences</w:t>
      </w:r>
    </w:p>
    <w:p>
      <w:pPr>
        <w:spacing w:after="0" w:line="100" w:lineRule="exact"/>
        <w:rPr>
          <w:sz w:val="20"/>
          <w:szCs w:val="20"/>
          <w:color w:val="auto"/>
        </w:rPr>
      </w:pPr>
    </w:p>
    <w:p>
      <w:pPr>
        <w:jc w:val="both"/>
        <w:ind w:left="380" w:right="380"/>
        <w:spacing w:after="0" w:line="243" w:lineRule="auto"/>
        <w:rPr>
          <w:sz w:val="20"/>
          <w:szCs w:val="20"/>
          <w:color w:val="auto"/>
        </w:rPr>
      </w:pPr>
      <w:r>
        <w:rPr>
          <w:rFonts w:ascii="Arial" w:cs="Arial" w:eastAsia="Arial" w:hAnsi="Arial"/>
          <w:sz w:val="19"/>
          <w:szCs w:val="19"/>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December 2021 quarter compared to December 2020 quarter</w:t>
      </w:r>
    </w:p>
    <w:p>
      <w:pPr>
        <w:spacing w:after="0" w:line="94"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19"/>
          <w:szCs w:val="19"/>
          <w:color w:val="auto"/>
        </w:rPr>
        <w:t>Life Sciences’ sales remained consistent at $170 million in the current quarter. Favorable pricing increased sales by $3 million, while lower volume and unfavorable foreign currency decreased sales by $1 million and $2 million, respectively.</w:t>
      </w:r>
    </w:p>
    <w:p>
      <w:pPr>
        <w:spacing w:after="0" w:line="45"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Operating income decreased $8 million to income of $21 million for the current quarter. Unfavorable price/mix, lower volume, unfavorable foreign currency and higher costs decreased operating income by $5 million, $1 million, $1 million and $1 million, respectively. Current quarter EBITDA decreased $9 million to $36 million. EBITDA margin decreased 5.3 percentage points in the current quarter to 21.2%.</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94" w:lineRule="exact"/>
        <w:rPr>
          <w:sz w:val="20"/>
          <w:szCs w:val="20"/>
          <w:color w:val="auto"/>
        </w:rPr>
      </w:pPr>
    </w:p>
    <w:p>
      <w:pPr>
        <w:jc w:val="both"/>
        <w:ind w:left="380" w:right="380"/>
        <w:spacing w:after="0" w:line="229" w:lineRule="auto"/>
        <w:rPr>
          <w:sz w:val="20"/>
          <w:szCs w:val="20"/>
          <w:color w:val="auto"/>
        </w:rPr>
      </w:pPr>
      <w:r>
        <w:rPr>
          <w:rFonts w:ascii="Arial" w:cs="Arial" w:eastAsia="Arial" w:hAnsi="Arial"/>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77" w:lineRule="exact"/>
        <w:rPr>
          <w:sz w:val="20"/>
          <w:szCs w:val="20"/>
          <w:color w:val="auto"/>
        </w:rPr>
      </w:pPr>
    </w:p>
    <w:p>
      <w:pPr>
        <w:jc w:val="both"/>
        <w:ind w:left="380" w:right="380"/>
        <w:spacing w:after="0" w:line="275" w:lineRule="auto"/>
        <w:rPr>
          <w:sz w:val="20"/>
          <w:szCs w:val="20"/>
          <w:color w:val="auto"/>
        </w:rPr>
      </w:pPr>
      <w:r>
        <w:rPr>
          <w:rFonts w:ascii="Arial" w:cs="Arial" w:eastAsia="Arial" w:hAnsi="Arial"/>
          <w:sz w:val="18"/>
          <w:szCs w:val="18"/>
          <w:color w:val="auto"/>
        </w:rPr>
        <w:t>The following EBITDA presentation for the three months ended December 31, 2021 and 2020 is provided as a means to enhance the understanding of financial measurements that Ashland has internally determined to be relevant measures of comparison for the results of Life Sciences. Life Sciences had no key items for the three months ended December 31, 2021 or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940"/>
              <w:spacing w:after="0" w:line="202" w:lineRule="exact"/>
              <w:rPr>
                <w:sz w:val="20"/>
                <w:szCs w:val="20"/>
                <w:color w:val="auto"/>
              </w:rPr>
            </w:pPr>
            <w:r>
              <w:rPr>
                <w:rFonts w:ascii="Arial" w:cs="Arial" w:eastAsia="Arial" w:hAnsi="Arial"/>
                <w:sz w:val="18"/>
                <w:szCs w:val="18"/>
                <w:color w:val="auto"/>
              </w:rPr>
              <w:t>Life Sciences</w:t>
            </w:r>
          </w:p>
        </w:tc>
        <w:tc>
          <w:tcPr>
            <w:tcW w:w="60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2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80"/>
              <w:spacing w:after="0" w:line="196" w:lineRule="exact"/>
              <w:rPr>
                <w:sz w:val="20"/>
                <w:szCs w:val="20"/>
                <w:color w:val="auto"/>
              </w:rPr>
            </w:pPr>
            <w:r>
              <w:rPr>
                <w:rFonts w:ascii="Arial" w:cs="Arial" w:eastAsia="Arial" w:hAnsi="Arial"/>
                <w:sz w:val="18"/>
                <w:szCs w:val="18"/>
                <w:color w:val="auto"/>
                <w:w w:val="99"/>
              </w:rPr>
              <w:t>Three months ended December 31</w:t>
            </w:r>
          </w:p>
        </w:tc>
        <w:tc>
          <w:tcPr>
            <w:tcW w:w="6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6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6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31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1480" w:type="dxa"/>
            <w:vAlign w:val="bottom"/>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7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60" w:type="dxa"/>
            <w:vAlign w:val="bottom"/>
          </w:tcPr>
          <w:p>
            <w:pPr>
              <w:spacing w:after="0" w:line="182" w:lineRule="exact"/>
              <w:rPr>
                <w:sz w:val="20"/>
                <w:szCs w:val="20"/>
                <w:color w:val="auto"/>
              </w:rPr>
            </w:pPr>
            <w:r>
              <w:rPr>
                <w:rFonts w:ascii="Arial" w:cs="Arial" w:eastAsia="Arial" w:hAnsi="Arial"/>
                <w:sz w:val="18"/>
                <w:szCs w:val="18"/>
                <w:color w:val="auto"/>
              </w:rPr>
              <w:t>EBITDA</w:t>
            </w:r>
          </w:p>
        </w:tc>
        <w:tc>
          <w:tcPr>
            <w:tcW w:w="318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1480" w:type="dxa"/>
            <w:vAlign w:val="bottom"/>
            <w:gridSpan w:val="2"/>
          </w:tcPr>
          <w:p>
            <w:pPr>
              <w:jc w:val="right"/>
              <w:ind w:right="118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80" w:type="dxa"/>
            <w:vAlign w:val="bottom"/>
            <w:vMerge w:val="restart"/>
          </w:tcPr>
          <w:p>
            <w:pPr>
              <w:jc w:val="right"/>
              <w:ind w:right="1050"/>
              <w:spacing w:after="0"/>
              <w:rPr>
                <w:sz w:val="20"/>
                <w:szCs w:val="20"/>
                <w:color w:val="auto"/>
              </w:rPr>
            </w:pPr>
            <w:r>
              <w:rPr>
                <w:rFonts w:ascii="Arial" w:cs="Arial" w:eastAsia="Arial" w:hAnsi="Arial"/>
                <w:sz w:val="18"/>
                <w:szCs w:val="18"/>
                <w:color w:val="auto"/>
              </w:rPr>
              <w:t>40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-570865</wp:posOffset>
            </wp:positionV>
            <wp:extent cx="12001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Personal Care</w:t>
      </w:r>
    </w:p>
    <w:p>
      <w:pPr>
        <w:spacing w:after="0" w:line="1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Personal Care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As previously disclosed, on April 30, 2021 Ashland completed the $312 million acquisition of the personal care business from Schülke.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2021 quarter compared to December 2020 quarter</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Personal Care’ sales increased $21 million to $147 million in the current quarter. Favorable product pricing and volume/mix, including the impact of the Schülke acquisition, increased sales by $2 million and $21 million, respectively. Unfavorable currency exchange decreased sales by $2 million.</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Operating income of $15 million remained consistent for the current quarter. Lower costs, favorable impact of the Schülke acquisition and higher volume increased operating income by $3 million, $3 million and $1 million, respectively. Unfavorable price/mix decreased operating income by $7 million. Current quarter EBITDA increased $2 million to $36 million. EBITDA margin decreased 2.5 percentage points in the current quarter to 24.5%.</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EBITDA presentation for the three months ended December 31, 2021 and 2020 is provided as a means to enhance the understanding of financial measurements that Ashland has internally determined to be relevant measures of comparison for the results of Personal Care. Personal Care had no key items for the three months ended December 31, 2021 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26035</wp:posOffset>
            </wp:positionV>
            <wp:extent cx="5969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162560"/>
                    </a:xfrm>
                    <a:prstGeom prst="rect">
                      <a:avLst/>
                    </a:prstGeom>
                    <a:noFill/>
                  </pic:spPr>
                </pic:pic>
              </a:graphicData>
            </a:graphic>
          </wp:anchor>
        </w:drawing>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4"/>
          </w:tcPr>
          <w:p>
            <w:pPr>
              <w:jc w:val="right"/>
              <w:ind w:right="920"/>
              <w:spacing w:after="0" w:line="202" w:lineRule="exact"/>
              <w:rPr>
                <w:sz w:val="20"/>
                <w:szCs w:val="20"/>
                <w:color w:val="auto"/>
              </w:rPr>
            </w:pPr>
            <w:r>
              <w:rPr>
                <w:rFonts w:ascii="Arial" w:cs="Arial" w:eastAsia="Arial" w:hAnsi="Arial"/>
                <w:sz w:val="18"/>
                <w:szCs w:val="18"/>
                <w:color w:val="auto"/>
              </w:rPr>
              <w:t>Personal Care</w:t>
            </w:r>
          </w:p>
        </w:tc>
        <w:tc>
          <w:tcPr>
            <w:tcW w:w="56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180"/>
              <w:spacing w:after="0" w:line="196" w:lineRule="exact"/>
              <w:rPr>
                <w:sz w:val="20"/>
                <w:szCs w:val="20"/>
                <w:color w:val="auto"/>
              </w:rPr>
            </w:pPr>
            <w:r>
              <w:rPr>
                <w:rFonts w:ascii="Arial" w:cs="Arial" w:eastAsia="Arial" w:hAnsi="Arial"/>
                <w:sz w:val="18"/>
                <w:szCs w:val="18"/>
                <w:color w:val="auto"/>
                <w:w w:val="99"/>
              </w:rPr>
              <w:t>Three months ended December 31</w:t>
            </w:r>
          </w:p>
        </w:tc>
        <w:tc>
          <w:tcPr>
            <w:tcW w:w="5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c>
          <w:tcPr>
            <w:tcW w:w="1480" w:type="dxa"/>
            <w:vAlign w:val="bottom"/>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line="182" w:lineRule="exact"/>
              <w:rPr>
                <w:sz w:val="20"/>
                <w:szCs w:val="20"/>
                <w:color w:val="auto"/>
              </w:rPr>
            </w:pPr>
            <w:r>
              <w:rPr>
                <w:rFonts w:ascii="Arial" w:cs="Arial" w:eastAsia="Arial" w:hAnsi="Arial"/>
                <w:sz w:val="18"/>
                <w:szCs w:val="18"/>
                <w:color w:val="auto"/>
              </w:rPr>
              <w:t>EBITDA</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1540" w:type="dxa"/>
            <w:vAlign w:val="bottom"/>
            <w:gridSpan w:val="3"/>
          </w:tcPr>
          <w:p>
            <w:pPr>
              <w:jc w:val="right"/>
              <w:ind w:right="1180"/>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-159385</wp:posOffset>
            </wp:positionV>
            <wp:extent cx="431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-159385</wp:posOffset>
            </wp:positionV>
            <wp:extent cx="3429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Specialty Additives</w:t>
      </w:r>
    </w:p>
    <w:p>
      <w:pPr>
        <w:spacing w:after="0" w:line="1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2021 quarter compared to December 2020 quarter</w:t>
      </w:r>
    </w:p>
    <w:p>
      <w:pPr>
        <w:spacing w:after="0" w:line="9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Specialty Additives’ sales increased $9 million to $156 million in the current quarter. Favorable product pricing and volume/mix increased sales by $8 million and $2 million, respectively. Unfavorable currency exchange decreased sales by $1 million.</w:t>
      </w:r>
    </w:p>
    <w:p>
      <w:pPr>
        <w:spacing w:after="0" w:line="2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Operating income increased $15 million to income of $17 million for the current quarter. Lower costs, favorable volume, favorable pricing/mix, and a capital project impairment in the prior year quarter increased operating income by $4 million, $1 million, $1 million and $9 million, respectively. Current quarter EBITDA increased $15 million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1" w:name="page42"/>
    <w:bookmarkEnd w:id="41"/>
    <w:p>
      <w:pPr>
        <w:jc w:val="both"/>
        <w:ind w:left="380" w:right="380"/>
        <w:spacing w:after="0" w:line="246" w:lineRule="auto"/>
        <w:rPr>
          <w:sz w:val="20"/>
          <w:szCs w:val="20"/>
          <w:color w:val="auto"/>
        </w:rPr>
      </w:pPr>
      <w:r>
        <w:rPr>
          <w:rFonts w:ascii="Arial" w:cs="Arial" w:eastAsia="Arial" w:hAnsi="Arial"/>
          <w:sz w:val="20"/>
          <w:szCs w:val="20"/>
          <w:color w:val="auto"/>
        </w:rPr>
        <w:t>to $38 million while Adjusted EBITDA increased $6 million to $38 million. Adjusted EBITDA margin increased 2.6 percentage points in the current quarter to 24.4%.</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94"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The following EBITDA presentation for the three months ended December 31, 2021 and 2020 is provided as a means to enhance the understanding of financial measurements that Ashland has internally determined to be relevant measures of comparison for the results of Specialty Additives. The key items during the three months ended December 31, 2020 related to a capital project impairment within Specialty Additives.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64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720"/>
              <w:spacing w:after="0" w:line="202" w:lineRule="exact"/>
              <w:rPr>
                <w:sz w:val="20"/>
                <w:szCs w:val="20"/>
                <w:color w:val="auto"/>
              </w:rPr>
            </w:pPr>
            <w:r>
              <w:rPr>
                <w:rFonts w:ascii="Arial" w:cs="Arial" w:eastAsia="Arial" w:hAnsi="Arial"/>
                <w:sz w:val="18"/>
                <w:szCs w:val="18"/>
                <w:color w:val="auto"/>
              </w:rPr>
              <w:t>Specialty Additives</w:t>
            </w:r>
          </w:p>
        </w:tc>
        <w:tc>
          <w:tcPr>
            <w:tcW w:w="6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80"/>
              <w:spacing w:after="0" w:line="196" w:lineRule="exact"/>
              <w:rPr>
                <w:sz w:val="20"/>
                <w:szCs w:val="20"/>
                <w:color w:val="auto"/>
              </w:rPr>
            </w:pPr>
            <w:r>
              <w:rPr>
                <w:rFonts w:ascii="Arial" w:cs="Arial" w:eastAsia="Arial" w:hAnsi="Arial"/>
                <w:sz w:val="18"/>
                <w:szCs w:val="18"/>
                <w:color w:val="auto"/>
                <w:w w:val="99"/>
              </w:rPr>
              <w:t>Three months ended December 31</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480" w:type="dxa"/>
            <w:vAlign w:val="bottom"/>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440" w:type="dxa"/>
            <w:vAlign w:val="bottom"/>
          </w:tcPr>
          <w:p>
            <w:pPr>
              <w:spacing w:after="0" w:line="182" w:lineRule="exact"/>
              <w:rPr>
                <w:sz w:val="20"/>
                <w:szCs w:val="20"/>
                <w:color w:val="auto"/>
              </w:rPr>
            </w:pPr>
            <w:r>
              <w:rPr>
                <w:rFonts w:ascii="Arial" w:cs="Arial" w:eastAsia="Arial" w:hAnsi="Arial"/>
                <w:sz w:val="18"/>
                <w:szCs w:val="18"/>
                <w:color w:val="auto"/>
              </w:rPr>
              <w:t>EBITDA</w:t>
            </w: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Capital project impairment</w:t>
            </w:r>
          </w:p>
        </w:tc>
        <w:tc>
          <w:tcPr>
            <w:tcW w:w="40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1480" w:type="dxa"/>
            <w:vAlign w:val="bottom"/>
            <w:gridSpan w:val="2"/>
          </w:tcPr>
          <w:p>
            <w:pPr>
              <w:jc w:val="right"/>
              <w:ind w:right="1180"/>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-450850</wp:posOffset>
            </wp:positionV>
            <wp:extent cx="12001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-159385</wp:posOffset>
            </wp:positionV>
            <wp:extent cx="12001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Intermediates</w:t>
      </w:r>
    </w:p>
    <w:p>
      <w:pPr>
        <w:spacing w:after="0" w:line="100" w:lineRule="exact"/>
        <w:rPr>
          <w:sz w:val="20"/>
          <w:szCs w:val="20"/>
          <w:color w:val="auto"/>
        </w:rPr>
      </w:pPr>
    </w:p>
    <w:p>
      <w:pPr>
        <w:jc w:val="both"/>
        <w:ind w:left="380" w:right="380"/>
        <w:spacing w:after="0" w:line="248" w:lineRule="auto"/>
        <w:rPr>
          <w:sz w:val="20"/>
          <w:szCs w:val="20"/>
          <w:color w:val="auto"/>
        </w:rPr>
      </w:pPr>
      <w:r>
        <w:rPr>
          <w:rFonts w:ascii="Arial" w:cs="Arial" w:eastAsia="Arial" w:hAnsi="Arial"/>
          <w:sz w:val="19"/>
          <w:szCs w:val="19"/>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December 2021 quarter compared to December 2020 quarter</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Intermediates’ sales increased $20 million to $53 million in the current period primarily due to higher product pricing.</w:t>
      </w:r>
    </w:p>
    <w:p>
      <w:pPr>
        <w:spacing w:after="0" w:line="94" w:lineRule="exact"/>
        <w:rPr>
          <w:sz w:val="20"/>
          <w:szCs w:val="20"/>
          <w:color w:val="auto"/>
        </w:rPr>
      </w:pPr>
    </w:p>
    <w:p>
      <w:pPr>
        <w:jc w:val="both"/>
        <w:ind w:left="380" w:right="380"/>
        <w:spacing w:after="0" w:line="275" w:lineRule="auto"/>
        <w:rPr>
          <w:sz w:val="20"/>
          <w:szCs w:val="20"/>
          <w:color w:val="auto"/>
        </w:rPr>
      </w:pPr>
      <w:r>
        <w:rPr>
          <w:rFonts w:ascii="Arial" w:cs="Arial" w:eastAsia="Arial" w:hAnsi="Arial"/>
          <w:sz w:val="18"/>
          <w:szCs w:val="18"/>
          <w:color w:val="auto"/>
        </w:rPr>
        <w:t>Operating income increased $14 million to $16 million for the current quarter. Price/mix increased operating income by $17 million and was partially offset by higher production costs which decreased operating income by $3 million. Current quarter EBITDA increased $14 million to $19 million. EBITDA margin increased 20.6 percentage points in the current quarter to 35.8%.</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94" w:lineRule="exact"/>
        <w:rPr>
          <w:sz w:val="20"/>
          <w:szCs w:val="20"/>
          <w:color w:val="auto"/>
        </w:rPr>
      </w:pPr>
    </w:p>
    <w:p>
      <w:pPr>
        <w:jc w:val="both"/>
        <w:ind w:left="380" w:right="380"/>
        <w:spacing w:after="0" w:line="234" w:lineRule="auto"/>
        <w:rPr>
          <w:sz w:val="20"/>
          <w:szCs w:val="20"/>
          <w:color w:val="auto"/>
        </w:rPr>
      </w:pPr>
      <w:r>
        <w:rPr>
          <w:rFonts w:ascii="Arial" w:cs="Arial" w:eastAsia="Arial" w:hAnsi="Arial"/>
          <w:sz w:val="20"/>
          <w:szCs w:val="20"/>
          <w:color w:val="auto"/>
        </w:rPr>
        <w:t>The following EBITDA presentation (as defined and described in the section above) for the three months ended December 31, 2021 and 2020 is provided as a means to enhance the understanding of financial measurements that Ashland has internally determined to be relevant measures of comparison for the results of Intermediates. Intermediates had no key items for the three months ended December 31, 2021 or 2020.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850"/>
              <w:spacing w:after="0" w:line="202" w:lineRule="exact"/>
              <w:rPr>
                <w:sz w:val="20"/>
                <w:szCs w:val="20"/>
                <w:color w:val="auto"/>
              </w:rPr>
            </w:pPr>
            <w:r>
              <w:rPr>
                <w:rFonts w:ascii="Arial" w:cs="Arial" w:eastAsia="Arial" w:hAnsi="Arial"/>
                <w:sz w:val="18"/>
                <w:szCs w:val="18"/>
                <w:color w:val="auto"/>
              </w:rPr>
              <w:t>Intermediates</w:t>
            </w:r>
          </w:p>
        </w:tc>
        <w:tc>
          <w:tcPr>
            <w:tcW w:w="60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27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10"/>
              <w:spacing w:after="0" w:line="196" w:lineRule="exact"/>
              <w:rPr>
                <w:sz w:val="20"/>
                <w:szCs w:val="20"/>
                <w:color w:val="auto"/>
              </w:rPr>
            </w:pPr>
            <w:r>
              <w:rPr>
                <w:rFonts w:ascii="Arial" w:cs="Arial" w:eastAsia="Arial" w:hAnsi="Arial"/>
                <w:sz w:val="18"/>
                <w:szCs w:val="18"/>
                <w:color w:val="auto"/>
                <w:w w:val="98"/>
              </w:rPr>
              <w:t>Three months ended December 31</w:t>
            </w:r>
          </w:p>
        </w:tc>
        <w:tc>
          <w:tcPr>
            <w:tcW w:w="6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60" w:type="dxa"/>
            <w:vAlign w:val="bottom"/>
            <w:tcBorders>
              <w:bottom w:val="single" w:sz="8" w:color="auto"/>
            </w:tcBorders>
            <w:vMerge w:val="continue"/>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318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9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7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36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EBITDA</w:t>
            </w:r>
          </w:p>
        </w:tc>
        <w:tc>
          <w:tcPr>
            <w:tcW w:w="27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090"/>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760" w:type="dxa"/>
            <w:vAlign w:val="bottom"/>
          </w:tcPr>
          <w:p>
            <w:pPr>
              <w:jc w:val="right"/>
              <w:ind w:right="103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-436880</wp:posOffset>
            </wp:positionV>
            <wp:extent cx="1200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-419735</wp:posOffset>
            </wp:positionV>
            <wp:extent cx="1200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42" w:name="page43"/>
    <w:bookmarkEnd w:id="42"/>
    <w:p>
      <w:pPr>
        <w:ind w:left="380"/>
        <w:spacing w:after="0"/>
        <w:rPr>
          <w:sz w:val="20"/>
          <w:szCs w:val="20"/>
          <w:color w:val="auto"/>
        </w:rPr>
      </w:pPr>
      <w:r>
        <w:rPr>
          <w:rFonts w:ascii="Arial" w:cs="Arial" w:eastAsia="Arial" w:hAnsi="Arial"/>
          <w:sz w:val="20"/>
          <w:szCs w:val="20"/>
          <w:b w:val="1"/>
          <w:bCs w:val="1"/>
          <w:color w:val="auto"/>
        </w:rPr>
        <w:t>Unallocated and other</w:t>
      </w:r>
    </w:p>
    <w:p>
      <w:pPr>
        <w:spacing w:after="0" w:line="100"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6824345</wp:posOffset>
            </wp:positionH>
            <wp:positionV relativeFrom="paragraph">
              <wp:posOffset>41275</wp:posOffset>
            </wp:positionV>
            <wp:extent cx="76835"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62560"/>
                    </a:xfrm>
                    <a:prstGeom prst="rect">
                      <a:avLst/>
                    </a:prstGeom>
                    <a:noFill/>
                  </pic:spPr>
                </pic:pic>
              </a:graphicData>
            </a:graphic>
          </wp:anchor>
        </w:drawing>
      </w:r>
    </w:p>
    <w:p>
      <w:pPr>
        <w:spacing w:after="0" w:line="45"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64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960" w:type="dxa"/>
            <w:vAlign w:val="bottom"/>
            <w:tcBorders>
              <w:top w:val="single" w:sz="8" w:color="auto"/>
              <w:bottom w:val="single" w:sz="8" w:color="auto"/>
            </w:tcBorders>
            <w:gridSpan w:val="3"/>
          </w:tcPr>
          <w:p>
            <w:pPr>
              <w:jc w:val="right"/>
              <w:ind w:right="510"/>
              <w:spacing w:after="0" w:line="202" w:lineRule="exact"/>
              <w:rPr>
                <w:sz w:val="20"/>
                <w:szCs w:val="20"/>
                <w:color w:val="auto"/>
              </w:rPr>
            </w:pPr>
            <w:r>
              <w:rPr>
                <w:rFonts w:ascii="Arial" w:cs="Arial" w:eastAsia="Arial" w:hAnsi="Arial"/>
                <w:sz w:val="18"/>
                <w:szCs w:val="18"/>
                <w:color w:val="auto"/>
              </w:rPr>
              <w:t>Unallocated and Other</w:t>
            </w: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90"/>
              <w:spacing w:after="0" w:line="196" w:lineRule="exact"/>
              <w:rPr>
                <w:sz w:val="20"/>
                <w:szCs w:val="20"/>
                <w:color w:val="auto"/>
              </w:rPr>
            </w:pPr>
            <w:r>
              <w:rPr>
                <w:rFonts w:ascii="Arial" w:cs="Arial" w:eastAsia="Arial" w:hAnsi="Arial"/>
                <w:sz w:val="18"/>
                <w:szCs w:val="18"/>
                <w:color w:val="auto"/>
                <w:w w:val="98"/>
              </w:rPr>
              <w:t>Three months ended December 31</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Restructuring activities</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240" w:type="dxa"/>
            <w:vAlign w:val="bottom"/>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Environmental expenses</w:t>
            </w:r>
          </w:p>
        </w:tc>
        <w:tc>
          <w:tcPr>
            <w:tcW w:w="420" w:type="dxa"/>
            <w:vAlign w:val="bottom"/>
          </w:tcPr>
          <w:p>
            <w:pPr>
              <w:spacing w:after="0"/>
              <w:rPr>
                <w:sz w:val="17"/>
                <w:szCs w:val="17"/>
                <w:color w:val="auto"/>
              </w:rPr>
            </w:pPr>
          </w:p>
        </w:tc>
        <w:tc>
          <w:tcPr>
            <w:tcW w:w="17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(3 )</w:t>
            </w:r>
          </w:p>
        </w:tc>
        <w:tc>
          <w:tcPr>
            <w:tcW w:w="12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expenses (primarily governance and legacy expenses)</w:t>
            </w:r>
          </w:p>
        </w:tc>
        <w:tc>
          <w:tcPr>
            <w:tcW w:w="4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(19 )</w:t>
            </w:r>
          </w:p>
        </w:tc>
        <w:tc>
          <w:tcPr>
            <w:tcW w:w="12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tcPr>
          <w:p>
            <w:pPr>
              <w:spacing w:after="0" w:line="182" w:lineRule="exact"/>
              <w:rPr>
                <w:sz w:val="20"/>
                <w:szCs w:val="20"/>
                <w:color w:val="auto"/>
              </w:rPr>
            </w:pPr>
            <w:r>
              <w:rPr>
                <w:rFonts w:ascii="Arial" w:cs="Arial" w:eastAsia="Arial" w:hAnsi="Arial"/>
                <w:sz w:val="18"/>
                <w:szCs w:val="18"/>
                <w:color w:val="auto"/>
              </w:rPr>
              <w:t>Total expense</w:t>
            </w:r>
          </w:p>
        </w:tc>
        <w:tc>
          <w:tcPr>
            <w:tcW w:w="420" w:type="dxa"/>
            <w:vAlign w:val="bottom"/>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41"/>
              <w:spacing w:after="0" w:line="182" w:lineRule="exact"/>
              <w:rPr>
                <w:sz w:val="20"/>
                <w:szCs w:val="20"/>
                <w:color w:val="auto"/>
              </w:rPr>
            </w:pPr>
            <w:r>
              <w:rPr>
                <w:rFonts w:ascii="Arial" w:cs="Arial" w:eastAsia="Arial" w:hAnsi="Arial"/>
                <w:sz w:val="18"/>
                <w:szCs w:val="18"/>
                <w:color w:val="auto"/>
              </w:rPr>
              <w:t>(27 )</w:t>
            </w:r>
          </w:p>
        </w:tc>
        <w:tc>
          <w:tcPr>
            <w:tcW w:w="1240" w:type="dxa"/>
            <w:vAlign w:val="bottom"/>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-159385</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-159385</wp:posOffset>
            </wp:positionV>
            <wp:extent cx="514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December 2021 quarter compared to December 2020 quarter</w:t>
      </w:r>
    </w:p>
    <w:p>
      <w:pPr>
        <w:spacing w:after="0" w:line="94" w:lineRule="exact"/>
        <w:rPr>
          <w:sz w:val="20"/>
          <w:szCs w:val="20"/>
          <w:color w:val="auto"/>
        </w:rPr>
      </w:pPr>
    </w:p>
    <w:p>
      <w:pPr>
        <w:jc w:val="both"/>
        <w:ind w:left="380" w:right="380"/>
        <w:spacing w:after="0" w:line="232" w:lineRule="auto"/>
        <w:rPr>
          <w:sz w:val="20"/>
          <w:szCs w:val="20"/>
          <w:color w:val="auto"/>
        </w:rPr>
      </w:pPr>
      <w:r>
        <w:rPr>
          <w:rFonts w:ascii="Arial" w:cs="Arial" w:eastAsia="Arial" w:hAnsi="Arial"/>
          <w:sz w:val="20"/>
          <w:szCs w:val="20"/>
          <w:color w:val="auto"/>
        </w:rPr>
        <w:t>Unallocated and other recorded expense of $27 million and $31 million for the three months ended December 31, 2021 and 2020, respectively. The current and prior year quarters included expense of $5 million and $16 million, respectively, for restructuring activities mainly comprised of severance, lease abandonment and other restructuring costs related to company-wide cost reduction programs during the current and prior year quarters, respectively, as well as stranded costs of $4 million for each period associated with the Performance Adhesives divestiture.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current quarter and prior year quarter included $3 million and $4 million for environmental expenses, respectively.</w:t>
      </w:r>
    </w:p>
    <w:p>
      <w:pPr>
        <w:spacing w:after="0" w:line="94" w:lineRule="exact"/>
        <w:rPr>
          <w:sz w:val="20"/>
          <w:szCs w:val="20"/>
          <w:color w:val="auto"/>
        </w:rPr>
      </w:pPr>
    </w:p>
    <w:p>
      <w:pPr>
        <w:jc w:val="both"/>
        <w:ind w:left="380" w:right="380"/>
        <w:spacing w:after="0" w:line="237" w:lineRule="auto"/>
        <w:rPr>
          <w:sz w:val="20"/>
          <w:szCs w:val="20"/>
          <w:color w:val="auto"/>
        </w:rPr>
      </w:pPr>
      <w:r>
        <w:rPr>
          <w:rFonts w:ascii="Arial" w:cs="Arial" w:eastAsia="Arial" w:hAnsi="Arial"/>
          <w:sz w:val="20"/>
          <w:szCs w:val="20"/>
          <w:color w:val="auto"/>
        </w:rPr>
        <w:t>Other expenses increase of $8 million is primarily a result of a gain of $4 million in the prior year quarter associated with excess corporate property sales as well as decreased transition services income associated with the Composites sale from INEOS in the current quarter.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Liquidity</w:t>
      </w:r>
    </w:p>
    <w:p>
      <w:pPr>
        <w:spacing w:after="0" w:line="100" w:lineRule="exact"/>
        <w:rPr>
          <w:sz w:val="20"/>
          <w:szCs w:val="20"/>
          <w:color w:val="auto"/>
        </w:rPr>
      </w:pPr>
    </w:p>
    <w:p>
      <w:pPr>
        <w:jc w:val="both"/>
        <w:ind w:left="380" w:right="380"/>
        <w:spacing w:after="0" w:line="230" w:lineRule="auto"/>
        <w:rPr>
          <w:sz w:val="20"/>
          <w:szCs w:val="20"/>
          <w:color w:val="auto"/>
        </w:rPr>
      </w:pPr>
      <w:r>
        <w:rPr>
          <w:rFonts w:ascii="Arial" w:cs="Arial" w:eastAsia="Arial" w:hAnsi="Arial"/>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Cash flows</w:t>
      </w:r>
    </w:p>
    <w:p>
      <w:pPr>
        <w:spacing w:after="0" w:line="94"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three months ended December 31, 2021 and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69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Three months ended</w:t>
            </w:r>
          </w:p>
        </w:tc>
        <w:tc>
          <w:tcPr>
            <w:tcW w:w="10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9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84"/>
              </w:rPr>
              <w:t>2020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provided (used) by:</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 from continuing operations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w:t>
            </w:r>
          </w:p>
        </w:tc>
        <w:tc>
          <w:tcPr>
            <w:tcW w:w="74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 from continuing operations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 from continuing operations</w:t>
            </w:r>
          </w:p>
        </w:tc>
        <w:tc>
          <w:tcPr>
            <w:tcW w:w="3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(11 )</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(207 )</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Effect of currency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69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(16 )</w:t>
            </w: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(119 )</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6940" w:type="dxa"/>
            <w:vAlign w:val="bottom"/>
          </w:tcPr>
          <w:p>
            <w:pPr>
              <w:ind w:left="512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0" w:type="dxa"/>
            <w:vAlign w:val="bottom"/>
            <w:tcBorders>
              <w:bottom w:val="single" w:sz="8" w:color="9A9A9A"/>
            </w:tcBorders>
          </w:tcPr>
          <w:p>
            <w:pPr>
              <w:spacing w:after="0"/>
              <w:rPr>
                <w:sz w:val="8"/>
                <w:szCs w:val="8"/>
                <w:color w:val="auto"/>
              </w:rPr>
            </w:pPr>
          </w:p>
        </w:tc>
        <w:tc>
          <w:tcPr>
            <w:tcW w:w="6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-436880</wp:posOffset>
            </wp:positionV>
            <wp:extent cx="1028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-419735</wp:posOffset>
            </wp:positionV>
            <wp:extent cx="1028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jc w:val="both"/>
        <w:spacing w:after="0" w:line="246" w:lineRule="auto"/>
        <w:rPr>
          <w:sz w:val="20"/>
          <w:szCs w:val="20"/>
          <w:color w:val="auto"/>
        </w:rPr>
      </w:pPr>
      <w:r>
        <w:rPr>
          <w:rFonts w:ascii="Arial" w:cs="Arial" w:eastAsia="Arial" w:hAnsi="Arial"/>
          <w:sz w:val="20"/>
          <w:szCs w:val="20"/>
          <w:color w:val="auto"/>
        </w:rPr>
        <w:t>Cash and cash equivalents decreased $16 million for the three months ended December 31, 2021 compared to a $119 million decrease for the three months ended December 31, 2020.</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$16 million decrease for the three months ended December 31, 2021 was primarily driven by payment of cash dividends of $17 million and additions to property, plant and equipment of $15 million offset by net proceeds from short-term debt of $11 million. Operating cash flows from continuing operations were inflows of $14 million, while discontinued operations cash flows were outflows of $9 million.</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$119 million decrease for the three months ended December 31, 2020 was primarily driven by repayment of short-term debt of $187 million offset by $81 million of operating cash flows from continuing operations.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following represents Ashland’s calculation of free cash flow and ongoing free cash flows for the disclosed periods. Free cash flow does not reflect adjustments for certain non-discretionary cash flows such as mandatory debt repayments.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840" w:type="dxa"/>
            <w:vAlign w:val="bottom"/>
            <w:tcBorders>
              <w:top w:val="single" w:sz="8" w:color="auto"/>
              <w:bottom w:val="single" w:sz="8" w:color="auto"/>
            </w:tcBorders>
          </w:tcPr>
          <w:p>
            <w:pPr>
              <w:spacing w:after="0" w:line="202" w:lineRule="exact"/>
              <w:rPr>
                <w:sz w:val="20"/>
                <w:szCs w:val="20"/>
                <w:color w:val="auto"/>
              </w:rPr>
            </w:pPr>
            <w:r>
              <w:rPr>
                <w:rFonts w:ascii="Arial" w:cs="Arial" w:eastAsia="Arial" w:hAnsi="Arial"/>
                <w:sz w:val="18"/>
                <w:szCs w:val="18"/>
                <w:color w:val="auto"/>
              </w:rPr>
              <w:t>(In millions)</w:t>
            </w:r>
          </w:p>
        </w:tc>
        <w:tc>
          <w:tcPr>
            <w:tcW w:w="7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2020</w:t>
            </w: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cash flows provided by operating activities from continuing operations</w:t>
            </w:r>
          </w:p>
        </w:tc>
        <w:tc>
          <w:tcPr>
            <w:tcW w:w="720" w:type="dxa"/>
            <w:vAlign w:val="bottom"/>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14</w:t>
            </w:r>
          </w:p>
        </w:tc>
        <w:tc>
          <w:tcPr>
            <w:tcW w:w="62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81</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7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(15 )</w:t>
            </w:r>
          </w:p>
        </w:tc>
        <w:tc>
          <w:tcPr>
            <w:tcW w:w="1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(30 )</w:t>
            </w: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Free cash flows</w:t>
            </w:r>
          </w:p>
        </w:tc>
        <w:tc>
          <w:tcPr>
            <w:tcW w:w="720" w:type="dxa"/>
            <w:vAlign w:val="bottom"/>
          </w:tcPr>
          <w:p>
            <w:pPr>
              <w:spacing w:after="0"/>
              <w:rPr>
                <w:sz w:val="17"/>
                <w:szCs w:val="17"/>
                <w:color w:val="auto"/>
              </w:rPr>
            </w:pPr>
          </w:p>
        </w:tc>
        <w:tc>
          <w:tcPr>
            <w:tcW w:w="12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51</w:t>
            </w: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Cash (inflows) outflows from U.S. Accounts Receivable Sales Program </w:t>
            </w:r>
            <w:r>
              <w:rPr>
                <w:rFonts w:ascii="Arial" w:cs="Arial" w:eastAsia="Arial" w:hAnsi="Arial"/>
                <w:sz w:val="14"/>
                <w:szCs w:val="14"/>
                <w:color w:val="auto"/>
              </w:rPr>
              <w:t>(a)</w:t>
            </w:r>
          </w:p>
        </w:tc>
        <w:tc>
          <w:tcPr>
            <w:tcW w:w="7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 xml:space="preserve">Restructuring-related payments </w:t>
            </w:r>
            <w:r>
              <w:rPr>
                <w:rFonts w:ascii="Arial" w:cs="Arial" w:eastAsia="Arial" w:hAnsi="Arial"/>
                <w:sz w:val="14"/>
                <w:szCs w:val="14"/>
                <w:color w:val="auto"/>
              </w:rPr>
              <w:t>(b)</w:t>
            </w:r>
          </w:p>
        </w:tc>
        <w:tc>
          <w:tcPr>
            <w:tcW w:w="720" w:type="dxa"/>
            <w:vAlign w:val="bottom"/>
          </w:tcPr>
          <w:p>
            <w:pPr>
              <w:spacing w:after="0"/>
              <w:rPr>
                <w:sz w:val="17"/>
                <w:szCs w:val="17"/>
                <w:color w:val="auto"/>
              </w:rPr>
            </w:pPr>
          </w:p>
        </w:tc>
        <w:tc>
          <w:tcPr>
            <w:tcW w:w="12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14</w:t>
            </w:r>
          </w:p>
        </w:tc>
      </w:tr>
      <w:tr>
        <w:trPr>
          <w:trHeight w:val="203"/>
        </w:trPr>
        <w:tc>
          <w:tcPr>
            <w:tcW w:w="68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 xml:space="preserve">Environmental and related litigation payments </w:t>
            </w:r>
            <w:r>
              <w:rPr>
                <w:rFonts w:ascii="Arial" w:cs="Arial" w:eastAsia="Arial" w:hAnsi="Arial"/>
                <w:sz w:val="14"/>
                <w:szCs w:val="14"/>
                <w:color w:val="auto"/>
              </w:rPr>
              <w:t>(c)</w:t>
            </w:r>
          </w:p>
        </w:tc>
        <w:tc>
          <w:tcPr>
            <w:tcW w:w="7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9</w:t>
            </w: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Ongoing free cash flow</w:t>
            </w:r>
          </w:p>
        </w:tc>
        <w:tc>
          <w:tcPr>
            <w:tcW w:w="72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26</w:t>
            </w:r>
          </w:p>
        </w:tc>
        <w:tc>
          <w:tcPr>
            <w:tcW w:w="6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74</w:t>
            </w:r>
          </w:p>
        </w:tc>
      </w:tr>
      <w:tr>
        <w:trPr>
          <w:trHeight w:val="20"/>
        </w:trPr>
        <w:tc>
          <w:tcPr>
            <w:tcW w:w="6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8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14"/>
                <w:szCs w:val="14"/>
                <w:color w:val="auto"/>
              </w:rPr>
              <w:t>(d)</w:t>
            </w:r>
          </w:p>
        </w:tc>
        <w:tc>
          <w:tcPr>
            <w:tcW w:w="720" w:type="dxa"/>
            <w:vAlign w:val="bottom"/>
          </w:tcPr>
          <w:p>
            <w:pPr>
              <w:spacing w:after="0"/>
              <w:rPr>
                <w:sz w:val="17"/>
                <w:szCs w:val="17"/>
                <w:color w:val="auto"/>
              </w:rPr>
            </w:pPr>
          </w:p>
        </w:tc>
        <w:tc>
          <w:tcPr>
            <w:tcW w:w="12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101</w:t>
            </w:r>
          </w:p>
        </w:tc>
      </w:tr>
      <w:tr>
        <w:trPr>
          <w:trHeight w:val="203"/>
        </w:trPr>
        <w:tc>
          <w:tcPr>
            <w:tcW w:w="68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 xml:space="preserve">Ongoing free cash flow conversion </w:t>
            </w:r>
            <w:r>
              <w:rPr>
                <w:rFonts w:ascii="Arial" w:cs="Arial" w:eastAsia="Arial" w:hAnsi="Arial"/>
                <w:sz w:val="14"/>
                <w:szCs w:val="14"/>
                <w:color w:val="auto"/>
              </w:rPr>
              <w:t>(e)</w:t>
            </w:r>
          </w:p>
        </w:tc>
        <w:tc>
          <w:tcPr>
            <w:tcW w:w="7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5618480</wp:posOffset>
            </wp:positionH>
            <wp:positionV relativeFrom="paragraph">
              <wp:posOffset>-1214120</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-691515</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67945</wp:posOffset>
            </wp:positionV>
            <wp:extent cx="66262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0" w:lineRule="exact"/>
        <w:rPr>
          <w:sz w:val="20"/>
          <w:szCs w:val="20"/>
          <w:color w:val="auto"/>
        </w:rPr>
      </w:pP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activity associated with the U.S. Accounts Receivable Sales Program impacting each period presented.</w:t>
      </w:r>
    </w:p>
    <w:p>
      <w:pPr>
        <w:spacing w:after="0" w:line="41" w:lineRule="exact"/>
        <w:rPr>
          <w:rFonts w:ascii="Arial" w:cs="Arial" w:eastAsia="Arial" w:hAnsi="Arial"/>
          <w:sz w:val="14"/>
          <w:szCs w:val="14"/>
          <w:color w:val="auto"/>
        </w:rPr>
      </w:pP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Restructuring payments incurred during each period.</w:t>
      </w:r>
    </w:p>
    <w:p>
      <w:pPr>
        <w:spacing w:after="0" w:line="28" w:lineRule="exact"/>
        <w:rPr>
          <w:rFonts w:ascii="Arial" w:cs="Arial" w:eastAsia="Arial" w:hAnsi="Arial"/>
          <w:sz w:val="14"/>
          <w:szCs w:val="14"/>
          <w:color w:val="auto"/>
        </w:rPr>
      </w:pP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cash outflows associated with environmental and related litigation payments which will be reimbursed by the environmental trust.</w:t>
      </w:r>
    </w:p>
    <w:p>
      <w:pPr>
        <w:spacing w:after="0" w:line="41" w:lineRule="exact"/>
        <w:rPr>
          <w:rFonts w:ascii="Arial" w:cs="Arial" w:eastAsia="Arial" w:hAnsi="Arial"/>
          <w:sz w:val="14"/>
          <w:szCs w:val="14"/>
          <w:color w:val="auto"/>
        </w:rPr>
      </w:pP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adjusted EBITDA reconciliation.</w:t>
      </w:r>
    </w:p>
    <w:p>
      <w:pPr>
        <w:spacing w:after="0" w:line="41" w:lineRule="exact"/>
        <w:rPr>
          <w:rFonts w:ascii="Arial" w:cs="Arial" w:eastAsia="Arial" w:hAnsi="Arial"/>
          <w:sz w:val="14"/>
          <w:szCs w:val="14"/>
          <w:color w:val="auto"/>
        </w:rPr>
      </w:pP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Ongoing free cash flow divided by Adjusted EBITDA.</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Working capital (current assets minus current liabilities, excluding long-term debt due within one year) amounted to $839 million and $792 million as of December 31, 2021 and September 30, 2021, respectively. The $47 million increase in working capital was the primary reason of the $48 million decline in ongoing free cash flows between periods primarily as a result of increased inventories to navigate supply-chain issues as well as cost inflation and reduced accrued expenses as a result of annual incentive program payouts. Liquid assets (cash, cash equivalents and accounts receivable) amounted to 62% and 65% of current liabilities (excluding current liabilities held for sale) as of December 31, 2021 and September 30, 2021, respectively.</w:t>
      </w:r>
    </w:p>
    <w:p>
      <w:pPr>
        <w:spacing w:after="0" w:line="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summary reflects Ashland’s cash, unused borrowing capacity and liquidity as of December 31, 2021 and September 30, 2021.</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78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left="1610"/>
              <w:spacing w:after="0" w:line="201" w:lineRule="exact"/>
              <w:rPr>
                <w:sz w:val="20"/>
                <w:szCs w:val="20"/>
                <w:color w:val="auto"/>
              </w:rPr>
            </w:pPr>
            <w:r>
              <w:rPr>
                <w:rFonts w:ascii="Arial" w:cs="Arial" w:eastAsia="Arial" w:hAnsi="Arial"/>
                <w:sz w:val="18"/>
                <w:szCs w:val="18"/>
                <w:color w:val="auto"/>
                <w:w w:val="88"/>
              </w:rPr>
              <w:t>December 31</w:t>
            </w:r>
          </w:p>
        </w:tc>
        <w:tc>
          <w:tcPr>
            <w:tcW w:w="5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ind w:right="470"/>
              <w:spacing w:after="0" w:line="201" w:lineRule="exact"/>
              <w:rPr>
                <w:sz w:val="20"/>
                <w:szCs w:val="20"/>
                <w:color w:val="auto"/>
              </w:rPr>
            </w:pPr>
            <w:r>
              <w:rPr>
                <w:rFonts w:ascii="Arial" w:cs="Arial" w:eastAsia="Arial" w:hAnsi="Arial"/>
                <w:sz w:val="18"/>
                <w:szCs w:val="18"/>
                <w:color w:val="auto"/>
              </w:rPr>
              <w:t>September 30</w:t>
            </w:r>
          </w:p>
        </w:tc>
      </w:tr>
      <w:tr>
        <w:trPr>
          <w:trHeight w:val="21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b w:val="1"/>
                <w:bCs w:val="1"/>
                <w:color w:val="auto"/>
              </w:rPr>
              <w:t>Cash and investment securities</w:t>
            </w:r>
          </w:p>
        </w:tc>
        <w:tc>
          <w:tcPr>
            <w:tcW w:w="2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2900" w:type="dxa"/>
            <w:vAlign w:val="bottom"/>
            <w:shd w:val="clear" w:color="auto" w:fill="CFF0FC"/>
          </w:tcPr>
          <w:p>
            <w:pPr>
              <w:jc w:val="right"/>
              <w:ind w:right="143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194</w:t>
            </w:r>
          </w:p>
        </w:tc>
        <w:tc>
          <w:tcPr>
            <w:tcW w:w="4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900" w:type="dxa"/>
            <w:vAlign w:val="bottom"/>
          </w:tcPr>
          <w:p>
            <w:pPr>
              <w:spacing w:after="0"/>
              <w:rPr>
                <w:sz w:val="17"/>
                <w:szCs w:val="17"/>
                <w:color w:val="auto"/>
              </w:rPr>
            </w:pP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426</w:t>
            </w:r>
          </w:p>
        </w:tc>
        <w:tc>
          <w:tcPr>
            <w:tcW w:w="4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r>
      <w:tr>
        <w:trPr>
          <w:trHeight w:val="203"/>
        </w:trPr>
        <w:tc>
          <w:tcPr>
            <w:tcW w:w="4780" w:type="dxa"/>
            <w:vAlign w:val="bottom"/>
            <w:shd w:val="clear" w:color="auto" w:fill="CFF0FC"/>
          </w:tcPr>
          <w:p>
            <w:pPr>
              <w:spacing w:after="0"/>
              <w:rPr>
                <w:sz w:val="17"/>
                <w:szCs w:val="17"/>
                <w:color w:val="auto"/>
              </w:rPr>
            </w:pPr>
          </w:p>
        </w:tc>
        <w:tc>
          <w:tcPr>
            <w:tcW w:w="2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Unused borrowing capacity and liquidity</w:t>
            </w:r>
          </w:p>
        </w:tc>
        <w:tc>
          <w:tcPr>
            <w:tcW w:w="2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Revolving credit facility</w:t>
            </w:r>
          </w:p>
        </w:tc>
        <w:tc>
          <w:tcPr>
            <w:tcW w:w="29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341</w:t>
            </w:r>
          </w:p>
        </w:tc>
        <w:tc>
          <w:tcPr>
            <w:tcW w:w="4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2018 accounts receivable securitization (foreign)</w:t>
            </w:r>
          </w:p>
        </w:tc>
        <w:tc>
          <w:tcPr>
            <w:tcW w:w="2900" w:type="dxa"/>
            <w:vAlign w:val="bottom"/>
          </w:tcPr>
          <w:p>
            <w:pPr>
              <w:spacing w:after="0"/>
              <w:rPr>
                <w:sz w:val="17"/>
                <w:szCs w:val="17"/>
                <w:color w:val="auto"/>
              </w:rPr>
            </w:pPr>
          </w:p>
        </w:tc>
        <w:tc>
          <w:tcPr>
            <w:tcW w:w="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receivable sales program (U.S.)</w:t>
            </w:r>
          </w:p>
        </w:tc>
        <w:tc>
          <w:tcPr>
            <w:tcW w:w="29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35"/>
        </w:trPr>
        <w:tc>
          <w:tcPr>
            <w:tcW w:w="47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r>
    </w:tbl>
    <w:p>
      <w:pPr>
        <w:spacing w:after="0" w:line="89" w:lineRule="exact"/>
        <w:rPr>
          <w:sz w:val="20"/>
          <w:szCs w:val="20"/>
          <w:color w:val="auto"/>
        </w:rPr>
      </w:pPr>
    </w:p>
    <w:p>
      <w:pPr>
        <w:ind w:left="360" w:hanging="358"/>
        <w:spacing w:after="0" w:line="273"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$335 million and $333 million related to the Asbestos trust and $91 million and $88 million related to the Environmental trust as of December 31, 2021 and September 30, 2021, respectively.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25" w:right="71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18"/>
          <w:szCs w:val="18"/>
          <w:color w:val="auto"/>
        </w:rPr>
        <w:t>The borrowing capacity remaining under the $600 million revolving credit facility was $341 million due to an outstanding balance of $240 million, as well as a reduction of $19 million for letters of credit outstanding at December 31, 2021. In total, Ashland’s available liquidity position, which includes cash, the revolving credit facility and foreign accounts receivable securitization facility, was $535 million at December 31, 2021, compared to $566 million at September 30, 2021. Ashland had no available liquidity under the U.S. Accounts Receivable Sales Program as of December 31, 2021. Ashland also maintained $426 million of restricted investments to pay for future asbestos claims and environmental remediation and related litigation.</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December 31, 2021 and September 30, 2021.</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December 31</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390"/>
              <w:spacing w:after="0" w:line="201" w:lineRule="exact"/>
              <w:rPr>
                <w:sz w:val="20"/>
                <w:szCs w:val="20"/>
                <w:color w:val="auto"/>
              </w:rPr>
            </w:pPr>
            <w:r>
              <w:rPr>
                <w:rFonts w:ascii="Arial" w:cs="Arial" w:eastAsia="Arial" w:hAnsi="Arial"/>
                <w:sz w:val="18"/>
                <w:szCs w:val="18"/>
                <w:color w:val="auto"/>
              </w:rPr>
              <w:t>September 30</w:t>
            </w:r>
          </w:p>
        </w:tc>
      </w:tr>
      <w:tr>
        <w:trPr>
          <w:trHeight w:val="217"/>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2021</w:t>
            </w: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Short-term debt (includes current portion of long-term debt)</w:t>
            </w:r>
          </w:p>
        </w:tc>
        <w:tc>
          <w:tcPr>
            <w:tcW w:w="1420" w:type="dxa"/>
            <w:vAlign w:val="bottom"/>
            <w:shd w:val="clear" w:color="auto" w:fill="CFF0FC"/>
          </w:tcPr>
          <w:p>
            <w:pPr>
              <w:jc w:val="right"/>
              <w:ind w:right="12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389</w:t>
            </w:r>
          </w:p>
        </w:tc>
        <w:tc>
          <w:tcPr>
            <w:tcW w:w="3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374</w:t>
            </w: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88"/>
              </w:rPr>
              <w:t>1,580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1,596</w:t>
            </w:r>
          </w:p>
        </w:tc>
      </w:tr>
      <w:tr>
        <w:trPr>
          <w:trHeight w:val="236"/>
        </w:trPr>
        <w:tc>
          <w:tcPr>
            <w:tcW w:w="6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1420" w:type="dxa"/>
            <w:vAlign w:val="bottom"/>
            <w:tcBorders>
              <w:bottom w:val="single" w:sz="8" w:color="auto"/>
            </w:tcBorders>
            <w:shd w:val="clear" w:color="auto" w:fill="CFF0FC"/>
          </w:tcPr>
          <w:p>
            <w:pPr>
              <w:jc w:val="right"/>
              <w:ind w:right="12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8"/>
              </w:rPr>
              <w:t>1,969</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1,970</w:t>
            </w:r>
          </w:p>
        </w:tc>
      </w:tr>
      <w:tr>
        <w:trPr>
          <w:trHeight w:val="116"/>
        </w:trPr>
        <w:tc>
          <w:tcPr>
            <w:tcW w:w="64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-119380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-102235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60" w:hanging="358"/>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$17 million of debt issuance cost discounts as of December 31, 2021 and September 30, 2021</w:t>
      </w:r>
      <w:r>
        <w:rPr>
          <w:rFonts w:ascii="Arial" w:cs="Arial" w:eastAsia="Arial" w:hAnsi="Arial"/>
          <w:sz w:val="17"/>
          <w:szCs w:val="17"/>
          <w:color w:val="auto"/>
        </w:rPr>
        <w:t>,</w:t>
      </w:r>
      <w:r>
        <w:rPr>
          <w:rFonts w:ascii="Arial" w:cs="Arial" w:eastAsia="Arial" w:hAnsi="Arial"/>
          <w:sz w:val="14"/>
          <w:szCs w:val="14"/>
          <w:color w:val="auto"/>
        </w:rPr>
        <w:t xml:space="preserve"> respectively.</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Debt as a percent of capital employed was 42% at December 31, 2021 and at September 30, 2021, respectively. At December 31, 2021, Ashland’s total debt had an outstanding principal balance of $2,025 million, discounts of $39 million, and debt issuance costs of $17 million. The scheduled aggregate maturities of long-term debt by year (including the current portion and excluding debt issuance costs) are as follows: $9 million in 2022, $22 million in 2023, $44 million in 2024, $175 million in 2025 and zero in 2026.</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Ashland’s corporate credit ratings remained unchanged at BB+ by Standard &amp; Poor’s and Ba1 by Moody’s Investor Services. As of December 31, 2021, both Moody’s Investor Services and Standard &amp; Poor's outlook remained at stable. Subsequent changes to these ratings or outlook may have an effect on Ashland’s borrowing rate or ability to access capital markets in the future.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Ashland's current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2021, Ashland is in compliance with all debt agreement covenant restrictions under the 2020 Credit Agreement.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December 31, 2021, Ashland’s calculation of the consolidated net leverage ratio was 3.1.</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December 31, 2021, Ashland’s calculation of the consolidated interest coverage ratio was 9.4.</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25" w:right="719" w:bottom="1440" w:gutter="0" w:footer="0" w:header="0"/>
        </w:sectPr>
      </w:pPr>
    </w:p>
    <w:bookmarkStart w:id="45" w:name="page46"/>
    <w:bookmarkEnd w:id="45"/>
    <w:p>
      <w:pPr>
        <w:jc w:val="both"/>
        <w:ind w:left="380"/>
        <w:spacing w:after="0" w:line="237" w:lineRule="auto"/>
        <w:rPr>
          <w:sz w:val="20"/>
          <w:szCs w:val="20"/>
          <w:color w:val="auto"/>
        </w:rPr>
      </w:pPr>
      <w:r>
        <w:rPr>
          <w:rFonts w:ascii="Arial" w:cs="Arial" w:eastAsia="Arial" w:hAnsi="Arial"/>
          <w:sz w:val="20"/>
          <w:szCs w:val="20"/>
          <w:color w:val="auto"/>
        </w:rPr>
        <w:t>Any change in Covenant Adjusted EBITDA of $100 million would have an approximate 0.5x effect on the consolidated net leverage ratio and a 1.6x effect on the consolidated interest coverage ratio. The change in consolidated indebtedness of $100 million would affect the consolidated leverage ratio by approximately 0.2x.</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Additional capital resources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Total equity</w:t>
      </w:r>
    </w:p>
    <w:p>
      <w:pPr>
        <w:spacing w:after="0" w:line="94"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Total equity increased by $11 million since September 30, 2021 to $2,763 million at December 31, 2021. The increase of $11 million was due to net income of $48 million, offset by dividends of $17 million, deferred translation loss of $17 million, and $3 million of deferred loss on commodity hedges.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Stockholder dividends</w:t>
      </w:r>
    </w:p>
    <w:p>
      <w:pPr>
        <w:spacing w:after="0" w:line="9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paid a dividend of 30 cents per share for the first quarter of fiscal 2022 and 27.5 cents per share in the first quarter of fiscal 2021.</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Capital expenditures</w:t>
      </w:r>
    </w:p>
    <w:p>
      <w:pPr>
        <w:spacing w:after="0" w:line="9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Capital expenditures were $15 million for the three months ended December 31, 2021 compared to $30 million for the three months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00"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2021.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three months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00" w:lineRule="exact"/>
        <w:rPr>
          <w:sz w:val="20"/>
          <w:szCs w:val="20"/>
          <w:color w:val="auto"/>
        </w:rPr>
      </w:pPr>
    </w:p>
    <w:p>
      <w:pPr>
        <w:jc w:val="both"/>
        <w:ind w:left="380"/>
        <w:spacing w:after="0" w:line="272" w:lineRule="auto"/>
        <w:rPr>
          <w:sz w:val="20"/>
          <w:szCs w:val="20"/>
          <w:color w:val="auto"/>
        </w:rPr>
      </w:pPr>
      <w:r>
        <w:rPr>
          <w:rFonts w:ascii="Arial" w:cs="Arial" w:eastAsia="Arial" w:hAnsi="Arial"/>
          <w:sz w:val="19"/>
          <w:szCs w:val="19"/>
          <w:color w:val="auto"/>
        </w:rPr>
        <w:t>Ashland issued its outlook for fiscal 2022 in November 2021. This outlook has not changed and remains the same as shown in the table below. Ashland's most recent forecast projects full-year Adjusted EBITDA below the midpoint of the range.</w:t>
      </w:r>
    </w:p>
    <w:p>
      <w:pPr>
        <w:spacing w:after="0" w:line="42"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4560" w:type="dxa"/>
            <w:vAlign w:val="bottom"/>
            <w:tcBorders>
              <w:top w:val="single" w:sz="8" w:color="auto"/>
              <w:bottom w:val="single" w:sz="8" w:color="auto"/>
            </w:tcBorders>
          </w:tcPr>
          <w:p>
            <w:pPr>
              <w:spacing w:after="0"/>
              <w:rPr>
                <w:sz w:val="17"/>
                <w:szCs w:val="17"/>
                <w:color w:val="auto"/>
              </w:rPr>
            </w:pPr>
          </w:p>
        </w:tc>
        <w:tc>
          <w:tcPr>
            <w:tcW w:w="5860" w:type="dxa"/>
            <w:vAlign w:val="bottom"/>
            <w:tcBorders>
              <w:top w:val="single" w:sz="8" w:color="auto"/>
              <w:bottom w:val="single" w:sz="8" w:color="auto"/>
            </w:tcBorders>
          </w:tcPr>
          <w:p>
            <w:pPr>
              <w:jc w:val="center"/>
              <w:ind w:left="1130"/>
              <w:spacing w:after="0" w:line="202" w:lineRule="exact"/>
              <w:rPr>
                <w:sz w:val="20"/>
                <w:szCs w:val="20"/>
                <w:color w:val="auto"/>
              </w:rPr>
            </w:pPr>
            <w:r>
              <w:rPr>
                <w:rFonts w:ascii="Arial" w:cs="Arial" w:eastAsia="Arial" w:hAnsi="Arial"/>
                <w:sz w:val="18"/>
                <w:szCs w:val="18"/>
                <w:b w:val="1"/>
                <w:bCs w:val="1"/>
                <w:color w:val="auto"/>
                <w:w w:val="93"/>
              </w:rPr>
              <w:t>FY 2022 Outlook</w:t>
            </w: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Key Operating Metrics</w:t>
            </w:r>
          </w:p>
        </w:tc>
        <w:tc>
          <w:tcPr>
            <w:tcW w:w="5860" w:type="dxa"/>
            <w:vAlign w:val="bottom"/>
            <w:shd w:val="clear" w:color="auto" w:fill="CFF0FC"/>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Sales</w:t>
            </w:r>
          </w:p>
        </w:tc>
        <w:tc>
          <w:tcPr>
            <w:tcW w:w="5860" w:type="dxa"/>
            <w:vAlign w:val="bottom"/>
          </w:tcPr>
          <w:p>
            <w:pPr>
              <w:jc w:val="center"/>
              <w:ind w:left="1130"/>
              <w:spacing w:after="0" w:line="202" w:lineRule="exact"/>
              <w:rPr>
                <w:sz w:val="20"/>
                <w:szCs w:val="20"/>
                <w:color w:val="auto"/>
              </w:rPr>
            </w:pPr>
            <w:r>
              <w:rPr>
                <w:rFonts w:ascii="Arial" w:cs="Arial" w:eastAsia="Arial" w:hAnsi="Arial"/>
                <w:sz w:val="18"/>
                <w:szCs w:val="18"/>
                <w:color w:val="auto"/>
                <w:w w:val="94"/>
              </w:rPr>
              <w:t>$2.25 - $2.35 billion</w:t>
            </w: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w:t>
            </w:r>
          </w:p>
        </w:tc>
        <w:tc>
          <w:tcPr>
            <w:tcW w:w="5860" w:type="dxa"/>
            <w:vAlign w:val="bottom"/>
            <w:shd w:val="clear" w:color="auto" w:fill="CFF0FC"/>
          </w:tcPr>
          <w:p>
            <w:pPr>
              <w:jc w:val="center"/>
              <w:ind w:left="1130"/>
              <w:spacing w:after="0" w:line="202" w:lineRule="exact"/>
              <w:rPr>
                <w:sz w:val="20"/>
                <w:szCs w:val="20"/>
                <w:color w:val="auto"/>
              </w:rPr>
            </w:pPr>
            <w:r>
              <w:rPr>
                <w:rFonts w:ascii="Arial" w:cs="Arial" w:eastAsia="Arial" w:hAnsi="Arial"/>
                <w:sz w:val="18"/>
                <w:szCs w:val="18"/>
                <w:color w:val="auto"/>
                <w:w w:val="94"/>
              </w:rPr>
              <w:t>$550 - $570 million</w:t>
            </w:r>
          </w:p>
        </w:tc>
      </w:tr>
      <w:tr>
        <w:trPr>
          <w:trHeight w:val="135"/>
        </w:trPr>
        <w:tc>
          <w:tcPr>
            <w:tcW w:w="4560" w:type="dxa"/>
            <w:vAlign w:val="bottom"/>
            <w:tcBorders>
              <w:bottom w:val="single" w:sz="8" w:color="auto"/>
            </w:tcBorders>
          </w:tcPr>
          <w:p>
            <w:pPr>
              <w:spacing w:after="0"/>
              <w:rPr>
                <w:sz w:val="11"/>
                <w:szCs w:val="11"/>
                <w:color w:val="auto"/>
              </w:rPr>
            </w:pPr>
          </w:p>
        </w:tc>
        <w:tc>
          <w:tcPr>
            <w:tcW w:w="5860" w:type="dxa"/>
            <w:vAlign w:val="bottom"/>
            <w:tcBorders>
              <w:bottom w:val="single" w:sz="8" w:color="auto"/>
            </w:tcBorders>
          </w:tcPr>
          <w:p>
            <w:pPr>
              <w:spacing w:after="0"/>
              <w:rPr>
                <w:sz w:val="11"/>
                <w:szCs w:val="11"/>
                <w:color w:val="auto"/>
              </w:rPr>
            </w:pPr>
          </w:p>
        </w:tc>
      </w:tr>
    </w:tbl>
    <w:p>
      <w:pPr>
        <w:spacing w:after="0" w:line="91" w:lineRule="exact"/>
        <w:rPr>
          <w:sz w:val="20"/>
          <w:szCs w:val="20"/>
          <w:color w:val="auto"/>
        </w:rPr>
      </w:pPr>
    </w:p>
    <w:p>
      <w:pPr>
        <w:jc w:val="both"/>
        <w:ind w:left="380"/>
        <w:spacing w:after="0" w:line="272" w:lineRule="auto"/>
        <w:rPr>
          <w:sz w:val="20"/>
          <w:szCs w:val="20"/>
          <w:color w:val="auto"/>
        </w:rPr>
      </w:pPr>
      <w:r>
        <w:rPr>
          <w:rFonts w:ascii="Arial" w:cs="Arial" w:eastAsia="Arial" w:hAnsi="Arial"/>
          <w:sz w:val="19"/>
          <w:szCs w:val="19"/>
          <w:color w:val="auto"/>
        </w:rPr>
        <w:t>Ashland is unable to reconcile forward-looking adjusted EBITDA to forward-looking net income, the most closely comparable GAAP financial measure, because the information needed to provide such reconciliation would require unreasonable efforts.</w:t>
      </w:r>
    </w:p>
    <w:p>
      <w:pPr>
        <w:spacing w:after="0" w:line="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33" w:right="71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00"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Ashland’s market risk exposure at December 31, 2021 is generally consistent with the types of market risk exposures presented in Ashland’s Annual Report on Form 10-K for the fiscal year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00"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December 31, 2021.</w:t>
      </w:r>
    </w:p>
    <w:p>
      <w:pPr>
        <w:spacing w:after="0" w:line="54"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three months ended December 31, 2021, there were no</w:t>
      </w:r>
      <w:r>
        <w:rPr>
          <w:rFonts w:ascii="Arial" w:cs="Arial" w:eastAsia="Arial" w:hAnsi="Arial"/>
          <w:sz w:val="20"/>
          <w:szCs w:val="20"/>
          <w:i w:val="1"/>
          <w:iCs w:val="1"/>
          <w:color w:val="auto"/>
        </w:rPr>
        <w:t xml:space="preserve"> </w:t>
      </w:r>
      <w:r>
        <w:rPr>
          <w:rFonts w:ascii="Arial" w:cs="Arial" w:eastAsia="Arial" w:hAnsi="Arial"/>
          <w:sz w:val="20"/>
          <w:szCs w:val="20"/>
          <w:color w:val="auto"/>
        </w:rPr>
        <w:t>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7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Ashland completed its purchase of Schülke in the quarter ended June 30, 2021. Although management believes appropriate internal controls and procedures have been maintained, Schülke's controls and procedures for the recording, processing, and summarizing of financial information have not been fully evaluated by Ashland's management as of December 31, 2021. Ashland anticipates to have this assessment complete during Fiscal 2022. As such, there is a risk that deficiencies may exist and not yet be identified that could constitute significant deficiencies or in the aggregate, a material weakness related to Schülke's business.</w:t>
      </w:r>
    </w:p>
    <w:p>
      <w:pPr>
        <w:spacing w:after="0" w:line="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19" w:right="719" w:bottom="1440" w:gutter="0" w:footer="0" w:header="0"/>
        </w:sectPr>
      </w:pPr>
    </w:p>
    <w:bookmarkStart w:id="47" w:name="page48"/>
    <w:bookmarkEnd w:id="47"/>
    <w:p>
      <w:pPr>
        <w:jc w:val="center"/>
        <w:ind w:right="-379"/>
        <w:spacing w:after="0"/>
        <w:rPr>
          <w:sz w:val="20"/>
          <w:szCs w:val="20"/>
          <w:color w:val="auto"/>
        </w:rPr>
      </w:pPr>
      <w:r>
        <w:rPr>
          <w:rFonts w:ascii="Arial" w:cs="Arial" w:eastAsia="Arial" w:hAnsi="Arial"/>
          <w:sz w:val="20"/>
          <w:szCs w:val="20"/>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00" w:lineRule="exact"/>
        <w:rPr>
          <w:sz w:val="20"/>
          <w:szCs w:val="20"/>
          <w:color w:val="auto"/>
        </w:rPr>
      </w:pPr>
    </w:p>
    <w:p>
      <w:pPr>
        <w:jc w:val="both"/>
        <w:ind w:left="380"/>
        <w:spacing w:after="0" w:line="300" w:lineRule="auto"/>
        <w:rPr>
          <w:sz w:val="20"/>
          <w:szCs w:val="20"/>
          <w:color w:val="auto"/>
        </w:rPr>
      </w:pPr>
      <w:r>
        <w:rPr>
          <w:rFonts w:ascii="Arial" w:cs="Arial" w:eastAsia="Arial" w:hAnsi="Arial"/>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94"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75" w:lineRule="exact"/>
        <w:rPr>
          <w:sz w:val="20"/>
          <w:szCs w:val="20"/>
          <w:color w:val="auto"/>
        </w:rPr>
      </w:pPr>
    </w:p>
    <w:p>
      <w:pPr>
        <w:jc w:val="both"/>
        <w:ind w:left="380"/>
        <w:spacing w:after="0" w:line="275"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94" w:lineRule="exact"/>
        <w:rPr>
          <w:sz w:val="20"/>
          <w:szCs w:val="20"/>
          <w:color w:val="auto"/>
        </w:rPr>
      </w:pPr>
    </w:p>
    <w:p>
      <w:pPr>
        <w:jc w:val="both"/>
        <w:ind w:left="380" w:firstLine="2"/>
        <w:spacing w:after="0" w:line="241" w:lineRule="auto"/>
        <w:tabs>
          <w:tab w:leader="none" w:pos="664" w:val="left"/>
        </w:tabs>
        <w:numPr>
          <w:ilvl w:val="0"/>
          <w:numId w:val="3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w:t>
      </w:r>
      <w:r>
        <w:rPr>
          <w:rFonts w:ascii="Arial" w:cs="Arial" w:eastAsia="Arial" w:hAnsi="Arial"/>
          <w:sz w:val="19"/>
          <w:szCs w:val="19"/>
          <w:i w:val="1"/>
          <w:iCs w:val="1"/>
          <w:color w:val="auto"/>
        </w:rPr>
        <w:t xml:space="preserve"> </w:t>
      </w:r>
      <w:r>
        <w:rPr>
          <w:rFonts w:ascii="Arial" w:cs="Arial" w:eastAsia="Arial" w:hAnsi="Arial"/>
          <w:sz w:val="19"/>
          <w:szCs w:val="19"/>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December 31, 2021, Ashland and its subsidiaries have been identified as a PRP by U.S. federal and state authorities, or by private parties seeking contribution, for the cost of environmental investigation and/or cleanup at 80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4" w:lineRule="exact"/>
        <w:rPr>
          <w:rFonts w:ascii="Arial" w:cs="Arial" w:eastAsia="Arial" w:hAnsi="Arial"/>
          <w:sz w:val="19"/>
          <w:szCs w:val="19"/>
          <w:i w:val="1"/>
          <w:iCs w:val="1"/>
          <w:color w:val="auto"/>
        </w:rPr>
      </w:pPr>
    </w:p>
    <w:p>
      <w:pPr>
        <w:jc w:val="both"/>
        <w:ind w:left="380" w:firstLine="2"/>
        <w:spacing w:after="0" w:line="254" w:lineRule="auto"/>
        <w:tabs>
          <w:tab w:leader="none" w:pos="685"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8" w:lineRule="exact"/>
        <w:rPr>
          <w:sz w:val="20"/>
          <w:szCs w:val="20"/>
          <w:color w:val="auto"/>
        </w:rPr>
      </w:pPr>
    </w:p>
    <w:p>
      <w:pPr>
        <w:ind w:left="380"/>
        <w:spacing w:after="0" w:line="246"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19" w:right="71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9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2021. There is a reasonable possibility that a loss exceeding amounts already recognized may be incurred related to these actions; however, Ashland believes that such potential losses were immaterial as of December 31, 2021.</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33" w:right="71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ITEM 1A. RISK FACTORS</w:t>
      </w:r>
    </w:p>
    <w:p>
      <w:pPr>
        <w:spacing w:after="0" w:line="100" w:lineRule="exact"/>
        <w:rPr>
          <w:sz w:val="20"/>
          <w:szCs w:val="20"/>
          <w:color w:val="auto"/>
        </w:rPr>
      </w:pPr>
    </w:p>
    <w:p>
      <w:pPr>
        <w:ind w:left="380" w:right="40"/>
        <w:spacing w:after="0" w:line="246"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There was no share repurchase activity during the three months ended December 31, 2021.</w:t>
      </w:r>
    </w:p>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3460" w:type="dxa"/>
            <w:vAlign w:val="bottom"/>
            <w:gridSpan w:val="3"/>
          </w:tcPr>
          <w:p>
            <w:pPr>
              <w:jc w:val="center"/>
              <w:ind w:right="490"/>
              <w:spacing w:after="0"/>
              <w:rPr>
                <w:sz w:val="20"/>
                <w:szCs w:val="20"/>
                <w:color w:val="auto"/>
              </w:rPr>
            </w:pPr>
            <w:r>
              <w:rPr>
                <w:rFonts w:ascii="Arial" w:cs="Arial" w:eastAsia="Arial" w:hAnsi="Arial"/>
                <w:sz w:val="18"/>
                <w:szCs w:val="18"/>
                <w:color w:val="auto"/>
                <w:w w:val="89"/>
              </w:rPr>
              <w:t>Issuer Purchases of Equity Securities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Dollar Value of</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6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vMerge w:val="restart"/>
          </w:tcPr>
          <w:p>
            <w:pPr>
              <w:jc w:val="center"/>
              <w:ind w:right="250"/>
              <w:spacing w:after="0"/>
              <w:rPr>
                <w:sz w:val="20"/>
                <w:szCs w:val="20"/>
                <w:color w:val="auto"/>
              </w:rPr>
            </w:pPr>
            <w:r>
              <w:rPr>
                <w:rFonts w:ascii="Arial" w:cs="Arial" w:eastAsia="Arial" w:hAnsi="Arial"/>
                <w:sz w:val="18"/>
                <w:szCs w:val="18"/>
                <w:color w:val="auto"/>
                <w:w w:val="90"/>
              </w:rPr>
              <w:t>Average Price</w:t>
            </w: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Shares that May</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Be Purchased</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6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Total Number of</w:t>
            </w:r>
          </w:p>
        </w:tc>
        <w:tc>
          <w:tcPr>
            <w:tcW w:w="300" w:type="dxa"/>
            <w:vAlign w:val="bottom"/>
          </w:tcPr>
          <w:p>
            <w:pPr>
              <w:spacing w:after="0"/>
              <w:rPr>
                <w:sz w:val="15"/>
                <w:szCs w:val="15"/>
                <w:color w:val="auto"/>
              </w:rPr>
            </w:pPr>
          </w:p>
        </w:tc>
        <w:tc>
          <w:tcPr>
            <w:tcW w:w="152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86"/>
              </w:rPr>
              <w:t>Paid Per Share,</w:t>
            </w:r>
          </w:p>
        </w:tc>
        <w:tc>
          <w:tcPr>
            <w:tcW w:w="16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as Part of Publicly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Under the Plans</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5"/>
              </w:rPr>
              <w:t>including</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or Programs</w:t>
            </w:r>
          </w:p>
        </w:tc>
        <w:tc>
          <w:tcPr>
            <w:tcW w:w="0" w:type="dxa"/>
            <w:vAlign w:val="bottom"/>
          </w:tcPr>
          <w:p>
            <w:pPr>
              <w:spacing w:after="0"/>
              <w:rPr>
                <w:sz w:val="1"/>
                <w:szCs w:val="1"/>
                <w:color w:val="auto"/>
              </w:rPr>
            </w:pPr>
          </w:p>
        </w:tc>
      </w:tr>
      <w:tr>
        <w:trPr>
          <w:trHeight w:val="216"/>
        </w:trPr>
        <w:tc>
          <w:tcPr>
            <w:tcW w:w="3800" w:type="dxa"/>
            <w:vAlign w:val="bottom"/>
          </w:tcPr>
          <w:p>
            <w:pPr>
              <w:ind w:left="1200"/>
              <w:spacing w:after="0"/>
              <w:rPr>
                <w:sz w:val="20"/>
                <w:szCs w:val="20"/>
                <w:color w:val="auto"/>
              </w:rPr>
            </w:pPr>
            <w:r>
              <w:rPr>
                <w:rFonts w:ascii="Arial" w:cs="Arial" w:eastAsia="Arial" w:hAnsi="Arial"/>
                <w:sz w:val="18"/>
                <w:szCs w:val="18"/>
                <w:color w:val="auto"/>
              </w:rPr>
              <w:t>Q1 Fiscal Periods</w:t>
            </w:r>
          </w:p>
        </w:tc>
        <w:tc>
          <w:tcPr>
            <w:tcW w:w="1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5"/>
              </w:rPr>
              <w:t>Shares Purchased</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0"/>
              </w:rPr>
              <w:t>commission</w:t>
            </w: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or Programs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7"/>
              </w:rPr>
              <w:t xml:space="preserve">(in millions) </w:t>
            </w:r>
            <w:r>
              <w:rPr>
                <w:rFonts w:ascii="Arial" w:cs="Arial" w:eastAsia="Arial" w:hAnsi="Arial"/>
                <w:sz w:val="14"/>
                <w:szCs w:val="14"/>
                <w:color w:val="auto"/>
                <w:w w:val="97"/>
              </w:rPr>
              <w:t>(a)</w:t>
            </w: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2021 to October 31, 2021</w:t>
            </w:r>
          </w:p>
        </w:tc>
        <w:tc>
          <w:tcPr>
            <w:tcW w:w="1640" w:type="dxa"/>
            <w:vAlign w:val="bottom"/>
            <w:shd w:val="clear" w:color="auto" w:fill="CFF0FC"/>
          </w:tcPr>
          <w:p>
            <w:pPr>
              <w:jc w:val="center"/>
              <w:ind w:left="113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ind w:left="112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ind w:left="138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November 1, 2021 to November 30, 2021</w:t>
            </w:r>
          </w:p>
        </w:tc>
        <w:tc>
          <w:tcPr>
            <w:tcW w:w="1640" w:type="dxa"/>
            <w:vAlign w:val="bottom"/>
          </w:tcPr>
          <w:p>
            <w:pPr>
              <w:jc w:val="center"/>
              <w:ind w:left="113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1520" w:type="dxa"/>
            <w:vAlign w:val="bottom"/>
          </w:tcPr>
          <w:p>
            <w:pPr>
              <w:ind w:left="112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ind w:left="1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3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2021 to December 31, 2021</w:t>
            </w:r>
          </w:p>
        </w:tc>
        <w:tc>
          <w:tcPr>
            <w:tcW w:w="1640" w:type="dxa"/>
            <w:vAlign w:val="bottom"/>
            <w:tcBorders>
              <w:bottom w:val="single" w:sz="8" w:color="auto"/>
            </w:tcBorders>
            <w:shd w:val="clear" w:color="auto" w:fill="CFF0FC"/>
          </w:tcPr>
          <w:p>
            <w:pPr>
              <w:jc w:val="center"/>
              <w:ind w:left="113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ind w:left="1120"/>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ind w:left="138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96"/>
        </w:trPr>
        <w:tc>
          <w:tcPr>
            <w:tcW w:w="380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1640" w:type="dxa"/>
            <w:vAlign w:val="bottom"/>
          </w:tcPr>
          <w:p>
            <w:pPr>
              <w:jc w:val="center"/>
              <w:ind w:left="113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ind w:left="138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-253365</wp:posOffset>
            </wp:positionV>
            <wp:extent cx="10287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-253365</wp:posOffset>
            </wp:positionV>
            <wp:extent cx="685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9" w:lineRule="exact"/>
        <w:rPr>
          <w:sz w:val="20"/>
          <w:szCs w:val="20"/>
          <w:color w:val="auto"/>
        </w:rPr>
      </w:pPr>
    </w:p>
    <w:p>
      <w:pPr>
        <w:jc w:val="both"/>
        <w:ind w:left="740" w:right="40" w:hanging="358"/>
        <w:spacing w:after="0" w:line="252" w:lineRule="auto"/>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December 31, 2021, $350 million remains available for repurchase under this authorization.</w:t>
      </w:r>
    </w:p>
    <w:p>
      <w:pPr>
        <w:spacing w:after="0" w:line="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35" w:right="67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ITEM 6. EXHIBITS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0"/>
          <w:szCs w:val="20"/>
          <w:color w:val="auto"/>
        </w:rPr>
        <w:t>(a) Exhibits</w:t>
      </w:r>
    </w:p>
    <w:p>
      <w:pPr>
        <w:spacing w:after="0" w:line="135" w:lineRule="exact"/>
        <w:rPr>
          <w:sz w:val="20"/>
          <w:szCs w:val="20"/>
          <w:color w:val="auto"/>
        </w:rPr>
      </w:pPr>
    </w:p>
    <w:p>
      <w:pPr>
        <w:ind w:left="1340" w:right="40" w:hanging="1322"/>
        <w:spacing w:after="0" w:line="236" w:lineRule="auto"/>
        <w:tabs>
          <w:tab w:leader="none" w:pos="1320" w:val="left"/>
        </w:tabs>
        <w:rPr>
          <w:rFonts w:ascii="Arial" w:cs="Arial" w:eastAsia="Arial" w:hAnsi="Arial"/>
          <w:sz w:val="20"/>
          <w:szCs w:val="20"/>
          <w:u w:val="single" w:color="auto"/>
          <w:color w:val="0000FF"/>
        </w:rPr>
      </w:pPr>
      <w:r>
        <w:rPr>
          <w:rFonts w:ascii="Arial" w:cs="Arial" w:eastAsia="Arial" w:hAnsi="Arial"/>
          <w:sz w:val="20"/>
          <w:szCs w:val="20"/>
          <w:color w:val="auto"/>
        </w:rPr>
        <w:t>3.1</w:t>
      </w:r>
      <w:r>
        <w:rPr>
          <w:sz w:val="20"/>
          <w:szCs w:val="20"/>
          <w:color w:val="auto"/>
        </w:rPr>
        <w:tab/>
      </w:r>
      <w:hyperlink r:id="rId337">
        <w:r>
          <w:rPr>
            <w:rFonts w:ascii="Arial" w:cs="Arial" w:eastAsia="Arial" w:hAnsi="Arial"/>
            <w:sz w:val="20"/>
            <w:szCs w:val="20"/>
            <w:u w:val="single" w:color="auto"/>
            <w:color w:val="0000FF"/>
          </w:rPr>
          <w:t>Amended and Restated By-Laws of Ashland Global Holdings Inc. (filed as Exhibit 3.1 to Ashland's Form 8-K filed on</w:t>
        </w:r>
      </w:hyperlink>
      <w:r>
        <w:rPr>
          <w:rFonts w:ascii="Arial" w:cs="Arial" w:eastAsia="Arial" w:hAnsi="Arial"/>
          <w:sz w:val="20"/>
          <w:szCs w:val="20"/>
          <w:u w:val="single" w:color="auto"/>
          <w:color w:val="0000FF"/>
        </w:rPr>
        <w:t xml:space="preserve"> </w:t>
      </w:r>
      <w:hyperlink r:id="rId337">
        <w:r>
          <w:rPr>
            <w:rFonts w:ascii="Arial" w:cs="Arial" w:eastAsia="Arial" w:hAnsi="Arial"/>
            <w:sz w:val="20"/>
            <w:szCs w:val="20"/>
            <w:u w:val="single" w:color="auto"/>
            <w:color w:val="0000FF"/>
          </w:rPr>
          <w:t>January 27, 2022 (SEC File No. 333-211719) and incorporated by referenced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-155575</wp:posOffset>
            </wp:positionV>
            <wp:extent cx="62445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244590"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-27305</wp:posOffset>
            </wp:positionV>
            <wp:extent cx="49142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4914265" cy="8255"/>
                    </a:xfrm>
                    <a:prstGeom prst="rect">
                      <a:avLst/>
                    </a:prstGeom>
                    <a:noFill/>
                  </pic:spPr>
                </pic:pic>
              </a:graphicData>
            </a:graphic>
          </wp:anchor>
        </w:drawing>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10.1*</w:t>
            </w:r>
          </w:p>
        </w:tc>
        <w:tc>
          <w:tcPr>
            <w:tcW w:w="9880" w:type="dxa"/>
            <w:vAlign w:val="bottom"/>
            <w:gridSpan w:val="7"/>
          </w:tcPr>
          <w:p>
            <w:pPr>
              <w:spacing w:after="0"/>
              <w:rPr>
                <w:rFonts w:ascii="Arial" w:cs="Arial" w:eastAsia="Arial" w:hAnsi="Arial"/>
                <w:sz w:val="20"/>
                <w:szCs w:val="20"/>
                <w:color w:val="0000FF"/>
                <w:w w:val="91"/>
              </w:rPr>
            </w:pPr>
            <w:hyperlink w:anchor="page53">
              <w:r>
                <w:rPr>
                  <w:rFonts w:ascii="Arial" w:cs="Arial" w:eastAsia="Arial" w:hAnsi="Arial"/>
                  <w:sz w:val="20"/>
                  <w:szCs w:val="20"/>
                  <w:color w:val="0000FF"/>
                  <w:w w:val="91"/>
                </w:rPr>
                <w:t>Amendment to Supplemental Confirmation dated November 22, 2021 to the Master Confirmation - Uncollared Accelerated</w:t>
              </w:r>
            </w:hyperlink>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9860" w:type="dxa"/>
            <w:vAlign w:val="bottom"/>
            <w:gridSpan w:val="6"/>
          </w:tcPr>
          <w:p>
            <w:pPr>
              <w:spacing w:after="0" w:line="183" w:lineRule="exact"/>
              <w:rPr>
                <w:rFonts w:ascii="Arial" w:cs="Arial" w:eastAsia="Arial" w:hAnsi="Arial"/>
                <w:sz w:val="20"/>
                <w:szCs w:val="20"/>
                <w:color w:val="0000FF"/>
                <w:w w:val="90"/>
              </w:rPr>
            </w:pPr>
            <w:hyperlink w:anchor="page53">
              <w:r>
                <w:rPr>
                  <w:rFonts w:ascii="Arial" w:cs="Arial" w:eastAsia="Arial" w:hAnsi="Arial"/>
                  <w:sz w:val="20"/>
                  <w:szCs w:val="20"/>
                  <w:color w:val="0000FF"/>
                  <w:w w:val="90"/>
                </w:rPr>
                <w:t>Share Repurchase, dated September 2, 2021, between Ashland Global Holdings Inc. and JPMorgan Chase Bank, National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9840" w:type="dxa"/>
            <w:vAlign w:val="bottom"/>
            <w:gridSpan w:val="5"/>
          </w:tcPr>
          <w:p>
            <w:pPr>
              <w:spacing w:after="0" w:line="183" w:lineRule="exact"/>
              <w:rPr>
                <w:rFonts w:ascii="Arial" w:cs="Arial" w:eastAsia="Arial" w:hAnsi="Arial"/>
                <w:sz w:val="20"/>
                <w:szCs w:val="20"/>
                <w:color w:val="0000FF"/>
              </w:rPr>
            </w:pPr>
            <w:hyperlink w:anchor="page53">
              <w:r>
                <w:rPr>
                  <w:rFonts w:ascii="Arial" w:cs="Arial" w:eastAsia="Arial" w:hAnsi="Arial"/>
                  <w:sz w:val="20"/>
                  <w:szCs w:val="20"/>
                  <w:color w:val="0000FF"/>
                </w:rPr>
                <w:t>Association.</w:t>
              </w:r>
            </w:hyperlink>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9880" w:type="dxa"/>
            <w:vAlign w:val="bottom"/>
            <w:gridSpan w:val="7"/>
          </w:tcPr>
          <w:p>
            <w:pPr>
              <w:spacing w:after="0"/>
              <w:rPr>
                <w:rFonts w:ascii="Arial" w:cs="Arial" w:eastAsia="Arial" w:hAnsi="Arial"/>
                <w:sz w:val="20"/>
                <w:szCs w:val="20"/>
                <w:color w:val="0000FF"/>
                <w:w w:val="94"/>
              </w:rPr>
            </w:pPr>
            <w:hyperlink w:anchor="page56">
              <w:r>
                <w:rPr>
                  <w:rFonts w:ascii="Arial" w:cs="Arial" w:eastAsia="Arial" w:hAnsi="Arial"/>
                  <w:sz w:val="20"/>
                  <w:szCs w:val="20"/>
                  <w:color w:val="0000FF"/>
                  <w:w w:val="94"/>
                </w:rPr>
                <w:t>Certificate of Guillermo Novo, Chief Executive Officer of Ashland pursuant to Section 302 of the Sarbanes-Oxley Act of</w:t>
              </w:r>
            </w:hyperlink>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440" w:type="dxa"/>
            <w:vAlign w:val="bottom"/>
          </w:tcPr>
          <w:p>
            <w:pPr>
              <w:spacing w:after="0" w:line="183" w:lineRule="exact"/>
              <w:rPr>
                <w:rFonts w:ascii="Arial" w:cs="Arial" w:eastAsia="Arial" w:hAnsi="Arial"/>
                <w:sz w:val="20"/>
                <w:szCs w:val="20"/>
                <w:color w:val="0000FF"/>
                <w:w w:val="79"/>
              </w:rPr>
            </w:pPr>
            <w:hyperlink w:anchor="page56">
              <w:r>
                <w:rPr>
                  <w:rFonts w:ascii="Arial" w:cs="Arial" w:eastAsia="Arial" w:hAnsi="Arial"/>
                  <w:sz w:val="20"/>
                  <w:szCs w:val="20"/>
                  <w:color w:val="0000FF"/>
                  <w:w w:val="79"/>
                </w:rPr>
                <w:t>2002.</w:t>
              </w:r>
            </w:hyperlink>
          </w:p>
        </w:tc>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9880" w:type="dxa"/>
            <w:vAlign w:val="bottom"/>
            <w:gridSpan w:val="7"/>
          </w:tcPr>
          <w:p>
            <w:pPr>
              <w:spacing w:after="0"/>
              <w:rPr>
                <w:rFonts w:ascii="Arial" w:cs="Arial" w:eastAsia="Arial" w:hAnsi="Arial"/>
                <w:sz w:val="20"/>
                <w:szCs w:val="20"/>
                <w:color w:val="0000FF"/>
                <w:w w:val="95"/>
              </w:rPr>
            </w:pPr>
            <w:hyperlink w:anchor="page57">
              <w:r>
                <w:rPr>
                  <w:rFonts w:ascii="Arial" w:cs="Arial" w:eastAsia="Arial" w:hAnsi="Arial"/>
                  <w:sz w:val="20"/>
                  <w:szCs w:val="20"/>
                  <w:color w:val="0000FF"/>
                  <w:w w:val="95"/>
                </w:rPr>
                <w:t>Certificate of J. Kevin Willis, Chief Financial Officer of Ashland pursuant to Section 302 of the Sarbanes-Oxley Act of</w:t>
              </w:r>
            </w:hyperlink>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440" w:type="dxa"/>
            <w:vAlign w:val="bottom"/>
          </w:tcPr>
          <w:p>
            <w:pPr>
              <w:spacing w:after="0" w:line="183" w:lineRule="exact"/>
              <w:rPr>
                <w:rFonts w:ascii="Arial" w:cs="Arial" w:eastAsia="Arial" w:hAnsi="Arial"/>
                <w:sz w:val="20"/>
                <w:szCs w:val="20"/>
                <w:color w:val="0000FF"/>
                <w:w w:val="79"/>
              </w:rPr>
            </w:pPr>
            <w:hyperlink w:anchor="page57">
              <w:r>
                <w:rPr>
                  <w:rFonts w:ascii="Arial" w:cs="Arial" w:eastAsia="Arial" w:hAnsi="Arial"/>
                  <w:sz w:val="20"/>
                  <w:szCs w:val="20"/>
                  <w:color w:val="0000FF"/>
                  <w:w w:val="79"/>
                </w:rPr>
                <w:t>2002.</w:t>
              </w:r>
            </w:hyperlink>
          </w:p>
        </w:tc>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9880" w:type="dxa"/>
            <w:vAlign w:val="bottom"/>
            <w:gridSpan w:val="7"/>
          </w:tcPr>
          <w:p>
            <w:pPr>
              <w:spacing w:after="0"/>
              <w:rPr>
                <w:rFonts w:ascii="Arial" w:cs="Arial" w:eastAsia="Arial" w:hAnsi="Arial"/>
                <w:sz w:val="20"/>
                <w:szCs w:val="20"/>
                <w:color w:val="0000FF"/>
                <w:w w:val="93"/>
              </w:rPr>
            </w:pPr>
            <w:hyperlink w:anchor="page58">
              <w:r>
                <w:rPr>
                  <w:rFonts w:ascii="Arial" w:cs="Arial" w:eastAsia="Arial" w:hAnsi="Arial"/>
                  <w:sz w:val="20"/>
                  <w:szCs w:val="20"/>
                  <w:color w:val="0000FF"/>
                  <w:w w:val="93"/>
                </w:rPr>
                <w:t>Certificate of Guillermo Novo, Chief Executive Officer of Ashland, and J. Kevin Willis, Chief Financial Officer of Ashland</w:t>
              </w:r>
            </w:hyperlink>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9820" w:type="dxa"/>
            <w:vAlign w:val="bottom"/>
            <w:gridSpan w:val="4"/>
          </w:tcPr>
          <w:p>
            <w:pPr>
              <w:spacing w:after="0" w:line="183" w:lineRule="exact"/>
              <w:rPr>
                <w:rFonts w:ascii="Arial" w:cs="Arial" w:eastAsia="Arial" w:hAnsi="Arial"/>
                <w:sz w:val="20"/>
                <w:szCs w:val="20"/>
                <w:color w:val="0000FF"/>
              </w:rPr>
            </w:pPr>
            <w:hyperlink w:anchor="page58">
              <w:r>
                <w:rPr>
                  <w:rFonts w:ascii="Arial" w:cs="Arial" w:eastAsia="Arial" w:hAnsi="Arial"/>
                  <w:sz w:val="20"/>
                  <w:szCs w:val="20"/>
                  <w:color w:val="0000FF"/>
                </w:rPr>
                <w:t>pursuant to Section 906 of the Sarbanes-Oxley Act of 2002.</w:t>
              </w:r>
            </w:hyperlink>
          </w:p>
        </w:tc>
        <w:tc>
          <w:tcPr>
            <w:tcW w:w="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9880" w:type="dxa"/>
            <w:vAlign w:val="bottom"/>
            <w:gridSpan w:val="7"/>
          </w:tcPr>
          <w:p>
            <w:pPr>
              <w:spacing w:after="0"/>
              <w:rPr>
                <w:sz w:val="20"/>
                <w:szCs w:val="20"/>
                <w:color w:val="auto"/>
              </w:rPr>
            </w:pPr>
            <w:r>
              <w:rPr>
                <w:rFonts w:ascii="Arial" w:cs="Arial" w:eastAsia="Arial" w:hAnsi="Arial"/>
                <w:sz w:val="20"/>
                <w:szCs w:val="20"/>
                <w:color w:val="auto"/>
              </w:rPr>
              <w:t>Inline XBRL Instance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880" w:type="dxa"/>
            <w:vAlign w:val="bottom"/>
            <w:gridSpan w:val="7"/>
          </w:tcPr>
          <w:p>
            <w:pPr>
              <w:spacing w:after="0"/>
              <w:rPr>
                <w:sz w:val="20"/>
                <w:szCs w:val="20"/>
                <w:color w:val="auto"/>
              </w:rPr>
            </w:pPr>
            <w:r>
              <w:rPr>
                <w:rFonts w:ascii="Arial" w:cs="Arial" w:eastAsia="Arial" w:hAnsi="Arial"/>
                <w:sz w:val="20"/>
                <w:szCs w:val="20"/>
                <w:color w:val="auto"/>
              </w:rPr>
              <w:t>Inline XBRL Taxonomy Extension Schema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9880" w:type="dxa"/>
            <w:vAlign w:val="bottom"/>
            <w:gridSpan w:val="7"/>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9880" w:type="dxa"/>
            <w:vAlign w:val="bottom"/>
            <w:gridSpan w:val="7"/>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9880" w:type="dxa"/>
            <w:vAlign w:val="bottom"/>
            <w:gridSpan w:val="7"/>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9880" w:type="dxa"/>
            <w:vAlign w:val="bottom"/>
            <w:gridSpan w:val="7"/>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340" w:hanging="1319"/>
        <w:spacing w:after="0"/>
        <w:tabs>
          <w:tab w:leader="none" w:pos="1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119"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Filed herewith.</w:t>
      </w:r>
    </w:p>
    <w:p>
      <w:pPr>
        <w:jc w:val="both"/>
        <w:ind w:left="1220" w:hanging="618"/>
        <w:spacing w:after="0" w:line="238" w:lineRule="auto"/>
        <w:tabs>
          <w:tab w:leader="none" w:pos="12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Attached as Exhibit 101 to this report are the following documents formatted in XBRL (Extensible Business Reporting Language): (i) Statements of Consolidated Comprehensive Income (Loss) for the three months ended December 31, 2021 and December 31, 2020; (ii) Condensed Consolidated Balance Sheets at December 31, 2021 and September 30, 2021; (iii) Statements of Condensed Consolidated Cash Flows for the three months ended December 31, 2021 and December 31, 2020; and (iv) Notes to</w:t>
      </w:r>
    </w:p>
    <w:p>
      <w:pPr>
        <w:sectPr>
          <w:pgSz w:w="11900" w:h="16838" w:orient="portrait"/>
          <w:cols w:equalWidth="0" w:num="1">
            <w:col w:w="11220"/>
          </w:cols>
          <w:pgMar w:left="320" w:top="319" w:right="359" w:bottom="1440" w:gutter="0" w:footer="0" w:header="0"/>
        </w:sectPr>
      </w:pPr>
    </w:p>
    <w:p>
      <w:pPr>
        <w:spacing w:after="0" w:line="116" w:lineRule="exact"/>
        <w:rPr>
          <w:sz w:val="20"/>
          <w:szCs w:val="20"/>
          <w:color w:val="auto"/>
        </w:rPr>
      </w:pPr>
    </w:p>
    <w:p>
      <w:pPr>
        <w:ind w:left="600"/>
        <w:spacing w:after="0"/>
        <w:rPr>
          <w:sz w:val="20"/>
          <w:szCs w:val="20"/>
          <w:color w:val="auto"/>
        </w:rPr>
      </w:pPr>
      <w:r>
        <w:rPr>
          <w:rFonts w:ascii="Arial" w:cs="Arial" w:eastAsia="Arial" w:hAnsi="Arial"/>
          <w:sz w:val="8"/>
          <w:szCs w:val="8"/>
          <w:color w:val="auto"/>
        </w:rPr>
        <w:t>SM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Condensed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Service mark, Ashland or its subsidiaries, registered in various countries.</w:t>
      </w:r>
    </w:p>
    <w:p>
      <w:pPr>
        <w:spacing w:after="0" w:line="53" w:lineRule="exact"/>
        <w:rPr>
          <w:sz w:val="20"/>
          <w:szCs w:val="20"/>
          <w:color w:val="auto"/>
        </w:rPr>
      </w:pPr>
    </w:p>
    <w:p>
      <w:pPr>
        <w:sectPr>
          <w:pgSz w:w="11900" w:h="16838" w:orient="portrait"/>
          <w:cols w:equalWidth="0" w:num="2">
            <w:col w:w="740" w:space="480"/>
            <w:col w:w="10000"/>
          </w:cols>
          <w:pgMar w:left="320" w:top="319" w:right="359" w:bottom="1440" w:gutter="0" w:footer="0" w:header="0"/>
          <w:type w:val="continuous"/>
        </w:sectPr>
      </w:pPr>
    </w:p>
    <w:p>
      <w:pPr>
        <w:ind w:left="1220" w:hanging="618"/>
        <w:spacing w:after="0"/>
        <w:tabs>
          <w:tab w:leader="none" w:pos="1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type w:val="continuous"/>
        </w:sectPr>
      </w:pPr>
    </w:p>
    <w:bookmarkStart w:id="51" w:name="page52"/>
    <w:bookmarkEnd w:id="51"/>
    <w:p>
      <w:pPr>
        <w:jc w:val="center"/>
        <w:ind w:right="300"/>
        <w:spacing w:after="0"/>
        <w:rPr>
          <w:sz w:val="20"/>
          <w:szCs w:val="20"/>
          <w:color w:val="auto"/>
        </w:rPr>
      </w:pPr>
      <w:r>
        <w:rPr>
          <w:rFonts w:ascii="Arial" w:cs="Arial" w:eastAsia="Arial" w:hAnsi="Arial"/>
          <w:sz w:val="20"/>
          <w:szCs w:val="20"/>
          <w:b w:val="1"/>
          <w:bCs w:val="1"/>
          <w:color w:val="auto"/>
        </w:rPr>
        <w:t>SIGNATURE</w:t>
      </w:r>
    </w:p>
    <w:p>
      <w:pPr>
        <w:spacing w:after="0" w:line="127" w:lineRule="exact"/>
        <w:rPr>
          <w:sz w:val="20"/>
          <w:szCs w:val="20"/>
          <w:color w:val="auto"/>
        </w:rPr>
      </w:pPr>
    </w:p>
    <w:p>
      <w:pPr>
        <w:ind w:left="8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Ashland Global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6350</wp:posOffset>
            </wp:positionV>
            <wp:extent cx="33858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(Registrant)</w:t>
      </w:r>
    </w:p>
    <w:p>
      <w:pPr>
        <w:spacing w:after="0"/>
        <w:tabs>
          <w:tab w:leader="none" w:pos="5320" w:val="left"/>
        </w:tabs>
        <w:rPr>
          <w:sz w:val="20"/>
          <w:szCs w:val="20"/>
          <w:color w:val="auto"/>
        </w:rPr>
      </w:pPr>
      <w:r>
        <w:rPr>
          <w:rFonts w:ascii="Arial" w:cs="Arial" w:eastAsia="Arial" w:hAnsi="Arial"/>
          <w:sz w:val="18"/>
          <w:szCs w:val="18"/>
          <w:color w:val="auto"/>
        </w:rPr>
        <w:t>February 3, 2022</w:t>
      </w:r>
      <w:r>
        <w:rPr>
          <w:sz w:val="20"/>
          <w:szCs w:val="20"/>
          <w:color w:val="auto"/>
        </w:rPr>
        <w:tab/>
      </w:r>
      <w:r>
        <w:rPr>
          <w:rFonts w:ascii="Arial" w:cs="Arial" w:eastAsia="Arial" w:hAnsi="Arial"/>
          <w:sz w:val="17"/>
          <w:szCs w:val="17"/>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-3175</wp:posOffset>
            </wp:positionV>
            <wp:extent cx="33858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J. Kevin Willis</w:t>
      </w:r>
    </w:p>
    <w:p>
      <w:pPr>
        <w:ind w:left="5340"/>
        <w:spacing w:after="0" w:line="203" w:lineRule="auto"/>
        <w:rPr>
          <w:sz w:val="20"/>
          <w:szCs w:val="20"/>
          <w:color w:val="auto"/>
        </w:rPr>
      </w:pPr>
      <w:r>
        <w:rPr>
          <w:rFonts w:ascii="Arial" w:cs="Arial" w:eastAsia="Arial" w:hAnsi="Arial"/>
          <w:sz w:val="18"/>
          <w:szCs w:val="18"/>
          <w:color w:val="auto"/>
        </w:rPr>
        <w:t>Senior Vice President and Chief Financial Officer</w:t>
      </w:r>
    </w:p>
    <w:p>
      <w:pPr>
        <w:ind w:left="5340"/>
        <w:spacing w:after="0" w:line="203" w:lineRule="auto"/>
        <w:rPr>
          <w:sz w:val="20"/>
          <w:szCs w:val="20"/>
          <w:color w:val="auto"/>
        </w:rPr>
      </w:pPr>
      <w:r>
        <w:rPr>
          <w:rFonts w:ascii="Arial" w:cs="Arial" w:eastAsia="Arial" w:hAnsi="Arial"/>
          <w:sz w:val="18"/>
          <w:szCs w:val="18"/>
          <w:color w:val="auto"/>
        </w:rPr>
        <w:t>(on behalf of the Registrant and as principal</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financial officer)</w:t>
      </w:r>
    </w:p>
    <w:p>
      <w:pPr>
        <w:spacing w:after="0" w:line="29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4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SUPPLEMENTAL CONFIRMATION</w:t>
      </w:r>
    </w:p>
    <w:p>
      <w:pPr>
        <w:spacing w:after="0" w:line="202" w:lineRule="exact"/>
        <w:rPr>
          <w:sz w:val="20"/>
          <w:szCs w:val="20"/>
          <w:color w:val="auto"/>
        </w:rPr>
      </w:pPr>
    </w:p>
    <w:p>
      <w:pPr>
        <w:ind w:right="180" w:firstLine="396"/>
        <w:spacing w:after="0" w:line="252" w:lineRule="auto"/>
        <w:rPr>
          <w:sz w:val="20"/>
          <w:szCs w:val="20"/>
          <w:color w:val="auto"/>
        </w:rPr>
      </w:pPr>
      <w:r>
        <w:rPr>
          <w:rFonts w:ascii="Arial" w:cs="Arial" w:eastAsia="Arial" w:hAnsi="Arial"/>
          <w:sz w:val="20"/>
          <w:szCs w:val="20"/>
          <w:color w:val="auto"/>
        </w:rPr>
        <w:t>THIS AMENDMENT (this “</w:t>
      </w:r>
      <w:r>
        <w:rPr>
          <w:rFonts w:ascii="Arial" w:cs="Arial" w:eastAsia="Arial" w:hAnsi="Arial"/>
          <w:sz w:val="20"/>
          <w:szCs w:val="20"/>
          <w:b w:val="1"/>
          <w:bCs w:val="1"/>
          <w:color w:val="auto"/>
        </w:rPr>
        <w:t>Amendment</w:t>
      </w:r>
      <w:r>
        <w:rPr>
          <w:rFonts w:ascii="Arial" w:cs="Arial" w:eastAsia="Arial" w:hAnsi="Arial"/>
          <w:sz w:val="20"/>
          <w:szCs w:val="20"/>
          <w:color w:val="auto"/>
        </w:rPr>
        <w:t>”) is made as of November 22, 2021, between JPMorgan Chase Bank, National Association, London Branch (“</w:t>
      </w:r>
      <w:r>
        <w:rPr>
          <w:rFonts w:ascii="Arial" w:cs="Arial" w:eastAsia="Arial" w:hAnsi="Arial"/>
          <w:sz w:val="20"/>
          <w:szCs w:val="20"/>
          <w:b w:val="1"/>
          <w:bCs w:val="1"/>
          <w:color w:val="auto"/>
        </w:rPr>
        <w:t>JPMorgan</w:t>
      </w:r>
      <w:r>
        <w:rPr>
          <w:rFonts w:ascii="Arial" w:cs="Arial" w:eastAsia="Arial" w:hAnsi="Arial"/>
          <w:sz w:val="20"/>
          <w:szCs w:val="20"/>
          <w:color w:val="auto"/>
        </w:rPr>
        <w:t>”) and Ashland Global Holdings Inc., a Delaware corporation (“</w:t>
      </w:r>
      <w:r>
        <w:rPr>
          <w:rFonts w:ascii="Arial" w:cs="Arial" w:eastAsia="Arial" w:hAnsi="Arial"/>
          <w:sz w:val="20"/>
          <w:szCs w:val="20"/>
          <w:b w:val="1"/>
          <w:bCs w:val="1"/>
          <w:color w:val="auto"/>
        </w:rPr>
        <w:t>Counterparty</w:t>
      </w:r>
      <w:r>
        <w:rPr>
          <w:rFonts w:ascii="Arial" w:cs="Arial" w:eastAsia="Arial" w:hAnsi="Arial"/>
          <w:sz w:val="20"/>
          <w:szCs w:val="20"/>
          <w:color w:val="auto"/>
        </w:rPr>
        <w:t>”).</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WHEREAS, JPMorgan and Counterparty entered into a Master Confirmation dated as of September 2, 2021 (the “</w:t>
      </w:r>
      <w:r>
        <w:rPr>
          <w:rFonts w:ascii="Arial" w:cs="Arial" w:eastAsia="Arial" w:hAnsi="Arial"/>
          <w:sz w:val="20"/>
          <w:szCs w:val="20"/>
          <w:b w:val="1"/>
          <w:bCs w:val="1"/>
          <w:color w:val="auto"/>
        </w:rPr>
        <w:t>Master</w:t>
      </w:r>
    </w:p>
    <w:p>
      <w:pPr>
        <w:spacing w:after="0" w:line="233" w:lineRule="auto"/>
        <w:rPr>
          <w:sz w:val="20"/>
          <w:szCs w:val="20"/>
          <w:color w:val="auto"/>
        </w:rPr>
      </w:pPr>
      <w:r>
        <w:rPr>
          <w:rFonts w:ascii="Arial" w:cs="Arial" w:eastAsia="Arial" w:hAnsi="Arial"/>
          <w:sz w:val="20"/>
          <w:szCs w:val="20"/>
          <w:b w:val="1"/>
          <w:bCs w:val="1"/>
          <w:color w:val="auto"/>
        </w:rPr>
        <w:t>Confirmation</w:t>
      </w:r>
      <w:r>
        <w:rPr>
          <w:rFonts w:ascii="Arial" w:cs="Arial" w:eastAsia="Arial" w:hAnsi="Arial"/>
          <w:sz w:val="20"/>
          <w:szCs w:val="20"/>
          <w:color w:val="auto"/>
        </w:rPr>
        <w:t>”), as supplemented by the Supplemental Confirmation entered into between the parties as of the same date (the</w:t>
      </w:r>
    </w:p>
    <w:p>
      <w:pPr>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Supplemental Confirmation</w:t>
      </w:r>
      <w:r>
        <w:rPr>
          <w:rFonts w:ascii="Arial" w:cs="Arial" w:eastAsia="Arial" w:hAnsi="Arial"/>
          <w:sz w:val="19"/>
          <w:szCs w:val="19"/>
          <w:color w:val="auto"/>
        </w:rPr>
        <w:t>” and, together with the Master Confirmation, the “</w:t>
      </w:r>
      <w:r>
        <w:rPr>
          <w:rFonts w:ascii="Arial" w:cs="Arial" w:eastAsia="Arial" w:hAnsi="Arial"/>
          <w:sz w:val="19"/>
          <w:szCs w:val="19"/>
          <w:b w:val="1"/>
          <w:bCs w:val="1"/>
          <w:color w:val="auto"/>
        </w:rPr>
        <w:t>Confirmation</w:t>
      </w:r>
      <w:r>
        <w:rPr>
          <w:rFonts w:ascii="Arial" w:cs="Arial" w:eastAsia="Arial" w:hAnsi="Arial"/>
          <w:sz w:val="19"/>
          <w:szCs w:val="19"/>
          <w:color w:val="auto"/>
        </w:rPr>
        <w:t>”), governing the accelerated share</w:t>
      </w:r>
    </w:p>
    <w:p>
      <w:pPr>
        <w:spacing w:after="0"/>
        <w:rPr>
          <w:sz w:val="20"/>
          <w:szCs w:val="20"/>
          <w:color w:val="auto"/>
        </w:rPr>
      </w:pPr>
      <w:r>
        <w:rPr>
          <w:rFonts w:ascii="Arial" w:cs="Arial" w:eastAsia="Arial" w:hAnsi="Arial"/>
          <w:sz w:val="20"/>
          <w:szCs w:val="20"/>
          <w:color w:val="auto"/>
        </w:rPr>
        <w:t>repurchase transaction entered into between the parties (the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WHEREAS, Counterparty has requested to amend the terms of the Transaction as described herein;</w:t>
      </w:r>
    </w:p>
    <w:p>
      <w:pPr>
        <w:spacing w:after="0" w:line="202" w:lineRule="exact"/>
        <w:rPr>
          <w:sz w:val="20"/>
          <w:szCs w:val="20"/>
          <w:color w:val="auto"/>
        </w:rPr>
      </w:pPr>
    </w:p>
    <w:p>
      <w:pPr>
        <w:ind w:right="200" w:firstLine="396"/>
        <w:spacing w:after="0" w:line="246" w:lineRule="auto"/>
        <w:rPr>
          <w:sz w:val="20"/>
          <w:szCs w:val="20"/>
          <w:color w:val="auto"/>
        </w:rPr>
      </w:pPr>
      <w:r>
        <w:rPr>
          <w:rFonts w:ascii="Arial" w:cs="Arial" w:eastAsia="Arial" w:hAnsi="Arial"/>
          <w:sz w:val="20"/>
          <w:szCs w:val="20"/>
          <w:color w:val="auto"/>
        </w:rPr>
        <w:t>NOW, THEREFORE, in consideration of their mutual covenants herein contained, the parties hereto agree to amend the Supplemental Confirmation as follows:</w:t>
      </w:r>
    </w:p>
    <w:p>
      <w:pPr>
        <w:spacing w:after="0" w:line="177" w:lineRule="exact"/>
        <w:rPr>
          <w:sz w:val="20"/>
          <w:szCs w:val="20"/>
          <w:color w:val="auto"/>
        </w:rPr>
      </w:pPr>
    </w:p>
    <w:p>
      <w:pPr>
        <w:ind w:firstLine="396"/>
        <w:spacing w:after="0" w:line="24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Terms Used but Not Defined Herein</w:t>
      </w:r>
      <w:r>
        <w:rPr>
          <w:rFonts w:ascii="Arial" w:cs="Arial" w:eastAsia="Arial" w:hAnsi="Arial"/>
          <w:sz w:val="20"/>
          <w:szCs w:val="20"/>
          <w:color w:val="auto"/>
        </w:rPr>
        <w:t>. Terms used but not defined herein shall have the respective meanings given to them in the Confirmation.</w:t>
      </w:r>
    </w:p>
    <w:p>
      <w:pPr>
        <w:spacing w:after="0" w:line="177"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Amendments to the Supplemental Confirmation</w:t>
      </w:r>
      <w:r>
        <w:rPr>
          <w:rFonts w:ascii="Arial" w:cs="Arial" w:eastAsia="Arial" w:hAnsi="Arial"/>
          <w:sz w:val="18"/>
          <w:szCs w:val="18"/>
          <w:color w:val="auto"/>
        </w:rPr>
        <w:t>. The Supplemental Confirmation is hereby amended as follows:</w:t>
      </w:r>
    </w:p>
    <w:p>
      <w:pPr>
        <w:spacing w:after="0" w:line="202" w:lineRule="exact"/>
        <w:rPr>
          <w:sz w:val="20"/>
          <w:szCs w:val="20"/>
          <w:color w:val="auto"/>
        </w:rPr>
      </w:pPr>
    </w:p>
    <w:p>
      <w:pPr>
        <w:ind w:left="1500" w:right="340" w:hanging="743"/>
        <w:spacing w:after="0" w:line="246" w:lineRule="auto"/>
        <w:tabs>
          <w:tab w:leader="none" w:pos="15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Section 2 is hereby amended by deleting the definition of “Scheduled Termination Date” in its entirety and replacing it with the following:</w:t>
      </w:r>
    </w:p>
    <w:p>
      <w:pPr>
        <w:spacing w:after="0" w:line="177" w:lineRule="exact"/>
        <w:rPr>
          <w:sz w:val="20"/>
          <w:szCs w:val="20"/>
          <w:color w:val="auto"/>
        </w:rPr>
      </w:pPr>
    </w:p>
    <w:p>
      <w:pPr>
        <w:ind w:left="1500"/>
        <w:spacing w:after="0"/>
        <w:tabs>
          <w:tab w:leader="none" w:pos="5040" w:val="left"/>
        </w:tabs>
        <w:rPr>
          <w:sz w:val="20"/>
          <w:szCs w:val="20"/>
          <w:color w:val="auto"/>
        </w:rPr>
      </w:pPr>
      <w:r>
        <w:rPr>
          <w:rFonts w:ascii="Arial" w:cs="Arial" w:eastAsia="Arial" w:hAnsi="Arial"/>
          <w:sz w:val="20"/>
          <w:szCs w:val="20"/>
          <w:color w:val="auto"/>
        </w:rPr>
        <w:t>“Scheduled Termination Date:</w:t>
      </w:r>
      <w:r>
        <w:rPr>
          <w:sz w:val="20"/>
          <w:szCs w:val="20"/>
          <w:color w:val="auto"/>
        </w:rPr>
        <w:tab/>
      </w:r>
      <w:r>
        <w:rPr>
          <w:rFonts w:ascii="Arial" w:cs="Arial" w:eastAsia="Arial" w:hAnsi="Arial"/>
          <w:sz w:val="18"/>
          <w:szCs w:val="18"/>
          <w:color w:val="auto"/>
        </w:rPr>
        <w:t>April 1, 2022</w:t>
      </w:r>
    </w:p>
    <w:p>
      <w:pPr>
        <w:spacing w:after="0" w:line="202" w:lineRule="exact"/>
        <w:rPr>
          <w:sz w:val="20"/>
          <w:szCs w:val="20"/>
          <w:color w:val="auto"/>
        </w:rPr>
      </w:pPr>
    </w:p>
    <w:p>
      <w:pPr>
        <w:ind w:left="1500" w:hanging="743"/>
        <w:spacing w:after="0"/>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Section 3 is hereby amended by deleting from the definition of “Calculation Dates” the following:</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November 23, 2021</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November 24, 2021</w:t>
      </w:r>
    </w:p>
    <w:p>
      <w:pPr>
        <w:spacing w:after="0" w:line="186" w:lineRule="exact"/>
        <w:rPr>
          <w:sz w:val="20"/>
          <w:szCs w:val="20"/>
          <w:color w:val="auto"/>
        </w:rPr>
      </w:pPr>
    </w:p>
    <w:p>
      <w:pPr>
        <w:ind w:left="1500" w:right="660" w:hanging="743"/>
        <w:spacing w:after="0" w:line="246" w:lineRule="auto"/>
        <w:tabs>
          <w:tab w:leader="none" w:pos="15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Section 3 is hereby further amended by inserting at the end of the table in the definition of “Calculation Dates”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120650</wp:posOffset>
            </wp:positionV>
            <wp:extent cx="2350770" cy="261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2350770" cy="261620"/>
                    </a:xfrm>
                    <a:prstGeom prst="rect">
                      <a:avLst/>
                    </a:prstGeom>
                    <a:noFill/>
                  </pic:spPr>
                </pic:pic>
              </a:graphicData>
            </a:graphic>
          </wp:anchor>
        </w:drawing>
      </w:r>
    </w:p>
    <w:p>
      <w:pPr>
        <w:spacing w:after="0" w:line="173" w:lineRule="exact"/>
        <w:rPr>
          <w:sz w:val="20"/>
          <w:szCs w:val="20"/>
          <w:color w:val="auto"/>
        </w:rPr>
      </w:pPr>
    </w:p>
    <w:p>
      <w:pPr>
        <w:ind w:left="2040" w:hanging="592"/>
        <w:spacing w:after="0"/>
        <w:tabs>
          <w:tab w:leader="none" w:pos="2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April 1, 2022</w:t>
      </w:r>
    </w:p>
    <w:p>
      <w:pPr>
        <w:spacing w:after="0" w:line="398" w:lineRule="exact"/>
        <w:rPr>
          <w:rFonts w:ascii="Arial" w:cs="Arial" w:eastAsia="Arial" w:hAnsi="Arial"/>
          <w:sz w:val="18"/>
          <w:szCs w:val="18"/>
          <w:color w:val="auto"/>
        </w:rPr>
      </w:pPr>
    </w:p>
    <w:p>
      <w:pPr>
        <w:ind w:left="1500" w:right="40" w:hanging="743"/>
        <w:spacing w:after="0" w:line="246" w:lineRule="auto"/>
        <w:tabs>
          <w:tab w:leader="none" w:pos="15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Section 3 is hereby further amended by deleting “March 31, 2022” from the paragraph following the table in the definition of “Calculation Dates” and replacing it with “April 1, 2022.”</w:t>
      </w:r>
    </w:p>
    <w:p>
      <w:pPr>
        <w:spacing w:after="0" w:line="177"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202" w:lineRule="exact"/>
        <w:rPr>
          <w:sz w:val="20"/>
          <w:szCs w:val="20"/>
          <w:color w:val="auto"/>
        </w:rPr>
      </w:pPr>
    </w:p>
    <w:p>
      <w:pPr>
        <w:ind w:right="880" w:firstLine="757"/>
        <w:spacing w:after="0" w:line="246" w:lineRule="auto"/>
        <w:tabs>
          <w:tab w:leader="none" w:pos="1145" w:val="left"/>
        </w:tabs>
        <w:numPr>
          <w:ilvl w:val="0"/>
          <w:numId w:val="44"/>
        </w:numPr>
        <w:rPr>
          <w:rFonts w:ascii="Arial" w:cs="Arial" w:eastAsia="Arial" w:hAnsi="Arial"/>
          <w:sz w:val="20"/>
          <w:szCs w:val="20"/>
          <w:color w:val="auto"/>
        </w:rPr>
      </w:pPr>
      <w:r>
        <w:rPr>
          <w:rFonts w:ascii="Arial" w:cs="Arial" w:eastAsia="Arial" w:hAnsi="Arial"/>
          <w:sz w:val="20"/>
          <w:szCs w:val="20"/>
          <w:color w:val="auto"/>
        </w:rPr>
        <w:t>Each party hereto re-makes, as of the date hereof, the representations and warranties contained in Section 3(a) of the Agreement as if such representations and warranties applied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314" w:lineRule="exact"/>
        <w:rPr>
          <w:sz w:val="20"/>
          <w:szCs w:val="20"/>
          <w:color w:val="auto"/>
        </w:rPr>
      </w:pPr>
    </w:p>
    <w:p>
      <w:pPr>
        <w:ind w:right="160" w:firstLine="757"/>
        <w:spacing w:after="0" w:line="246" w:lineRule="auto"/>
        <w:tabs>
          <w:tab w:leader="none" w:pos="1145"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Counterparty re-makes, as of the date hereof, the representations and warranties contained in Sections 6(b)(vi) and 8(a) of the Master Confirmation as if such representations and warranties applied to this Amendment.</w:t>
      </w:r>
    </w:p>
    <w:p>
      <w:pPr>
        <w:spacing w:after="0" w:line="177" w:lineRule="exact"/>
        <w:rPr>
          <w:sz w:val="20"/>
          <w:szCs w:val="20"/>
          <w:color w:val="auto"/>
        </w:rPr>
      </w:pPr>
    </w:p>
    <w:p>
      <w:pPr>
        <w:ind w:left="760"/>
        <w:spacing w:after="0"/>
        <w:tabs>
          <w:tab w:leader="none" w:pos="19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Effectiveness of this Amendment</w:t>
      </w:r>
      <w:r>
        <w:rPr>
          <w:rFonts w:ascii="Arial" w:cs="Arial" w:eastAsia="Arial" w:hAnsi="Arial"/>
          <w:sz w:val="18"/>
          <w:szCs w:val="18"/>
          <w:color w:val="auto"/>
        </w:rPr>
        <w:t>. This Amendment shall become effective upon execution by the parties hereto.</w:t>
      </w:r>
    </w:p>
    <w:p>
      <w:pPr>
        <w:spacing w:after="0" w:line="202" w:lineRule="exact"/>
        <w:rPr>
          <w:sz w:val="20"/>
          <w:szCs w:val="20"/>
          <w:color w:val="auto"/>
        </w:rPr>
      </w:pPr>
    </w:p>
    <w:p>
      <w:pPr>
        <w:ind w:right="300" w:firstLine="749"/>
        <w:spacing w:after="0" w:line="24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signed in any number of counterparts, each of which shall be an original, with the same effect as if all of the signatures thereto and hereto were upon the same instrument.</w:t>
      </w:r>
    </w:p>
    <w:p>
      <w:pPr>
        <w:spacing w:after="0" w:line="177" w:lineRule="exact"/>
        <w:rPr>
          <w:sz w:val="20"/>
          <w:szCs w:val="20"/>
          <w:color w:val="auto"/>
        </w:rPr>
      </w:pPr>
    </w:p>
    <w:p>
      <w:pPr>
        <w:ind w:right="260" w:firstLine="749"/>
        <w:spacing w:after="0" w:line="246"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 without reference to its choice of law provisions.</w:t>
      </w:r>
    </w:p>
    <w:p>
      <w:pPr>
        <w:spacing w:after="0" w:line="177" w:lineRule="exact"/>
        <w:rPr>
          <w:sz w:val="20"/>
          <w:szCs w:val="20"/>
          <w:color w:val="auto"/>
        </w:rPr>
      </w:pPr>
    </w:p>
    <w:p>
      <w:pPr>
        <w:ind w:right="20" w:firstLine="749"/>
        <w:spacing w:after="0" w:line="246"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Effectiveness of the Confirmations</w:t>
      </w:r>
      <w:r>
        <w:rPr>
          <w:rFonts w:ascii="Arial" w:cs="Arial" w:eastAsia="Arial" w:hAnsi="Arial"/>
          <w:sz w:val="20"/>
          <w:szCs w:val="20"/>
          <w:color w:val="auto"/>
        </w:rPr>
        <w:t>. Except as amended hereby, all of the terms of the Confirmation shall remain and continue in full force and effect and are hereby confirmed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signed this Amendment as of the date and year first above written.</w:t>
      </w:r>
    </w:p>
    <w:p>
      <w:pPr>
        <w:spacing w:after="0" w:line="20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JPMORGAN CHASE BANK, NATIONAL ASSOCIATION</w:t>
      </w:r>
    </w:p>
    <w:p>
      <w:pPr>
        <w:spacing w:after="0" w:line="200" w:lineRule="exact"/>
        <w:rPr>
          <w:sz w:val="20"/>
          <w:szCs w:val="20"/>
          <w:color w:val="auto"/>
        </w:rPr>
      </w:pPr>
    </w:p>
    <w:p>
      <w:pPr>
        <w:spacing w:after="0" w:line="232" w:lineRule="exact"/>
        <w:rPr>
          <w:sz w:val="20"/>
          <w:szCs w:val="20"/>
          <w:color w:val="auto"/>
        </w:rPr>
      </w:pPr>
    </w:p>
    <w:p>
      <w:pPr>
        <w:ind w:left="464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6350</wp:posOffset>
            </wp:positionV>
            <wp:extent cx="22199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Authorized Signatory</w:t>
      </w:r>
    </w:p>
    <w:p>
      <w:pPr>
        <w:ind w:left="4640"/>
        <w:spacing w:after="0"/>
        <w:rPr>
          <w:sz w:val="20"/>
          <w:szCs w:val="20"/>
          <w:color w:val="auto"/>
        </w:rPr>
      </w:pPr>
      <w:r>
        <w:rPr>
          <w:rFonts w:ascii="Arial" w:cs="Arial" w:eastAsia="Arial" w:hAnsi="Arial"/>
          <w:sz w:val="18"/>
          <w:szCs w:val="18"/>
          <w:color w:val="auto"/>
        </w:rPr>
        <w:t>Name: Brett Chalmers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ASHLAND GLOBAL HOLDINGS INC.</w:t>
      </w:r>
    </w:p>
    <w:p>
      <w:pPr>
        <w:spacing w:after="0" w:line="200" w:lineRule="exact"/>
        <w:rPr>
          <w:sz w:val="20"/>
          <w:szCs w:val="20"/>
          <w:color w:val="auto"/>
        </w:rPr>
      </w:pPr>
    </w:p>
    <w:p>
      <w:pPr>
        <w:spacing w:after="0" w:line="232" w:lineRule="exact"/>
        <w:rPr>
          <w:sz w:val="20"/>
          <w:szCs w:val="20"/>
          <w:color w:val="auto"/>
        </w:rPr>
      </w:pPr>
    </w:p>
    <w:p>
      <w:pPr>
        <w:ind w:left="46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6350</wp:posOffset>
            </wp:positionV>
            <wp:extent cx="21945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Authorized Signatory</w:t>
      </w:r>
    </w:p>
    <w:p>
      <w:pPr>
        <w:ind w:left="4640"/>
        <w:spacing w:after="0"/>
        <w:rPr>
          <w:sz w:val="20"/>
          <w:szCs w:val="20"/>
          <w:color w:val="auto"/>
        </w:rPr>
      </w:pPr>
      <w:r>
        <w:rPr>
          <w:rFonts w:ascii="Arial" w:cs="Arial" w:eastAsia="Arial" w:hAnsi="Arial"/>
          <w:sz w:val="18"/>
          <w:szCs w:val="18"/>
          <w:color w:val="auto"/>
        </w:rPr>
        <w:t>Name: William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color w:val="auto"/>
        </w:rPr>
        <w:t>EXHIBIT 31.1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94"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94"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of the made in this report;</w:t>
      </w:r>
    </w:p>
    <w:p>
      <w:pPr>
        <w:spacing w:after="0" w:line="74"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0"/>
          <w:szCs w:val="20"/>
          <w:color w:val="auto"/>
        </w:rPr>
      </w:pPr>
    </w:p>
    <w:p>
      <w:pPr>
        <w:jc w:val="both"/>
        <w:ind w:left="1500" w:hanging="369"/>
        <w:spacing w:after="0" w:line="275"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jc w:val="both"/>
        <w:ind w:left="1500" w:right="20" w:hanging="369"/>
        <w:spacing w:after="0" w:line="275"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8"/>
          <w:szCs w:val="18"/>
          <w:color w:val="auto"/>
        </w:rPr>
      </w:pPr>
    </w:p>
    <w:p>
      <w:pPr>
        <w:jc w:val="both"/>
        <w:ind w:left="1500" w:hanging="369"/>
        <w:spacing w:after="0" w:line="237" w:lineRule="auto"/>
        <w:tabs>
          <w:tab w:leader="none" w:pos="15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0"/>
          <w:szCs w:val="20"/>
          <w:color w:val="auto"/>
        </w:rPr>
      </w:pPr>
    </w:p>
    <w:p>
      <w:pPr>
        <w:jc w:val="both"/>
        <w:ind w:left="1500" w:hanging="369"/>
        <w:spacing w:after="0" w:line="275" w:lineRule="auto"/>
        <w:tabs>
          <w:tab w:leader="none" w:pos="15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jc w:val="both"/>
        <w:ind w:left="760" w:hanging="378"/>
        <w:spacing w:after="0" w:line="237" w:lineRule="auto"/>
        <w:tabs>
          <w:tab w:leader="none" w:pos="7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0"/>
          <w:szCs w:val="20"/>
          <w:color w:val="auto"/>
        </w:rPr>
      </w:pPr>
    </w:p>
    <w:p>
      <w:pPr>
        <w:jc w:val="both"/>
        <w:ind w:left="1500" w:hanging="369"/>
        <w:spacing w:after="0" w:line="237" w:lineRule="auto"/>
        <w:tabs>
          <w:tab w:leader="none" w:pos="15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0"/>
          <w:szCs w:val="20"/>
          <w:color w:val="auto"/>
        </w:rPr>
      </w:pPr>
    </w:p>
    <w:p>
      <w:pPr>
        <w:ind w:left="1500" w:hanging="369"/>
        <w:spacing w:after="0" w:line="246" w:lineRule="auto"/>
        <w:tabs>
          <w:tab w:leader="none" w:pos="15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February 3, 2022</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Chairman and Chief Executive Officer</w:t>
      </w:r>
    </w:p>
    <w:p>
      <w:pPr>
        <w:ind w:left="624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color w:val="auto"/>
        </w:rPr>
        <w:t>EXHIBIT 31.2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94"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94"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20"/>
          <w:szCs w:val="20"/>
          <w:color w:val="auto"/>
        </w:rPr>
      </w:pPr>
    </w:p>
    <w:p>
      <w:pPr>
        <w:jc w:val="both"/>
        <w:ind w:left="1500" w:hanging="369"/>
        <w:spacing w:after="0" w:line="275" w:lineRule="auto"/>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8"/>
          <w:szCs w:val="18"/>
          <w:color w:val="auto"/>
        </w:rPr>
      </w:pPr>
    </w:p>
    <w:p>
      <w:pPr>
        <w:jc w:val="both"/>
        <w:ind w:left="1500" w:right="20" w:hanging="369"/>
        <w:spacing w:after="0" w:line="275" w:lineRule="auto"/>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8"/>
          <w:szCs w:val="18"/>
          <w:color w:val="auto"/>
        </w:rPr>
      </w:pPr>
    </w:p>
    <w:p>
      <w:pPr>
        <w:jc w:val="both"/>
        <w:ind w:left="1500" w:hanging="369"/>
        <w:spacing w:after="0" w:line="237" w:lineRule="auto"/>
        <w:tabs>
          <w:tab w:leader="none" w:pos="15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20"/>
          <w:szCs w:val="20"/>
          <w:color w:val="auto"/>
        </w:rPr>
      </w:pPr>
    </w:p>
    <w:p>
      <w:pPr>
        <w:jc w:val="both"/>
        <w:ind w:left="1500" w:hanging="369"/>
        <w:spacing w:after="0" w:line="275" w:lineRule="auto"/>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8"/>
          <w:szCs w:val="18"/>
          <w:color w:val="auto"/>
        </w:rPr>
      </w:pPr>
    </w:p>
    <w:p>
      <w:pPr>
        <w:jc w:val="both"/>
        <w:ind w:left="760" w:hanging="378"/>
        <w:spacing w:after="0" w:line="237" w:lineRule="auto"/>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20"/>
          <w:szCs w:val="20"/>
          <w:color w:val="auto"/>
        </w:rPr>
      </w:pPr>
    </w:p>
    <w:p>
      <w:pPr>
        <w:jc w:val="both"/>
        <w:ind w:left="1500" w:hanging="369"/>
        <w:spacing w:after="0" w:line="237" w:lineRule="auto"/>
        <w:tabs>
          <w:tab w:leader="none" w:pos="15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20"/>
          <w:szCs w:val="20"/>
          <w:color w:val="auto"/>
        </w:rPr>
      </w:pPr>
    </w:p>
    <w:p>
      <w:pPr>
        <w:ind w:left="1500" w:hanging="369"/>
        <w:spacing w:after="0" w:line="246" w:lineRule="auto"/>
        <w:tabs>
          <w:tab w:leader="none" w:pos="15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February 3, 2022</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2061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ind w:left="624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jc w:val="center"/>
        <w:spacing w:after="0" w:line="227" w:lineRule="auto"/>
        <w:rPr>
          <w:sz w:val="20"/>
          <w:szCs w:val="20"/>
          <w:color w:val="auto"/>
        </w:rPr>
      </w:pPr>
      <w:r>
        <w:rPr>
          <w:rFonts w:ascii="Arial" w:cs="Arial" w:eastAsia="Arial" w:hAnsi="Arial"/>
          <w:sz w:val="20"/>
          <w:szCs w:val="20"/>
          <w:color w:val="auto"/>
        </w:rPr>
        <w:t>18 U.S.C. SECTION 1350,</w:t>
      </w:r>
    </w:p>
    <w:p>
      <w:pPr>
        <w:jc w:val="center"/>
        <w:spacing w:after="0" w:line="225" w:lineRule="auto"/>
        <w:rPr>
          <w:sz w:val="20"/>
          <w:szCs w:val="20"/>
          <w:color w:val="auto"/>
        </w:rPr>
      </w:pPr>
      <w:r>
        <w:rPr>
          <w:rFonts w:ascii="Arial" w:cs="Arial" w:eastAsia="Arial" w:hAnsi="Arial"/>
          <w:sz w:val="20"/>
          <w:szCs w:val="20"/>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December 31, 2021,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77" w:lineRule="exact"/>
        <w:rPr>
          <w:sz w:val="20"/>
          <w:szCs w:val="20"/>
          <w:color w:val="auto"/>
        </w:rPr>
      </w:pPr>
    </w:p>
    <w:p>
      <w:pPr>
        <w:ind w:left="760" w:hanging="378"/>
        <w:spacing w:after="0"/>
        <w:tabs>
          <w:tab w:leader="none" w:pos="7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 w:lineRule="exact"/>
        <w:rPr>
          <w:rFonts w:ascii="Arial" w:cs="Arial" w:eastAsia="Arial" w:hAnsi="Arial"/>
          <w:sz w:val="20"/>
          <w:szCs w:val="20"/>
          <w:color w:val="auto"/>
        </w:rPr>
      </w:pPr>
    </w:p>
    <w:p>
      <w:pPr>
        <w:ind w:left="760" w:hanging="378"/>
        <w:spacing w:after="0" w:line="234" w:lineRule="auto"/>
        <w:tabs>
          <w:tab w:leader="none" w:pos="7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ind w:left="20"/>
        <w:spacing w:after="0"/>
        <w:rPr>
          <w:sz w:val="20"/>
          <w:szCs w:val="20"/>
          <w:color w:val="auto"/>
        </w:rPr>
      </w:pPr>
      <w:r>
        <w:rPr>
          <w:rFonts w:ascii="Arial" w:cs="Arial" w:eastAsia="Arial" w:hAnsi="Arial"/>
          <w:sz w:val="20"/>
          <w:szCs w:val="20"/>
          <w:color w:val="auto"/>
        </w:rPr>
        <w:t>February 3, 2022</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ind w:left="20"/>
        <w:spacing w:after="0"/>
        <w:rPr>
          <w:sz w:val="20"/>
          <w:szCs w:val="20"/>
          <w:color w:val="auto"/>
        </w:rPr>
      </w:pPr>
      <w:r>
        <w:rPr>
          <w:rFonts w:ascii="Arial" w:cs="Arial" w:eastAsia="Arial" w:hAnsi="Arial"/>
          <w:sz w:val="20"/>
          <w:szCs w:val="20"/>
          <w:color w:val="auto"/>
        </w:rPr>
        <w:t>February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1)"/>
      <w:numFmt w:val="lowerLetter"/>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104"/>
    </w:lvl>
    <w:lvl w:ilvl="1">
      <w:lvlJc w:val="left"/>
      <w:lvlText w:val="*"/>
      <w:numFmt w:val="bullet"/>
      <w:start w:val="1"/>
    </w:lvl>
  </w:abstractNum>
  <w:abstractNum w:abstractNumId="36">
    <w:nsid w:val="6A2342EC"/>
    <w:multiLevelType w:val="hybridMultilevel"/>
    <w:lvl w:ilvl="0">
      <w:lvlJc w:val="left"/>
      <w:lvlText w:val="%1"/>
      <w:numFmt w:val="decimal"/>
      <w:start w:val="1"/>
    </w:lvl>
    <w:lvl w:ilvl="1">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3"/>
    </w:lvl>
  </w:abstractNum>
  <w:abstractNum w:abstractNumId="41">
    <w:nsid w:val="57E4CCAF"/>
    <w:multiLevelType w:val="hybridMultilevel"/>
    <w:lvl w:ilvl="0">
      <w:lvlJc w:val="left"/>
      <w:lvlText w:val="%1"/>
      <w:numFmt w:val="lowerLetter"/>
      <w:start w:val="1"/>
    </w:lvl>
    <w:lvl w:ilvl="1">
      <w:lvlJc w:val="left"/>
      <w:lvlText w:val="%2"/>
      <w:numFmt w:val="decimal"/>
      <w:start w:val="145"/>
    </w:lvl>
  </w:abstractNum>
  <w:abstractNum w:abstractNumId="42">
    <w:nsid w:val="7A6D8D3C"/>
    <w:multiLevelType w:val="hybridMultilevel"/>
    <w:lvl w:ilvl="0">
      <w:lvlJc w:val="left"/>
      <w:lvlText w:val="(%1)"/>
      <w:numFmt w:val="lowerLetter"/>
      <w:start w:val="4"/>
    </w:lvl>
    <w:lvl w:ilvl="1">
      <w:lvlJc w:val="left"/>
      <w:lvlText w:val="%2"/>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37" Type="http://schemas.openxmlformats.org/officeDocument/2006/relationships/hyperlink" Target="https://www.sec.gov/Archives/edgar/data/1674862/000095017022000508/ash-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2022-02-03T12:52:59Z</dcterms:created>
  <dcterms:modified xsi:type="dcterms:W3CDTF">2022-02-03T12:52:59Z</dcterms:modified>
</cp:coreProperties>
</file>