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55880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76" w:lineRule="exact"/>
        <w:rPr>
          <w:sz w:val="24"/>
          <w:szCs w:val="24"/>
          <w:color w:val="auto"/>
        </w:rPr>
      </w:pPr>
    </w:p>
    <w:p>
      <w:pPr>
        <w:ind w:left="4160" w:right="3040" w:hanging="4152"/>
        <w:spacing w:after="0" w:line="339" w:lineRule="auto"/>
        <w:tabs>
          <w:tab w:leader="none" w:pos="465"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2019</w:t>
      </w: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3820" w:right="2700" w:hanging="3812"/>
        <w:spacing w:after="0" w:line="350" w:lineRule="auto"/>
        <w:tabs>
          <w:tab w:leader="none" w:pos="47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 to ___________</w:t>
      </w:r>
    </w:p>
    <w:p>
      <w:pPr>
        <w:ind w:left="4500"/>
        <w:spacing w:after="0"/>
        <w:rPr>
          <w:rFonts w:ascii="MS PGothic" w:cs="MS PGothic" w:eastAsia="MS PGothic" w:hAnsi="MS PGothic"/>
          <w:sz w:val="18"/>
          <w:szCs w:val="18"/>
          <w:color w:val="auto"/>
        </w:rPr>
      </w:pPr>
      <w:r>
        <w:rPr>
          <w:rFonts w:ascii="Arial" w:cs="Arial" w:eastAsia="Arial" w:hAnsi="Arial"/>
          <w:sz w:val="16"/>
          <w:szCs w:val="16"/>
          <w:color w:val="auto"/>
        </w:rPr>
        <w:t>Commission file number 333-211719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ASHLAND GLOBAL HOLDINGS INC.</w:t>
      </w:r>
    </w:p>
    <w:p>
      <w:pPr>
        <w:spacing w:after="0" w:line="101" w:lineRule="exact"/>
        <w:rPr>
          <w:sz w:val="24"/>
          <w:szCs w:val="24"/>
          <w:color w:val="auto"/>
        </w:rPr>
      </w:pPr>
    </w:p>
    <w:tbl>
      <w:tblPr>
        <w:tblLayout w:type="fixed"/>
        <w:tblInd w:w="400" w:type="dxa"/>
        <w:tblCellMar>
          <w:top w:w="0" w:type="dxa"/>
          <w:left w:w="0" w:type="dxa"/>
          <w:bottom w:w="0" w:type="dxa"/>
          <w:right w:w="0" w:type="dxa"/>
        </w:tblCellMar>
      </w:tblPr>
      <w:tr>
        <w:trPr>
          <w:trHeight w:val="206"/>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60" w:type="dxa"/>
            <w:vAlign w:val="bottom"/>
          </w:tcPr>
          <w:p>
            <w:pPr>
              <w:jc w:val="center"/>
              <w:ind w:right="1459"/>
              <w:spacing w:after="0"/>
              <w:rPr>
                <w:sz w:val="20"/>
                <w:szCs w:val="20"/>
                <w:color w:val="auto"/>
              </w:rPr>
            </w:pPr>
            <w:r>
              <w:rPr>
                <w:rFonts w:ascii="Arial" w:cs="Arial" w:eastAsia="Arial" w:hAnsi="Arial"/>
                <w:sz w:val="16"/>
                <w:szCs w:val="16"/>
                <w:color w:val="auto"/>
                <w:w w:val="91"/>
              </w:rPr>
              <w:t>Delaware</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80" w:type="dxa"/>
            <w:vAlign w:val="bottom"/>
            <w:gridSpan w:val="3"/>
          </w:tcPr>
          <w:p>
            <w:pPr>
              <w:jc w:val="right"/>
              <w:ind w:right="1759"/>
              <w:spacing w:after="0"/>
              <w:rPr>
                <w:sz w:val="20"/>
                <w:szCs w:val="20"/>
                <w:color w:val="auto"/>
              </w:rPr>
            </w:pPr>
            <w:r>
              <w:rPr>
                <w:rFonts w:ascii="Arial" w:cs="Arial" w:eastAsia="Arial" w:hAnsi="Arial"/>
                <w:sz w:val="16"/>
                <w:szCs w:val="16"/>
                <w:color w:val="auto"/>
                <w:w w:val="95"/>
              </w:rPr>
              <w:t>81-2587835</w:t>
            </w:r>
          </w:p>
        </w:tc>
      </w:tr>
      <w:tr>
        <w:trPr>
          <w:trHeight w:val="216"/>
        </w:trPr>
        <w:tc>
          <w:tcPr>
            <w:tcW w:w="4400" w:type="dxa"/>
            <w:vAlign w:val="bottom"/>
            <w:gridSpan w:val="3"/>
          </w:tcPr>
          <w:p>
            <w:pPr>
              <w:jc w:val="center"/>
              <w:ind w:left="437"/>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20" w:type="dxa"/>
            <w:vAlign w:val="bottom"/>
            <w:gridSpan w:val="4"/>
          </w:tcPr>
          <w:p>
            <w:pPr>
              <w:jc w:val="center"/>
              <w:ind w:left="59"/>
              <w:spacing w:after="0"/>
              <w:rPr>
                <w:sz w:val="20"/>
                <w:szCs w:val="20"/>
                <w:color w:val="auto"/>
              </w:rPr>
            </w:pPr>
            <w:r>
              <w:rPr>
                <w:rFonts w:ascii="Arial" w:cs="Arial" w:eastAsia="Arial" w:hAnsi="Arial"/>
                <w:sz w:val="16"/>
                <w:szCs w:val="16"/>
                <w:color w:val="auto"/>
                <w:w w:val="95"/>
              </w:rPr>
              <w:t>(I.R.S. Employer Identification No.)</w:t>
            </w:r>
          </w:p>
        </w:tc>
      </w:tr>
      <w:tr>
        <w:trPr>
          <w:trHeight w:val="266"/>
        </w:trPr>
        <w:tc>
          <w:tcPr>
            <w:tcW w:w="1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80" w:type="dxa"/>
            <w:vAlign w:val="bottom"/>
            <w:gridSpan w:val="4"/>
          </w:tcPr>
          <w:p>
            <w:pPr>
              <w:jc w:val="center"/>
              <w:ind w:left="779"/>
              <w:spacing w:after="0"/>
              <w:rPr>
                <w:sz w:val="20"/>
                <w:szCs w:val="20"/>
                <w:color w:val="auto"/>
              </w:rPr>
            </w:pPr>
            <w:r>
              <w:rPr>
                <w:rFonts w:ascii="Arial" w:cs="Arial" w:eastAsia="Arial" w:hAnsi="Arial"/>
                <w:sz w:val="16"/>
                <w:szCs w:val="16"/>
                <w:color w:val="auto"/>
                <w:w w:val="93"/>
              </w:rPr>
              <w:t>50 E. RiverCenter Boulevard</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03"/>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320" w:type="dxa"/>
            <w:vAlign w:val="bottom"/>
            <w:gridSpan w:val="3"/>
          </w:tcPr>
          <w:p>
            <w:pPr>
              <w:jc w:val="center"/>
              <w:ind w:right="1399"/>
              <w:spacing w:after="0"/>
              <w:rPr>
                <w:sz w:val="20"/>
                <w:szCs w:val="20"/>
                <w:color w:val="auto"/>
              </w:rPr>
            </w:pPr>
            <w:r>
              <w:rPr>
                <w:rFonts w:ascii="Arial" w:cs="Arial" w:eastAsia="Arial" w:hAnsi="Arial"/>
                <w:sz w:val="16"/>
                <w:szCs w:val="16"/>
                <w:color w:val="auto"/>
                <w:w w:val="94"/>
              </w:rPr>
              <w:t>Covington, Kentucky 41011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6"/>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80" w:type="dxa"/>
            <w:vAlign w:val="bottom"/>
            <w:gridSpan w:val="4"/>
          </w:tcPr>
          <w:p>
            <w:pPr>
              <w:jc w:val="center"/>
              <w:ind w:left="779"/>
              <w:spacing w:after="0"/>
              <w:rPr>
                <w:sz w:val="20"/>
                <w:szCs w:val="20"/>
                <w:color w:val="auto"/>
              </w:rPr>
            </w:pPr>
            <w:r>
              <w:rPr>
                <w:rFonts w:ascii="Arial" w:cs="Arial" w:eastAsia="Arial" w:hAnsi="Arial"/>
                <w:sz w:val="16"/>
                <w:szCs w:val="16"/>
                <w:color w:val="auto"/>
                <w:w w:val="91"/>
              </w:rPr>
              <w:t>Telephone Number (859) 815-3333</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57"/>
        </w:trPr>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80" w:type="dxa"/>
            <w:vAlign w:val="bottom"/>
            <w:gridSpan w:val="4"/>
          </w:tcPr>
          <w:p>
            <w:pPr>
              <w:jc w:val="center"/>
              <w:ind w:left="799"/>
              <w:spacing w:after="0"/>
              <w:rPr>
                <w:sz w:val="20"/>
                <w:szCs w:val="20"/>
                <w:color w:val="auto"/>
              </w:rPr>
            </w:pPr>
            <w:r>
              <w:rPr>
                <w:rFonts w:ascii="Arial" w:cs="Arial" w:eastAsia="Arial" w:hAnsi="Arial"/>
                <w:sz w:val="16"/>
                <w:szCs w:val="16"/>
                <w:color w:val="auto"/>
                <w:w w:val="91"/>
              </w:rPr>
              <w:t>Securities Registered Pursuant to Section 12(b) of the Act:</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09"/>
        </w:trPr>
        <w:tc>
          <w:tcPr>
            <w:tcW w:w="10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Title of each class</w:t>
            </w:r>
          </w:p>
        </w:tc>
        <w:tc>
          <w:tcPr>
            <w:tcW w:w="2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60" w:type="dxa"/>
            <w:vAlign w:val="bottom"/>
            <w:gridSpan w:val="2"/>
          </w:tcPr>
          <w:p>
            <w:pPr>
              <w:jc w:val="center"/>
              <w:ind w:right="1859"/>
              <w:spacing w:after="0"/>
              <w:rPr>
                <w:sz w:val="20"/>
                <w:szCs w:val="20"/>
                <w:color w:val="auto"/>
              </w:rPr>
            </w:pPr>
            <w:r>
              <w:rPr>
                <w:rFonts w:ascii="Arial" w:cs="Arial" w:eastAsia="Arial" w:hAnsi="Arial"/>
                <w:sz w:val="14"/>
                <w:szCs w:val="14"/>
                <w:color w:val="auto"/>
                <w:w w:val="93"/>
              </w:rPr>
              <w:t>Trading Symbol</w:t>
            </w:r>
          </w:p>
        </w:tc>
        <w:tc>
          <w:tcPr>
            <w:tcW w:w="120" w:type="dxa"/>
            <w:vAlign w:val="bottom"/>
          </w:tcPr>
          <w:p>
            <w:pPr>
              <w:spacing w:after="0"/>
              <w:rPr>
                <w:sz w:val="18"/>
                <w:szCs w:val="18"/>
                <w:color w:val="auto"/>
              </w:rPr>
            </w:pPr>
          </w:p>
        </w:tc>
        <w:tc>
          <w:tcPr>
            <w:tcW w:w="2560" w:type="dxa"/>
            <w:vAlign w:val="bottom"/>
            <w:gridSpan w:val="2"/>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2"/>
            <w:shd w:val="clear" w:color="auto" w:fill="000000"/>
          </w:tcPr>
          <w:p>
            <w:pPr>
              <w:spacing w:after="0" w:line="20" w:lineRule="exact"/>
              <w:rPr>
                <w:sz w:val="1"/>
                <w:szCs w:val="1"/>
                <w:color w:val="auto"/>
              </w:rPr>
            </w:pPr>
          </w:p>
        </w:tc>
      </w:tr>
      <w:tr>
        <w:trPr>
          <w:trHeight w:val="250"/>
        </w:trPr>
        <w:tc>
          <w:tcPr>
            <w:tcW w:w="4400" w:type="dxa"/>
            <w:vAlign w:val="bottom"/>
            <w:gridSpan w:val="3"/>
          </w:tcPr>
          <w:p>
            <w:pPr>
              <w:jc w:val="center"/>
              <w:ind w:right="1299"/>
              <w:spacing w:after="0"/>
              <w:rPr>
                <w:sz w:val="20"/>
                <w:szCs w:val="20"/>
                <w:color w:val="auto"/>
              </w:rPr>
            </w:pPr>
            <w:r>
              <w:rPr>
                <w:rFonts w:ascii="Arial" w:cs="Arial" w:eastAsia="Arial" w:hAnsi="Arial"/>
                <w:sz w:val="18"/>
                <w:szCs w:val="18"/>
                <w:color w:val="auto"/>
                <w:w w:val="89"/>
              </w:rPr>
              <w:t>Common Stock, par value $.01 per share</w:t>
            </w:r>
          </w:p>
        </w:tc>
        <w:tc>
          <w:tcPr>
            <w:tcW w:w="460" w:type="dxa"/>
            <w:vAlign w:val="bottom"/>
          </w:tcPr>
          <w:p>
            <w:pPr>
              <w:spacing w:after="0"/>
              <w:rPr>
                <w:sz w:val="21"/>
                <w:szCs w:val="21"/>
                <w:color w:val="auto"/>
              </w:rPr>
            </w:pPr>
          </w:p>
        </w:tc>
        <w:tc>
          <w:tcPr>
            <w:tcW w:w="2860" w:type="dxa"/>
            <w:vAlign w:val="bottom"/>
            <w:gridSpan w:val="2"/>
          </w:tcPr>
          <w:p>
            <w:pPr>
              <w:jc w:val="center"/>
              <w:ind w:right="1859"/>
              <w:spacing w:after="0"/>
              <w:rPr>
                <w:sz w:val="20"/>
                <w:szCs w:val="20"/>
                <w:color w:val="auto"/>
              </w:rPr>
            </w:pPr>
            <w:r>
              <w:rPr>
                <w:rFonts w:ascii="Arial" w:cs="Arial" w:eastAsia="Arial" w:hAnsi="Arial"/>
                <w:sz w:val="18"/>
                <w:szCs w:val="18"/>
                <w:color w:val="auto"/>
                <w:w w:val="97"/>
              </w:rPr>
              <w:t>ASH</w:t>
            </w:r>
          </w:p>
        </w:tc>
        <w:tc>
          <w:tcPr>
            <w:tcW w:w="120" w:type="dxa"/>
            <w:vAlign w:val="bottom"/>
          </w:tcPr>
          <w:p>
            <w:pPr>
              <w:spacing w:after="0"/>
              <w:rPr>
                <w:sz w:val="21"/>
                <w:szCs w:val="21"/>
                <w:color w:val="auto"/>
              </w:rPr>
            </w:pP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64"/>
        </w:trPr>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80" w:type="dxa"/>
            <w:vAlign w:val="bottom"/>
            <w:gridSpan w:val="4"/>
          </w:tcPr>
          <w:p>
            <w:pPr>
              <w:jc w:val="center"/>
              <w:ind w:left="779"/>
              <w:spacing w:after="0"/>
              <w:rPr>
                <w:sz w:val="20"/>
                <w:szCs w:val="20"/>
                <w:color w:val="auto"/>
              </w:rPr>
            </w:pPr>
            <w:r>
              <w:rPr>
                <w:rFonts w:ascii="Arial" w:cs="Arial" w:eastAsia="Arial" w:hAnsi="Arial"/>
                <w:sz w:val="16"/>
                <w:szCs w:val="16"/>
                <w:color w:val="auto"/>
                <w:w w:val="92"/>
              </w:rPr>
              <w:t>Securities Registered Pursuant to Section 12(g) of the Act: None</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75"/>
        </w:trPr>
        <w:tc>
          <w:tcPr>
            <w:tcW w:w="772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720" w:type="dxa"/>
            <w:vAlign w:val="bottom"/>
            <w:gridSpan w:val="2"/>
          </w:tcPr>
          <w:p>
            <w:pPr>
              <w:ind w:left="1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96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7"/>
        </w:trPr>
        <w:tc>
          <w:tcPr>
            <w:tcW w:w="8440" w:type="dxa"/>
            <w:vAlign w:val="bottom"/>
            <w:gridSpan w:val="8"/>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3"/>
              </w:rPr>
              <w:t>☐</w:t>
            </w:r>
          </w:p>
        </w:tc>
        <w:tc>
          <w:tcPr>
            <w:tcW w:w="196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32" w:lineRule="exact"/>
        <w:rPr>
          <w:sz w:val="24"/>
          <w:szCs w:val="24"/>
          <w:color w:val="auto"/>
        </w:rPr>
      </w:pPr>
    </w:p>
    <w:p>
      <w:pPr>
        <w:jc w:val="both"/>
        <w:ind w:firstLine="401"/>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401"/>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2" w:lineRule="exact"/>
        <w:rPr>
          <w:sz w:val="24"/>
          <w:szCs w:val="24"/>
          <w:color w:val="auto"/>
        </w:rPr>
      </w:pPr>
    </w:p>
    <w:p>
      <w:pPr>
        <w:jc w:val="both"/>
        <w:ind w:firstLine="401"/>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94" w:right="239" w:bottom="1440" w:gutter="0" w:footer="0" w:header="0"/>
        </w:sectPr>
      </w:pPr>
    </w:p>
    <w:p>
      <w:pPr>
        <w:spacing w:after="0" w:line="6" w:lineRule="exact"/>
        <w:rPr>
          <w:sz w:val="24"/>
          <w:szCs w:val="24"/>
          <w:color w:val="auto"/>
        </w:rPr>
      </w:pPr>
    </w:p>
    <w:p>
      <w:pPr>
        <w:ind w:left="20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7"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2">
            <w:col w:w="7200" w:space="720"/>
            <w:col w:w="3500"/>
          </w:cols>
          <w:pgMar w:left="240" w:top="594" w:right="239" w:bottom="1440" w:gutter="0" w:footer="0" w:header="0"/>
          <w:type w:val="continuous"/>
        </w:sectPr>
      </w:pPr>
    </w:p>
    <w:p>
      <w:pPr>
        <w:spacing w:after="0" w:line="30" w:lineRule="exact"/>
        <w:rPr>
          <w:sz w:val="24"/>
          <w:szCs w:val="24"/>
          <w:color w:val="auto"/>
        </w:rPr>
      </w:pPr>
    </w:p>
    <w:p>
      <w:pPr>
        <w:ind w:left="202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ectPr>
          <w:pgSz w:w="11900" w:h="16838" w:orient="portrait"/>
          <w:cols w:equalWidth="0" w:num="4">
            <w:col w:w="3480" w:space="80"/>
            <w:col w:w="3240" w:space="720"/>
            <w:col w:w="1860" w:space="80"/>
            <w:col w:w="1960"/>
          </w:cols>
          <w:pgMar w:left="240" w:top="594" w:right="239" w:bottom="1440" w:gutter="0" w:footer="0" w:header="0"/>
          <w:type w:val="continuous"/>
        </w:sectPr>
      </w:pPr>
    </w:p>
    <w:p>
      <w:pPr>
        <w:spacing w:after="0" w:line="30" w:lineRule="exact"/>
        <w:rPr>
          <w:sz w:val="24"/>
          <w:szCs w:val="24"/>
          <w:color w:val="auto"/>
        </w:rPr>
      </w:pPr>
    </w:p>
    <w:p>
      <w:pPr>
        <w:ind w:left="1820"/>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0" w:lineRule="exact"/>
        <w:rPr>
          <w:sz w:val="24"/>
          <w:szCs w:val="24"/>
          <w:color w:val="auto"/>
        </w:rPr>
      </w:pPr>
    </w:p>
    <w:p>
      <w:pPr>
        <w:sectPr>
          <w:pgSz w:w="11900" w:h="16838" w:orient="portrait"/>
          <w:cols w:equalWidth="0" w:num="2">
            <w:col w:w="3680" w:space="80"/>
            <w:col w:w="7660"/>
          </w:cols>
          <w:pgMar w:left="240" w:top="594" w:right="239" w:bottom="1440" w:gutter="0" w:footer="0" w:header="0"/>
          <w:type w:val="continuous"/>
        </w:sectPr>
      </w:pPr>
    </w:p>
    <w:p>
      <w:pPr>
        <w:ind w:firstLine="401"/>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400"/>
        <w:spacing w:after="0" w:line="184" w:lineRule="exact"/>
        <w:tabs>
          <w:tab w:leader="none" w:pos="7280" w:val="left"/>
          <w:tab w:leader="none" w:pos="7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20" w:firstLine="401"/>
        <w:spacing w:after="0" w:line="319" w:lineRule="auto"/>
        <w:rPr>
          <w:sz w:val="20"/>
          <w:szCs w:val="20"/>
          <w:color w:val="auto"/>
        </w:rPr>
      </w:pPr>
      <w:r>
        <w:rPr>
          <w:rFonts w:ascii="Arial" w:cs="Arial" w:eastAsia="Arial" w:hAnsi="Arial"/>
          <w:sz w:val="15"/>
          <w:szCs w:val="15"/>
          <w:color w:val="auto"/>
        </w:rPr>
        <w:t>At March 31, 2019, the aggregate market value of voting stock held by non-affiliates of the Registrant was approximately $4,880,568,000. In determining this amount, the Registrant has assumed that its directors and executive officers are affiliates. Such assumption shall not be deemed conclusive for any other purpose.</w:t>
      </w:r>
    </w:p>
    <w:p>
      <w:pPr>
        <w:spacing w:after="0" w:line="1" w:lineRule="exact"/>
        <w:rPr>
          <w:sz w:val="24"/>
          <w:szCs w:val="24"/>
          <w:color w:val="auto"/>
        </w:rPr>
      </w:pPr>
    </w:p>
    <w:p>
      <w:pPr>
        <w:ind w:left="4460" w:right="4460" w:hanging="4051"/>
        <w:spacing w:after="0" w:line="382" w:lineRule="auto"/>
        <w:rPr>
          <w:sz w:val="20"/>
          <w:szCs w:val="20"/>
          <w:color w:val="auto"/>
        </w:rPr>
      </w:pPr>
      <w:r>
        <w:rPr>
          <w:rFonts w:ascii="Arial" w:cs="Arial" w:eastAsia="Arial" w:hAnsi="Arial"/>
          <w:sz w:val="14"/>
          <w:szCs w:val="14"/>
          <w:color w:val="auto"/>
        </w:rPr>
        <w:t>At October 31, 2019, there were 60,183,754 shares of Registrant’s common stock outstanding. Documents Incorporated by Reference</w:t>
      </w:r>
    </w:p>
    <w:p>
      <w:pPr>
        <w:spacing w:after="0" w:line="1" w:lineRule="exact"/>
        <w:rPr>
          <w:sz w:val="24"/>
          <w:szCs w:val="24"/>
          <w:color w:val="auto"/>
        </w:rPr>
      </w:pPr>
    </w:p>
    <w:p>
      <w:pPr>
        <w:ind w:firstLine="401"/>
        <w:spacing w:after="0" w:line="293" w:lineRule="auto"/>
        <w:rPr>
          <w:sz w:val="20"/>
          <w:szCs w:val="20"/>
          <w:color w:val="auto"/>
        </w:rPr>
      </w:pPr>
      <w:r>
        <w:rPr>
          <w:rFonts w:ascii="Arial" w:cs="Arial" w:eastAsia="Arial" w:hAnsi="Arial"/>
          <w:sz w:val="16"/>
          <w:szCs w:val="16"/>
          <w:color w:val="auto"/>
        </w:rPr>
        <w:t>Portions of Registrant’s Proxy Statement (Proxy Statement) for its Annual Meeting of Stockholders are incorporated by reference into Part III of this annual report on Form 10-K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488950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100" w:type="dxa"/>
            <w:vAlign w:val="bottom"/>
            <w:gridSpan w:val="11"/>
          </w:tcPr>
          <w:p>
            <w:pPr>
              <w:ind w:left="4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40" w:type="dxa"/>
            <w:vAlign w:val="bottom"/>
            <w:gridSpan w:val="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184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w:t>
            </w:r>
          </w:p>
        </w:tc>
        <w:tc>
          <w:tcPr>
            <w:tcW w:w="8980" w:type="dxa"/>
            <w:vAlign w:val="bottom"/>
            <w:gridSpan w:val="2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General</w:t>
              </w:r>
            </w:hyperlink>
          </w:p>
        </w:tc>
        <w:tc>
          <w:tcPr>
            <w:tcW w:w="8080" w:type="dxa"/>
            <w:vAlign w:val="bottom"/>
            <w:gridSpan w:val="2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Specialty Ingredients</w:t>
              </w:r>
            </w:hyperlink>
          </w:p>
        </w:tc>
        <w:tc>
          <w:tcPr>
            <w:tcW w:w="7120" w:type="dxa"/>
            <w:vAlign w:val="bottom"/>
            <w:gridSpan w:val="1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60" w:type="dxa"/>
            <w:vAlign w:val="bottom"/>
            <w:gridSpan w:val="2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Intermediate and Solvents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Miscellaneous</w:t>
              </w:r>
            </w:hyperlink>
          </w:p>
        </w:tc>
        <w:tc>
          <w:tcPr>
            <w:tcW w:w="6780" w:type="dxa"/>
            <w:vAlign w:val="bottom"/>
            <w:gridSpan w:val="1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1A.</w:t>
            </w:r>
          </w:p>
        </w:tc>
        <w:tc>
          <w:tcPr>
            <w:tcW w:w="8980" w:type="dxa"/>
            <w:vAlign w:val="bottom"/>
            <w:gridSpan w:val="2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Unresolved Staff Comments</w:t>
              </w:r>
            </w:hyperlink>
          </w:p>
        </w:tc>
        <w:tc>
          <w:tcPr>
            <w:tcW w:w="6920" w:type="dxa"/>
            <w:vAlign w:val="bottom"/>
            <w:gridSpan w:val="1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Properties</w:t>
              </w:r>
            </w:hyperlink>
          </w:p>
        </w:tc>
        <w:tc>
          <w:tcPr>
            <w:tcW w:w="8240" w:type="dxa"/>
            <w:vAlign w:val="bottom"/>
            <w:gridSpan w:val="2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3.</w:t>
            </w:r>
          </w:p>
        </w:tc>
        <w:tc>
          <w:tcPr>
            <w:tcW w:w="13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Legal Proceedings</w:t>
              </w:r>
            </w:hyperlink>
          </w:p>
        </w:tc>
        <w:tc>
          <w:tcPr>
            <w:tcW w:w="7620" w:type="dxa"/>
            <w:vAlign w:val="bottom"/>
            <w:gridSpan w:val="1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Mine Safety Disclosures</w:t>
              </w:r>
            </w:hyperlink>
          </w:p>
        </w:tc>
        <w:tc>
          <w:tcPr>
            <w:tcW w:w="7180" w:type="dxa"/>
            <w:vAlign w:val="bottom"/>
            <w:gridSpan w:val="1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X.</w:t>
            </w:r>
          </w:p>
        </w:tc>
        <w:tc>
          <w:tcPr>
            <w:tcW w:w="8980" w:type="dxa"/>
            <w:vAlign w:val="bottom"/>
            <w:gridSpan w:val="2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Information about our Executive Officers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840" w:type="dxa"/>
            <w:vAlign w:val="bottom"/>
            <w:gridSpan w:val="5"/>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w:t>
              </w:r>
            </w:hyperlink>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5.</w:t>
            </w:r>
          </w:p>
        </w:tc>
        <w:tc>
          <w:tcPr>
            <w:tcW w:w="8980" w:type="dxa"/>
            <w:vAlign w:val="bottom"/>
            <w:gridSpan w:val="2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Related Stockholder Matters and Issuer Purchases of Equity Securities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6"/>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7.</w:t>
            </w:r>
          </w:p>
        </w:tc>
        <w:tc>
          <w:tcPr>
            <w:tcW w:w="64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Management’s Discussion and Analysis of Financial Condition and Results of Operation</w:t>
              </w:r>
            </w:hyperlink>
          </w:p>
        </w:tc>
        <w:tc>
          <w:tcPr>
            <w:tcW w:w="258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7A.</w:t>
            </w:r>
          </w:p>
        </w:tc>
        <w:tc>
          <w:tcPr>
            <w:tcW w:w="43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Quantitative and Qualitative Disclosures about Market Risk</w:t>
              </w:r>
            </w:hyperlink>
          </w:p>
        </w:tc>
        <w:tc>
          <w:tcPr>
            <w:tcW w:w="4660" w:type="dxa"/>
            <w:vAlign w:val="bottom"/>
            <w:gridSpan w:val="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Financial Statements and Supplementary Data</w:t>
              </w:r>
            </w:hyperlink>
          </w:p>
        </w:tc>
        <w:tc>
          <w:tcPr>
            <w:tcW w:w="564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9.</w:t>
            </w:r>
          </w:p>
        </w:tc>
        <w:tc>
          <w:tcPr>
            <w:tcW w:w="8980" w:type="dxa"/>
            <w:vAlign w:val="bottom"/>
            <w:gridSpan w:val="2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Changes in and Disagreements with Accountants on Accounting and Financial Disclosure</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3"/>
          </w:tcPr>
          <w:p>
            <w:pPr>
              <w:spacing w:after="0"/>
              <w:rPr>
                <w:sz w:val="17"/>
                <w:szCs w:val="17"/>
                <w:color w:val="auto"/>
              </w:rPr>
            </w:pPr>
          </w:p>
        </w:tc>
        <w:tc>
          <w:tcPr>
            <w:tcW w:w="250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9B.</w:t>
            </w:r>
          </w:p>
        </w:tc>
        <w:tc>
          <w:tcPr>
            <w:tcW w:w="8980" w:type="dxa"/>
            <w:vAlign w:val="bottom"/>
            <w:gridSpan w:val="2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40" w:type="dxa"/>
            <w:vAlign w:val="bottom"/>
            <w:gridSpan w:val="5"/>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III</w:t>
              </w:r>
            </w:hyperlink>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Directors, Executive Officers and Corporate Governance</w:t>
              </w:r>
            </w:hyperlink>
          </w:p>
        </w:tc>
        <w:tc>
          <w:tcPr>
            <w:tcW w:w="4880" w:type="dxa"/>
            <w:vAlign w:val="bottom"/>
            <w:gridSpan w:val="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11.</w:t>
            </w:r>
          </w:p>
        </w:tc>
        <w:tc>
          <w:tcPr>
            <w:tcW w:w="8980" w:type="dxa"/>
            <w:vAlign w:val="bottom"/>
            <w:gridSpan w:val="2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Executive Compensation</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12.</w:t>
            </w:r>
          </w:p>
        </w:tc>
        <w:tc>
          <w:tcPr>
            <w:tcW w:w="8980" w:type="dxa"/>
            <w:vAlign w:val="bottom"/>
            <w:gridSpan w:val="2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Security Ownership of Certain Beneficial Owners and Management and Related Stockholder Matters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Certain Relationships and Related Transactions, and Director Independence</w:t>
              </w:r>
            </w:hyperlink>
          </w:p>
        </w:tc>
        <w:tc>
          <w:tcPr>
            <w:tcW w:w="1320" w:type="dxa"/>
            <w:vAlign w:val="bottom"/>
            <w:tcBorders>
              <w:top w:val="single" w:sz="8" w:color="0000EE"/>
            </w:tcBorders>
            <w:gridSpan w:val="3"/>
          </w:tcPr>
          <w:p>
            <w:pPr>
              <w:spacing w:after="0"/>
              <w:rPr>
                <w:sz w:val="17"/>
                <w:szCs w:val="17"/>
                <w:color w:val="auto"/>
              </w:rPr>
            </w:pPr>
          </w:p>
        </w:tc>
        <w:tc>
          <w:tcPr>
            <w:tcW w:w="220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14.</w:t>
            </w:r>
          </w:p>
        </w:tc>
        <w:tc>
          <w:tcPr>
            <w:tcW w:w="8980" w:type="dxa"/>
            <w:vAlign w:val="bottom"/>
            <w:gridSpan w:val="2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Principal Accounting Fees and Services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1840" w:type="dxa"/>
            <w:vAlign w:val="bottom"/>
            <w:gridSpan w:val="5"/>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IV</w:t>
              </w:r>
            </w:hyperlink>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15.</w:t>
            </w:r>
          </w:p>
        </w:tc>
        <w:tc>
          <w:tcPr>
            <w:tcW w:w="8980" w:type="dxa"/>
            <w:vAlign w:val="bottom"/>
            <w:gridSpan w:val="2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Exhibits and Financial Statement Schedules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16.</w:t>
            </w:r>
          </w:p>
        </w:tc>
        <w:tc>
          <w:tcPr>
            <w:tcW w:w="31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Form 10-K Summary</w:t>
              </w:r>
            </w:hyperlink>
          </w:p>
        </w:tc>
        <w:tc>
          <w:tcPr>
            <w:tcW w:w="582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784"/>
        </w:trPr>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7"/>
          <w:szCs w:val="17"/>
          <w:color w:val="auto"/>
        </w:rPr>
        <w:t>Ashland Global Holdings Inc. is a Delaware corporation, with its principal executive offices located at 50 E. RiverCenter Boulevard, Covington, Kentucky 41011 (Telephone: (859) 815-3333). Ashland Global Holdings Inc. was incorporated in 2016 as the successor to a Kentucky corporation named Ashland Inc. organized in 2004 (now known as Ashland LLC), which was itself organized as the successor to a Kentucky corporation of the same name organized in 1936. The new holding company structure was put in place to allow Ashland Inc. to reincorporate in Delaware and to help facilitate the separation of the Valvoline business from the specialty chemicals businesses, creating two independent, publicly held companies (the Reorganization). As a result of the Reorganization, Ashland Global Holdings Inc. replaced Ashland Inc. as the publicly held corporation, and Ashland Inc. was converted to a Kentucky limited liability company and is now an indirect, wholly owned subsidiary of Ashland Global Holdings Inc. The terms “Ashland” and the “Company” as used herein include Ashland Global Holdings Inc., its predecessors and its consolidated subsidiaries, except where the context indicates otherwise. As a result of the Reorganization, Ashland is the successor issuer to Ashland Inc. pursuant to Rule 12g-3(a) under the Securities Exchange Act of 1934, as amended (the Exchange Act) and files periodic and other reports required by the Exchange Act. Effective January 1, 2020, Ashland will move its headquarters and principal executive offices to 8145 Blazer Drive, Wilmington, Delaware 19808.</w:t>
      </w:r>
    </w:p>
    <w:p>
      <w:pPr>
        <w:spacing w:after="0" w:line="75"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Ashland is a global leader in providing specialty chemical solutions to customers in a wide range of consumer and industrial markets, including adhesives, architectural coatings, construction, energy, food and beverage, nutraceuticals, personal care and pharmaceutical. With approximately 4,700 employees worldwide, Ashland serves customers in more than 100 countries.</w:t>
      </w:r>
    </w:p>
    <w:p>
      <w:pPr>
        <w:spacing w:after="0" w:line="73"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On August 30, 2019, Ashland closed the sale of its Composites segment (excluding the Maleic business) and its Intermediates and Solvents facility in Marl, Germany to INEOS Enterprises in a transaction valued at $1.015 billion. Subsequent to completing the Composites disposition during the current year, Ashland’s operations are now managed in the following two reportable segments: Specialty Ingredients and Intermediates and Solvents.</w:t>
      </w:r>
    </w:p>
    <w:p>
      <w:pPr>
        <w:spacing w:after="0" w:line="39"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Specialty Ingredients is a global leader in cellulose ethers, vinyl pyrrolidones and biofunctionals. It offers industry-leading products, technologies and resources for solving formulation and product-performance challenges. Specialty Ingredients uses natural, synthetic and semisynthetic polymers derived from cellulose ethers, vinyl pyrrolidones, acrylic polymers, polyester and polyurethane-based adhesives, and plant and seed extract. Specialty Ingredients’ end markets offer comprehensive and innovative solutions for today’s demanding consumer and industrial applications. Key customers include: pharmaceutical companies; makers of personal care products; food and beverage manufacturers; makers of nutraceuticals and supplements; manufacturers of paint, coatings and construction materials; packaging and converting companies; and oilfield service companies.</w:t>
      </w:r>
    </w:p>
    <w:p>
      <w:pPr>
        <w:spacing w:after="0" w:line="70"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Intermediates and Solvents is a leading producer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w:t>
      </w:r>
    </w:p>
    <w:p>
      <w:pPr>
        <w:spacing w:after="0" w:line="7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Unallocated and Other generally includes items such as certain significant company-wide restructuring activities, including internal separation costs, and legacy costs or adjustments that relate to divested businesses that are no longer operated by Ashland.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both"/>
        <w:ind w:firstLine="401"/>
        <w:spacing w:after="0" w:line="290" w:lineRule="auto"/>
        <w:rPr>
          <w:sz w:val="20"/>
          <w:szCs w:val="20"/>
          <w:color w:val="auto"/>
        </w:rPr>
      </w:pPr>
      <w:r>
        <w:rPr>
          <w:rFonts w:ascii="Arial" w:cs="Arial" w:eastAsia="Arial" w:hAnsi="Arial"/>
          <w:sz w:val="16"/>
          <w:szCs w:val="16"/>
          <w:color w:val="auto"/>
        </w:rPr>
        <w:t>Available Information - Ashland’s Internet address is http://www.ashland.com. On this website, Ashland makes available, free of charge, its annual reports on Form 10-K, quarterly reports on Form 10-Q, current reports on Form 8-K and any amendments to those reports, as well as any beneficial ownership reports of officers and directors filed on Forms 3, 4 and 5. All such reports are available as soon as reasonably practicable after they are electronically filed with, or electronically furnished to, the Securities and Exchange Commission (SEC). Ashland also makes available, free of charge on its website, its Corporate Governance Guidelines, Board Committee Charters, Director Independence Standards and global code of conduct that applies to Ashland’s directors, officers and employees. These documents are also available in print to any stockholder who requests them. Information contained on Ashland’s website is not part of this annual report on Form 10-K and is not incorporated by reference in this document. The SEC maintains an Internet site (http://www.sec.gov) that contains reports, proxy and information statements and other information regarding issuers that file electronically with the SEC.</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SPECIALTY INGREDIENTS</w:t>
      </w:r>
    </w:p>
    <w:p>
      <w:pPr>
        <w:spacing w:after="0" w:line="121"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Specialty Ingredients offers industry-leading products, technologies and resources for solving formulation and product-performance challenges. Using natural, synthetic and semisynthetic polymers derived from cellulose ethers, vinyl pyrrolidones, acrylic polymers, polyester and polyurethane-based adhesives, and plant and seed extract, Specialty Ingredients offers comprehensive and innovative solutions for consumer and industrial applications.</w:t>
      </w:r>
    </w:p>
    <w:p>
      <w:pPr>
        <w:spacing w:after="0" w:line="3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Key customers include pharmaceutical companies; makers of personal care products; food and beverage manufacturers; makers of nutraceuticals and supplements; manufacturers of paint, coatings and construction materials; packaging and converting companies; and oilfield service companies. Certain customer relationships are significant, and the loss of any one of those customers could have a material adverse effect on the Specialty Ingredients reportable segment.</w:t>
      </w:r>
    </w:p>
    <w:p>
      <w:pPr>
        <w:spacing w:after="0" w:line="7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Specialty Ingredients’ areas of expertise include: organic and synthetic chemistry, polymer chemistry, surface and colloid science, rheology, structural analysis and microbiology.</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Specialty Ingredients’ solutions provide an array of properties, including: thickening and rheology control, water retention, adhesive strength, binding power, film formation, conditioning and deposition, colloid stabilization and suspension.</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Specialty Ingredients is composed of various end use markets. Many of the products of the end markets are produced in shared manufacturing facilities, to better manage capacity and achieve desired returns.</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Oral Care </w:t>
      </w:r>
      <w:r>
        <w:rPr>
          <w:rFonts w:ascii="Arial" w:cs="Arial" w:eastAsia="Arial" w:hAnsi="Arial"/>
          <w:sz w:val="18"/>
          <w:szCs w:val="18"/>
          <w:color w:val="auto"/>
        </w:rPr>
        <w:t>- Specialty Ingredients’ portfolio of oral care products delivers active ingredients in toothpaste and mouthwashes; provides bioadhesive</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functionality for dentures; delivers flavor, texture and other functional properties; and provides product binding to ensure form and function throughout product lifecycle.</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i w:val="1"/>
          <w:iCs w:val="1"/>
          <w:color w:val="auto"/>
        </w:rPr>
        <w:t xml:space="preserve">Hair Care </w:t>
      </w:r>
      <w:r>
        <w:rPr>
          <w:rFonts w:ascii="Arial" w:cs="Arial" w:eastAsia="Arial" w:hAnsi="Arial"/>
          <w:sz w:val="18"/>
          <w:szCs w:val="18"/>
          <w:color w:val="auto"/>
        </w:rPr>
        <w:t>- Specialty Ingredients’ portfolio of hair care products includes advanced styling polymers, fixatives, conditioning polymers, emulsifiers,</w:t>
      </w:r>
      <w:r>
        <w:rPr>
          <w:rFonts w:ascii="Arial" w:cs="Arial" w:eastAsia="Arial" w:hAnsi="Arial"/>
          <w:sz w:val="18"/>
          <w:szCs w:val="18"/>
          <w:i w:val="1"/>
          <w:iCs w:val="1"/>
          <w:color w:val="auto"/>
        </w:rPr>
        <w:t xml:space="preserve"> </w:t>
      </w:r>
      <w:r>
        <w:rPr>
          <w:rFonts w:ascii="Arial" w:cs="Arial" w:eastAsia="Arial" w:hAnsi="Arial"/>
          <w:sz w:val="18"/>
          <w:szCs w:val="18"/>
          <w:color w:val="auto"/>
        </w:rPr>
        <w:t>preservatives and rheology modifiers.</w:t>
      </w:r>
    </w:p>
    <w:p>
      <w:pPr>
        <w:spacing w:after="0" w:line="62"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i w:val="1"/>
          <w:iCs w:val="1"/>
          <w:color w:val="auto"/>
        </w:rPr>
        <w:t xml:space="preserve">Skin Care </w:t>
      </w:r>
      <w:r>
        <w:rPr>
          <w:rFonts w:ascii="Arial" w:cs="Arial" w:eastAsia="Arial" w:hAnsi="Arial"/>
          <w:sz w:val="17"/>
          <w:szCs w:val="17"/>
          <w:color w:val="auto"/>
        </w:rPr>
        <w:t>- Specialty Ingredients’ portfolio of ingredients and solutions for skin care, sun care, and cosmetics, with a focus on natural and sustainable</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Ashland Skin Care is a leader in organic UV filters, biofunctional actives, preservatives, and specialty polymers to provide functionality such as water resistance and rheology. Our natural ingredients include a wide range of cellulose, guar, and cassia derivatives; unique active ingredients derived from botanical sources using exclusive Ashland technologies such as Zeta Fraction and PSR technology; emollients based on natural chemistries; encapsulation technology derived from alginates; and efficacious preservative blends inspired by nature.</w:t>
      </w:r>
    </w:p>
    <w:p>
      <w:pPr>
        <w:spacing w:after="0" w:line="64"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Home Care </w:t>
      </w:r>
      <w:r>
        <w:rPr>
          <w:rFonts w:ascii="Arial" w:cs="Arial" w:eastAsia="Arial" w:hAnsi="Arial"/>
          <w:sz w:val="18"/>
          <w:szCs w:val="18"/>
          <w:color w:val="auto"/>
        </w:rPr>
        <w:t>- Specialty Ingredients’ portfolio of products and technologies is used in many types of cleaning and fragrance applications, including fabric</w:t>
      </w:r>
      <w:r>
        <w:rPr>
          <w:rFonts w:ascii="Arial" w:cs="Arial" w:eastAsia="Arial" w:hAnsi="Arial"/>
          <w:sz w:val="18"/>
          <w:szCs w:val="18"/>
          <w:i w:val="1"/>
          <w:iCs w:val="1"/>
          <w:color w:val="auto"/>
        </w:rPr>
        <w:t xml:space="preserve"> </w:t>
      </w:r>
      <w:r>
        <w:rPr>
          <w:rFonts w:ascii="Arial" w:cs="Arial" w:eastAsia="Arial" w:hAnsi="Arial"/>
          <w:sz w:val="18"/>
          <w:szCs w:val="18"/>
          <w:color w:val="auto"/>
        </w:rPr>
        <w:t>care, home care and dishwashing. Specialty Ingredients’ products are used in a variety of applications for viscosity enhancement, particle suspension, rheology modification, stabilization and fragrance enhancement.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 w:name="page5"/>
    <w:bookmarkEnd w:id="4"/>
    <w:p>
      <w:pPr>
        <w:jc w:val="both"/>
        <w:ind w:firstLine="401"/>
        <w:spacing w:after="0" w:line="255" w:lineRule="auto"/>
        <w:rPr>
          <w:sz w:val="20"/>
          <w:szCs w:val="20"/>
          <w:color w:val="auto"/>
        </w:rPr>
      </w:pPr>
      <w:r>
        <w:rPr>
          <w:rFonts w:ascii="Arial" w:cs="Arial" w:eastAsia="Arial" w:hAnsi="Arial"/>
          <w:sz w:val="18"/>
          <w:szCs w:val="18"/>
          <w:i w:val="1"/>
          <w:iCs w:val="1"/>
          <w:color w:val="auto"/>
        </w:rPr>
        <w:t xml:space="preserve">Health and Wellness </w:t>
      </w:r>
      <w:r>
        <w:rPr>
          <w:rFonts w:ascii="Arial" w:cs="Arial" w:eastAsia="Arial" w:hAnsi="Arial"/>
          <w:sz w:val="18"/>
          <w:szCs w:val="18"/>
          <w:color w:val="auto"/>
        </w:rPr>
        <w:t>- Specialty Ingredients is a leading supplier of excipients and tablet coating systems to the pharmaceutical and nutraceutical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Excipients include a comprehensive range of polymers for use as tablet binders, superdisintegrants, sustained-release agents and drug solubilizers, as well as a variety of coating formulations for immediate, delayed, and sustained release applications. The portfolio also includes branded and proprietary nutraceutical ingredients and expertise in nutraceutical formulation, particle engineering and contract manufacturing. Its nutrition portfolio provides functional benefits in areas such as thickening, texture control, thermal gelation, structure enhancement, water binding, clarification and stabilization. Its core products include cellulose gums and vinyl pyrrolidone polymers which are used in a wide range of offerings for bakery, beverage, dairy, desserts, meat products, pet food, prepared foods, sauces and savory products.</w:t>
      </w:r>
    </w:p>
    <w:p>
      <w:pPr>
        <w:spacing w:after="0" w:line="81"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i w:val="1"/>
          <w:iCs w:val="1"/>
          <w:color w:val="auto"/>
        </w:rPr>
        <w:t xml:space="preserve">Adhesives </w:t>
      </w:r>
      <w:r>
        <w:rPr>
          <w:rFonts w:ascii="Arial" w:cs="Arial" w:eastAsia="Arial" w:hAnsi="Arial"/>
          <w:sz w:val="18"/>
          <w:szCs w:val="18"/>
          <w:color w:val="auto"/>
        </w:rPr>
        <w:t>- Specialty Ingredients manufactures and sells adhesive solutions to the packaging and converting, building and construction,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markets and manufactures and markets specialty coatings and adhesive solutions for use across multiple industries. Key technologies and markets include: acrylic polymers for pressure-sensitive adhesives; urethane adhesive for flexible packaging applications; aqueous and radiation-curable adhesives and specialty coatings for printing and converting applications; emulsion polymer isocyanate adhesives for structural wood bonding; elastomeric polymer adhesives for commercial roofing applications; acrylic, polyurethane and epoxy structural adhesives for bonding fiberglass reinforced plastics, composites, thermoplastics and metals in automotive, marine, recreational and industrial applications; specialty phenolic resins for paper impregnation and friction material bonding. Adhesive’s products provide an array of functional properties including high-strength bonding, ease and speed of product assembly, heat and moisture resistance and design flexibility.</w:t>
      </w:r>
    </w:p>
    <w:p>
      <w:pPr>
        <w:spacing w:after="0" w:line="84"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i w:val="1"/>
          <w:iCs w:val="1"/>
          <w:color w:val="auto"/>
        </w:rPr>
        <w:t xml:space="preserve">Coatings </w:t>
      </w:r>
      <w:r>
        <w:rPr>
          <w:rFonts w:ascii="Arial" w:cs="Arial" w:eastAsia="Arial" w:hAnsi="Arial"/>
          <w:sz w:val="16"/>
          <w:szCs w:val="16"/>
          <w:color w:val="auto"/>
        </w:rPr>
        <w:t>- Specialty Ingredients is a recognized leader in rheology solutions for waterborne architectural paint and coatings. Products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hydroxyethylcellulose (HEC), which provides thickening and application properties for interior and exterior paints, and nonionic synthetic associative thickeners (NSATs), which are APEO-free liquid synthetics for high-performance paint and industrial coatings. The Coatings Specialties market complements its rheology offering with a broad portfolio of performance foam-control agents, surfactants and wetting agents, dispersants and pH neutralizers.</w:t>
      </w:r>
    </w:p>
    <w:p>
      <w:pPr>
        <w:spacing w:after="0" w:line="46"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Construction </w:t>
      </w:r>
      <w:r>
        <w:rPr>
          <w:rFonts w:ascii="Arial" w:cs="Arial" w:eastAsia="Arial" w:hAnsi="Arial"/>
          <w:sz w:val="18"/>
          <w:szCs w:val="18"/>
          <w:color w:val="auto"/>
        </w:rPr>
        <w:t>- Specialty Ingredients is a major producer and supplier of cellulose ethers and companion products for the construction industry. These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control properties such as water retention, open time, workability, adhesion, stabilization, pumping, sag resistance, rheology, strength, appearance and performance in dry-mortar formulations.</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Energy </w:t>
      </w:r>
      <w:r>
        <w:rPr>
          <w:rFonts w:ascii="Arial" w:cs="Arial" w:eastAsia="Arial" w:hAnsi="Arial"/>
          <w:sz w:val="18"/>
          <w:szCs w:val="18"/>
          <w:color w:val="auto"/>
        </w:rPr>
        <w:t>- Specialty Ingredients is a leading global manufacturer of synthetic- and cellulosic-based products for drilling fluids, oil-well cement slurries,</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and workover fluids, fracturing fluids and production chemicals. Energy Specialties offers the oil and gas industry solutions for drilling, stimulation, completion, cementing and production applications.</w:t>
      </w:r>
    </w:p>
    <w:p>
      <w:pPr>
        <w:spacing w:after="0" w:line="73"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i w:val="1"/>
          <w:iCs w:val="1"/>
          <w:color w:val="auto"/>
        </w:rPr>
        <w:t xml:space="preserve">Performance </w:t>
      </w:r>
      <w:r>
        <w:rPr>
          <w:rFonts w:ascii="Arial" w:cs="Arial" w:eastAsia="Arial" w:hAnsi="Arial"/>
          <w:sz w:val="16"/>
          <w:szCs w:val="16"/>
          <w:color w:val="auto"/>
        </w:rPr>
        <w:t>- Specialty Ingredients provides products and services to over 30 industries. Ashland offers a broad spectrum of organo- and water-soluble</w:t>
      </w:r>
      <w:r>
        <w:rPr>
          <w:rFonts w:ascii="Arial" w:cs="Arial" w:eastAsia="Arial" w:hAnsi="Arial"/>
          <w:sz w:val="16"/>
          <w:szCs w:val="16"/>
          <w:i w:val="1"/>
          <w:iCs w:val="1"/>
          <w:color w:val="auto"/>
        </w:rPr>
        <w:t xml:space="preserve"> </w:t>
      </w:r>
      <w:r>
        <w:rPr>
          <w:rFonts w:ascii="Arial" w:cs="Arial" w:eastAsia="Arial" w:hAnsi="Arial"/>
          <w:sz w:val="16"/>
          <w:szCs w:val="16"/>
          <w:color w:val="auto"/>
        </w:rPr>
        <w:t>polymers that are derived from both natural and synthetic resources. Product lines include derivatized cellulose polymers, synthetics, and vinyl pyrrolidone polymers that impart effective functionalities to serve a variety of industrial markets and specialized applications. Many of the products within Performance Specialties function as performance additives that deliver high levels of end-user value in formulated products. In other areas, such as plastics and textiles, Performance Specialties’ products function as a processing aid, improving the quality of end products and reducing manufacturing costs.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fiscal 2019, the following Specialty Ingredients products were 10% or greater of Ashland’s total consolidated sales: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8"/>
                <w:szCs w:val="18"/>
                <w:b w:val="1"/>
                <w:bCs w:val="1"/>
                <w:color w:val="auto"/>
              </w:rPr>
              <w:t>Product</w:t>
            </w:r>
          </w:p>
        </w:tc>
        <w:tc>
          <w:tcPr>
            <w:tcW w:w="4140" w:type="dxa"/>
            <w:vAlign w:val="bottom"/>
            <w:tcBorders>
              <w:top w:val="single" w:sz="8" w:color="auto"/>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88"/>
              </w:rPr>
              <w:t>% of Specialty Ingredients sales</w:t>
            </w:r>
          </w:p>
        </w:tc>
        <w:tc>
          <w:tcPr>
            <w:tcW w:w="3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 of Ashland total consolidated sales</w:t>
            </w: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Cellulosics</w:t>
            </w:r>
          </w:p>
        </w:tc>
        <w:tc>
          <w:tcPr>
            <w:tcW w:w="4140" w:type="dxa"/>
            <w:vAlign w:val="bottom"/>
            <w:shd w:val="clear" w:color="auto" w:fill="CFF0FC"/>
          </w:tcPr>
          <w:p>
            <w:pPr>
              <w:jc w:val="center"/>
              <w:ind w:left="450"/>
              <w:spacing w:after="0"/>
              <w:rPr>
                <w:sz w:val="20"/>
                <w:szCs w:val="20"/>
                <w:color w:val="auto"/>
              </w:rPr>
            </w:pPr>
            <w:r>
              <w:rPr>
                <w:rFonts w:ascii="Arial" w:cs="Arial" w:eastAsia="Arial" w:hAnsi="Arial"/>
                <w:sz w:val="18"/>
                <w:szCs w:val="18"/>
                <w:color w:val="auto"/>
                <w:w w:val="88"/>
              </w:rPr>
              <w:t>35%</w:t>
            </w:r>
          </w:p>
        </w:tc>
        <w:tc>
          <w:tcPr>
            <w:tcW w:w="3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34%</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Polyvinylpyrrolidones (PVP)</w:t>
            </w:r>
          </w:p>
        </w:tc>
        <w:tc>
          <w:tcPr>
            <w:tcW w:w="4140" w:type="dxa"/>
            <w:vAlign w:val="bottom"/>
          </w:tcPr>
          <w:p>
            <w:pPr>
              <w:jc w:val="center"/>
              <w:ind w:left="450"/>
              <w:spacing w:after="0"/>
              <w:rPr>
                <w:sz w:val="20"/>
                <w:szCs w:val="20"/>
                <w:color w:val="auto"/>
              </w:rPr>
            </w:pPr>
            <w:r>
              <w:rPr>
                <w:rFonts w:ascii="Arial" w:cs="Arial" w:eastAsia="Arial" w:hAnsi="Arial"/>
                <w:sz w:val="18"/>
                <w:szCs w:val="18"/>
                <w:color w:val="auto"/>
                <w:w w:val="88"/>
              </w:rPr>
              <w:t>17%</w:t>
            </w:r>
          </w:p>
        </w:tc>
        <w:tc>
          <w:tcPr>
            <w:tcW w:w="3920" w:type="dxa"/>
            <w:vAlign w:val="bottom"/>
          </w:tcPr>
          <w:p>
            <w:pPr>
              <w:jc w:val="center"/>
              <w:spacing w:after="0"/>
              <w:rPr>
                <w:sz w:val="20"/>
                <w:szCs w:val="20"/>
                <w:color w:val="auto"/>
              </w:rPr>
            </w:pPr>
            <w:r>
              <w:rPr>
                <w:rFonts w:ascii="Arial" w:cs="Arial" w:eastAsia="Arial" w:hAnsi="Arial"/>
                <w:sz w:val="18"/>
                <w:szCs w:val="18"/>
                <w:color w:val="auto"/>
                <w:w w:val="94"/>
              </w:rPr>
              <w:t>17%</w:t>
            </w:r>
          </w:p>
        </w:tc>
      </w:tr>
      <w:tr>
        <w:trPr>
          <w:trHeight w:val="418"/>
        </w:trPr>
        <w:tc>
          <w:tcPr>
            <w:tcW w:w="3360" w:type="dxa"/>
            <w:vAlign w:val="bottom"/>
          </w:tcPr>
          <w:p>
            <w:pPr>
              <w:spacing w:after="0"/>
              <w:rPr>
                <w:sz w:val="24"/>
                <w:szCs w:val="24"/>
                <w:color w:val="auto"/>
              </w:rPr>
            </w:pPr>
          </w:p>
        </w:tc>
        <w:tc>
          <w:tcPr>
            <w:tcW w:w="4140" w:type="dxa"/>
            <w:vAlign w:val="bottom"/>
          </w:tcPr>
          <w:p>
            <w:pPr>
              <w:jc w:val="center"/>
              <w:ind w:left="470"/>
              <w:spacing w:after="0"/>
              <w:rPr>
                <w:sz w:val="20"/>
                <w:szCs w:val="20"/>
                <w:color w:val="auto"/>
              </w:rPr>
            </w:pPr>
            <w:r>
              <w:rPr>
                <w:rFonts w:ascii="Arial" w:cs="Arial" w:eastAsia="Arial" w:hAnsi="Arial"/>
                <w:sz w:val="18"/>
                <w:szCs w:val="18"/>
                <w:color w:val="auto"/>
                <w:w w:val="99"/>
              </w:rPr>
              <w:t>3</w:t>
            </w:r>
          </w:p>
        </w:tc>
        <w:tc>
          <w:tcPr>
            <w:tcW w:w="3920" w:type="dxa"/>
            <w:vAlign w:val="bottom"/>
          </w:tcPr>
          <w:p>
            <w:pPr>
              <w:spacing w:after="0"/>
              <w:rPr>
                <w:sz w:val="24"/>
                <w:szCs w:val="24"/>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 w:name="page6"/>
    <w:bookmarkEnd w:id="5"/>
    <w:p>
      <w:pPr>
        <w:jc w:val="both"/>
        <w:ind w:firstLine="401"/>
        <w:spacing w:after="0" w:line="271" w:lineRule="auto"/>
        <w:rPr>
          <w:sz w:val="20"/>
          <w:szCs w:val="20"/>
          <w:color w:val="auto"/>
        </w:rPr>
      </w:pPr>
      <w:r>
        <w:rPr>
          <w:rFonts w:ascii="Arial" w:cs="Arial" w:eastAsia="Arial" w:hAnsi="Arial"/>
          <w:sz w:val="17"/>
          <w:szCs w:val="17"/>
          <w:color w:val="auto"/>
        </w:rPr>
        <w:t>Specialty Ingredients operates throughout the Americas, Europe and Asia Pacific. It has 45 manufacturing and lab facilities in ten countries which serve its various end markets and participates in one joint venture. Specialty Ingredients has manufacturing facilities in Huntsville, Alabama; Anaheim, California; Wilmington, Delaware; Calumet City, Illinois; Calvert City, Kentucky; Freetown, Massachusetts; Chatham, Kearny, Parlin, Paterson, S. Hackensack (two facilities) and Totowa, New Jersey; Monroe and Ossining, New York; Merry Hill, North Carolina; Ashland, Columbus, Dublin and Hilliard, Ohio; White City, Oregon; Piedmont and Summerville, South Carolina; Kenedy and Texas City, Texas; Hopewell, Virginia; and Menomonee Falls, Wisconsin within the United States and Doel-Beveren, Belgium; Cabreuva and Sao Paolo, Brazil; Nanjing and Shanghai, China; Alizay and Sophia Antipolis, France; Dusseldorf, Germany; Dublin, Ireland; Hyderabad and Mumbai, India; Mexico City and Tamaulipas, Mexico (two locations); Zwijndrecht, the Netherlands and Bradford, Kidderminster, Newton Aycliffe and Poole, United Kingdom.</w:t>
      </w:r>
    </w:p>
    <w:p>
      <w:pPr>
        <w:spacing w:after="0" w:line="7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Specialty Ingredients markets and distributes its products and services directly and through third-party distributors in the Americas, Europe, the Middle East, Africa and Asia Pacific.</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INTERMEDIATES AND SOLVENTS</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Intermediates and Solvents is a leading producer of 1,4 butanediol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 On August 30, 2019, Ashland closed the sale of its Composites segment and the Intermediates and Solvents manufacturing facility in Marl, Germany.</w:t>
      </w:r>
    </w:p>
    <w:p>
      <w:pPr>
        <w:spacing w:after="0" w:line="8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Key customers include Ashland’s Specialty Ingredients business, general industrial manufacturers, plastics and polymers producers, pharmaceutical companies, agricultural firms and producers of electronic components and systems.</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Intermediates and Solvents has a manufacturing facility in Lima, Ohio, while some derivatives are produced at Specialties Ingredients facilities in Texas City, Texas and Calvert City, Kentucky. Intermediates and Solvents’ markets and distributes its products directly and through third-party distributors in the Americas, Europe, and Asia Pacific.</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Ashland maintains a companywide environmental policy overseen by the Environmental, Health, Safety and Quality Committee of Ashland’s Board of Directors. Ashland’s Environmental, Health, Safety, Quality and Regulatory Affairs (EHSQ&amp;RA) department has the responsibility to ensure that Ashland’s businesses worldwide maintain environmental compliance in accordance with applicable laws and regulations. This responsibility is carried out via training; widespread communication of EHSQ&amp;RA policies; information and regulatory updates; formulation of relevant policies, procedures and work practices; design and implementation of EHSQ&amp;RA management systems; internal auditing; monitoring of legislative and regulatory developments that may affect Ashland’s operations; assistance to the businesses in identifying compliance issues and opportunities for voluntary actions that go beyond compliance; and incident response planning and implementation.</w:t>
      </w:r>
    </w:p>
    <w:p>
      <w:pPr>
        <w:spacing w:after="0" w:line="81"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Federal, state and local laws and regulations relating to the protection of the environment have a significant impact on how Ashland conducts its businesses. In addition, Ashland’s operations outside the United States are subject to the environmental laws of the countries in which they are located. These laws include regulation of air emissions and water discharges, waste handling, remediation and product inventory, registration and regulation. New laws and regulations may be enacted or adopted by various regulatory agencies globally. The costs of compliance with any new laws or regulations cannot be estimated until the manner in which they will be implemented has been more precisely defined.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 w:name="page7"/>
    <w:bookmarkEnd w:id="6"/>
    <w:p>
      <w:pPr>
        <w:jc w:val="both"/>
        <w:ind w:firstLine="401"/>
        <w:spacing w:after="0" w:line="269" w:lineRule="auto"/>
        <w:rPr>
          <w:sz w:val="20"/>
          <w:szCs w:val="20"/>
          <w:color w:val="auto"/>
        </w:rPr>
      </w:pPr>
      <w:r>
        <w:rPr>
          <w:rFonts w:ascii="Arial" w:cs="Arial" w:eastAsia="Arial" w:hAnsi="Arial"/>
          <w:sz w:val="17"/>
          <w:szCs w:val="17"/>
          <w:color w:val="auto"/>
        </w:rPr>
        <w:t>At September 30, 2019, Ashland’s reserves for environmental remediation and related environmental litigation amounted to $186 million, reflecting Ashland’s best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$440 million. No individual remediation location is significant, as the largest reserve for any site is 14% of the remediation reserve. Ashland regularly adjusts its reserves as environmental remediation continues. Environmental remediation expense, net of insurance receivables, amounted to $34 million in 2019, compared to $65 million in 2018 and $24 million in 2017.</w:t>
      </w:r>
    </w:p>
    <w:p>
      <w:pPr>
        <w:spacing w:after="0" w:line="72" w:lineRule="exact"/>
        <w:rPr>
          <w:sz w:val="20"/>
          <w:szCs w:val="20"/>
          <w:color w:val="auto"/>
        </w:rPr>
      </w:pPr>
    </w:p>
    <w:p>
      <w:pPr>
        <w:jc w:val="both"/>
        <w:ind w:firstLine="401"/>
        <w:spacing w:after="0" w:line="289" w:lineRule="auto"/>
        <w:rPr>
          <w:sz w:val="20"/>
          <w:szCs w:val="20"/>
          <w:color w:val="auto"/>
        </w:rPr>
      </w:pPr>
      <w:r>
        <w:rPr>
          <w:rFonts w:ascii="Arial" w:cs="Arial" w:eastAsia="Arial" w:hAnsi="Arial"/>
          <w:sz w:val="16"/>
          <w:szCs w:val="16"/>
          <w:i w:val="1"/>
          <w:iCs w:val="1"/>
          <w:color w:val="auto"/>
        </w:rPr>
        <w:t xml:space="preserve">Product Control, Registration and Inventory </w:t>
      </w:r>
      <w:r>
        <w:rPr>
          <w:rFonts w:ascii="Arial" w:cs="Arial" w:eastAsia="Arial" w:hAnsi="Arial"/>
          <w:sz w:val="16"/>
          <w:szCs w:val="16"/>
          <w:color w:val="auto"/>
        </w:rPr>
        <w:t>- Many of Ashland’s products and operations are subject to chemical control laws of the countries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they are located. These laws include regulation of chemical substances and inventories under the Toxic Substances Control Act (TSCA) in the United States and the Registration, Evaluation and Authorization of Chemicals (REACH) regulation in Europe. Under REACH, additional testing requirements, documentation, risk assessments and registrations are occurring and will continue to occur and may adversely affect Ashland’s costs of products produced in or imported into the European Union. Examples of other product control regulations include right to know laws under the Global Harmonized System (GHS) for hazard communication, regulation of chemicals used in the manufacture of pharmaceuticals and personal care products and that contact food under the Food, Drug and Cosmetics Act in the United States, the Framework Regulation in Europe and other product control requirements for chemical weapons, drug precursors and import/export. New laws and regulations may be enacted or adopted by various regulatory agencies globally. The costs of compliance with any new laws or regulations cannot be estimated until the manner in which they will be implemented has been more precisely defined.</w:t>
      </w:r>
    </w:p>
    <w:p>
      <w:pPr>
        <w:spacing w:after="0" w:line="59"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i w:val="1"/>
          <w:iCs w:val="1"/>
          <w:color w:val="auto"/>
        </w:rPr>
        <w:t xml:space="preserve">Remediation </w:t>
      </w:r>
      <w:r>
        <w:rPr>
          <w:rFonts w:ascii="Arial" w:cs="Arial" w:eastAsia="Arial" w:hAnsi="Arial"/>
          <w:sz w:val="16"/>
          <w:szCs w:val="16"/>
          <w:color w:val="auto"/>
        </w:rPr>
        <w:t>- Ashland currently operates, and in the past has operated, various facilities at which, during the normal course of business, releases of</w:t>
      </w:r>
      <w:r>
        <w:rPr>
          <w:rFonts w:ascii="Arial" w:cs="Arial" w:eastAsia="Arial" w:hAnsi="Arial"/>
          <w:sz w:val="16"/>
          <w:szCs w:val="16"/>
          <w:i w:val="1"/>
          <w:iCs w:val="1"/>
          <w:color w:val="auto"/>
        </w:rPr>
        <w:t xml:space="preserve"> </w:t>
      </w:r>
      <w:r>
        <w:rPr>
          <w:rFonts w:ascii="Arial" w:cs="Arial" w:eastAsia="Arial" w:hAnsi="Arial"/>
          <w:sz w:val="16"/>
          <w:szCs w:val="16"/>
          <w:color w:val="auto"/>
        </w:rPr>
        <w:t>hazardous substances have occurred. Additionally, Ashland has known or alleged potential environmental liabilities at a number of third-party sites. Federal and state laws, including but not limited to the Resource Conservation and Recovery Act (RCRA), the Comprehensive Environmental Response, Compensation and Liability Act of 1980 (CERCLA) and various other remediation laws, require that contamination caused by hazardous substance releases be assessed and, if necessary, remediated to meet applicable standards. Some of these laws also provide for liability for related damage to natural resources, and claims for alleged property and personal injury damage can also arise related to contaminated sites. Laws in other jurisdictions in which Ashland operates require that contamination caused by such releases at these sites be assessed and, if necessary, remediated to meet applicable standards.</w:t>
      </w:r>
    </w:p>
    <w:p>
      <w:pPr>
        <w:spacing w:after="0" w:line="59"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i w:val="1"/>
          <w:iCs w:val="1"/>
          <w:color w:val="auto"/>
        </w:rPr>
        <w:t xml:space="preserve">Air </w:t>
      </w:r>
      <w:r>
        <w:rPr>
          <w:rFonts w:ascii="Arial" w:cs="Arial" w:eastAsia="Arial" w:hAnsi="Arial"/>
          <w:sz w:val="16"/>
          <w:szCs w:val="16"/>
          <w:color w:val="auto"/>
        </w:rPr>
        <w:t>- In the United States, the Clean Air Act (CAA) imposes stringent limits on facility air emissions, establishes a federally mandated operating permit</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allows for civil and criminal enforcement actions and sets limits on the volatile or toxic content of many types of industrial materials and consumer products. The CAA establishes national ambient air quality standards (NAAQS) with attainment deadlines and control requirements based on the severity of air pollution in a given geographical area. Various state clean air acts implement, complement and, in many instances, add to the requirements of the federal CAA. The requirements of the CAA and its state counterparts have a significant impact on the daily operation of Ashland’s businesses and, in many cases, on product formulation and other long-term business decisions. Other countries where Ashland operates also have laws and regulations relating to air quality. Ashland’s businesses maintain numerous permits and emission control devices pursuant to these clean air 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 w:name="page8"/>
    <w:bookmarkEnd w:id="7"/>
    <w:p>
      <w:pPr>
        <w:jc w:val="both"/>
        <w:ind w:firstLine="401"/>
        <w:spacing w:after="0" w:line="272" w:lineRule="auto"/>
        <w:rPr>
          <w:sz w:val="20"/>
          <w:szCs w:val="20"/>
          <w:color w:val="auto"/>
        </w:rPr>
      </w:pPr>
      <w:r>
        <w:rPr>
          <w:rFonts w:ascii="Arial" w:cs="Arial" w:eastAsia="Arial" w:hAnsi="Arial"/>
          <w:sz w:val="17"/>
          <w:szCs w:val="17"/>
          <w:color w:val="auto"/>
        </w:rPr>
        <w:t>The United States Environmental Protection Agency (USEPA) has increased its frequency in reviewing the NAAQS. The USEPA has stringent standards for particulate matter, ozone and sulfur dioxide. Throughout 2019, state and local agencies continued to implement options for meeting the newest standards. Particulate matter strategies include dust control measures for construction sites and reductions in emission rates allowed for industrial operations. Options for ozone include emission controls for certain types of sources, reduced limits on the volatile organic compound content of industrial materials and consumer products, and requirements on the transportation sector. Most options for sulfur dioxide focus on coal and diesel fuel combustion sources. It is not possible at this time to estimate the potential financial impact that these newest standards may have on Ashland’s operations or products. Ashland will continue to monitor and evaluate these standards to meet these and all air quality requirements.</w:t>
      </w:r>
    </w:p>
    <w:p>
      <w:pPr>
        <w:spacing w:after="0" w:line="70"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i w:val="1"/>
          <w:iCs w:val="1"/>
          <w:color w:val="auto"/>
        </w:rPr>
        <w:t xml:space="preserve">Solid Waste </w:t>
      </w:r>
      <w:r>
        <w:rPr>
          <w:rFonts w:ascii="Arial" w:cs="Arial" w:eastAsia="Arial" w:hAnsi="Arial"/>
          <w:sz w:val="17"/>
          <w:szCs w:val="17"/>
          <w:color w:val="auto"/>
        </w:rPr>
        <w:t>- Ashland’s businesses are subject to various laws relating to and establishing standards for the management of hazardous and solid</w:t>
      </w:r>
      <w:r>
        <w:rPr>
          <w:rFonts w:ascii="Arial" w:cs="Arial" w:eastAsia="Arial" w:hAnsi="Arial"/>
          <w:sz w:val="17"/>
          <w:szCs w:val="17"/>
          <w:i w:val="1"/>
          <w:iCs w:val="1"/>
          <w:color w:val="auto"/>
        </w:rPr>
        <w:t xml:space="preserve"> </w:t>
      </w:r>
      <w:r>
        <w:rPr>
          <w:rFonts w:ascii="Arial" w:cs="Arial" w:eastAsia="Arial" w:hAnsi="Arial"/>
          <w:sz w:val="17"/>
          <w:szCs w:val="17"/>
          <w:color w:val="auto"/>
        </w:rPr>
        <w:t>waste. In the United States, Ashland’s facilities are subject to RCRA and its regulations governing generators of hazardous waste. Ashland has implemented systems to oversee compliance with the RCRA regulations. In addition to regulating current waste disposal practices, RCRA also addresses the environmental effects of certain past waste disposal operations, the recycling of wastes and the storage of regulated substances in underground tanks. Ashland has the remediation liability for certain facilities subject to these regulations. Other countries where Ashland operates also have laws and regulations relating to hazardous and solid waste, and Ashland has systems in place to oversee compliance.</w:t>
      </w:r>
    </w:p>
    <w:p>
      <w:pPr>
        <w:spacing w:after="0" w:line="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Water </w:t>
      </w:r>
      <w:r>
        <w:rPr>
          <w:rFonts w:ascii="Arial" w:cs="Arial" w:eastAsia="Arial" w:hAnsi="Arial"/>
          <w:sz w:val="18"/>
          <w:szCs w:val="18"/>
          <w:color w:val="auto"/>
        </w:rPr>
        <w:t>- Ashland’s businesses maintain numerous discharge permits. In the United States, such permits may be required by the National Pollutant</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 Elimination System of the Clean Water Act and similar state programs. Other countries have similar laws and regulations requiring permits and controls relating to water discharge.</w:t>
      </w:r>
    </w:p>
    <w:p>
      <w:pPr>
        <w:spacing w:after="0" w:line="73" w:lineRule="exact"/>
        <w:rPr>
          <w:sz w:val="20"/>
          <w:szCs w:val="20"/>
          <w:color w:val="auto"/>
        </w:rPr>
      </w:pPr>
    </w:p>
    <w:p>
      <w:pPr>
        <w:jc w:val="both"/>
        <w:ind w:firstLine="401"/>
        <w:spacing w:after="0" w:line="288" w:lineRule="auto"/>
        <w:rPr>
          <w:sz w:val="20"/>
          <w:szCs w:val="20"/>
          <w:color w:val="auto"/>
        </w:rPr>
      </w:pPr>
      <w:r>
        <w:rPr>
          <w:rFonts w:ascii="Arial" w:cs="Arial" w:eastAsia="Arial" w:hAnsi="Arial"/>
          <w:sz w:val="16"/>
          <w:szCs w:val="16"/>
          <w:i w:val="1"/>
          <w:iCs w:val="1"/>
          <w:color w:val="auto"/>
        </w:rPr>
        <w:t xml:space="preserve">Climate Change and Related Regulatory Developments </w:t>
      </w:r>
      <w:r>
        <w:rPr>
          <w:rFonts w:ascii="Arial" w:cs="Arial" w:eastAsia="Arial" w:hAnsi="Arial"/>
          <w:sz w:val="16"/>
          <w:szCs w:val="16"/>
          <w:color w:val="auto"/>
        </w:rPr>
        <w:t>- Ashland has been collecting energy use data and calculating greenhouse gas (GHG) emissions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many years. Ashland evaluates the potential impacts from both climate change and the anticipated GHG regulations to facilities, products and other business interests, as well as the strategies commonly considered by the industrial sector to reduce the potential impact of these risks. These risks are generally grouped as impacts from legislative, regulatory and international developments, impacts from business and investment trends and impacts to company assets from the physical effects of climate change. Current North American, European and other regional regulatory developments are not expected to have a material effect on Ashland’s operations, although some facilities are subject to promulgated rules. Business and investment trends are expected to drive an increase in the demand for products that improve energy efficiency, reduce energy use and increase the use of renewable resources. At this time, Ashland cannot estimate the impact of this expected demand increase to its businesses. Physical effects from climate change have the potential to affect Ashland’s assets in areas prone to sea level rise or extreme weather events much as they do the general public and other businesses. Due to the uncertainty of these matters, Ashland cannot estimate the impact at this time of GHG-related developments on its operations or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401"/>
        <w:spacing w:after="0" w:line="288" w:lineRule="auto"/>
        <w:rPr>
          <w:sz w:val="20"/>
          <w:szCs w:val="20"/>
          <w:color w:val="auto"/>
        </w:rPr>
      </w:pPr>
      <w:r>
        <w:rPr>
          <w:rFonts w:ascii="Arial" w:cs="Arial" w:eastAsia="Arial" w:hAnsi="Arial"/>
          <w:sz w:val="16"/>
          <w:szCs w:val="16"/>
          <w:color w:val="auto"/>
        </w:rPr>
        <w:t>Ashland competes in the highly fragmented specialty chemicals industry. The participants in the industry offer a varied and broad array of product lines designed to meet specific customer requirements. Participants compete with service and product offerings on a global, regional and/or local level subject to the nature of the businesses and products, as well as the end-markets and customers served. Competition is based on several key criteria, including product performance and quality, product price, product availability and security of supply, responsiveness of product development in cooperation with customers, customer service, industry knowledge and technical capability. Certain key competitors are significantly larger than Ashland and have greater financial resources, leading to greater operating and financial flexibility. The industry has become increasingly global as participants have focused on establishing and maintaining leadership positions outside of their home markets. Many of these segments’ product lines face domestic and international competition, because of industry consolidation, pricing pressures and competing technologies. To improve its competitive position, as Ashland narrows its focus on specialty chemicals, the company is building and more strongly leveraging the Ashland corporate brand as a differentiator to create value and better communicate the capabilities, promise and scale of the company, making it easier to introduce new product lines and applications.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has a broad intellectual property portfolio which is an important component of all of Ashland’s reportable segments. Ashland’s Specialty Ingredients and Intermediates and Solvents reportable segments rely on patents, trade secrets, formulae and know-how to protect and differentiate their products and technologies. In addition, these reportable segments own valuable trademarks which identify and differentiate Ashland’s products from its competitors. Ashland also uses licensed intellectual property rights from third-parties.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Ashland purchases its raw materials from multiple sources of supply in the United States and other countries and believes that raw material supplies will be available in quantities sufficient to meet demand in fiscal 2020. All of Ashland’s reportable segments were impacted to varying degrees in fiscal 2019 by the volatility of raw materials costs, and these conditions may continue in fiscal 2020.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program of research and development is focused on defining the needs of the marketplace and framing those needs into technology platforms. Ashland has the capability to deliver and develop the intellectual property required to grow and protect those platforms. Ashland is focused on developing new chemistries, market-changing technologies and customer driven solutions at numerous technology centers located in the Americas, Europe and the Asia Pacific region.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Ashland’s business may vary due to seasonality. Ashland’s business units typically experience stronger demand during warmer weather months.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and Section 21E of the Securities Exchange Act of 1934, as amended (the “Exchange Act”). These forward-looking statements are not historical facts and generally are identified by words such as “anticipates,” “believes,” “estimates,” “expects,” “is likely,” “predicts,” “projects,” “forecasts,” “may,” “will,” “should,” and “intends” and the negative of these words or other comparable terminology. Although Ashland believes that its expectations are based on reasonable assumptions, such expectations are subject to risks and uncertainties that are difficult to predict and may be beyond Ashland’s control. As a result, Ashland cannot assure that the expectations contained in such statements will be achieved. Important factors that could cause actual results to differ materially from those contained in such statements are discussed under “Use of estimates, risks and uncertainties” in Note A of Notes to Consolidated Financial Statements in this annual report on Form 10-K. For a discussion of other factors and risks that could affect Ashland’s expectations and operations, see “Item 1A. Risk Factors” in this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following discussion of “risk factors” identifies the most significant factors that may adversely affect Ashland’s business, operations, financial position or future financial performance. This information should be read in conjunction with Management’s Discussion and Analysis and the consolidated financial statements and related notes incorporated by reference into this annual report on Form 10-K. The following discussion of risks is designed to highlight what Ashland believes are important factors to consider when evaluating its expectations. These factors could cause future results to differ from those in forward-looking statements and from historical trends.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 w:name="page10"/>
    <w:bookmarkEnd w:id="9"/>
    <w:p>
      <w:pPr>
        <w:jc w:val="both"/>
        <w:spacing w:after="0" w:line="347" w:lineRule="auto"/>
        <w:rPr>
          <w:sz w:val="20"/>
          <w:szCs w:val="20"/>
          <w:color w:val="auto"/>
        </w:rPr>
      </w:pPr>
      <w:r>
        <w:rPr>
          <w:rFonts w:ascii="Arial" w:cs="Arial" w:eastAsia="Arial" w:hAnsi="Arial"/>
          <w:sz w:val="16"/>
          <w:szCs w:val="16"/>
          <w:b w:val="1"/>
          <w:bCs w:val="1"/>
          <w:color w:val="auto"/>
        </w:rPr>
        <w:t>Ashland has set aggressive growth goals for its businesses, including increasing sales, cash flow and margins, in order to achieve its long term strategic objectives. Ashland’s successful execution of its growth strategies and business plans to facilitate that growth involves a number of risks.</w:t>
      </w:r>
    </w:p>
    <w:p>
      <w:pPr>
        <w:spacing w:after="0" w:line="12"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Ashland has set aggressive growth goals for its businesses in order to meet long term strategic objectives and improve shareholder value. Ashland’s failure to meet one or more of these goals or objectives would negatively impact Ashland’s potential value and the businesses. One of the most important risks is that Ashland might fail to adequately execute its business and growth plans, by optimizing the efficient use of its physical and intangible assets. Aspects of that risk include changes to global economic environment, changes to the competitive landscape, attraction and retention of skilled employees, the potential failure of product innovation plans, failure to comply with existing or new regulatory schemes, failure to maintain a competitive cost structure and other risks outlined in greater detail in this Item 1A.</w:t>
      </w:r>
    </w:p>
    <w:p>
      <w:pPr>
        <w:spacing w:after="0" w:line="8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Ashland’s success depends upon its ability to attract and retain key employees and the identification and development of talent to succeed senior management.</w:t>
      </w:r>
    </w:p>
    <w:p>
      <w:pPr>
        <w:spacing w:after="0" w:line="58"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Ashland’s success depends on its ability to attract and retain key personnel, and Ashland relies heavily on its management team. The inability to recruit and retain key personnel or the unexpected loss of key personnel may adversely affect Ashland’s operations. Also, a substantial portion of Ashland’s U.S.-based employees will be retirement-eligible within the next several years. That, combined with the relatively small number of middle tier managers with substantial experience in place to replace this group of retirement eligible employees, increases the potential negative impact of the risk that key employees could leave the Company. Additionally, the Company’s redesign and cost reduction program may result in key employees departing who may not be replaced. This risk of unwanted employee turnover also is substantial in positions that require certain technical expertise and geographically in developing markets which Ashland has targeted for growth, especially in Asia, India, South America and Eastern Europe. In addition, because of its reliance on its management team, Ashland’s future success depends, in part, on its ability to identify and develop talent to succeed its senior management and other key positions throughout the organization. If Ashland fails to identify and develop successors, the company is at risk of being harmed by the departures of these key employees.</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to develop and market new products and production technologies could impact Ashland’s competitive position and have an adverse effect on its businesses and results of operations.</w:t>
      </w:r>
    </w:p>
    <w:p>
      <w:pPr>
        <w:spacing w:after="0" w:line="58"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The specialty chemical industry is subject to periodic technological change and ongoing product improvements. In order to maintain margins and remain competitive, Ashland must successfully develop and introduce new products or improvements that appeal to its customers and ultimately to global consumers. Ashland plans to grow earnings, in part, by focusing on developing markets and solutions to meet increasing demand in those markets, including demand for personal care and pharmaceutical products which are subject to lengthy regulatory approval processes. The fast change in Ashland’s industry and those of its customers necessitates that Ashland continue the development of new technologies to replace older technologies whose demand or market position may be fading. Ashland’s efforts to respond to changes in customer demand in a timely and cost-efficient manner to drive growth could be adversely affected by difficulties or delays in product development, including the inability to identify viable new products, successfully complete research and development, obtain regulatory approvals, obtain intellectual property protection or gain market acceptance of new products. Due to the lengthy development process, technological challenges and intense competition, there can be no assurance that any of the products Ashland is currently developing, or could develop in the future, will achieve substantial commercial success.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 w:name="page11"/>
    <w:bookmarkEnd w:id="10"/>
    <w:p>
      <w:pPr>
        <w:jc w:val="both"/>
        <w:spacing w:after="0" w:line="282" w:lineRule="auto"/>
        <w:rPr>
          <w:sz w:val="20"/>
          <w:szCs w:val="20"/>
          <w:color w:val="auto"/>
        </w:rPr>
      </w:pPr>
      <w:r>
        <w:rPr>
          <w:rFonts w:ascii="Arial" w:cs="Arial" w:eastAsia="Arial" w:hAnsi="Arial"/>
          <w:sz w:val="18"/>
          <w:szCs w:val="18"/>
          <w:b w:val="1"/>
          <w:bCs w:val="1"/>
          <w:color w:val="auto"/>
        </w:rPr>
        <w:t>Ashland faces competition from other companies, which places downward pressure on prices and margins and may adversely affect Ashland’s businesses and results of operations.</w:t>
      </w:r>
    </w:p>
    <w:p>
      <w:pPr>
        <w:spacing w:after="0" w:line="58" w:lineRule="exact"/>
        <w:rPr>
          <w:sz w:val="20"/>
          <w:szCs w:val="20"/>
          <w:color w:val="auto"/>
        </w:rPr>
      </w:pPr>
    </w:p>
    <w:p>
      <w:pPr>
        <w:jc w:val="both"/>
        <w:ind w:firstLine="401"/>
        <w:spacing w:after="0" w:line="288" w:lineRule="auto"/>
        <w:rPr>
          <w:sz w:val="20"/>
          <w:szCs w:val="20"/>
          <w:color w:val="auto"/>
        </w:rPr>
      </w:pPr>
      <w:r>
        <w:rPr>
          <w:rFonts w:ascii="Arial" w:cs="Arial" w:eastAsia="Arial" w:hAnsi="Arial"/>
          <w:sz w:val="16"/>
          <w:szCs w:val="16"/>
          <w:color w:val="auto"/>
        </w:rPr>
        <w:t>Ashland operates in highly competitive markets, competing against a number of domestic and foreign companies. Competition is based on several key criteria, including product performance and quality, product price, product availability and security of supply, responsiveness of product development in cooperation with customers and customer service, as well as the ability to bring innovative products or services to the marketplace. Certain key competitors are significantly larger than Ashland and have greater financial resources, leading to greater operating and financial flexibility. As a result, these competitors may be better able to withstand changes in conditions within the relevant industry, changes in the prices of raw materials and energy and changes in general economic conditions. In addition, competitors’ pricing decisions could compel Ashland to decrease its prices, which could negatively affect its margins and profitability. Additional competition in markets served by Ashland could adversely affect margins and profitability and could lead to a reduction in market share. Also, Ashland competes in certain markets that are declining and has targeted other markets for growth opportunities. Competitive and pricing pressures could also impact Ashland’s production volumes, which can in turn reduce cost efficiency. If Ashland’s strategies for dealing with declining markets and leveraging opportunity markets are not successful, its businesses and results of operations could be negatively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Ashland’s customers could change their products in way that reduces the demand for Ashland’s products.</w:t>
      </w:r>
    </w:p>
    <w:p>
      <w:pPr>
        <w:spacing w:after="0" w:line="121"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Ashland produces and sells specialty chemicals that are used by its customers for a broad range of applications. Many of these Ashland materials become part of end products that are sold to consumers. Changes in consumer preferences and demands can lead to certain Ashland customers making changes to their products. In other instances, Ashland’s customers may change their products or production techniques to take advantage of newer technologies, alternative chemistries, more effective formulations, or improved processes, or in response to various market, technical, or regulatory changes.</w:t>
      </w:r>
    </w:p>
    <w:p>
      <w:pPr>
        <w:spacing w:after="0" w:line="46"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Such changes in Ashland’s customers’ products or production techniques may cause these customers to reduce consumption of Ashland’s products or eliminate their need entirely. Ashland may not be able to supply products that meet the customers’ new requirements. Such lost sales opportunities may not be replaced by those offering equal revenue potential or margin. It is important for Ashland to continue developing new products, and new applications of existing products to replace such lost business. Otherwise Ashland faces the risk of a loss of market share, margins and cash flow if it is unable to manage a potential change in the demands of its products.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Ashland’s business exposes it to potential product liability claims and recalls, which could adversely affect its financial condition and performance.</w:t>
      </w:r>
    </w:p>
    <w:p>
      <w:pPr>
        <w:spacing w:after="0" w:line="144"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8"/>
          <w:szCs w:val="18"/>
          <w:color w:val="auto"/>
        </w:rPr>
        <w:t>The development, manufacture and sale of specialty chemical and other products by Ashland, including products produced for the food, beverage, personal care, pharmaceutical and nutritional supplement industries, involve an inherent risk of exposure to product liability claims, product recalls, product seizures and related adverse publicity. Ashland also produces products that are subject to rigorous specifications and quality standards, with an expectation from its customers around these strict requirements. A product liability claim, recall or judgment against Ashland, or a customer complaint on product specifications, could also result in substantial and unexpected expenditures, affect consumer or customer confidence in its products, and divert management’s attention from other responsibilities. Although Ashland maintains product liability insurance, there can be no assurance that this type or level of coverage is adequate or that Ashland will be able to continue to maintain its existing insurance or obtain comparable insurance at a reasonable cost, if at all. A product recall or a partially or completely uninsured product liability judgment against Ashland could have a material adverse effect on its reputation, results of operations and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 w:name="page12"/>
    <w:bookmarkEnd w:id="11"/>
    <w:p>
      <w:pPr>
        <w:jc w:val="both"/>
        <w:spacing w:after="0" w:line="266" w:lineRule="auto"/>
        <w:rPr>
          <w:sz w:val="20"/>
          <w:szCs w:val="20"/>
          <w:color w:val="auto"/>
        </w:rPr>
      </w:pPr>
      <w:r>
        <w:rPr>
          <w:rFonts w:ascii="Arial" w:cs="Arial" w:eastAsia="Arial" w:hAnsi="Arial"/>
          <w:sz w:val="18"/>
          <w:szCs w:val="18"/>
          <w:b w:val="1"/>
          <w:bCs w:val="1"/>
          <w:color w:val="auto"/>
        </w:rPr>
        <w:t>The competitive nature of Ashland’s markets may delay or prevent the Company from passing increases in raw materials or energy costs on to its customers. In addition, certain of Ashland’s suppliers may be unable to deliver products or raw materials or fulfill contractual requirements. The occurrence of either event could adversely affect Ashland’s results of operations.</w:t>
      </w:r>
    </w:p>
    <w:p>
      <w:pPr>
        <w:spacing w:after="0" w:line="72"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Rising and volatile raw material prices, especially those of hydrocarbon derivatives, cotton linters or wood pulp, may negatively impact Ashland’s costs, results of operations and the valuation of its inventory. Similarly, energy costs are a significant component of certain of Ashland’s product costs. Ashland is not always able to raise prices in response to such increased costs, and its ability to pass on the costs of such price increases is dependent upon market conditions. Likewise, reductions in the valuation of Ashland’s inventory due to market volatility may not be recovered and could result in losses.</w:t>
      </w:r>
    </w:p>
    <w:p>
      <w:pPr>
        <w:spacing w:after="0" w:line="46"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Ashland purchases certain products and raw materials from suppliers, often pursuant to written supply contracts. If those suppliers are unable to meet Ashland’s orders in a timely manner or choose to terminate or not fulfill contractual arrangements, Ashland may not be able to make alternative supply arrangements. Also, domestic and global government regulations related to the manufacture, transport or import of certain raw materials may impede Ashland’s ability to obtain those raw materials on commercially reasonable terms. Certain Ashland businesses rely on agricultural output of clary sage, aloe, guar, and cotton linters, and the availability of these materials can be severely impacted by crop yields, weather events, and other factors. If Ashland is unable to obtain and retain qualified suppliers under commercially acceptable terms, its ability to manufacture and deliver products in a timely, competitive and profitable manner or grow its business successfully could be adversely affected.</w:t>
      </w:r>
    </w:p>
    <w:p>
      <w:pPr>
        <w:spacing w:after="0" w:line="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Ashland’s substantial global operations subject it to risks of doing business in foreign countries, which could adversely affect its business, financial condition and results of operations.</w:t>
      </w:r>
    </w:p>
    <w:p>
      <w:pPr>
        <w:spacing w:after="0" w:line="58"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Greater than half of Ashland’s net sales for fiscal 2020 are expected to be to customers outside of North America. Ashland expects sales from international markets to continue to represent an even larger portion of the Company’s sales in the future. Also, a significant portion of Ashland’s manufacturing capacity is located outside of the United States. Accordingly, Ashland’s business is subject to risks related to the differing legal, political, cultural, social and regulatory requirements and economic conditions of many jurisdictions.</w:t>
      </w:r>
    </w:p>
    <w:p>
      <w:pPr>
        <w:spacing w:after="0" w:line="79"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global nature of Ashland’s business presents difficulties in hiring and maintaining a workforce in certain countries. Fluctuations in exchange rates may affect product demand and may adversely affect the profitability in U.S. dollars of products and services provided in foreign countries. In addition, foreign countries may impose additional withholding taxes or otherwise tax Ashland’s foreign income, or adopt other restrictions on foreign trade or investment, including currency exchange controls. The imposition of new tariffs or trade quotas, or an impairment of existing trade agreements is also a risk that could impair Ashland’s financial performance.</w:t>
      </w:r>
    </w:p>
    <w:p>
      <w:pPr>
        <w:spacing w:after="0" w:line="80" w:lineRule="exact"/>
        <w:rPr>
          <w:sz w:val="20"/>
          <w:szCs w:val="20"/>
          <w:color w:val="auto"/>
        </w:rPr>
      </w:pPr>
    </w:p>
    <w:p>
      <w:pPr>
        <w:jc w:val="both"/>
        <w:ind w:firstLine="401"/>
        <w:spacing w:after="0" w:line="287" w:lineRule="auto"/>
        <w:rPr>
          <w:sz w:val="20"/>
          <w:szCs w:val="20"/>
          <w:color w:val="auto"/>
        </w:rPr>
      </w:pPr>
      <w:r>
        <w:rPr>
          <w:rFonts w:ascii="Arial" w:cs="Arial" w:eastAsia="Arial" w:hAnsi="Arial"/>
          <w:sz w:val="16"/>
          <w:szCs w:val="16"/>
          <w:color w:val="auto"/>
        </w:rPr>
        <w:t>Certain legal and political risks are also inherent in the operation of a company with Ashland’s global scope. For example, if the United States fails to implement the United States-Mexico-Canada Agreement (USMCA) to replace the North American Free Trade Agreement (NAFTA), or the United Kingdom’s exit from the European Union (E.U.) moves forward in a manner that disrupts European supply chains or customs regimes, Ashland’s ability to do business and execute its growth strategies could be adversely affected. Ashland could also be impacted negatively if the ongoing trade disputes between the United States and China, or those between the United States and the E.U. were to worsen. In addition, it may be more difficult for Ashland to enforce its agreements or collect receivables through foreign legal systems. There is a risk that foreign governments may nationalize private enterprises in certain countries where Ashland operates. In certain countries or regions, terrorist activities and the response to such activities may threaten Ashland’s operations more than those in the United States. In Europe, the effect of economic sanctions imposed on Russia and/or Russia’s reaction to the sanctions could adversely impact Ashland’s performance and results of operations. The risks associated with localized or regional armed conflict in many parts of the world remain high and could disrupt and/or adversely impact Ashland’s businesses. Social and cultural norms in certain countries may not support compliance with Ashland’s corporate policies including those that require compliance with substantive laws and regulations. Also, changes in general economic and political conditions in countries where Ashland operates, particularly in Europe, the Middle East and emerging markets, are a risk to Ashland’s financial performance.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 w:name="page13"/>
    <w:bookmarkEnd w:id="12"/>
    <w:p>
      <w:pPr>
        <w:jc w:val="both"/>
        <w:ind w:firstLine="401"/>
        <w:spacing w:after="0" w:line="264" w:lineRule="auto"/>
        <w:rPr>
          <w:sz w:val="20"/>
          <w:szCs w:val="20"/>
          <w:color w:val="auto"/>
        </w:rPr>
      </w:pPr>
      <w:r>
        <w:rPr>
          <w:rFonts w:ascii="Arial" w:cs="Arial" w:eastAsia="Arial" w:hAnsi="Arial"/>
          <w:sz w:val="18"/>
          <w:szCs w:val="18"/>
          <w:color w:val="auto"/>
        </w:rPr>
        <w:t>As Ashland continues to operate its business globally, its success will depend, in part, on its ability to anticipate and effectively manage these and other related risks. There can be no assurance that the consequences of these and other factors relating to its multinational operations will not have an adverse effect on Ashland’s business, financial condition or results of operations.</w:t>
      </w:r>
    </w:p>
    <w:p>
      <w:pPr>
        <w:spacing w:after="0" w:line="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impact of changing laws or regulations or the manner of interpretation or enforcement of existing rules could adversely impact Ashland’s financial performance and restrict its ability to operate its business or execute its strategies.</w:t>
      </w:r>
    </w:p>
    <w:p>
      <w:pPr>
        <w:spacing w:after="0" w:line="58"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6"/>
          <w:szCs w:val="16"/>
          <w:color w:val="auto"/>
        </w:rPr>
        <w:t>New laws or regulations, or changes in existing laws or regulations or the manner of their interpretation or enforcement, could increase Ashland’s cost of doing business and restrict its ability to operate its business or execute its strategies. This includes, among other things, the possible taxation under U.S. law of certain income from foreign operations, the possible taxation under foreign laws of certain income Ashland reports in other jurisdictions, tariffs or quotas levied on Ashland products, raw materials or key components by certain countries, regulations related to the protection of private information of Ashland’s employees and customers, regulations issued by the U.S. Food and Drug Administration (and analogous non-U.S. agencies) affecting Ashland and its customers, compliance with The U.S. Foreign Corrupt Practices Act (and analogous non-U.S. laws) and the European Union’s Registration, Authorisation and Restriction of Chemicals (REACH) regulation (and analogous non-EU initiatives), and potential operational impacts of General Data Protection Regulation (GDPR). Uncertainty associated with the passage of new laws, application of executive authority beyond the legislative process, as well as changes in and enforcement of existing laws, can limit Ashland’s ability to make and execute business plans effectively. In addition, compliance with laws and regulations is complicated by Ashland’s substantial and growing global footprint, which will require significant and additional resources to comprehend and ensure compliance with applicable laws in the more than one hundred countries where Ashland conducts business. Compliance with current and future regulations is further complicated by uncertainty around the reevaluation of international agreements by various countries, including the United States, and the resulting impact on regulatory regimes, customs regulations, tariffs, sanctions, and other transnational protocols.</w:t>
      </w:r>
    </w:p>
    <w:p>
      <w:pPr>
        <w:spacing w:after="0" w:line="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Imposition of new taxes, disagreements with tax authorities or additional tax liabilities could adversely affect Ashland’s business, financial condition, reputation or results of operations.</w:t>
      </w:r>
    </w:p>
    <w:p>
      <w:pPr>
        <w:spacing w:after="0" w:line="58" w:lineRule="exact"/>
        <w:rPr>
          <w:sz w:val="20"/>
          <w:szCs w:val="20"/>
          <w:color w:val="auto"/>
        </w:rPr>
      </w:pPr>
    </w:p>
    <w:p>
      <w:pPr>
        <w:jc w:val="both"/>
        <w:ind w:firstLine="401"/>
        <w:spacing w:after="0" w:line="287" w:lineRule="auto"/>
        <w:rPr>
          <w:sz w:val="20"/>
          <w:szCs w:val="20"/>
          <w:color w:val="auto"/>
        </w:rPr>
      </w:pPr>
      <w:r>
        <w:rPr>
          <w:rFonts w:ascii="Arial" w:cs="Arial" w:eastAsia="Arial" w:hAnsi="Arial"/>
          <w:sz w:val="16"/>
          <w:szCs w:val="16"/>
          <w:color w:val="auto"/>
        </w:rPr>
        <w:t>Ashland’s products are made, manufactured, distributed or sold in more than 100 countries and territories. A significant portion of Ashland’s revenues are generated outside the United States. As such, Ashland is subject to taxes in the United States as well as numerous foreign countries. Ashland’s future effective tax rates could be affected by changes in the mix of earnings in countries with differing tax rates, changes in the valuation of deferred tax assets and liabilities, changes in liabilities for uncertain tax positions, cost of repatriations or changes in tax laws, regulations, administrative practices or their interpretation. Moreover, because Ashland is subject to the regular examination of its income tax returns by various tax authorities, the economic and political pressure to increase tax revenues in these jurisdictions may make resolving tax disputes even more difficult, and the final resolution of tax audits and any related litigation may differ from our historical provisions and accruals resulting in an adverse impact on our business, financial condition, reputation or results of operations. The Tax Cuts and Jobs Act (the Tax Act), enacted in December 2017, made significant changes to US tax law; many other countries or organizations, including those where Ashland has significant operations, are actively considering or enacting changes to tax laws which could significantly impact our tax rate and cash flows. The increasingly complex global tax environment, including changes in how United States multinational corporations are taxed, could adversely affect Ashland’s business, financial condition or results of operations.</w:t>
      </w:r>
    </w:p>
    <w:p>
      <w:pPr>
        <w:spacing w:after="0" w:line="6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Other than the one-time transition tax enacted by the Tax Act, Ashland will continue to be indefinitely reinvested in our foreign earnings. As such, Ashland has not accrued income taxes or foreign withholding taxes on undistributed earnings for most non-US subsidiaries because those earnings are intended to be indefinitely reinvested in the operations of those subsidiaries. If these earnings are needed for Ashland’s operations in the United States, the repatriation of such earnings could adversely affect its business, results of operations or financial condition.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The IPO of Valvoline and final distribution of its shares could result in significant tax liability to Ashland and its stockholders.</w:t>
      </w:r>
    </w:p>
    <w:p>
      <w:pPr>
        <w:spacing w:after="0" w:line="121"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Ashland believes that the Valvoline IPO and certain related internal transactions should be nontaxable transactions for U.S. federal income tax purposes and has obtained written opinions of counsel to that effect. Ashland also obtained a written opinion of counsel to the effect that the final distribution should qualify for non-recognition of gain and loss under Section 355 of the Internal Revenue Code of 1986, as amended (the “Code”). The opinions are based on certain assumptions and representations as to factual matters from Ashland and Valvoline, as well as certain covenants by those parties. The opinions cannot be relied upon if any of the assumptions, representations or covenants is incorrect, incomplete or inaccurate or is violated in any material respect, or if there are changes in law with retroactive effect. The opinions are not binding on the IRS or the courts, and it is possible that the IRS or a state or local taxing authority could take the position that the internal transactions, the final distribution or the receipt of proceeds from the Valvoline IPO resulted in the recognition of significant taxable gain by Ashland, in which case Ashland may be subject to material tax liabilities.</w:t>
      </w:r>
    </w:p>
    <w:p>
      <w:pPr>
        <w:spacing w:after="0" w:line="71"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If the final distribution were determined not to qualify for non-recognition of gain and loss, Ashland stockholders that received Valvoline common stock in the final distribution could be subject to tax. If the final distribution were determined not to qualify for non-recognition of gain and loss, then Ashland would recognize gain as if it had sold Valvoline common stock in a taxable transaction in an amount up to the fair market value of the Valvoline common stock it distributed in the final distribution. The tax liability resulting from such gain could have a material impact on Ashland’s operations.</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Business disruptions from natural, operational and other catastrophic risks could seriously harm Ashland’s operations and financial performance. In addition, a catastrophic event at one of Ashland’s facilities or involving its products or employees could lead to liabilities that could further impair its operations and financial performance.</w:t>
      </w:r>
    </w:p>
    <w:p>
      <w:pPr>
        <w:spacing w:after="0" w:line="72"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Business disruptions, including those related to operating hazards inherent with the production of chemicals, natural disasters, severe weather conditions, supply or logistics disruptions, increasing costs for energy, temporary plant and/or power outages, information technology systems and network disruptions, cyber-security breach, terrorist attacks, armed conflict, war, pandemic diseases, fires, floods or other catastrophic events, could seriously harm Ashland’s operations, as well as the operations of its customers and suppliers, and may adversely impact Ashland’s financial performance. Although it is impossible to predict the occurrence or consequences of any such events, they could result in reduced demand for Ashland’s products, make it difficult or impossible for Ashland to manufacture its products or deliver products and services to its customers or to receive raw materials from suppliers, or create delays and inefficiencies in the supply chain. In addition to leading to a serious disruption of Ashland’s businesses, a catastrophic event at one of our facilities or involving our products or employees could lead to substantial legal liability to or claims by parties allegedly harmed by the event.</w:t>
      </w:r>
    </w:p>
    <w:p>
      <w:pPr>
        <w:spacing w:after="0" w:line="58"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While Ashland maintains business continuity plans that are intended to allow it to continue operations or mitigate the effects of events that could disrupt its business, Ashland cannot provide assurances that its plans would fully protect it from all such events. In addition, insurance maintained by Ashland to protect against property damage, loss of business and other related consequences resulting from catastrophic events is subject to various deductibles and coverage limitations, depending on the nature of the risk insured. This insurance may not be sufficient to cover all of Ashland’s damages or damages to others in the event of a catastrophe. In addition, insurance related to these types of risks may not be available now or, if available, may not be available in the future at commercially reasonable rates.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4" w:name="page15"/>
    <w:bookmarkEnd w:id="14"/>
    <w:p>
      <w:pPr>
        <w:jc w:val="both"/>
        <w:spacing w:after="0" w:line="282" w:lineRule="auto"/>
        <w:rPr>
          <w:sz w:val="20"/>
          <w:szCs w:val="20"/>
          <w:color w:val="auto"/>
        </w:rPr>
      </w:pPr>
      <w:r>
        <w:rPr>
          <w:rFonts w:ascii="Arial" w:cs="Arial" w:eastAsia="Arial" w:hAnsi="Arial"/>
          <w:sz w:val="18"/>
          <w:szCs w:val="18"/>
          <w:b w:val="1"/>
          <w:bCs w:val="1"/>
          <w:color w:val="auto"/>
        </w:rPr>
        <w:t>Ashland uses information technology (IT) systems to conduct business and these IT systems are at risk of potential disruption and cyber security threats.</w:t>
      </w:r>
    </w:p>
    <w:p>
      <w:pPr>
        <w:spacing w:after="0" w:line="58"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Ashland’s businesses rely on their IT systems to operate efficiently and in some cases, at all. Ashland employs third parties to manage and maintain a significant portion of its IT systems, including, but not limited to data centers, IT infrastructure, network, client support and end user services, as well as the functions of backing up and securing those systems. A partial or complete failure of Ashland’s IT systems or those of our third parties managing, providing or servicing them for any amount of time more than several hours could result in significant business disruption causing harm to Ashland’s reputation, results of operations or financial condition. In addition, the nature of our businesses, the markets we serve, and geographic profile of our operations make Ashland a target of cyber security threats. Despite steps Ashland takes to mitigate or eliminate them, cyber security threats in general are increasing and becoming more advanced and could occur as a result of the activity of hackers, employee error or employee misconduct. A breach of our IT systems could lead to the loss and destruction of trade secrets, confidential information, proprietary data, intellectual property, customer and supplier data, and employee personal information, and could disrupt business operations which could adversely affect Ashland’s relationships with business partners and harm our brands, reputation, and financial results.</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Adverse developments in the global economy and potential disruptions of financial markets could negatively impact Ashland’s customers and suppliers, and therefore have a negative impact on Ashland’s results of operations.</w:t>
      </w:r>
    </w:p>
    <w:p>
      <w:pPr>
        <w:spacing w:after="0" w:line="58"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A global or regional economic downturn may reduce customer demand or inhibit Ashland’s ability to produce and sell products. Ashland’s business and operating results are sensitive to global and regional economic downturns, credit market tightness, declining consumer and business confidence, fluctuating commodity prices, volatile exchange rates, changes in interest rates, sovereign debt defaults and other challenges, including those related to international sanctions and acts of aggression or threatened aggression that can affect the global economy. In the event of adverse developments or stagnation in the economy or financial markets, Ashland’s customers may experience deterioration of their businesses, reduced demand for their products, cash flow shortages and difficulty obtaining financing. As a result, existing or potential customers might delay or cancel plans to purchase products and may not be able to fulfill their obligations to Ashland in a timely fashion. Further, suppliers may experience similar conditions, which could impact their ability to fulfill their obligations to Ashland. A weakening or reversal of the current economic conditions in the global economy or a substantial part of it could negatively impact Ashland’s business, results of operations, financial condition and ability to grow.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 may not be able to effectively protect or enforce its intellectual property rights.</w:t>
      </w:r>
    </w:p>
    <w:p>
      <w:pPr>
        <w:spacing w:after="0" w:line="121"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Ashland relies on the patent, trademark, trade secret and copyright laws of the United States and other countries to protect its intellectual property rights. The laws of some countries may not protect Ashland’s intellectual property rights to the same extent as the laws of the United States. Failure of foreign countries to have laws to protect Ashland’s intellectual property rights or an inability to effectively enforce such rights in foreign countries could result in the loss of valuable proprietary information, which could have an adverse effect on Ashland’s business and results of operations.</w:t>
      </w:r>
    </w:p>
    <w:p>
      <w:pPr>
        <w:spacing w:after="0" w:line="63"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Even in circumstances where Ashland has a patent on certain technologies, such patents may not provide meaningful protection against competitors or against competing technologies. In addition, any patent applications submitted by Ashland may not result in an issued patent. There can be no assurance that Ashland’s intellectual property rights will not be challenged, invalidated, circumvented or rendered unenforceable. Ashland could also face claims from third parties alleging that Ashland’s products or processes infringe on their proprietary rights. If Ashland is found liable for infringement, it could be responsible for significant damages, prohibited from using certain products or processes or required to modify certain products and processes. Any such infringement liability could adversely affect Ashland’s product and service offerings, profitability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5" w:name="page16"/>
    <w:bookmarkEnd w:id="15"/>
    <w:p>
      <w:pPr>
        <w:jc w:val="both"/>
        <w:ind w:firstLine="401"/>
        <w:spacing w:after="0" w:line="297" w:lineRule="auto"/>
        <w:rPr>
          <w:sz w:val="20"/>
          <w:szCs w:val="20"/>
          <w:color w:val="auto"/>
        </w:rPr>
      </w:pPr>
      <w:r>
        <w:rPr>
          <w:rFonts w:ascii="Arial" w:cs="Arial" w:eastAsia="Arial" w:hAnsi="Arial"/>
          <w:sz w:val="16"/>
          <w:szCs w:val="16"/>
          <w:color w:val="auto"/>
        </w:rPr>
        <w:t>Ashland also has substantial intellectual property associated with its know-how and trade secrets that are not protected by patent or copyright laws. Ashland protects these rights by entering into confidentiality and non-disclosure agreements with most of its employees and with third parties. There can be no assurance that such agreements will not be breached or that Ashland will be able to effectively enforce them. In addition, Ashland’s trade secrets and know-how may be improperly obtained by other means, such as a breach of Ashland’s information technologies security systems or direct theft. Any unauthorized disclosure of any of Ashland’s material know-how or trade secrets could adversely affect Ashland’s business and results of operations.</w:t>
      </w:r>
    </w:p>
    <w:p>
      <w:pPr>
        <w:spacing w:after="0" w:line="4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Ashland has incurred, and will continue to incur, substantial costs as a result of environmental, health and safety, and hazardous substances liabilities and related compliance requirements. These costs could adversely impact Ashland’s cash flow, and, to the extent they exceed Ashland’s established reserves for these liabilities, its results of operations.</w:t>
      </w:r>
    </w:p>
    <w:p>
      <w:pPr>
        <w:spacing w:after="0" w:line="72"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Ashland is subject to extensive federal, state, local and foreign laws, regulations, rules and ordinances relating to pollution, protection of the environment and human health and safety, and the generation, storage, handling, treatment, disposal and remediation of hazardous substances and waste materials. Ashland has incurred, and will continue to incur, significant costs and capital expenditures to comply with these laws and regulations.</w:t>
      </w:r>
    </w:p>
    <w:p>
      <w:pPr>
        <w:spacing w:after="0" w:line="57"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Environmental, health and safety regulations change frequently, and such regulations and their enforcement have tended to become more stringent over time. Accordingly, changes in environmental, health and safety laws and regulations and the enforcement of such laws and regulations could interrupt Ashland’s operations, require modifications to its facilities or cause Ashland to incur significant liabilities, costs or losses that could adversely affect its profitability. Actual or alleged violations of environmental, health or safety laws and regulations could result in restrictions or prohibitions on plant operations as well as substantial damages, penalties, fines, civil or criminal sanctions and remediation costs. In addition, under some environmental laws, Ashland may be strictly liable and/or jointly and severally liable for environmental damages and penalties.</w:t>
      </w:r>
    </w:p>
    <w:p>
      <w:pPr>
        <w:spacing w:after="0" w:line="70"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Ashland is also subject to various federal, state, local and foreign environmental laws and regulations that require environmental assessment or remediation efforts (collectively, environmental remediation) at multiple locations. Ashland uses engineering studies, historical experience and other factors to identify and evaluate remediation alternatives and their related costs in determining the estimated reserves for environmental remediation. Environmental remediation reserves are subject to numerous inherent uncertainties that affect Ashland’s ability to estimate its share of the applicable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There may also be situations in which certain environmental liabilities are not known to Ashland or are not probable and estimable. As a result, Ashland’s actual costs for environmental remediation could affect Ashland’s cash flow and, to the extent costs exceed established reserves for those liabilities, its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Ashland’s substantial indebtedness may adversely affect its business, results of operations and financial condition.</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maintains a substantial amount of debt. Ashland’s substantial indebtedness could adversely affect its business, results of operations and financial condition by, among other things:</w:t>
      </w:r>
    </w:p>
    <w:p>
      <w:pPr>
        <w:spacing w:after="0" w:line="62" w:lineRule="exact"/>
        <w:rPr>
          <w:sz w:val="20"/>
          <w:szCs w:val="20"/>
          <w:color w:val="auto"/>
        </w:rPr>
      </w:pPr>
    </w:p>
    <w:p>
      <w:pPr>
        <w:jc w:val="both"/>
        <w:ind w:left="800" w:hanging="400"/>
        <w:spacing w:after="0" w:line="26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requiring Ashland to dedicate a substantial portion of its cash flow from operations to pay principal and interest on its debt, which would reduce the availability of Ashland’s cash flow to fund working capital, capital expenditures, acquisitions, execution of its growth strategy and other general corporate purposes;</w:t>
      </w:r>
    </w:p>
    <w:p>
      <w:pPr>
        <w:spacing w:after="0" w:line="73" w:lineRule="exact"/>
        <w:rPr>
          <w:rFonts w:ascii="Arial" w:cs="Arial" w:eastAsia="Arial" w:hAnsi="Arial"/>
          <w:sz w:val="18"/>
          <w:szCs w:val="18"/>
          <w:color w:val="auto"/>
        </w:rPr>
      </w:pPr>
    </w:p>
    <w:p>
      <w:pPr>
        <w:ind w:left="800" w:hanging="400"/>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Ashland’s ability to borrow additional amounts to fund working capital, capital expenditures, acquisitions, debt service requirements, execution of its growth strategy and other purposes;</w:t>
      </w:r>
    </w:p>
    <w:p>
      <w:pPr>
        <w:spacing w:after="0" w:line="62" w:lineRule="exact"/>
        <w:rPr>
          <w:rFonts w:ascii="Arial" w:cs="Arial" w:eastAsia="Arial" w:hAnsi="Arial"/>
          <w:sz w:val="18"/>
          <w:szCs w:val="18"/>
          <w:color w:val="auto"/>
        </w:rPr>
      </w:pPr>
    </w:p>
    <w:p>
      <w:pPr>
        <w:ind w:left="800" w:right="20" w:hanging="400"/>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Ashland more vulnerable to adverse changes in general economic, industry and regulatory conditions and in its business by limiting Ashland’s flexibility in planning for, and making it more difficult for Ashland to react quickly to, changing conditions;</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placing Ashland at a competitive disadvantage compared with those of its competitors that have less debt and lower debt service requirements;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ind w:left="800" w:hanging="400"/>
        <w:spacing w:after="0"/>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making Ashland more vulnerable to increases in interest rates since some of its indebtedness is subject to variable rates of interest; and</w:t>
      </w:r>
    </w:p>
    <w:p>
      <w:pPr>
        <w:spacing w:after="0" w:line="128" w:lineRule="exact"/>
        <w:rPr>
          <w:rFonts w:ascii="Arial" w:cs="Arial" w:eastAsia="Arial" w:hAnsi="Arial"/>
          <w:sz w:val="17"/>
          <w:szCs w:val="17"/>
          <w:color w:val="auto"/>
        </w:rPr>
      </w:pPr>
    </w:p>
    <w:p>
      <w:pPr>
        <w:ind w:left="800" w:hanging="400"/>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it more difficult for Ashland to satisfy its financial obligations.</w:t>
      </w:r>
    </w:p>
    <w:p>
      <w:pPr>
        <w:spacing w:after="0" w:line="117"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In addition, Ashland may not be able to generate sufficient cash flow from its operations to repay its indebtedness when it becomes due and to meet its other cash needs. If Ashland is not able to pay its debts as they become due, it could be in default under its credit facility or other indebtedness. Ashland might also be required to pursue one or more alternative strategies to repay indebtedness, such as selling assets, refinancing or restructuring its indebtedness or selling additional debt or equity securities. Ashland may not be able to refinance its debt or sell additional debt or equity securities or its assets on favorable terms, if at all, and if Ashland must sell its assets, it may negatively affect its ability to generate revenues.</w:t>
      </w:r>
    </w:p>
    <w:p>
      <w:pPr>
        <w:spacing w:after="0" w:line="60" w:lineRule="exact"/>
        <w:rPr>
          <w:sz w:val="20"/>
          <w:szCs w:val="20"/>
          <w:color w:val="auto"/>
        </w:rPr>
      </w:pPr>
    </w:p>
    <w:p>
      <w:pPr>
        <w:ind w:right="360"/>
        <w:spacing w:after="0" w:line="313" w:lineRule="auto"/>
        <w:rPr>
          <w:sz w:val="20"/>
          <w:szCs w:val="20"/>
          <w:color w:val="auto"/>
        </w:rPr>
      </w:pPr>
      <w:r>
        <w:rPr>
          <w:rFonts w:ascii="Arial" w:cs="Arial" w:eastAsia="Arial" w:hAnsi="Arial"/>
          <w:sz w:val="17"/>
          <w:szCs w:val="17"/>
          <w:b w:val="1"/>
          <w:bCs w:val="1"/>
          <w:color w:val="auto"/>
        </w:rPr>
        <w:t>Ashland is responsible for, and has financial exposure to, liabilities from pending and threatened claims, including those alleging personal injury caused by exposure to asbestos, which could adversely impact Ashland’s results of operations and cash flow.</w:t>
      </w:r>
    </w:p>
    <w:p>
      <w:pPr>
        <w:spacing w:after="0" w:line="34" w:lineRule="exact"/>
        <w:rPr>
          <w:sz w:val="20"/>
          <w:szCs w:val="20"/>
          <w:color w:val="auto"/>
        </w:rPr>
      </w:pPr>
    </w:p>
    <w:p>
      <w:pPr>
        <w:jc w:val="both"/>
        <w:ind w:firstLine="401"/>
        <w:spacing w:after="0" w:line="285" w:lineRule="auto"/>
        <w:rPr>
          <w:sz w:val="20"/>
          <w:szCs w:val="20"/>
          <w:color w:val="auto"/>
        </w:rPr>
      </w:pPr>
      <w:r>
        <w:rPr>
          <w:rFonts w:ascii="Arial" w:cs="Arial" w:eastAsia="Arial" w:hAnsi="Arial"/>
          <w:sz w:val="16"/>
          <w:szCs w:val="16"/>
          <w:color w:val="auto"/>
        </w:rPr>
        <w:t>There are various claims, lawsuits and administrative proceedings pending or threatened, including those alleging personal injury caused by exposure to asbestos, against Ashland and its current and former subsidiaries. Such actions are with respect to commercial matters, product liability, toxic tort liability and other matters that seek remedies or damages, some of which are for substantial amounts. While these actions are being contested, their outcome is not predictable. Ashland’s results could be adversely affected by financial exposure to these liabilities. Insurance maintained by Ashland to protect against claims for damages alleged by third parties is subject to coverage limitations, depending on the nature of the risk insured. This insurance may not be sufficient to cover all of Ashland’s liabilities to others. In addition, insurance related to these types of risks may not be available now or, if available, may not be available in the future at commercially reasonable rates. Ashland’s ability to recover from its insurers for asbestos liabilities could also have an adverse impact on its results of operations. 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In light of these inherent uncertainties, Ashland believes that its asbestos reserves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Because of the inherent uncertainties in projecting future asbestos liabilities and establishing appropriate reserves, Ashland’s actual asbestos costs could adversely affect its results of operations and, to the extent they exceed its reserves, could adversely affect its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Ashland’s corporate headquarters is located in Covington, Kentucky and will move to Wilmington, Delaware by December 2019. Principal offices of other major operations are located in Wilmington, Delaware (Specialty Ingredients and Corporate); Bridgewater, New Jersey (Specialty Ingredients and Corporate); Dublin, Ohio (Specialty Ingredients and Corporate); Covington, Kentucky (Corporate); and Shanghai, China; Hyderabad, India; Warsaw, Poland; and Schaffhausen, Switzerland (all of which are shared service centers of Ashland’s and house Corporate and direct business unit personnel). All of these locations are leased, except for the Wilmington, Delaware site which is owned. Principal manufacturing, marketing and other materially important physical properties of Ashland and its subsidiaries are described within the applicable business units under “Item 1” in this annual report on Form 10-K. All of Ashland’s physical properties are owned or leased. Ashland believes its physical properties are suitable and adequate for the Company’s business. Additional information concerning leases may be found in Note L of Notes to Consolidated Financial Statements in this annual report on Form 10-K.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description of Ashland’s material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Asbestos-Related Litigation</w:t>
      </w:r>
    </w:p>
    <w:p>
      <w:pPr>
        <w:spacing w:after="0" w:line="117"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 containing components provided by other companies.</w:t>
      </w:r>
    </w:p>
    <w:p>
      <w:pPr>
        <w:spacing w:after="0" w:line="5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and Hercules are also defendants in lawsuits alleging exposure to asbestos at facilities formerly or presently owned or operated by Ashland or Hercules.</w:t>
      </w:r>
    </w:p>
    <w:p>
      <w:pPr>
        <w:spacing w:after="0" w:line="62"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For additional detailed information regarding liabilities arising from asbestos-related litigation, see “Management’s Discussion and Analysis - Critical Accounting Policies - Asbestos Litigation” and Note O of Notes to Consolidated Financial Statements in this annual report on Form 10-K.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Proceedings</w:t>
      </w:r>
    </w:p>
    <w:p>
      <w:pPr>
        <w:spacing w:after="0" w:line="117" w:lineRule="exact"/>
        <w:rPr>
          <w:sz w:val="20"/>
          <w:szCs w:val="20"/>
          <w:color w:val="auto"/>
        </w:rPr>
      </w:pPr>
    </w:p>
    <w:p>
      <w:pPr>
        <w:jc w:val="both"/>
        <w:ind w:firstLine="409"/>
        <w:spacing w:after="0" w:line="290" w:lineRule="auto"/>
        <w:tabs>
          <w:tab w:leader="none" w:pos="659"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CERCLA and Similar State Law Sites </w:t>
      </w:r>
      <w:r>
        <w:rPr>
          <w:rFonts w:ascii="Arial" w:cs="Arial" w:eastAsia="Arial" w:hAnsi="Arial"/>
          <w:sz w:val="16"/>
          <w:szCs w:val="16"/>
          <w:color w:val="auto"/>
        </w:rPr>
        <w:t>- Under the Comprehensive Environmental Response, Compensation and Liability Act of 1980 and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state laws, Ashland and its subsidiaries may be subject to joint and several liability for cleanup costs in connection with alleged releases of hazardous substances at sites where it has been identified as a “potentially responsible party” (PRP). As of September 30, 2019, Ashland and its subsidiaries have been identified as a PRP by U.S. federal and state authorities, or by private parties seeking contribution, for the cost of environmental investigation and/or cleanup at 80 waste treatment or disposal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8" w:name="page19"/>
    <w:bookmarkEnd w:id="18"/>
    <w:p>
      <w:pPr>
        <w:jc w:val="both"/>
        <w:ind w:firstLine="409"/>
        <w:spacing w:after="0" w:line="254" w:lineRule="auto"/>
        <w:tabs>
          <w:tab w:leader="none" w:pos="70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Hattiesburg, Mississippi Resource Conservation and Recovery Act (RCRA) Matter </w:t>
      </w:r>
      <w:r>
        <w:rPr>
          <w:rFonts w:ascii="Arial" w:cs="Arial" w:eastAsia="Arial" w:hAnsi="Arial"/>
          <w:sz w:val="18"/>
          <w:szCs w:val="18"/>
          <w:color w:val="auto"/>
        </w:rPr>
        <w:t>- In November 2008, the Mississippi Department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Quality (MDEQ) issued a Notice of Violation to Hercules’ now-closed Hattiesburg, Mississippi manufacturing facility alleging that a process water impoundment basin at the facility had been operated as a hazardous waste storage and treatment facility without a permit in violation of the Resource Conservation and Recovery Act. In May 2011, the USEPA issued an inspection report from a September 2010 inspection with allegations similar to those of the MDEQ and promulgated an information request. Ashland has been working with the MDEQ and USEPA to settle this matter in the context of the shutdown and ongoing remediation of the Hattiesburg facility. The USEPA proposed a settlement penalty in excess of $100,000. While it is reasonable to believe that this matter will involve a penalty from the MDEQ and/or the USEPA exceeding $100,000, the potential penalty with respect to this enforcement matter should not be material to Ashland.</w:t>
      </w:r>
    </w:p>
    <w:p>
      <w:pPr>
        <w:spacing w:after="0" w:line="84" w:lineRule="exact"/>
        <w:rPr>
          <w:rFonts w:ascii="Arial" w:cs="Arial" w:eastAsia="Arial" w:hAnsi="Arial"/>
          <w:sz w:val="18"/>
          <w:szCs w:val="18"/>
          <w:color w:val="auto"/>
        </w:rPr>
      </w:pPr>
    </w:p>
    <w:p>
      <w:pPr>
        <w:jc w:val="both"/>
        <w:ind w:firstLine="409"/>
        <w:spacing w:after="0" w:line="269" w:lineRule="auto"/>
        <w:tabs>
          <w:tab w:leader="none" w:pos="659"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Lower Passaic River, New Jersey Matters </w:t>
      </w:r>
      <w:r>
        <w:rPr>
          <w:rFonts w:ascii="Arial" w:cs="Arial" w:eastAsia="Arial" w:hAnsi="Arial"/>
          <w:sz w:val="17"/>
          <w:szCs w:val="17"/>
          <w:color w:val="auto"/>
        </w:rPr>
        <w:t>- Ashland, through two formerly owned facilities, and ISP, through a now-closed facility,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reached an agreement with another chemical company to conduct and pay for the remedial design. This chemical company has sued Ashland, ISP and numerous other defendants to recover past and future costs pursuant to the CERCLA. Ashland’s motion to dismiss was partially granted, and the surviving claims are in the early stages of discovery. Ashland and ISP are participating in an USEPA allocation process. The release of the FFS Record of Decision, the current allocations proceedings and the lawsuit are not expected to be material to Ashland.</w:t>
      </w:r>
    </w:p>
    <w:p>
      <w:pPr>
        <w:spacing w:after="0" w:line="74" w:lineRule="exact"/>
        <w:rPr>
          <w:rFonts w:ascii="Arial" w:cs="Arial" w:eastAsia="Arial" w:hAnsi="Arial"/>
          <w:sz w:val="17"/>
          <w:szCs w:val="17"/>
          <w:color w:val="auto"/>
        </w:rPr>
      </w:pPr>
    </w:p>
    <w:p>
      <w:pPr>
        <w:jc w:val="both"/>
        <w:ind w:firstLine="409"/>
        <w:spacing w:after="0" w:line="257"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Freetown, MA Resource Conservation and Recovery Act (RCRA) Matter</w:t>
      </w:r>
      <w:r>
        <w:rPr>
          <w:rFonts w:ascii="Arial" w:cs="Arial" w:eastAsia="Arial" w:hAnsi="Arial"/>
          <w:sz w:val="18"/>
          <w:szCs w:val="18"/>
          <w:color w:val="auto"/>
        </w:rPr>
        <w:t>—On September 27, 2018, the USEPA issued a Complaint,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Order and Opportunity for Hearing to ISP Freetown Fine Chemicals, Inc.’s facility in Assonet, Massachusetts alleging various violations of the RCRA relating to certain distillation tanks at the facility and seeking a penalty of $203,792. Ashland disputes USEPA’s stated interpretation of the RCRA regulations and their applicability to these tanks. While this matter could result in a penalty from USEPA in excess of $100,000, the potential penalty is not expected to be material to Ashland.</w:t>
      </w:r>
    </w:p>
    <w:p>
      <w:pPr>
        <w:spacing w:after="0" w:line="8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For additional information regarding environmental matters and reserves, see Note O of Notes to Consolidated Financial Statements in this annual report on Form 10-K.</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Other Pending Legal Proceedings</w:t>
      </w:r>
    </w:p>
    <w:p>
      <w:pPr>
        <w:spacing w:after="0" w:line="117"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employment matters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September 30, 2019. There is a reasonable possibility that a loss exceeding amounts already recognized may be incurred related to these actions; however, Ashland believes that such potential losses were immaterial as of September 30,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X. INFORMATION ABOUT OUR EXECUTIVE OFFICERS</w:t>
      </w:r>
    </w:p>
    <w:p>
      <w:pPr>
        <w:spacing w:after="0" w:line="121" w:lineRule="exact"/>
        <w:rPr>
          <w:sz w:val="20"/>
          <w:szCs w:val="20"/>
          <w:color w:val="auto"/>
        </w:rPr>
      </w:pPr>
    </w:p>
    <w:p>
      <w:pPr>
        <w:jc w:val="both"/>
        <w:ind w:right="20" w:firstLine="401"/>
        <w:spacing w:after="0" w:line="342" w:lineRule="auto"/>
        <w:rPr>
          <w:sz w:val="20"/>
          <w:szCs w:val="20"/>
          <w:color w:val="auto"/>
        </w:rPr>
      </w:pPr>
      <w:r>
        <w:rPr>
          <w:rFonts w:ascii="Arial" w:cs="Arial" w:eastAsia="Arial" w:hAnsi="Arial"/>
          <w:sz w:val="16"/>
          <w:szCs w:val="16"/>
          <w:color w:val="auto"/>
        </w:rPr>
        <w:t>The following is a list of Ashland’s current executive officers, their ages and their positions and offices during the last five years. On October 8, 2019, Ashland announced that Mr. Guillermo Novo would succeed Mr. Wulfsohn as Chairman and Chief Executive Officer effective December 31, 2019.</w:t>
      </w:r>
    </w:p>
    <w:p>
      <w:pPr>
        <w:spacing w:after="0" w:line="16"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WILLIAM A. WULFSOHN (age 57) is Chairman and Chief Executive Officer of Ashland Global Holdings Inc. since September 2016 and held the same positions at Ashland Inc. since January 1, 2015. Prior to joining Ashland, Mr. Wulfsohn served as President and Chief Executive Officer of Carpenter Technology Corp., a manufacturer of stainless steel, titanium, and other specialty metals and engineered products, from July 2010 to November 2014. Mr. Wulfsohn also served as a Director for Carpenter Technology Corp. from April 2009 to November 2014 and of Valvoline Inc. from September 2016 to January 2018. Mr. Wulfsohn serves as a director of PolyOne Corporation.</w:t>
      </w:r>
    </w:p>
    <w:p>
      <w:pPr>
        <w:spacing w:after="0" w:line="80"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GUILLERMO NOVO (age 57) is the incoming Chairman and Chief Executive Officer of Ashland Global Holdings Inc. Mr. Novo has served as a director of Ashland’s Board since May 22, 2019. Most recently, Mr. Novo served as the President and CEO of Versum Materials, Inc., a premier specialty materials company, and was a member of the board of directors. Previously, Mr. Novo served as Executive Vice President, Materials Technologies of Air Products and Chemicals, Inc. (“Air Products”), an industrial gases and related equipment company, since October 2014. He joined Air Products in September 2012 as Senior Vice President Electronics, Performance Materials, Strategy and Technology. Mr. Novo also served as a director of Bemis Company until May 2019.</w:t>
      </w:r>
    </w:p>
    <w:p>
      <w:pPr>
        <w:spacing w:after="0" w:line="8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J. KEVIN WILLIS (age 54) is Senior Vice President and Chief Financial Officer of Ashland Global Holdings Inc. since September 2016. Mr. Willis held the same positions at Ashland Inc. and served in such capacities since May 2013.</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PETER J. GANZ (age 57) is Senior Vice President, General Counsel and Secretary; Chief Legal and Compliance Officer of Ashland Global Holdings Inc. and has served as Senior Vice President and General Counsel of Ashland Inc. since July 2011 and Secretary since November 2012. From July 2011 to August 2016, Mr. Ganz served as Chief Compliance Officer, a role he assumed again in February 2019.</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ANNE T. SCHUMANN (age 59) is Senior Vice President, Chief Human Resources and Information Technology Officer of Ashland Global Holdings Inc. since March 2017. Prior to this role, Ms. Schumann served as the Vice President and Chief Information and Administrative Services Officer of Ashland Global Holdings Inc. and served in the same capacities with Ashland Inc. since 2008 and 2009, respectively.</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VITO J. CONSIGLIO (age 55) is Senior Vice President and Chief Commercial Officer of Ashland Global Holdings Inc. since November 2018 and Group Vice President, Ashland Specialty Ingredients since July 2016. Prior to joining Ashland, Mr. Consiglio served as Vice President at Carpenter Technology, leading the transportation business unit for the specialty steel manufacturer from 2013 to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0" w:name="page21"/>
    <w:bookmarkEnd w:id="20"/>
    <w:p>
      <w:pPr>
        <w:jc w:val="both"/>
        <w:ind w:firstLine="401"/>
        <w:spacing w:after="0" w:line="264" w:lineRule="auto"/>
        <w:rPr>
          <w:sz w:val="20"/>
          <w:szCs w:val="20"/>
          <w:color w:val="auto"/>
        </w:rPr>
      </w:pPr>
      <w:r>
        <w:rPr>
          <w:rFonts w:ascii="Arial" w:cs="Arial" w:eastAsia="Arial" w:hAnsi="Arial"/>
          <w:sz w:val="18"/>
          <w:szCs w:val="18"/>
          <w:color w:val="auto"/>
        </w:rPr>
        <w:t>OSAMA M. MUSA (age 51) is Senior Vice President and Chief Technology Officer of Ashland Global Holdings Inc. since November 2018. Previously, Mr. Musa served as Vice President, ASI Technology from November 2014 to November 2018 and Vice President, Technology and Innovation of Ashland from August 2012 until November 2014.</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KEITH C. SILVERMAN (age 52) is Senior Vice President, Global Operations, Quality and Environmental Health and Safety of Ashland Global Holdings Inc. since November 2018. Previously, Mr. Silverman served as Vice President, Global Operations, Quality and Environmental Health and Safety of Ashland Global Holdings Inc. and served in similar capacities at Ashland Inc. since June 2012.</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J. WILLIAM HEITMAN (age 65) is Vice President and Controller of Ashland Global Holdings Inc. and has served in such capacities with Ashland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 2008. On November 12, 2019, Ashland announced that Mr. Heitman will be retiring on December 31, 2019.</w:t>
      </w:r>
    </w:p>
    <w:p>
      <w:pPr>
        <w:spacing w:after="0" w:line="10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Each executive officer is elected by the Board of Directors of Ashland to a term of one year, or until a successor is duly elected, at the annual meeting of the Board of Directors, except in those instances where the officer is elected other than at an annual meeting of the Board of Directors, in which case his or her tenure will expire at the next annual meeting of the Board of Directors unless the officer is re-elected.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On September 20, 2016, Ashland Inc. became an indirect wholly owned subsidiary of Ashland Global Holdings Inc., and Ashland Inc.’s common stock ceased trading on the New York Stock Exchange (NYSE). Ashland Global Holdings Inc.’s common stock began trading on NYSE under the symbol “ASH” on September 20, 2016.</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At October 31, 2019, there were approximately 10,500 holders of record of Ashland’s Common Stock. Ashland Common Stock is listed on the NYSE (ticker symbol ASH) and has trading privileges on Nasdaq.</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sales of unregistered securities required to be reported under Item 5 of Form 10-K.</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FIVE-YEAR TOTAL RETURN PERFORMANCE GRAPH</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following graph compares Ashland’s five-year cumulative total shareholder return with the cumulative total return of the S&amp;P MidCap 400</w:t>
      </w:r>
      <w:r>
        <w:rPr>
          <w:rFonts w:ascii="Arial" w:cs="Arial" w:eastAsia="Arial" w:hAnsi="Arial"/>
          <w:sz w:val="15"/>
          <w:szCs w:val="15"/>
          <w:color w:val="auto"/>
        </w:rPr>
        <w:t>†</w:t>
      </w:r>
      <w:r>
        <w:rPr>
          <w:rFonts w:ascii="Arial" w:cs="Arial" w:eastAsia="Arial" w:hAnsi="Arial"/>
          <w:sz w:val="18"/>
          <w:szCs w:val="18"/>
          <w:color w:val="auto"/>
        </w:rPr>
        <w:t xml:space="preserve"> index and one peer group of companies. Ashland is listed in the S&amp;P MidCap 400</w:t>
      </w:r>
      <w:r>
        <w:rPr>
          <w:rFonts w:ascii="Arial" w:cs="Arial" w:eastAsia="Arial" w:hAnsi="Arial"/>
          <w:sz w:val="15"/>
          <w:szCs w:val="15"/>
          <w:color w:val="auto"/>
        </w:rPr>
        <w:t>†</w:t>
      </w:r>
      <w:r>
        <w:rPr>
          <w:rFonts w:ascii="Arial" w:cs="Arial" w:eastAsia="Arial" w:hAnsi="Arial"/>
          <w:sz w:val="18"/>
          <w:szCs w:val="18"/>
          <w:color w:val="auto"/>
        </w:rPr>
        <w:t xml:space="preserve"> index. The cumulative total shareholder return assumes the reinvestment of dividends. On May 12, 2017, Ashland completed the final separation of Valvoline Inc. with the pro rata distribution of 2.745338 shares of Valvoline Inc. common stock for every share of Ashland Common Stock to Ashland stockholders. The effect of the final separation of Valvoline Inc. is reflected in the cumulative total return of Ashland Common Stock as a reinvested dividend.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ASHLAND, S&amp;P MIDCAP 400</w:t>
      </w:r>
      <w:r>
        <w:rPr>
          <w:rFonts w:ascii="Arial" w:cs="Arial" w:eastAsia="Arial" w:hAnsi="Arial"/>
          <w:sz w:val="15"/>
          <w:szCs w:val="15"/>
          <w:color w:val="auto"/>
        </w:rPr>
        <w:t>†</w:t>
      </w:r>
      <w:r>
        <w:rPr>
          <w:rFonts w:ascii="Arial" w:cs="Arial" w:eastAsia="Arial" w:hAnsi="Arial"/>
          <w:sz w:val="18"/>
          <w:szCs w:val="18"/>
          <w:b w:val="1"/>
          <w:bCs w:val="1"/>
          <w:color w:val="auto"/>
        </w:rPr>
        <w:t xml:space="preserve"> INDEX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6350</wp:posOffset>
            </wp:positionV>
            <wp:extent cx="4081780" cy="25984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81780"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4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tcBorders>
          </w:tcPr>
          <w:p>
            <w:pPr>
              <w:jc w:val="center"/>
              <w:ind w:left="1150"/>
              <w:spacing w:after="0"/>
              <w:rPr>
                <w:sz w:val="20"/>
                <w:szCs w:val="20"/>
                <w:color w:val="auto"/>
              </w:rPr>
            </w:pPr>
            <w:r>
              <w:rPr>
                <w:rFonts w:ascii="Arial" w:cs="Arial" w:eastAsia="Arial" w:hAnsi="Arial"/>
                <w:sz w:val="18"/>
                <w:szCs w:val="18"/>
                <w:b w:val="1"/>
                <w:bCs w:val="1"/>
                <w:color w:val="auto"/>
                <w:w w:val="89"/>
              </w:rPr>
              <w:t>2014</w:t>
            </w: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3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Ashland</w:t>
            </w:r>
          </w:p>
        </w:tc>
        <w:tc>
          <w:tcPr>
            <w:tcW w:w="2360" w:type="dxa"/>
            <w:vAlign w:val="bottom"/>
            <w:shd w:val="clear" w:color="auto" w:fill="CFF0FC"/>
          </w:tcPr>
          <w:p>
            <w:pPr>
              <w:jc w:val="center"/>
              <w:ind w:left="1170"/>
              <w:spacing w:after="0"/>
              <w:rPr>
                <w:sz w:val="20"/>
                <w:szCs w:val="20"/>
                <w:color w:val="auto"/>
              </w:rPr>
            </w:pPr>
            <w:r>
              <w:rPr>
                <w:rFonts w:ascii="Arial" w:cs="Arial" w:eastAsia="Arial" w:hAnsi="Arial"/>
                <w:sz w:val="18"/>
                <w:szCs w:val="18"/>
                <w:color w:val="auto"/>
                <w:w w:val="86"/>
              </w:rPr>
              <w:t>100</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98</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114</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127</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165</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153</w:t>
            </w:r>
          </w:p>
        </w:tc>
      </w:tr>
      <w:tr>
        <w:trPr>
          <w:trHeight w:val="230"/>
        </w:trPr>
        <w:tc>
          <w:tcPr>
            <w:tcW w:w="3440" w:type="dxa"/>
            <w:vAlign w:val="bottom"/>
          </w:tcPr>
          <w:p>
            <w:pPr>
              <w:spacing w:after="0"/>
              <w:rPr>
                <w:sz w:val="20"/>
                <w:szCs w:val="20"/>
                <w:color w:val="auto"/>
              </w:rPr>
            </w:pPr>
            <w:r>
              <w:rPr>
                <w:rFonts w:ascii="Arial" w:cs="Arial" w:eastAsia="Arial" w:hAnsi="Arial"/>
                <w:sz w:val="18"/>
                <w:szCs w:val="18"/>
                <w:b w:val="1"/>
                <w:bCs w:val="1"/>
                <w:color w:val="auto"/>
              </w:rPr>
              <w:t>S&amp;P MidCap 400</w:t>
            </w:r>
            <w:r>
              <w:rPr>
                <w:rFonts w:ascii="Arial" w:cs="Arial" w:eastAsia="Arial" w:hAnsi="Arial"/>
                <w:sz w:val="15"/>
                <w:szCs w:val="15"/>
                <w:b w:val="1"/>
                <w:bCs w:val="1"/>
                <w:color w:val="auto"/>
              </w:rPr>
              <w:t>†</w:t>
            </w:r>
          </w:p>
        </w:tc>
        <w:tc>
          <w:tcPr>
            <w:tcW w:w="2360" w:type="dxa"/>
            <w:vAlign w:val="bottom"/>
          </w:tcPr>
          <w:p>
            <w:pPr>
              <w:jc w:val="center"/>
              <w:ind w:left="1170"/>
              <w:spacing w:after="0"/>
              <w:rPr>
                <w:sz w:val="20"/>
                <w:szCs w:val="20"/>
                <w:color w:val="auto"/>
              </w:rPr>
            </w:pPr>
            <w:r>
              <w:rPr>
                <w:rFonts w:ascii="Arial" w:cs="Arial" w:eastAsia="Arial" w:hAnsi="Arial"/>
                <w:sz w:val="18"/>
                <w:szCs w:val="18"/>
                <w:color w:val="auto"/>
                <w:w w:val="86"/>
              </w:rPr>
              <w:t>100</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117</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137</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157</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153</w:t>
            </w: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Peer Group - Materials</w:t>
            </w:r>
          </w:p>
        </w:tc>
        <w:tc>
          <w:tcPr>
            <w:tcW w:w="2360" w:type="dxa"/>
            <w:vAlign w:val="bottom"/>
            <w:shd w:val="clear" w:color="auto" w:fill="CFF0FC"/>
          </w:tcPr>
          <w:p>
            <w:pPr>
              <w:jc w:val="center"/>
              <w:ind w:left="1170"/>
              <w:spacing w:after="0"/>
              <w:rPr>
                <w:sz w:val="20"/>
                <w:szCs w:val="20"/>
                <w:color w:val="auto"/>
              </w:rPr>
            </w:pPr>
            <w:r>
              <w:rPr>
                <w:rFonts w:ascii="Arial" w:cs="Arial" w:eastAsia="Arial" w:hAnsi="Arial"/>
                <w:sz w:val="18"/>
                <w:szCs w:val="18"/>
                <w:color w:val="auto"/>
                <w:w w:val="86"/>
              </w:rPr>
              <w:t>100</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83</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103</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125</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130</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131</w:t>
            </w:r>
          </w:p>
        </w:tc>
      </w:tr>
    </w:tbl>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peer group consists of the following industry indices:</w:t>
      </w:r>
    </w:p>
    <w:p>
      <w:pPr>
        <w:spacing w:after="0" w:line="117" w:lineRule="exact"/>
        <w:rPr>
          <w:sz w:val="20"/>
          <w:szCs w:val="20"/>
          <w:color w:val="auto"/>
        </w:rPr>
      </w:pPr>
    </w:p>
    <w:p>
      <w:pPr>
        <w:ind w:left="800" w:right="20" w:hanging="400"/>
        <w:spacing w:after="0" w:line="27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Peer Group – Materials: </w:t>
      </w:r>
      <w:r>
        <w:rPr>
          <w:rFonts w:ascii="Arial" w:cs="Arial" w:eastAsia="Arial" w:hAnsi="Arial"/>
          <w:sz w:val="18"/>
          <w:szCs w:val="18"/>
          <w:color w:val="auto"/>
        </w:rPr>
        <w:t>S&amp;P 500</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(large-cap) and S&amp;P MidCap 400</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As of September 30, 2019, this peer group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57 companies.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left="4260"/>
        <w:spacing w:after="0"/>
        <w:rPr>
          <w:sz w:val="20"/>
          <w:szCs w:val="20"/>
          <w:color w:val="auto"/>
        </w:rPr>
      </w:pPr>
      <w:r>
        <w:rPr>
          <w:rFonts w:ascii="Arial" w:cs="Arial" w:eastAsia="Arial" w:hAnsi="Arial"/>
          <w:sz w:val="18"/>
          <w:szCs w:val="18"/>
          <w:b w:val="1"/>
          <w:bCs w:val="1"/>
          <w:color w:val="auto"/>
        </w:rPr>
        <w:t>Purchase of Company Common Stock</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 repurchase activity during the three months ended September 30, 2019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right="116"/>
              <w:spacing w:after="0"/>
              <w:rPr>
                <w:sz w:val="20"/>
                <w:szCs w:val="20"/>
                <w:color w:val="auto"/>
              </w:rPr>
            </w:pPr>
            <w:r>
              <w:rPr>
                <w:rFonts w:ascii="Arial" w:cs="Arial" w:eastAsia="Arial" w:hAnsi="Arial"/>
                <w:sz w:val="16"/>
                <w:szCs w:val="16"/>
                <w:b w:val="1"/>
                <w:bCs w:val="1"/>
                <w:color w:val="auto"/>
                <w:w w:val="92"/>
              </w:rPr>
              <w:t>Dollar Value</w:t>
            </w:r>
          </w:p>
        </w:tc>
      </w:tr>
      <w:tr>
        <w:trPr>
          <w:trHeight w:val="203"/>
        </w:trPr>
        <w:tc>
          <w:tcPr>
            <w:tcW w:w="5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jc w:val="center"/>
              <w:ind w:right="36"/>
              <w:spacing w:after="0"/>
              <w:rPr>
                <w:sz w:val="20"/>
                <w:szCs w:val="20"/>
                <w:color w:val="auto"/>
              </w:rPr>
            </w:pPr>
            <w:r>
              <w:rPr>
                <w:rFonts w:ascii="Arial" w:cs="Arial" w:eastAsia="Arial" w:hAnsi="Arial"/>
                <w:sz w:val="16"/>
                <w:szCs w:val="16"/>
                <w:b w:val="1"/>
                <w:bCs w:val="1"/>
                <w:color w:val="auto"/>
                <w:w w:val="94"/>
              </w:rPr>
              <w:t>Total Number of</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right="136"/>
              <w:spacing w:after="0"/>
              <w:rPr>
                <w:sz w:val="20"/>
                <w:szCs w:val="20"/>
                <w:color w:val="auto"/>
              </w:rPr>
            </w:pPr>
            <w:r>
              <w:rPr>
                <w:rFonts w:ascii="Arial" w:cs="Arial" w:eastAsia="Arial" w:hAnsi="Arial"/>
                <w:sz w:val="16"/>
                <w:szCs w:val="16"/>
                <w:b w:val="1"/>
                <w:bCs w:val="1"/>
                <w:color w:val="auto"/>
                <w:w w:val="87"/>
              </w:rPr>
              <w:t>of Shares</w:t>
            </w:r>
          </w:p>
        </w:tc>
      </w:tr>
      <w:tr>
        <w:trPr>
          <w:trHeight w:val="203"/>
        </w:trPr>
        <w:tc>
          <w:tcPr>
            <w:tcW w:w="5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Shares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right="116"/>
              <w:spacing w:after="0"/>
              <w:rPr>
                <w:sz w:val="20"/>
                <w:szCs w:val="20"/>
                <w:color w:val="auto"/>
              </w:rPr>
            </w:pPr>
            <w:r>
              <w:rPr>
                <w:rFonts w:ascii="Arial" w:cs="Arial" w:eastAsia="Arial" w:hAnsi="Arial"/>
                <w:sz w:val="16"/>
                <w:szCs w:val="16"/>
                <w:b w:val="1"/>
                <w:bCs w:val="1"/>
                <w:color w:val="auto"/>
                <w:w w:val="95"/>
              </w:rPr>
              <w:t>That May Yet</w:t>
            </w:r>
          </w:p>
        </w:tc>
      </w:tr>
      <w:tr>
        <w:trPr>
          <w:trHeight w:val="203"/>
        </w:trPr>
        <w:tc>
          <w:tcPr>
            <w:tcW w:w="5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center"/>
              <w:ind w:right="296"/>
              <w:spacing w:after="0"/>
              <w:rPr>
                <w:sz w:val="20"/>
                <w:szCs w:val="20"/>
                <w:color w:val="auto"/>
              </w:rPr>
            </w:pPr>
            <w:r>
              <w:rPr>
                <w:rFonts w:ascii="Arial" w:cs="Arial" w:eastAsia="Arial" w:hAnsi="Arial"/>
                <w:sz w:val="16"/>
                <w:szCs w:val="16"/>
                <w:b w:val="1"/>
                <w:bCs w:val="1"/>
                <w:color w:val="auto"/>
                <w:w w:val="88"/>
              </w:rPr>
              <w:t>Average</w:t>
            </w:r>
          </w:p>
        </w:tc>
        <w:tc>
          <w:tcPr>
            <w:tcW w:w="1280" w:type="dxa"/>
            <w:vAlign w:val="bottom"/>
          </w:tcPr>
          <w:p>
            <w:pPr>
              <w:jc w:val="center"/>
              <w:ind w:right="36"/>
              <w:spacing w:after="0"/>
              <w:rPr>
                <w:sz w:val="20"/>
                <w:szCs w:val="20"/>
                <w:color w:val="auto"/>
              </w:rPr>
            </w:pPr>
            <w:r>
              <w:rPr>
                <w:rFonts w:ascii="Arial" w:cs="Arial" w:eastAsia="Arial" w:hAnsi="Arial"/>
                <w:sz w:val="16"/>
                <w:szCs w:val="16"/>
                <w:b w:val="1"/>
                <w:bCs w:val="1"/>
                <w:color w:val="auto"/>
                <w:w w:val="88"/>
              </w:rPr>
              <w:t>Purchased as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right="116"/>
              <w:spacing w:after="0"/>
              <w:rPr>
                <w:sz w:val="20"/>
                <w:szCs w:val="20"/>
                <w:color w:val="auto"/>
              </w:rPr>
            </w:pPr>
            <w:r>
              <w:rPr>
                <w:rFonts w:ascii="Arial" w:cs="Arial" w:eastAsia="Arial" w:hAnsi="Arial"/>
                <w:sz w:val="16"/>
                <w:szCs w:val="16"/>
                <w:b w:val="1"/>
                <w:bCs w:val="1"/>
                <w:color w:val="auto"/>
                <w:w w:val="88"/>
              </w:rPr>
              <w:t>Be Purchased</w:t>
            </w:r>
          </w:p>
        </w:tc>
      </w:tr>
      <w:tr>
        <w:trPr>
          <w:trHeight w:val="203"/>
        </w:trPr>
        <w:tc>
          <w:tcPr>
            <w:tcW w:w="5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center"/>
              <w:ind w:right="296"/>
              <w:spacing w:after="0"/>
              <w:rPr>
                <w:sz w:val="20"/>
                <w:szCs w:val="20"/>
                <w:color w:val="auto"/>
              </w:rPr>
            </w:pPr>
            <w:r>
              <w:rPr>
                <w:rFonts w:ascii="Arial" w:cs="Arial" w:eastAsia="Arial" w:hAnsi="Arial"/>
                <w:sz w:val="16"/>
                <w:szCs w:val="16"/>
                <w:b w:val="1"/>
                <w:bCs w:val="1"/>
                <w:color w:val="auto"/>
                <w:w w:val="92"/>
              </w:rPr>
              <w:t>Price Paid</w:t>
            </w:r>
          </w:p>
        </w:tc>
        <w:tc>
          <w:tcPr>
            <w:tcW w:w="1280" w:type="dxa"/>
            <w:vAlign w:val="bottom"/>
          </w:tcPr>
          <w:p>
            <w:pPr>
              <w:jc w:val="center"/>
              <w:ind w:right="36"/>
              <w:spacing w:after="0"/>
              <w:rPr>
                <w:sz w:val="20"/>
                <w:szCs w:val="20"/>
                <w:color w:val="auto"/>
              </w:rPr>
            </w:pPr>
            <w:r>
              <w:rPr>
                <w:rFonts w:ascii="Arial" w:cs="Arial" w:eastAsia="Arial" w:hAnsi="Arial"/>
                <w:sz w:val="16"/>
                <w:szCs w:val="16"/>
                <w:b w:val="1"/>
                <w:bCs w:val="1"/>
                <w:color w:val="auto"/>
                <w:w w:val="92"/>
              </w:rPr>
              <w:t>Part of Publicly</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right="116"/>
              <w:spacing w:after="0"/>
              <w:rPr>
                <w:sz w:val="20"/>
                <w:szCs w:val="20"/>
                <w:color w:val="auto"/>
              </w:rPr>
            </w:pPr>
            <w:r>
              <w:rPr>
                <w:rFonts w:ascii="Arial" w:cs="Arial" w:eastAsia="Arial" w:hAnsi="Arial"/>
                <w:sz w:val="16"/>
                <w:szCs w:val="16"/>
                <w:b w:val="1"/>
                <w:bCs w:val="1"/>
                <w:color w:val="auto"/>
                <w:w w:val="93"/>
              </w:rPr>
              <w:t>Under the</w:t>
            </w:r>
          </w:p>
        </w:tc>
      </w:tr>
      <w:tr>
        <w:trPr>
          <w:trHeight w:val="203"/>
        </w:trPr>
        <w:tc>
          <w:tcPr>
            <w:tcW w:w="5960" w:type="dxa"/>
            <w:vAlign w:val="bottom"/>
          </w:tcPr>
          <w:p>
            <w:pPr>
              <w:spacing w:after="0"/>
              <w:rPr>
                <w:sz w:val="17"/>
                <w:szCs w:val="17"/>
                <w:color w:val="auto"/>
              </w:rPr>
            </w:pPr>
          </w:p>
        </w:tc>
        <w:tc>
          <w:tcPr>
            <w:tcW w:w="1240" w:type="dxa"/>
            <w:vAlign w:val="bottom"/>
          </w:tcPr>
          <w:p>
            <w:pPr>
              <w:jc w:val="center"/>
              <w:ind w:right="34"/>
              <w:spacing w:after="0"/>
              <w:rPr>
                <w:sz w:val="20"/>
                <w:szCs w:val="20"/>
                <w:color w:val="auto"/>
              </w:rPr>
            </w:pPr>
            <w:r>
              <w:rPr>
                <w:rFonts w:ascii="Arial" w:cs="Arial" w:eastAsia="Arial" w:hAnsi="Arial"/>
                <w:sz w:val="16"/>
                <w:szCs w:val="16"/>
                <w:b w:val="1"/>
                <w:bCs w:val="1"/>
                <w:color w:val="auto"/>
                <w:w w:val="93"/>
              </w:rPr>
              <w:t>Total Number</w:t>
            </w:r>
          </w:p>
        </w:tc>
        <w:tc>
          <w:tcPr>
            <w:tcW w:w="280" w:type="dxa"/>
            <w:vAlign w:val="bottom"/>
          </w:tcPr>
          <w:p>
            <w:pPr>
              <w:spacing w:after="0"/>
              <w:rPr>
                <w:sz w:val="17"/>
                <w:szCs w:val="17"/>
                <w:color w:val="auto"/>
              </w:rPr>
            </w:pPr>
          </w:p>
        </w:tc>
        <w:tc>
          <w:tcPr>
            <w:tcW w:w="1260" w:type="dxa"/>
            <w:vAlign w:val="bottom"/>
          </w:tcPr>
          <w:p>
            <w:pPr>
              <w:jc w:val="center"/>
              <w:ind w:right="296"/>
              <w:spacing w:after="0"/>
              <w:rPr>
                <w:sz w:val="20"/>
                <w:szCs w:val="20"/>
                <w:color w:val="auto"/>
              </w:rPr>
            </w:pPr>
            <w:r>
              <w:rPr>
                <w:rFonts w:ascii="Arial" w:cs="Arial" w:eastAsia="Arial" w:hAnsi="Arial"/>
                <w:sz w:val="16"/>
                <w:szCs w:val="16"/>
                <w:b w:val="1"/>
                <w:bCs w:val="1"/>
                <w:color w:val="auto"/>
                <w:w w:val="91"/>
              </w:rPr>
              <w:t>per Share,</w:t>
            </w:r>
          </w:p>
        </w:tc>
        <w:tc>
          <w:tcPr>
            <w:tcW w:w="1280" w:type="dxa"/>
            <w:vAlign w:val="bottom"/>
          </w:tcPr>
          <w:p>
            <w:pPr>
              <w:jc w:val="center"/>
              <w:ind w:right="36"/>
              <w:spacing w:after="0"/>
              <w:rPr>
                <w:sz w:val="20"/>
                <w:szCs w:val="20"/>
                <w:color w:val="auto"/>
              </w:rPr>
            </w:pPr>
            <w:r>
              <w:rPr>
                <w:rFonts w:ascii="Arial" w:cs="Arial" w:eastAsia="Arial" w:hAnsi="Arial"/>
                <w:sz w:val="16"/>
                <w:szCs w:val="16"/>
                <w:b w:val="1"/>
                <w:bCs w:val="1"/>
                <w:color w:val="auto"/>
                <w:w w:val="90"/>
              </w:rPr>
              <w:t>Announced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right="116"/>
              <w:spacing w:after="0"/>
              <w:rPr>
                <w:sz w:val="20"/>
                <w:szCs w:val="20"/>
                <w:color w:val="auto"/>
              </w:rPr>
            </w:pPr>
            <w:r>
              <w:rPr>
                <w:rFonts w:ascii="Arial" w:cs="Arial" w:eastAsia="Arial" w:hAnsi="Arial"/>
                <w:sz w:val="16"/>
                <w:szCs w:val="16"/>
                <w:b w:val="1"/>
                <w:bCs w:val="1"/>
                <w:color w:val="auto"/>
                <w:w w:val="91"/>
              </w:rPr>
              <w:t>Plans or</w:t>
            </w:r>
          </w:p>
        </w:tc>
      </w:tr>
      <w:tr>
        <w:trPr>
          <w:trHeight w:val="203"/>
        </w:trPr>
        <w:tc>
          <w:tcPr>
            <w:tcW w:w="5960" w:type="dxa"/>
            <w:vAlign w:val="bottom"/>
          </w:tcPr>
          <w:p>
            <w:pPr>
              <w:spacing w:after="0"/>
              <w:rPr>
                <w:sz w:val="17"/>
                <w:szCs w:val="17"/>
                <w:color w:val="auto"/>
              </w:rPr>
            </w:pPr>
          </w:p>
        </w:tc>
        <w:tc>
          <w:tcPr>
            <w:tcW w:w="1240" w:type="dxa"/>
            <w:vAlign w:val="bottom"/>
          </w:tcPr>
          <w:p>
            <w:pPr>
              <w:jc w:val="center"/>
              <w:ind w:right="34"/>
              <w:spacing w:after="0"/>
              <w:rPr>
                <w:sz w:val="20"/>
                <w:szCs w:val="20"/>
                <w:color w:val="auto"/>
              </w:rPr>
            </w:pPr>
            <w:r>
              <w:rPr>
                <w:rFonts w:ascii="Arial" w:cs="Arial" w:eastAsia="Arial" w:hAnsi="Arial"/>
                <w:sz w:val="16"/>
                <w:szCs w:val="16"/>
                <w:b w:val="1"/>
                <w:bCs w:val="1"/>
                <w:color w:val="auto"/>
                <w:w w:val="87"/>
              </w:rPr>
              <w:t>of Shares</w:t>
            </w:r>
          </w:p>
        </w:tc>
        <w:tc>
          <w:tcPr>
            <w:tcW w:w="280" w:type="dxa"/>
            <w:vAlign w:val="bottom"/>
          </w:tcPr>
          <w:p>
            <w:pPr>
              <w:spacing w:after="0"/>
              <w:rPr>
                <w:sz w:val="17"/>
                <w:szCs w:val="17"/>
                <w:color w:val="auto"/>
              </w:rPr>
            </w:pPr>
          </w:p>
        </w:tc>
        <w:tc>
          <w:tcPr>
            <w:tcW w:w="1260" w:type="dxa"/>
            <w:vAlign w:val="bottom"/>
          </w:tcPr>
          <w:p>
            <w:pPr>
              <w:jc w:val="center"/>
              <w:ind w:right="296"/>
              <w:spacing w:after="0"/>
              <w:rPr>
                <w:sz w:val="20"/>
                <w:szCs w:val="20"/>
                <w:color w:val="auto"/>
              </w:rPr>
            </w:pPr>
            <w:r>
              <w:rPr>
                <w:rFonts w:ascii="Arial" w:cs="Arial" w:eastAsia="Arial" w:hAnsi="Arial"/>
                <w:sz w:val="16"/>
                <w:szCs w:val="16"/>
                <w:b w:val="1"/>
                <w:bCs w:val="1"/>
                <w:color w:val="auto"/>
                <w:w w:val="89"/>
              </w:rPr>
              <w:t>including</w:t>
            </w:r>
          </w:p>
        </w:tc>
        <w:tc>
          <w:tcPr>
            <w:tcW w:w="1280" w:type="dxa"/>
            <w:vAlign w:val="bottom"/>
          </w:tcPr>
          <w:p>
            <w:pPr>
              <w:jc w:val="center"/>
              <w:ind w:right="36"/>
              <w:spacing w:after="0"/>
              <w:rPr>
                <w:sz w:val="20"/>
                <w:szCs w:val="20"/>
                <w:color w:val="auto"/>
              </w:rPr>
            </w:pPr>
            <w:r>
              <w:rPr>
                <w:rFonts w:ascii="Arial" w:cs="Arial" w:eastAsia="Arial" w:hAnsi="Arial"/>
                <w:sz w:val="16"/>
                <w:szCs w:val="16"/>
                <w:b w:val="1"/>
                <w:bCs w:val="1"/>
                <w:color w:val="auto"/>
                <w:w w:val="88"/>
              </w:rPr>
              <w:t>Plans or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ind w:right="136"/>
              <w:spacing w:after="0"/>
              <w:rPr>
                <w:sz w:val="20"/>
                <w:szCs w:val="20"/>
                <w:color w:val="auto"/>
              </w:rPr>
            </w:pPr>
            <w:r>
              <w:rPr>
                <w:rFonts w:ascii="Arial" w:cs="Arial" w:eastAsia="Arial" w:hAnsi="Arial"/>
                <w:sz w:val="16"/>
                <w:szCs w:val="16"/>
                <w:b w:val="1"/>
                <w:bCs w:val="1"/>
                <w:color w:val="auto"/>
                <w:w w:val="90"/>
              </w:rPr>
              <w:t>Programs</w:t>
            </w:r>
          </w:p>
        </w:tc>
      </w:tr>
      <w:tr>
        <w:trPr>
          <w:trHeight w:val="213"/>
        </w:trPr>
        <w:tc>
          <w:tcPr>
            <w:tcW w:w="5960" w:type="dxa"/>
            <w:vAlign w:val="bottom"/>
            <w:tcBorders>
              <w:bottom w:val="single" w:sz="8" w:color="auto"/>
            </w:tcBorders>
          </w:tcPr>
          <w:p>
            <w:pPr>
              <w:ind w:left="2300"/>
              <w:spacing w:after="0"/>
              <w:rPr>
                <w:sz w:val="20"/>
                <w:szCs w:val="20"/>
                <w:color w:val="auto"/>
              </w:rPr>
            </w:pPr>
            <w:r>
              <w:rPr>
                <w:rFonts w:ascii="Arial" w:cs="Arial" w:eastAsia="Arial" w:hAnsi="Arial"/>
                <w:sz w:val="16"/>
                <w:szCs w:val="16"/>
                <w:b w:val="1"/>
                <w:bCs w:val="1"/>
                <w:color w:val="auto"/>
              </w:rPr>
              <w:t>Q4 Fiscal Periods</w:t>
            </w:r>
          </w:p>
        </w:tc>
        <w:tc>
          <w:tcPr>
            <w:tcW w:w="124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7"/>
              </w:rPr>
              <w:t>Purchased</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96"/>
              <w:spacing w:after="0"/>
              <w:rPr>
                <w:sz w:val="20"/>
                <w:szCs w:val="20"/>
                <w:color w:val="auto"/>
              </w:rPr>
            </w:pPr>
            <w:r>
              <w:rPr>
                <w:rFonts w:ascii="Arial" w:cs="Arial" w:eastAsia="Arial" w:hAnsi="Arial"/>
                <w:sz w:val="16"/>
                <w:szCs w:val="16"/>
                <w:b w:val="1"/>
                <w:bCs w:val="1"/>
                <w:color w:val="auto"/>
                <w:w w:val="85"/>
              </w:rPr>
              <w:t>commission</w:t>
            </w:r>
          </w:p>
        </w:tc>
        <w:tc>
          <w:tcPr>
            <w:tcW w:w="1280" w:type="dxa"/>
            <w:vAlign w:val="bottom"/>
            <w:tcBorders>
              <w:bottom w:val="single" w:sz="8" w:color="auto"/>
            </w:tcBorders>
          </w:tcPr>
          <w:p>
            <w:pPr>
              <w:jc w:val="center"/>
              <w:ind w:right="36"/>
              <w:spacing w:after="0"/>
              <w:rPr>
                <w:sz w:val="20"/>
                <w:szCs w:val="20"/>
                <w:color w:val="auto"/>
              </w:rPr>
            </w:pPr>
            <w:r>
              <w:rPr>
                <w:rFonts w:ascii="Arial" w:cs="Arial" w:eastAsia="Arial" w:hAnsi="Arial"/>
                <w:sz w:val="16"/>
                <w:szCs w:val="16"/>
                <w:b w:val="1"/>
                <w:bCs w:val="1"/>
                <w:color w:val="auto"/>
                <w:w w:val="90"/>
              </w:rPr>
              <w:t>Programs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56"/>
              <w:spacing w:after="0"/>
              <w:rPr>
                <w:sz w:val="20"/>
                <w:szCs w:val="20"/>
                <w:color w:val="auto"/>
              </w:rPr>
            </w:pPr>
            <w:r>
              <w:rPr>
                <w:rFonts w:ascii="Arial" w:cs="Arial" w:eastAsia="Arial" w:hAnsi="Arial"/>
                <w:sz w:val="16"/>
                <w:szCs w:val="16"/>
                <w:b w:val="1"/>
                <w:bCs w:val="1"/>
                <w:color w:val="auto"/>
                <w:w w:val="93"/>
              </w:rPr>
              <w:t xml:space="preserve">(in millions) </w:t>
            </w:r>
            <w:r>
              <w:rPr>
                <w:rFonts w:ascii="Arial" w:cs="Arial" w:eastAsia="Arial" w:hAnsi="Arial"/>
                <w:sz w:val="14"/>
                <w:szCs w:val="14"/>
                <w:b w:val="1"/>
                <w:bCs w:val="1"/>
                <w:color w:val="auto"/>
                <w:w w:val="93"/>
              </w:rPr>
              <w:t>(a)</w:t>
            </w:r>
          </w:p>
        </w:tc>
      </w:tr>
      <w:tr>
        <w:trPr>
          <w:trHeight w:val="226"/>
        </w:trPr>
        <w:tc>
          <w:tcPr>
            <w:tcW w:w="5960" w:type="dxa"/>
            <w:vAlign w:val="bottom"/>
            <w:shd w:val="clear" w:color="auto" w:fill="CCF0FC"/>
          </w:tcPr>
          <w:p>
            <w:pPr>
              <w:spacing w:after="0"/>
              <w:rPr>
                <w:sz w:val="20"/>
                <w:szCs w:val="20"/>
                <w:color w:val="auto"/>
              </w:rPr>
            </w:pPr>
            <w:r>
              <w:rPr>
                <w:rFonts w:ascii="Arial" w:cs="Arial" w:eastAsia="Arial" w:hAnsi="Arial"/>
                <w:sz w:val="18"/>
                <w:szCs w:val="18"/>
                <w:color w:val="auto"/>
              </w:rPr>
              <w:t>July 1, 2019 to July 31, 2019</w:t>
            </w:r>
          </w:p>
        </w:tc>
        <w:tc>
          <w:tcPr>
            <w:tcW w:w="1240" w:type="dxa"/>
            <w:vAlign w:val="bottom"/>
            <w:shd w:val="clear" w:color="auto" w:fill="CCF0FC"/>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0FC"/>
          </w:tcPr>
          <w:p>
            <w:pPr>
              <w:jc w:val="right"/>
              <w:ind w:right="176"/>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F0FC"/>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800</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August 1, 2019 to August 31, 2019:</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960" w:type="dxa"/>
            <w:vAlign w:val="bottom"/>
            <w:shd w:val="clear" w:color="auto" w:fill="CCF0FC"/>
          </w:tcPr>
          <w:p>
            <w:pPr>
              <w:ind w:left="260"/>
              <w:spacing w:after="0"/>
              <w:rPr>
                <w:sz w:val="20"/>
                <w:szCs w:val="20"/>
                <w:color w:val="auto"/>
              </w:rPr>
            </w:pPr>
            <w:r>
              <w:rPr>
                <w:rFonts w:ascii="Arial" w:cs="Arial" w:eastAsia="Arial" w:hAnsi="Arial"/>
                <w:sz w:val="18"/>
                <w:szCs w:val="18"/>
                <w:color w:val="auto"/>
              </w:rPr>
              <w:t xml:space="preserve">2019 ASR </w:t>
            </w:r>
            <w:r>
              <w:rPr>
                <w:rFonts w:ascii="Arial" w:cs="Arial" w:eastAsia="Arial" w:hAnsi="Arial"/>
                <w:sz w:val="14"/>
                <w:szCs w:val="14"/>
                <w:color w:val="auto"/>
              </w:rPr>
              <w:t>(b)</w:t>
            </w:r>
          </w:p>
        </w:tc>
        <w:tc>
          <w:tcPr>
            <w:tcW w:w="1240" w:type="dxa"/>
            <w:vAlign w:val="bottom"/>
            <w:shd w:val="clear" w:color="auto" w:fill="CCF0FC"/>
          </w:tcPr>
          <w:p>
            <w:pPr>
              <w:jc w:val="right"/>
              <w:ind w:right="34"/>
              <w:spacing w:after="0"/>
              <w:rPr>
                <w:sz w:val="20"/>
                <w:szCs w:val="20"/>
                <w:color w:val="auto"/>
              </w:rPr>
            </w:pPr>
            <w:r>
              <w:rPr>
                <w:rFonts w:ascii="Arial" w:cs="Arial" w:eastAsia="Arial" w:hAnsi="Arial"/>
                <w:sz w:val="18"/>
                <w:szCs w:val="18"/>
                <w:color w:val="auto"/>
              </w:rPr>
              <w:t>400,508</w:t>
            </w:r>
          </w:p>
        </w:tc>
        <w:tc>
          <w:tcPr>
            <w:tcW w:w="280" w:type="dxa"/>
            <w:vAlign w:val="bottom"/>
            <w:shd w:val="clear" w:color="auto" w:fill="CCF0FC"/>
          </w:tcPr>
          <w:p>
            <w:pPr>
              <w:spacing w:after="0"/>
              <w:rPr>
                <w:sz w:val="19"/>
                <w:szCs w:val="19"/>
                <w:color w:val="auto"/>
              </w:rPr>
            </w:pPr>
          </w:p>
        </w:tc>
        <w:tc>
          <w:tcPr>
            <w:tcW w:w="1260" w:type="dxa"/>
            <w:vAlign w:val="bottom"/>
            <w:shd w:val="clear" w:color="auto" w:fill="CCF0FC"/>
          </w:tcPr>
          <w:p>
            <w:pPr>
              <w:jc w:val="right"/>
              <w:ind w:right="176"/>
              <w:spacing w:after="0"/>
              <w:rPr>
                <w:sz w:val="20"/>
                <w:szCs w:val="20"/>
                <w:color w:val="auto"/>
              </w:rPr>
            </w:pPr>
            <w:r>
              <w:rPr>
                <w:rFonts w:ascii="Arial" w:cs="Arial" w:eastAsia="Arial" w:hAnsi="Arial"/>
                <w:sz w:val="18"/>
                <w:szCs w:val="18"/>
                <w:color w:val="auto"/>
              </w:rPr>
              <w:t>75.84</w:t>
            </w:r>
          </w:p>
        </w:tc>
        <w:tc>
          <w:tcPr>
            <w:tcW w:w="1280" w:type="dxa"/>
            <w:vAlign w:val="bottom"/>
            <w:shd w:val="clear" w:color="auto" w:fill="CCF0FC"/>
          </w:tcPr>
          <w:p>
            <w:pPr>
              <w:jc w:val="right"/>
              <w:ind w:right="36"/>
              <w:spacing w:after="0"/>
              <w:rPr>
                <w:sz w:val="20"/>
                <w:szCs w:val="20"/>
                <w:color w:val="auto"/>
              </w:rPr>
            </w:pPr>
            <w:r>
              <w:rPr>
                <w:rFonts w:ascii="Arial" w:cs="Arial" w:eastAsia="Arial" w:hAnsi="Arial"/>
                <w:sz w:val="18"/>
                <w:szCs w:val="18"/>
                <w:color w:val="auto"/>
              </w:rPr>
              <w:t>400,508</w:t>
            </w:r>
          </w:p>
        </w:tc>
        <w:tc>
          <w:tcPr>
            <w:tcW w:w="140" w:type="dxa"/>
            <w:vAlign w:val="bottom"/>
            <w:shd w:val="clear" w:color="auto" w:fill="CCF0FC"/>
          </w:tcPr>
          <w:p>
            <w:pPr>
              <w:spacing w:after="0"/>
              <w:rPr>
                <w:sz w:val="19"/>
                <w:szCs w:val="19"/>
                <w:color w:val="auto"/>
              </w:rPr>
            </w:pPr>
          </w:p>
        </w:tc>
        <w:tc>
          <w:tcPr>
            <w:tcW w:w="80" w:type="dxa"/>
            <w:vAlign w:val="bottom"/>
            <w:shd w:val="clear" w:color="auto" w:fill="CCF0FC"/>
          </w:tcPr>
          <w:p>
            <w:pPr>
              <w:spacing w:after="0"/>
              <w:rPr>
                <w:sz w:val="19"/>
                <w:szCs w:val="19"/>
                <w:color w:val="auto"/>
              </w:rPr>
            </w:pPr>
          </w:p>
        </w:tc>
        <w:tc>
          <w:tcPr>
            <w:tcW w:w="1180" w:type="dxa"/>
            <w:vAlign w:val="bottom"/>
            <w:shd w:val="clear" w:color="auto" w:fill="CCF0FC"/>
          </w:tcPr>
          <w:p>
            <w:pPr>
              <w:jc w:val="right"/>
              <w:ind w:right="36"/>
              <w:spacing w:after="0"/>
              <w:rPr>
                <w:sz w:val="20"/>
                <w:szCs w:val="20"/>
                <w:color w:val="auto"/>
              </w:rPr>
            </w:pPr>
            <w:r>
              <w:rPr>
                <w:rFonts w:ascii="Arial" w:cs="Arial" w:eastAsia="Arial" w:hAnsi="Arial"/>
                <w:sz w:val="18"/>
                <w:szCs w:val="18"/>
                <w:color w:val="auto"/>
              </w:rPr>
              <w:t>800</w:t>
            </w:r>
          </w:p>
        </w:tc>
      </w:tr>
      <w:tr>
        <w:trPr>
          <w:trHeight w:val="230"/>
        </w:trPr>
        <w:tc>
          <w:tcPr>
            <w:tcW w:w="5960" w:type="dxa"/>
            <w:vAlign w:val="bottom"/>
            <w:tcBorders>
              <w:bottom w:val="single" w:sz="8" w:color="CCF0FC"/>
            </w:tcBorders>
          </w:tcPr>
          <w:p>
            <w:pPr>
              <w:spacing w:after="0"/>
              <w:rPr>
                <w:sz w:val="20"/>
                <w:szCs w:val="20"/>
                <w:color w:val="auto"/>
              </w:rPr>
            </w:pPr>
            <w:r>
              <w:rPr>
                <w:rFonts w:ascii="Arial" w:cs="Arial" w:eastAsia="Arial" w:hAnsi="Arial"/>
                <w:sz w:val="18"/>
                <w:szCs w:val="18"/>
                <w:color w:val="auto"/>
              </w:rPr>
              <w:t>September 1, 2019 to September 30, 2019</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F0FC"/>
            </w:tcBorders>
          </w:tcPr>
          <w:p>
            <w:pPr>
              <w:spacing w:after="0"/>
              <w:rPr>
                <w:sz w:val="19"/>
                <w:szCs w:val="19"/>
                <w:color w:val="auto"/>
              </w:rPr>
            </w:pPr>
          </w:p>
        </w:tc>
        <w:tc>
          <w:tcPr>
            <w:tcW w:w="1260" w:type="dxa"/>
            <w:vAlign w:val="bottom"/>
            <w:tcBorders>
              <w:bottom w:val="single" w:sz="8" w:color="CCF0FC"/>
            </w:tcBorders>
          </w:tcPr>
          <w:p>
            <w:pPr>
              <w:jc w:val="right"/>
              <w:ind w:right="17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0FC"/>
            </w:tcBorders>
          </w:tcPr>
          <w:p>
            <w:pPr>
              <w:spacing w:after="0"/>
              <w:rPr>
                <w:sz w:val="19"/>
                <w:szCs w:val="19"/>
                <w:color w:val="auto"/>
              </w:rPr>
            </w:pPr>
          </w:p>
        </w:tc>
        <w:tc>
          <w:tcPr>
            <w:tcW w:w="80" w:type="dxa"/>
            <w:vAlign w:val="bottom"/>
            <w:tcBorders>
              <w:bottom w:val="single" w:sz="8" w:color="CCF0FC"/>
            </w:tcBorders>
          </w:tcPr>
          <w:p>
            <w:pPr>
              <w:spacing w:after="0"/>
              <w:rPr>
                <w:sz w:val="19"/>
                <w:szCs w:val="19"/>
                <w:color w:val="auto"/>
              </w:rPr>
            </w:pPr>
          </w:p>
        </w:tc>
        <w:tc>
          <w:tcPr>
            <w:tcW w:w="1180" w:type="dxa"/>
            <w:vAlign w:val="bottom"/>
            <w:tcBorders>
              <w:bottom w:val="single" w:sz="8" w:color="CCF0FC"/>
            </w:tcBorders>
          </w:tcPr>
          <w:p>
            <w:pPr>
              <w:jc w:val="right"/>
              <w:ind w:right="36"/>
              <w:spacing w:after="0"/>
              <w:rPr>
                <w:sz w:val="20"/>
                <w:szCs w:val="20"/>
                <w:color w:val="auto"/>
              </w:rPr>
            </w:pPr>
            <w:r>
              <w:rPr>
                <w:rFonts w:ascii="Arial" w:cs="Arial" w:eastAsia="Arial" w:hAnsi="Arial"/>
                <w:sz w:val="18"/>
                <w:szCs w:val="18"/>
                <w:color w:val="auto"/>
              </w:rPr>
              <w:t>800</w:t>
            </w:r>
          </w:p>
        </w:tc>
      </w:tr>
      <w:tr>
        <w:trPr>
          <w:trHeight w:val="223"/>
        </w:trPr>
        <w:tc>
          <w:tcPr>
            <w:tcW w:w="5960" w:type="dxa"/>
            <w:vAlign w:val="bottom"/>
            <w:shd w:val="clear" w:color="auto" w:fill="CCF0FC"/>
          </w:tcPr>
          <w:p>
            <w:pPr>
              <w:spacing w:after="0"/>
              <w:rPr>
                <w:sz w:val="19"/>
                <w:szCs w:val="19"/>
                <w:color w:val="auto"/>
              </w:rPr>
            </w:pPr>
          </w:p>
        </w:tc>
        <w:tc>
          <w:tcPr>
            <w:tcW w:w="1240" w:type="dxa"/>
            <w:vAlign w:val="bottom"/>
            <w:shd w:val="clear" w:color="auto" w:fill="CCF0FC"/>
          </w:tcPr>
          <w:p>
            <w:pPr>
              <w:spacing w:after="0"/>
              <w:rPr>
                <w:sz w:val="19"/>
                <w:szCs w:val="19"/>
                <w:color w:val="auto"/>
              </w:rPr>
            </w:pPr>
          </w:p>
        </w:tc>
        <w:tc>
          <w:tcPr>
            <w:tcW w:w="280" w:type="dxa"/>
            <w:vAlign w:val="bottom"/>
            <w:shd w:val="clear" w:color="auto" w:fill="CCF0FC"/>
          </w:tcPr>
          <w:p>
            <w:pPr>
              <w:spacing w:after="0"/>
              <w:rPr>
                <w:sz w:val="19"/>
                <w:szCs w:val="19"/>
                <w:color w:val="auto"/>
              </w:rPr>
            </w:pPr>
          </w:p>
        </w:tc>
        <w:tc>
          <w:tcPr>
            <w:tcW w:w="1260" w:type="dxa"/>
            <w:vAlign w:val="bottom"/>
            <w:shd w:val="clear" w:color="auto" w:fill="CCF0FC"/>
          </w:tcPr>
          <w:p>
            <w:pPr>
              <w:spacing w:after="0"/>
              <w:rPr>
                <w:sz w:val="19"/>
                <w:szCs w:val="19"/>
                <w:color w:val="auto"/>
              </w:rPr>
            </w:pPr>
          </w:p>
        </w:tc>
        <w:tc>
          <w:tcPr>
            <w:tcW w:w="1280" w:type="dxa"/>
            <w:vAlign w:val="bottom"/>
            <w:shd w:val="clear" w:color="auto" w:fill="CCF0FC"/>
          </w:tcPr>
          <w:p>
            <w:pPr>
              <w:spacing w:after="0"/>
              <w:rPr>
                <w:sz w:val="19"/>
                <w:szCs w:val="19"/>
                <w:color w:val="auto"/>
              </w:rPr>
            </w:pPr>
          </w:p>
        </w:tc>
        <w:tc>
          <w:tcPr>
            <w:tcW w:w="140" w:type="dxa"/>
            <w:vAlign w:val="bottom"/>
            <w:shd w:val="clear" w:color="auto" w:fill="CCF0FC"/>
          </w:tcPr>
          <w:p>
            <w:pPr>
              <w:spacing w:after="0"/>
              <w:rPr>
                <w:sz w:val="19"/>
                <w:szCs w:val="19"/>
                <w:color w:val="auto"/>
              </w:rPr>
            </w:pPr>
          </w:p>
        </w:tc>
        <w:tc>
          <w:tcPr>
            <w:tcW w:w="80" w:type="dxa"/>
            <w:vAlign w:val="bottom"/>
            <w:shd w:val="clear" w:color="auto" w:fill="CCF0FC"/>
          </w:tcPr>
          <w:p>
            <w:pPr>
              <w:spacing w:after="0"/>
              <w:rPr>
                <w:sz w:val="19"/>
                <w:szCs w:val="19"/>
                <w:color w:val="auto"/>
              </w:rPr>
            </w:pPr>
          </w:p>
        </w:tc>
        <w:tc>
          <w:tcPr>
            <w:tcW w:w="1180" w:type="dxa"/>
            <w:vAlign w:val="bottom"/>
            <w:shd w:val="clear" w:color="auto" w:fill="CC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400,508</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400,508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800</w:t>
            </w:r>
          </w:p>
        </w:tc>
      </w:tr>
      <w:tr>
        <w:trPr>
          <w:trHeight w:val="20"/>
        </w:trPr>
        <w:tc>
          <w:tcPr>
            <w:tcW w:w="5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16"/>
        </w:trPr>
        <w:tc>
          <w:tcPr>
            <w:tcW w:w="59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p>
      <w:pPr>
        <w:jc w:val="both"/>
        <w:ind w:left="300" w:hanging="292"/>
        <w:spacing w:after="0" w:line="244" w:lineRule="auto"/>
        <w:tabs>
          <w:tab w:leader="none" w:pos="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During March 2018, Ashland’s Board of Directors approved a new $1 billion stock repurchase program, which replaced the previous stock repurchase program. The Company's stock repurchase program does not obligate it to acquire any specific number of shares. Under the program, shares may be repurchased in privately negotiated and/or open market transactions, including under plans complying with Rule 10b5-1 of the Exchange Act. As of September 30, 2019, $800 million remains available for repurchase under this authorization.</w:t>
      </w:r>
    </w:p>
    <w:p>
      <w:pPr>
        <w:spacing w:after="0" w:line="1" w:lineRule="exact"/>
        <w:rPr>
          <w:rFonts w:ascii="Arial" w:cs="Arial" w:eastAsia="Arial" w:hAnsi="Arial"/>
          <w:sz w:val="13"/>
          <w:szCs w:val="13"/>
          <w:color w:val="auto"/>
        </w:rPr>
      </w:pPr>
    </w:p>
    <w:p>
      <w:pPr>
        <w:jc w:val="both"/>
        <w:ind w:left="300" w:hanging="292"/>
        <w:spacing w:after="0" w:line="226" w:lineRule="auto"/>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May 2019, the Company entered into an accelerated share repurchase program (ASR) to purchase $200 million of the Company’s common stock. In exchange for upfront payments totaling $200 million, the financial institution committed to deliver shares during the ASR’s purchase period, which would end no later than August 2019. In August 2019, the bank exercised its early termination option and the pricing period closed. The settlement price, which represents the weighted average price of Ashland’s common stock over the pricing period less a discount, was $75.84 per share. Based on this settlement price, the final number of shares repurchased by Ashland that were delivered to the financial institution under the ASR was 2.6 million shares, approximately 2.2 million of which were delivered in the third quarter of 2019. Ashland received the additional 400,508 shares in the fourth quarter of 2019 to settle the difference between the initial share delivery and the total number of shares repurchased.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Five-Year Selected Financial Information on page F-69.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Management’s Discussion and Analysis of Financial Condition and Results of Operations on pages M-1 through M-41.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Quantitative and Qualitative Disclosures about Market Risk on page M-41.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consolidated financial statements of Ashland presented in this annual report on Form 10-K are listed in the index on page F-1.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 As of September 30, 2019, Ashland, under the supervision and with the participation of Ashland’s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Ashland’s Chief Executive Officer and Chief Financial Officer, evaluated the effectiveness of Ashland’s disclosure controls and procedures as defined in Exchange Act Rules 13a-15(e) and 15d-15(e). Based upon that evaluation, the Chief Executive Officer and Chief Financial Officer concluded that the disclosure controls and procedures were effective as of September 30, 2019.</w:t>
      </w:r>
    </w:p>
    <w:p>
      <w:pPr>
        <w:spacing w:after="0" w:line="7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 See Management’s Report on Internal Control Over Financial Reporting on page F-2 and the Reports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Registered Public Accounting Firm on pages F-3 and F-4.</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 There have been no changes in Ashland’s internal control over financial reporting that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quarter ended September 30, 2019 that have materially affected, or are reasonably likely to materially affect, Ashland’s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p>
      <w:pPr>
        <w:ind w:left="536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There is hereby incorporated by reference the information to appear under the caption “Proposal One - Election of Directors” in Ashland’s Proxy Statement, which will be filed with the SEC within 120 days after September 30, 2019. See also the list of Ashland’s executive officers and related information under “Information About Our Executive Officers” in Part I - Item X in this annual report on Form 10-K.</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There is hereby incorporated by reference the information to appear under the caption “Corporate Governance - Governance Principles” in Ashland’s Proxy Statement.</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There is hereby incorporated by reference the information to appear under the caption “Corporate Governance - Stockholder Nominations of Directors” in Ashland’s Proxy Statement.</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There is hereby incorporated by reference the information to appear under the caption “Audit Committee Report” regarding Ashland’s audit committee and audit committee financial experts, as defined under Item 407(d)(4) and (5) of Regulation S-K in Ashland’s Proxy Statement.</w:t>
      </w:r>
    </w:p>
    <w:p>
      <w:pPr>
        <w:spacing w:after="0" w:line="62"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There is hereby incorporated by reference the information to appear under the caption “Corporate Governance – Delinquent Section 16(a) Reports” in Ashland’s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There is hereby incorporated by reference the information to appear under the captions “Compensation of Directors,” “Corporate Governance - Compensation Committee Interlocks and Insider Participation,” and “Executive Compensation,” in Ashland’s Proxy Statement.</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There is hereby incorporated by reference the information to appear under the captions “Ashland Common Stock Ownership of Certain Beneficial Owners,” and “Ashland Common Stock Ownership of Directors and Executive Officers of Ashland” in Ashland’s Proxy Statement.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ind w:left="400"/>
        <w:spacing w:after="0"/>
        <w:rPr>
          <w:sz w:val="20"/>
          <w:szCs w:val="20"/>
          <w:color w:val="auto"/>
        </w:rPr>
      </w:pPr>
      <w:r>
        <w:rPr>
          <w:rFonts w:ascii="Arial" w:cs="Arial" w:eastAsia="Arial" w:hAnsi="Arial"/>
          <w:sz w:val="17"/>
          <w:szCs w:val="17"/>
          <w:color w:val="auto"/>
        </w:rPr>
        <w:t>The following table summarizes the equity compensation plans under which Ashland Common Stock may be issued as of September 30,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180" w:type="dxa"/>
            <w:vAlign w:val="bottom"/>
            <w:gridSpan w:val="6"/>
          </w:tcPr>
          <w:p>
            <w:pPr>
              <w:ind w:left="60"/>
              <w:spacing w:after="0"/>
              <w:rPr>
                <w:sz w:val="20"/>
                <w:szCs w:val="20"/>
                <w:color w:val="auto"/>
              </w:rPr>
            </w:pPr>
            <w:r>
              <w:rPr>
                <w:rFonts w:ascii="Arial" w:cs="Arial" w:eastAsia="Arial" w:hAnsi="Arial"/>
                <w:sz w:val="18"/>
                <w:szCs w:val="18"/>
                <w:b w:val="1"/>
                <w:bCs w:val="1"/>
                <w:color w:val="auto"/>
                <w:w w:val="93"/>
              </w:rPr>
              <w:t>Equity Compensation Plan Information</w:t>
            </w: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5"/>
        </w:trPr>
        <w:tc>
          <w:tcPr>
            <w:tcW w:w="4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3"/>
              </w:rPr>
              <w:t>Number of</w:t>
            </w:r>
          </w:p>
        </w:tc>
        <w:tc>
          <w:tcPr>
            <w:tcW w:w="340" w:type="dxa"/>
            <w:vAlign w:val="bottom"/>
          </w:tcPr>
          <w:p>
            <w:pPr>
              <w:spacing w:after="0"/>
              <w:rPr>
                <w:sz w:val="17"/>
                <w:szCs w:val="17"/>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remaining</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available</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4"/>
              </w:rPr>
              <w:t>for future</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3"/>
              </w:rPr>
              <w:t>issuance</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 upon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Weighted-average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4"/>
              </w:rPr>
              <w:t>plans</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ind w:right="210"/>
              <w:spacing w:after="0"/>
              <w:rPr>
                <w:sz w:val="20"/>
                <w:szCs w:val="20"/>
                <w:color w:val="auto"/>
              </w:rPr>
            </w:pPr>
            <w:r>
              <w:rPr>
                <w:rFonts w:ascii="Arial" w:cs="Arial" w:eastAsia="Arial" w:hAnsi="Arial"/>
                <w:sz w:val="18"/>
                <w:szCs w:val="18"/>
                <w:b w:val="1"/>
                <w:bCs w:val="1"/>
                <w:color w:val="auto"/>
                <w:w w:val="85"/>
              </w:rPr>
              <w:t>exercise price of</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(excluding</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outstanding</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options, warrants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reflected</w:t>
            </w:r>
          </w:p>
        </w:tc>
        <w:tc>
          <w:tcPr>
            <w:tcW w:w="340" w:type="dxa"/>
            <w:vAlign w:val="bottom"/>
          </w:tcPr>
          <w:p>
            <w:pPr>
              <w:spacing w:after="0"/>
              <w:rPr>
                <w:sz w:val="18"/>
                <w:szCs w:val="18"/>
                <w:color w:val="auto"/>
              </w:rPr>
            </w:pPr>
          </w:p>
        </w:tc>
      </w:tr>
      <w:tr>
        <w:trPr>
          <w:trHeight w:val="23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Category</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and rights</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column (a))</w:t>
            </w:r>
          </w:p>
        </w:tc>
        <w:tc>
          <w:tcPr>
            <w:tcW w:w="340" w:type="dxa"/>
            <w:vAlign w:val="bottom"/>
            <w:tcBorders>
              <w:bottom w:val="single" w:sz="8" w:color="auto"/>
            </w:tcBorders>
          </w:tcPr>
          <w:p>
            <w:pPr>
              <w:spacing w:after="0"/>
              <w:rPr>
                <w:sz w:val="20"/>
                <w:szCs w:val="20"/>
                <w:color w:val="auto"/>
              </w:rPr>
            </w:pPr>
          </w:p>
        </w:tc>
      </w:tr>
      <w:tr>
        <w:trPr>
          <w:trHeight w:val="228"/>
        </w:trPr>
        <w:tc>
          <w:tcPr>
            <w:tcW w:w="424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ind w:right="870"/>
              <w:spacing w:after="0"/>
              <w:rPr>
                <w:sz w:val="20"/>
                <w:szCs w:val="20"/>
                <w:color w:val="auto"/>
              </w:rPr>
            </w:pPr>
            <w:r>
              <w:rPr>
                <w:rFonts w:ascii="Arial" w:cs="Arial" w:eastAsia="Arial" w:hAnsi="Arial"/>
                <w:sz w:val="18"/>
                <w:szCs w:val="18"/>
                <w:b w:val="1"/>
                <w:bCs w:val="1"/>
                <w:color w:val="auto"/>
              </w:rPr>
              <w:t>(b)</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340" w:type="dxa"/>
            <w:vAlign w:val="bottom"/>
          </w:tcPr>
          <w:p>
            <w:pPr>
              <w:spacing w:after="0"/>
              <w:rPr>
                <w:sz w:val="19"/>
                <w:szCs w:val="19"/>
                <w:color w:val="auto"/>
              </w:rPr>
            </w:pPr>
          </w:p>
        </w:tc>
      </w:tr>
      <w:tr>
        <w:trPr>
          <w:trHeight w:val="224"/>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Equity compensation plans</w:t>
            </w:r>
          </w:p>
        </w:tc>
        <w:tc>
          <w:tcPr>
            <w:tcW w:w="1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30"/>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approved by security holders</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951,008</w:t>
            </w:r>
          </w:p>
        </w:tc>
        <w:tc>
          <w:tcPr>
            <w:tcW w:w="320" w:type="dxa"/>
            <w:vAlign w:val="bottom"/>
            <w:shd w:val="clear" w:color="auto" w:fill="CFF0FC"/>
          </w:tcPr>
          <w:p>
            <w:pPr>
              <w:ind w:left="60"/>
              <w:spacing w:after="0"/>
              <w:rPr>
                <w:sz w:val="20"/>
                <w:szCs w:val="20"/>
                <w:color w:val="auto"/>
              </w:rPr>
            </w:pPr>
            <w:r>
              <w:rPr>
                <w:rFonts w:ascii="Arial" w:cs="Arial" w:eastAsia="Arial" w:hAnsi="Arial"/>
                <w:sz w:val="14"/>
                <w:szCs w:val="14"/>
                <w:color w:val="auto"/>
              </w:rPr>
              <w:t>(1)</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57.94</w:t>
            </w:r>
          </w:p>
        </w:tc>
        <w:tc>
          <w:tcPr>
            <w:tcW w:w="3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6,721,999</w:t>
            </w:r>
          </w:p>
        </w:tc>
        <w:tc>
          <w:tcPr>
            <w:tcW w:w="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r>
      <w:tr>
        <w:trPr>
          <w:trHeight w:val="215"/>
        </w:trPr>
        <w:tc>
          <w:tcPr>
            <w:tcW w:w="4240" w:type="dxa"/>
            <w:vAlign w:val="bottom"/>
          </w:tcPr>
          <w:p>
            <w:pPr>
              <w:spacing w:after="0"/>
              <w:rPr>
                <w:sz w:val="20"/>
                <w:szCs w:val="20"/>
                <w:color w:val="auto"/>
              </w:rPr>
            </w:pPr>
            <w:r>
              <w:rPr>
                <w:rFonts w:ascii="Arial" w:cs="Arial" w:eastAsia="Arial" w:hAnsi="Arial"/>
                <w:sz w:val="18"/>
                <w:szCs w:val="18"/>
                <w:color w:val="auto"/>
              </w:rPr>
              <w:t>Equity compensation plans not</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42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approved by security holders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243,278</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(4)</w:t>
            </w: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1,321,738</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r>
      <w:tr>
        <w:trPr>
          <w:trHeight w:val="237"/>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1,194,286</w:t>
            </w:r>
          </w:p>
        </w:tc>
        <w:tc>
          <w:tcPr>
            <w:tcW w:w="32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57.94</w:t>
            </w:r>
          </w:p>
        </w:tc>
        <w:tc>
          <w:tcPr>
            <w:tcW w:w="3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8,043,737</w:t>
            </w:r>
          </w:p>
        </w:tc>
        <w:tc>
          <w:tcPr>
            <w:tcW w:w="340" w:type="dxa"/>
            <w:vAlign w:val="bottom"/>
            <w:shd w:val="clear" w:color="auto" w:fill="CFF0FC"/>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bl>
    <w:p>
      <w:pPr>
        <w:spacing w:after="0" w:line="130" w:lineRule="exact"/>
        <w:rPr>
          <w:sz w:val="20"/>
          <w:szCs w:val="20"/>
          <w:color w:val="auto"/>
        </w:rPr>
      </w:pPr>
    </w:p>
    <w:p>
      <w:pPr>
        <w:jc w:val="both"/>
        <w:ind w:left="300" w:hanging="292"/>
        <w:spacing w:after="0"/>
        <w:tabs>
          <w:tab w:leader="none" w:pos="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This figure includes 47,087 net shares that could be issued under stock-settled SARs under the 2006 Ashland Inc. Incentive Plan (“2006 Incentive Plan”), 275,177 net shares that could be issued under stock-settled SARs under the Amended and Restated 2011 Ashland Inc. Incentive Plan (“2011 Incentive Plan”), 216,871 net shares that could be issued under stock-settled SARs, 98,413 shares that could be issued under stock-settled restricted stock units under the Amended and Restated 2015 Ashland Global Holdings Inc. Incentive Plan (“2015 Incentive Plan”), 109,564 shares that could be issued under stock settled restricted stock units under the Ashland Global Holdings Inc. 2018 Omnibus Incentive Compensation Plan (the “2018 Omnibus Plan”), based upon the closing price of Ashland Common Stock on the NYSE as of September 30, 2019 of $77.05. Additionally, this figure includes 18,750 restricted shares granted under the Amended and Restated Ashland Inc. Incentive Plan (“Amended Plan”) and deferred, and 89,781 performance units for the fiscal 2018-2020 performance period payable in Ashland Common Stock under the 2015 Incentive Plan and 71,861 performance units for the fiscal 2019-2021 performance period payable in Ashland Common Stock under the 2018 Omnibus Plan, estimated assuming target performance is achieved. Also included in the figure are 23,504 shares to be issued under the pre-2005 Deferred Compensation Plan for Employees payable in Ashland Common Stock upon termination of employment or service with Ashland. The fiscal 2017-2019 LTIPP is cash-settled and therefore not included in the table above.</w:t>
      </w:r>
    </w:p>
    <w:p>
      <w:pPr>
        <w:spacing w:after="0" w:line="3" w:lineRule="exact"/>
        <w:rPr>
          <w:rFonts w:ascii="Arial" w:cs="Arial" w:eastAsia="Arial" w:hAnsi="Arial"/>
          <w:sz w:val="13"/>
          <w:szCs w:val="13"/>
          <w:color w:val="auto"/>
        </w:rPr>
      </w:pPr>
    </w:p>
    <w:p>
      <w:pPr>
        <w:jc w:val="both"/>
        <w:ind w:left="300" w:hanging="292"/>
        <w:spacing w:after="0" w:line="238" w:lineRule="auto"/>
        <w:tabs>
          <w:tab w:leader="none" w:pos="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weighted-average exercise price excludes shares in Ashland Common Stock which may be distributed under the deferred compensation plans and the deferred restricted stock, and performance share units and restricted stock units which may be distributed under the 2011 Incentive Plan, the 2015 Incentive Plan and the 2018 Omnibus Plan, as described in footnotes</w:t>
      </w:r>
    </w:p>
    <w:p>
      <w:pPr>
        <w:ind w:left="300"/>
        <w:spacing w:after="0" w:line="221" w:lineRule="auto"/>
        <w:rPr>
          <w:rFonts w:ascii="Arial" w:cs="Arial" w:eastAsia="Arial" w:hAnsi="Arial"/>
          <w:sz w:val="13"/>
          <w:szCs w:val="13"/>
          <w:color w:val="auto"/>
        </w:rPr>
      </w:pPr>
      <w:r>
        <w:rPr>
          <w:rFonts w:ascii="Arial" w:cs="Arial" w:eastAsia="Arial" w:hAnsi="Arial"/>
          <w:sz w:val="14"/>
          <w:szCs w:val="14"/>
          <w:color w:val="auto"/>
        </w:rPr>
        <w:t>(1) and (4) in this table.</w:t>
      </w:r>
    </w:p>
    <w:p>
      <w:pPr>
        <w:jc w:val="both"/>
        <w:ind w:left="300" w:hanging="292"/>
        <w:spacing w:after="0" w:line="221" w:lineRule="auto"/>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figure includes 3,089,398 shares available for issuance under the Ashland Global Holdings Inc. 2018 Omnibus Plan, 114,653 shares available for issuance under the pre-2005 Deferred Compensation Plan for Employees (closed) and 375,653 shares available for issuance under the pre-2005 Deferred Compensation Plan for Non-Employee Directors (closed). Under the 2018 Incentive Plan, full-value awards, which include all awards other than stock options and SARs, reduce the share reserve on a 2-to-1 basis. The remaining balance of shares available for grant under the 2015 Incentive Plan are now available for grant under the 2018 Omnibus Plan and are included in the numbers of shares available for issuance under the 2018 Omnibus Plan. This figure also includes 71,150 shares available for issuance under the 2006 Incentive Plan, 2,565,652 shares available for issuance under the 2011 Incentive Plan and 505,493 shares available for issuance under the 2015 Incentive Plan; however, these plans are closed for new issuances and the only shares remaining to be issued are shares paid in lieu of dividends and for the 2015 Incentive Plan, shares to be issued for unvested performance units and restricted stock units.</w:t>
      </w:r>
    </w:p>
    <w:p>
      <w:pPr>
        <w:spacing w:after="0" w:line="2" w:lineRule="exact"/>
        <w:rPr>
          <w:rFonts w:ascii="Arial" w:cs="Arial" w:eastAsia="Arial" w:hAnsi="Arial"/>
          <w:sz w:val="14"/>
          <w:szCs w:val="14"/>
          <w:color w:val="auto"/>
        </w:rPr>
      </w:pPr>
    </w:p>
    <w:p>
      <w:pPr>
        <w:jc w:val="both"/>
        <w:ind w:left="300" w:hanging="292"/>
        <w:spacing w:after="0" w:line="221" w:lineRule="auto"/>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figure includes 45,760 shares to be issued under the Deferred Compensation Plan for Employees (2005), which is described in the “Non-Qualified Deferred Compensation-Ashland Employees’ Deferral Plan” section of Ashland’s proxy statement, and 197,518 shares to be issued under the Deferred Compensation Plan for Non-Employee Directors (2005), which is described in the “Compensation of Directors” section of Ashland’s proxy statement, payable in Ashland Common Stock upon termination of employment or service with Ashland. Because these plans are not equity compensation plans as defined by the rules of the NYSE, neither plan required approval by Ashland’s stockholders.</w:t>
      </w:r>
    </w:p>
    <w:p>
      <w:pPr>
        <w:spacing w:after="0" w:line="1" w:lineRule="exact"/>
        <w:rPr>
          <w:rFonts w:ascii="Arial" w:cs="Arial" w:eastAsia="Arial" w:hAnsi="Arial"/>
          <w:sz w:val="14"/>
          <w:szCs w:val="14"/>
          <w:color w:val="auto"/>
        </w:rPr>
      </w:pPr>
    </w:p>
    <w:p>
      <w:pPr>
        <w:jc w:val="both"/>
        <w:ind w:left="300" w:hanging="292"/>
        <w:spacing w:after="0" w:line="232" w:lineRule="auto"/>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figure includes 625,395 shares available for issuance under the Deferred Compensation Plan for Employees (2005) and 696,343 shares available for issuance under the Deferred Compensation Plan for Non-Employee Directors (2005). Because these plans are not equity compensation plans as defined by the rules of the NYSE, neither plan required approval by Ashland’s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-2469515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01"/>
        <w:spacing w:after="0" w:line="308" w:lineRule="auto"/>
        <w:rPr>
          <w:sz w:val="20"/>
          <w:szCs w:val="20"/>
          <w:color w:val="auto"/>
        </w:rPr>
      </w:pPr>
      <w:r>
        <w:rPr>
          <w:rFonts w:ascii="Arial" w:cs="Arial" w:eastAsia="Arial" w:hAnsi="Arial"/>
          <w:sz w:val="17"/>
          <w:szCs w:val="17"/>
          <w:color w:val="auto"/>
        </w:rPr>
        <w:t>There is hereby incorporated by reference the information to appear under the captions “Corporate Governance - Director Independence and Certain Relationships,” “Corporate Governance - Related Person Transaction Policy,” and “Audit Committee Report” in Ashland’s Proxy Statement.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401"/>
        <w:spacing w:after="0" w:line="308" w:lineRule="auto"/>
        <w:rPr>
          <w:sz w:val="20"/>
          <w:szCs w:val="20"/>
          <w:color w:val="auto"/>
        </w:rPr>
      </w:pPr>
      <w:r>
        <w:rPr>
          <w:rFonts w:ascii="Arial" w:cs="Arial" w:eastAsia="Arial" w:hAnsi="Arial"/>
          <w:sz w:val="17"/>
          <w:szCs w:val="17"/>
          <w:color w:val="auto"/>
        </w:rPr>
        <w:t>There is hereby incorporated by reference the information with respect to principal accounting fees and services to appear under the captions “Audit Committee Report” and “Proposal Two - Ratification of Independent Registered Public Accountants” in Ashland’s Proxy Statement.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left="53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121" w:lineRule="exact"/>
        <w:rPr>
          <w:rFonts w:ascii="Arial" w:cs="Arial" w:eastAsia="Arial" w:hAnsi="Arial"/>
          <w:sz w:val="18"/>
          <w:szCs w:val="18"/>
          <w:b w:val="1"/>
          <w:bCs w:val="1"/>
          <w:color w:val="auto"/>
        </w:rPr>
      </w:pPr>
    </w:p>
    <w:p>
      <w:pPr>
        <w:ind w:left="660" w:hanging="251"/>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Financial Statements; and</w:t>
      </w:r>
    </w:p>
    <w:p>
      <w:pPr>
        <w:spacing w:after="0" w:line="117" w:lineRule="exact"/>
        <w:rPr>
          <w:rFonts w:ascii="Arial" w:cs="Arial" w:eastAsia="Arial" w:hAnsi="Arial"/>
          <w:sz w:val="18"/>
          <w:szCs w:val="18"/>
          <w:color w:val="auto"/>
        </w:rPr>
      </w:pPr>
    </w:p>
    <w:p>
      <w:pPr>
        <w:ind w:left="660" w:hanging="251"/>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See Item 15(b) in this annual report on Form 10-K</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consolidated financial statements of Ashland presented in this annual report on Form 10-K are listed in the index on page F-1.</w:t>
      </w:r>
    </w:p>
    <w:p>
      <w:pPr>
        <w:spacing w:after="0" w:line="117"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Schedules other than that listed above have been omitted because of the absence of the conditions under which they are required or because the information required is shown in the consolidated financial statements or the notes thereto. Separate financial statements of unconsolidated affiliates are omitted because each company does not constitute a significant subsidiary using the 20% tests when considered individually.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Documents required by Item 601 of Regulation S-K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2.1</w:t>
            </w:r>
          </w:p>
        </w:tc>
        <w:tc>
          <w:tcPr>
            <w:tcW w:w="10300" w:type="dxa"/>
            <w:vAlign w:val="bottom"/>
            <w:gridSpan w:val="9"/>
          </w:tcPr>
          <w:p>
            <w:pPr>
              <w:ind w:left="5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44">
              <w:r>
                <w:rPr>
                  <w:rFonts w:ascii="Arial" w:cs="Arial" w:eastAsia="Arial" w:hAnsi="Arial"/>
                  <w:sz w:val="18"/>
                  <w:szCs w:val="18"/>
                  <w:color w:val="0000EE"/>
                  <w:w w:val="95"/>
                </w:rPr>
                <w:t>Stock and Asset Purchase Agreement, dated as of February 18, 2014, between Ashland Inc. and CD&amp;R Seahawk Bidco, LLC</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r:id="rId44">
              <w:r>
                <w:rPr>
                  <w:rFonts w:ascii="Arial" w:cs="Arial" w:eastAsia="Arial" w:hAnsi="Arial"/>
                  <w:sz w:val="18"/>
                  <w:szCs w:val="18"/>
                  <w:color w:val="0000EE"/>
                  <w:w w:val="95"/>
                </w:rPr>
                <w:t>(filed as Exhibit 2.1 to Ashland’s Form 8-K filed on February 24, 2014 (SEC File No. 001-32532), and incorporated herein by</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gridSpan w:val="8"/>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reference).</w:t>
              </w:r>
            </w:hyperlink>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2.2</w:t>
            </w:r>
          </w:p>
        </w:tc>
        <w:tc>
          <w:tcPr>
            <w:tcW w:w="10300" w:type="dxa"/>
            <w:vAlign w:val="bottom"/>
            <w:gridSpan w:val="9"/>
          </w:tcPr>
          <w:p>
            <w:pPr>
              <w:ind w:left="56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45">
              <w:r>
                <w:rPr>
                  <w:rFonts w:ascii="Arial" w:cs="Arial" w:eastAsia="Arial" w:hAnsi="Arial"/>
                  <w:sz w:val="18"/>
                  <w:szCs w:val="18"/>
                  <w:color w:val="0000EE"/>
                </w:rPr>
                <w:t>Sale and Purchase Agreement related to the ASK Chemicals Group, dated April 8, 2014, among Ashland Inc., Ashland</w:t>
              </w:r>
            </w:hyperlink>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International Holdings, Inc., Clariant Produkte (Deutschland) GmbH, Clariant Corp., mertus 158. GmbH, Ascot US Bidco Inc. and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bottom w:val="single" w:sz="8" w:color="0000EE"/>
            </w:tcBorders>
            <w:gridSpan w:val="8"/>
          </w:tcPr>
          <w:p>
            <w:pPr>
              <w:spacing w:after="0" w:line="196" w:lineRule="exact"/>
              <w:rPr>
                <w:rFonts w:ascii="Arial" w:cs="Arial" w:eastAsia="Arial" w:hAnsi="Arial"/>
                <w:sz w:val="18"/>
                <w:szCs w:val="18"/>
                <w:color w:val="0000EE"/>
                <w:w w:val="98"/>
              </w:rPr>
            </w:pPr>
            <w:hyperlink r:id="rId45">
              <w:r>
                <w:rPr>
                  <w:rFonts w:ascii="Arial" w:cs="Arial" w:eastAsia="Arial" w:hAnsi="Arial"/>
                  <w:sz w:val="18"/>
                  <w:szCs w:val="18"/>
                  <w:color w:val="0000EE"/>
                  <w:w w:val="98"/>
                </w:rPr>
                <w:t>Ascot UK Bidco Limited (filed as Exhibit 2.1 to Ashland’s Form 8-K filed on April 14, 2014 (SEC File No. 001-32532), and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gridSpan w:val="8"/>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incorporated herein by reference).</w:t>
              </w:r>
            </w:hyperlink>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2.3</w:t>
            </w:r>
          </w:p>
        </w:tc>
        <w:tc>
          <w:tcPr>
            <w:tcW w:w="10300" w:type="dxa"/>
            <w:vAlign w:val="bottom"/>
            <w:gridSpan w:val="9"/>
          </w:tcPr>
          <w:p>
            <w:pPr>
              <w:ind w:left="56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46">
              <w:r>
                <w:rPr>
                  <w:rFonts w:ascii="Arial" w:cs="Arial" w:eastAsia="Arial" w:hAnsi="Arial"/>
                  <w:sz w:val="18"/>
                  <w:szCs w:val="18"/>
                  <w:color w:val="0000EE"/>
                  <w:w w:val="96"/>
                </w:rPr>
                <w:t>Agreement and Plan of Merger dated May 31, 2016, by and among Ashland Inc., Ashland Global Holdings Inc. and Ashland</w:t>
              </w:r>
            </w:hyperlink>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Merger Sub Corp. (filed as Exhibit 2.1 to Ashland’s Form 8-K filed on May 31, 2016 (SEC File No. 001-32532), and incorporated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herein by reference).</w:t>
              </w:r>
            </w:hyperlink>
          </w:p>
        </w:tc>
        <w:tc>
          <w:tcPr>
            <w:tcW w:w="7960" w:type="dxa"/>
            <w:vAlign w:val="bottom"/>
            <w:gridSpan w:val="5"/>
          </w:tcPr>
          <w:p>
            <w:pPr>
              <w:spacing w:after="0"/>
              <w:rPr>
                <w:sz w:val="17"/>
                <w:szCs w:val="17"/>
                <w:color w:val="auto"/>
              </w:rPr>
            </w:pPr>
          </w:p>
        </w:tc>
      </w:tr>
      <w:tr>
        <w:trPr>
          <w:trHeight w:val="318"/>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2.4</w:t>
            </w:r>
          </w:p>
        </w:tc>
        <w:tc>
          <w:tcPr>
            <w:tcW w:w="10300" w:type="dxa"/>
            <w:vAlign w:val="bottom"/>
            <w:gridSpan w:val="9"/>
          </w:tcPr>
          <w:p>
            <w:pPr>
              <w:ind w:left="56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47">
              <w:r>
                <w:rPr>
                  <w:rFonts w:ascii="Arial" w:cs="Arial" w:eastAsia="Arial" w:hAnsi="Arial"/>
                  <w:sz w:val="18"/>
                  <w:szCs w:val="18"/>
                  <w:color w:val="0000EE"/>
                  <w:w w:val="92"/>
                </w:rPr>
                <w:t>Stock and Asset Purchase Agreement, dated November 14, 2018, between Ashland Global Holdings Inc. and INEOS Enterprises</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Holdings Limited (pursuant to Item 601(b)(2) of Regulation S-K, exhibits, schedules and certain annexes to the Stock and Asset</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Purchase Agreement have been omitted; exhibits, schedules and annexes will be supplementally provided to the SEC upon request)</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(filed as Exhibit 2.1 to Ashland’s Form 8-K filed on November 20, 2018 (SEC File No. 333-211719), and incorporated herein by</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gridSpan w:val="8"/>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reference.)</w:t>
              </w:r>
            </w:hyperlink>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2.5</w:t>
            </w:r>
          </w:p>
        </w:tc>
        <w:tc>
          <w:tcPr>
            <w:tcW w:w="10300" w:type="dxa"/>
            <w:vAlign w:val="bottom"/>
            <w:gridSpan w:val="9"/>
          </w:tcPr>
          <w:p>
            <w:pPr>
              <w:ind w:left="56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48">
              <w:r>
                <w:rPr>
                  <w:rFonts w:ascii="Arial" w:cs="Arial" w:eastAsia="Arial" w:hAnsi="Arial"/>
                  <w:sz w:val="18"/>
                  <w:szCs w:val="18"/>
                  <w:color w:val="0000EE"/>
                  <w:w w:val="92"/>
                </w:rPr>
                <w:t>First Amendment to Stock and Asset Purchase Agreement, dated July 1, 2019, between Ashland Global Holdings Inc. and INEOS</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top w:val="single" w:sz="8" w:color="0000EE"/>
            </w:tcBorders>
            <w:gridSpan w:val="8"/>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Enterprises Holdings Limited (pursuant to Item 601(b)(2) of Regulation S-K, exhibits, schedules and certain annexes to the Stock</w:t>
              </w:r>
            </w:hyperlink>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and Asset Purchase Agreement have been omitted; exhibits, schedules and annexes will be supplementally provided to the SEC</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gridSpan w:val="8"/>
          </w:tcPr>
          <w:p>
            <w:pPr>
              <w:spacing w:after="0" w:line="196" w:lineRule="exact"/>
              <w:rPr>
                <w:rFonts w:ascii="Arial" w:cs="Arial" w:eastAsia="Arial" w:hAnsi="Arial"/>
                <w:sz w:val="18"/>
                <w:szCs w:val="18"/>
                <w:color w:val="0000EE"/>
                <w:w w:val="96"/>
              </w:rPr>
            </w:pPr>
            <w:hyperlink r:id="rId48">
              <w:r>
                <w:rPr>
                  <w:rFonts w:ascii="Arial" w:cs="Arial" w:eastAsia="Arial" w:hAnsi="Arial"/>
                  <w:sz w:val="18"/>
                  <w:szCs w:val="18"/>
                  <w:color w:val="0000EE"/>
                  <w:w w:val="96"/>
                </w:rPr>
                <w:t>upon request) (filed as Exhibit 2.1 to Ashland’s Form 8-K filed on July 8, 2019 (SEC File No. 333-211719) and incorporated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herein by reference).</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2.6</w:t>
            </w:r>
          </w:p>
        </w:tc>
        <w:tc>
          <w:tcPr>
            <w:tcW w:w="10300" w:type="dxa"/>
            <w:vAlign w:val="bottom"/>
            <w:gridSpan w:val="9"/>
          </w:tcPr>
          <w:p>
            <w:pPr>
              <w:ind w:left="5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49">
              <w:r>
                <w:rPr>
                  <w:rFonts w:ascii="Arial" w:cs="Arial" w:eastAsia="Arial" w:hAnsi="Arial"/>
                  <w:sz w:val="18"/>
                  <w:szCs w:val="18"/>
                  <w:color w:val="0000EE"/>
                  <w:w w:val="94"/>
                </w:rPr>
                <w:t>Second Amendment to Stock and Asset Purchase Agreement, dated July 30, 2019, between Ashland Global Holdings Inc. and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INEOS Enterprises Holdings Limited (pursuant to Item 601(b)(2) of Regulation S-K, exhibits, schedules and certain annexes to the</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Stock and Asset Purchase Agreement have been omitted; exhibits, schedules and annexes will be supplementally provided to the</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gridSpan w:val="8"/>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SEC upon request (filed as Exhibit 2.1 to Ashland’s Form 8-K filed on August 2, 2019 (SEC File No. 333-211719) and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incorporated herein by reference).</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3.1</w:t>
            </w:r>
          </w:p>
        </w:tc>
        <w:tc>
          <w:tcPr>
            <w:tcW w:w="10300" w:type="dxa"/>
            <w:vAlign w:val="bottom"/>
            <w:gridSpan w:val="9"/>
          </w:tcPr>
          <w:p>
            <w:pPr>
              <w:ind w:left="5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50">
              <w:r>
                <w:rPr>
                  <w:rFonts w:ascii="Arial" w:cs="Arial" w:eastAsia="Arial" w:hAnsi="Arial"/>
                  <w:sz w:val="18"/>
                  <w:szCs w:val="18"/>
                  <w:color w:val="0000EE"/>
                  <w:w w:val="93"/>
                </w:rPr>
                <w:t>Amended and Restated Articles of Incorporation of Ashland Global Holdings Inc. (filed as Exhibit 3.1 to Ashland’s Form 8-K filed</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on September 20, 2016 (SEC File No. 001-32532), and incorporated by reference herein).</w:t>
              </w:r>
            </w:hyperlink>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40" w:type="dxa"/>
            <w:vAlign w:val="bottom"/>
            <w:gridSpan w:val="5"/>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3.2</w:t>
            </w:r>
          </w:p>
        </w:tc>
        <w:tc>
          <w:tcPr>
            <w:tcW w:w="10300" w:type="dxa"/>
            <w:vAlign w:val="bottom"/>
            <w:gridSpan w:val="9"/>
          </w:tcPr>
          <w:p>
            <w:pPr>
              <w:ind w:left="5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51">
              <w:r>
                <w:rPr>
                  <w:rFonts w:ascii="Arial" w:cs="Arial" w:eastAsia="Arial" w:hAnsi="Arial"/>
                  <w:sz w:val="18"/>
                  <w:szCs w:val="18"/>
                  <w:color w:val="0000EE"/>
                  <w:w w:val="94"/>
                </w:rPr>
                <w:t>Amended and Restated By-laws of Ashland Global Holdings Inc. (filed as Exhibit 3.1 to Ashland’s Form 8-K filed November 17,</w:t>
              </w:r>
            </w:hyperlink>
          </w:p>
        </w:tc>
      </w:tr>
      <w:tr>
        <w:trPr>
          <w:trHeight w:val="196"/>
        </w:trPr>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2017 (SEC File No. 333-211719), and incorporated by reference herein).</w:t>
              </w:r>
            </w:hyperlink>
          </w:p>
        </w:tc>
        <w:tc>
          <w:tcPr>
            <w:tcW w:w="42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120" w:type="dxa"/>
            <w:vAlign w:val="bottom"/>
          </w:tcPr>
          <w:p>
            <w:pPr>
              <w:jc w:val="right"/>
              <w:ind w:right="470"/>
              <w:spacing w:after="0"/>
              <w:rPr>
                <w:sz w:val="20"/>
                <w:szCs w:val="20"/>
                <w:color w:val="auto"/>
              </w:rPr>
            </w:pPr>
            <w:r>
              <w:rPr>
                <w:rFonts w:ascii="Arial" w:cs="Arial" w:eastAsia="Arial" w:hAnsi="Arial"/>
                <w:sz w:val="18"/>
                <w:szCs w:val="18"/>
                <w:color w:val="auto"/>
              </w:rPr>
              <w:t>4.1</w:t>
            </w:r>
          </w:p>
        </w:tc>
        <w:tc>
          <w:tcPr>
            <w:tcW w:w="10300" w:type="dxa"/>
            <w:vAlign w:val="bottom"/>
            <w:gridSpan w:val="9"/>
          </w:tcPr>
          <w:p>
            <w:pPr>
              <w:ind w:left="560"/>
              <w:spacing w:after="0"/>
              <w:rPr>
                <w:sz w:val="20"/>
                <w:szCs w:val="20"/>
                <w:color w:val="auto"/>
              </w:rPr>
            </w:pPr>
            <w:r>
              <w:rPr>
                <w:rFonts w:ascii="Arial" w:cs="Arial" w:eastAsia="Arial" w:hAnsi="Arial"/>
                <w:sz w:val="18"/>
                <w:szCs w:val="18"/>
                <w:color w:val="auto"/>
                <w:w w:val="91"/>
              </w:rPr>
              <w:t>–  Ashland agrees to provide the SEC, upon request, copies of instruments defining the rights of holders of long-term debt of Ashland</w:t>
            </w:r>
          </w:p>
        </w:tc>
      </w:tr>
      <w:tr>
        <w:trPr>
          <w:trHeight w:val="230"/>
        </w:trPr>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w w:val="95"/>
              </w:rPr>
              <w:t>and all of its subsidiaries for which consolidated or unconsolidated financial statements are required to be filed with the SEC.</w:t>
            </w:r>
          </w:p>
        </w:tc>
      </w:tr>
      <w:tr>
        <w:trPr>
          <w:trHeight w:val="554"/>
        </w:trPr>
        <w:tc>
          <w:tcPr>
            <w:tcW w:w="1120" w:type="dxa"/>
            <w:vAlign w:val="bottom"/>
          </w:tcPr>
          <w:p>
            <w:pPr>
              <w:spacing w:after="0"/>
              <w:rPr>
                <w:sz w:val="24"/>
                <w:szCs w:val="24"/>
                <w:color w:val="auto"/>
              </w:rPr>
            </w:pPr>
          </w:p>
        </w:tc>
        <w:tc>
          <w:tcPr>
            <w:tcW w:w="6080" w:type="dxa"/>
            <w:vAlign w:val="bottom"/>
            <w:gridSpan w:val="6"/>
          </w:tcPr>
          <w:p>
            <w:pPr>
              <w:ind w:left="4500"/>
              <w:spacing w:after="0"/>
              <w:rPr>
                <w:sz w:val="20"/>
                <w:szCs w:val="20"/>
                <w:color w:val="auto"/>
              </w:rPr>
            </w:pPr>
            <w:r>
              <w:rPr>
                <w:rFonts w:ascii="Arial" w:cs="Arial" w:eastAsia="Arial" w:hAnsi="Arial"/>
                <w:sz w:val="18"/>
                <w:szCs w:val="18"/>
                <w:color w:val="auto"/>
              </w:rPr>
              <w:t>26</w:t>
            </w:r>
          </w:p>
        </w:tc>
        <w:tc>
          <w:tcPr>
            <w:tcW w:w="1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360" w:type="dxa"/>
            <w:vAlign w:val="bottom"/>
          </w:tcPr>
          <w:p>
            <w:pPr>
              <w:ind w:left="340"/>
              <w:spacing w:after="0"/>
              <w:rPr>
                <w:sz w:val="20"/>
                <w:szCs w:val="20"/>
                <w:color w:val="auto"/>
              </w:rPr>
            </w:pPr>
            <w:r>
              <w:rPr>
                <w:rFonts w:ascii="Arial" w:cs="Arial" w:eastAsia="Arial" w:hAnsi="Arial"/>
                <w:sz w:val="18"/>
                <w:szCs w:val="18"/>
                <w:color w:val="auto"/>
              </w:rPr>
              <w:t>4.2</w:t>
            </w:r>
          </w:p>
        </w:tc>
        <w:tc>
          <w:tcPr>
            <w:tcW w:w="10060" w:type="dxa"/>
            <w:vAlign w:val="bottom"/>
            <w:gridSpan w:val="19"/>
          </w:tcPr>
          <w:p>
            <w:pPr>
              <w:ind w:left="32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54">
              <w:r>
                <w:rPr>
                  <w:rFonts w:ascii="Arial" w:cs="Arial" w:eastAsia="Arial" w:hAnsi="Arial"/>
                  <w:sz w:val="18"/>
                  <w:szCs w:val="18"/>
                  <w:color w:val="0000EE"/>
                  <w:w w:val="92"/>
                </w:rPr>
                <w:t>Warrant Agreement dated July 27, 1999 between Hercules and The Chase Manhattan Bank, as warrant agent (filed as Exhibit 4.4</w:t>
              </w:r>
            </w:hyperlink>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to Hercules’ Form 8-K filed on July 28, 1999 (SEC File No. 001-00496), and incorporated herein by reference).</w:t>
              </w:r>
            </w:hyperlink>
          </w:p>
        </w:tc>
        <w:tc>
          <w:tcPr>
            <w:tcW w:w="1400" w:type="dxa"/>
            <w:vAlign w:val="bottom"/>
            <w:tcBorders>
              <w:top w:val="single" w:sz="8" w:color="0000EE"/>
            </w:tcBorders>
            <w:gridSpan w:val="4"/>
          </w:tcPr>
          <w:p>
            <w:pPr>
              <w:spacing w:after="0"/>
              <w:rPr>
                <w:sz w:val="17"/>
                <w:szCs w:val="17"/>
                <w:color w:val="auto"/>
              </w:rPr>
            </w:pPr>
          </w:p>
        </w:tc>
      </w:tr>
      <w:tr>
        <w:trPr>
          <w:trHeight w:val="318"/>
        </w:trPr>
        <w:tc>
          <w:tcPr>
            <w:tcW w:w="1360" w:type="dxa"/>
            <w:vAlign w:val="bottom"/>
          </w:tcPr>
          <w:p>
            <w:pPr>
              <w:ind w:left="340"/>
              <w:spacing w:after="0"/>
              <w:rPr>
                <w:sz w:val="20"/>
                <w:szCs w:val="20"/>
                <w:color w:val="auto"/>
              </w:rPr>
            </w:pPr>
            <w:r>
              <w:rPr>
                <w:rFonts w:ascii="Arial" w:cs="Arial" w:eastAsia="Arial" w:hAnsi="Arial"/>
                <w:sz w:val="18"/>
                <w:szCs w:val="18"/>
                <w:color w:val="auto"/>
              </w:rPr>
              <w:t>4.3</w:t>
            </w:r>
          </w:p>
        </w:tc>
        <w:tc>
          <w:tcPr>
            <w:tcW w:w="10060" w:type="dxa"/>
            <w:vAlign w:val="bottom"/>
            <w:gridSpan w:val="19"/>
          </w:tcPr>
          <w:p>
            <w:pPr>
              <w:ind w:left="3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54">
              <w:r>
                <w:rPr>
                  <w:rFonts w:ascii="Arial" w:cs="Arial" w:eastAsia="Arial" w:hAnsi="Arial"/>
                  <w:sz w:val="18"/>
                  <w:szCs w:val="18"/>
                  <w:color w:val="0000EE"/>
                  <w:w w:val="93"/>
                </w:rPr>
                <w:t>Form of Series A Junior Subordinated Deferrable Interest Debentures (filed as Exhibit 4.5 to Hercules’ Form 8-K filed on July 28,</w:t>
              </w:r>
            </w:hyperlink>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1999 (SEC File No. 001-00496), and incorporated herein by reference).</w:t>
              </w:r>
            </w:hyperlink>
          </w:p>
        </w:tc>
        <w:tc>
          <w:tcPr>
            <w:tcW w:w="428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291"/>
        </w:trPr>
        <w:tc>
          <w:tcPr>
            <w:tcW w:w="1360" w:type="dxa"/>
            <w:vAlign w:val="bottom"/>
          </w:tcPr>
          <w:p>
            <w:pPr>
              <w:ind w:left="340"/>
              <w:spacing w:after="0"/>
              <w:rPr>
                <w:sz w:val="20"/>
                <w:szCs w:val="20"/>
                <w:color w:val="auto"/>
              </w:rPr>
            </w:pPr>
            <w:r>
              <w:rPr>
                <w:rFonts w:ascii="Arial" w:cs="Arial" w:eastAsia="Arial" w:hAnsi="Arial"/>
                <w:sz w:val="18"/>
                <w:szCs w:val="18"/>
                <w:color w:val="auto"/>
              </w:rPr>
              <w:t>4.4</w:t>
            </w:r>
          </w:p>
        </w:tc>
        <w:tc>
          <w:tcPr>
            <w:tcW w:w="1840" w:type="dxa"/>
            <w:vAlign w:val="bottom"/>
            <w:gridSpan w:val="3"/>
          </w:tcPr>
          <w:p>
            <w:pPr>
              <w:ind w:left="32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54">
              <w:r>
                <w:rPr>
                  <w:rFonts w:ascii="Arial" w:cs="Arial" w:eastAsia="Arial" w:hAnsi="Arial"/>
                  <w:sz w:val="18"/>
                  <w:szCs w:val="18"/>
                  <w:color w:val="0000EE"/>
                </w:rPr>
                <w:t>Form of CREST</w:t>
              </w:r>
            </w:hyperlink>
          </w:p>
        </w:tc>
        <w:tc>
          <w:tcPr>
            <w:tcW w:w="280" w:type="dxa"/>
            <w:vAlign w:val="bottom"/>
            <w:tcBorders>
              <w:bottom w:val="single" w:sz="8" w:color="0000EE"/>
            </w:tcBorders>
            <w:gridSpan w:val="3"/>
          </w:tcPr>
          <w:p>
            <w:pPr>
              <w:spacing w:after="0"/>
              <w:rPr>
                <w:rFonts w:ascii="Arial" w:cs="Arial" w:eastAsia="Arial" w:hAnsi="Arial"/>
                <w:sz w:val="15"/>
                <w:szCs w:val="15"/>
                <w:color w:val="0000EE"/>
              </w:rPr>
            </w:pPr>
            <w:hyperlink r:id="rId54">
              <w:r>
                <w:rPr>
                  <w:rFonts w:ascii="Arial" w:cs="Arial" w:eastAsia="Arial" w:hAnsi="Arial"/>
                  <w:sz w:val="15"/>
                  <w:szCs w:val="15"/>
                  <w:color w:val="0000EE"/>
                </w:rPr>
                <w:t>SM</w:t>
              </w:r>
            </w:hyperlink>
          </w:p>
        </w:tc>
        <w:tc>
          <w:tcPr>
            <w:tcW w:w="7940" w:type="dxa"/>
            <w:vAlign w:val="bottom"/>
            <w:gridSpan w:val="13"/>
          </w:tcPr>
          <w:p>
            <w:pPr>
              <w:spacing w:after="0"/>
              <w:rPr>
                <w:rFonts w:ascii="Arial" w:cs="Arial" w:eastAsia="Arial" w:hAnsi="Arial"/>
                <w:sz w:val="18"/>
                <w:szCs w:val="18"/>
                <w:color w:val="0000EE"/>
                <w:w w:val="99"/>
              </w:rPr>
            </w:pPr>
            <w:hyperlink r:id="rId54">
              <w:r>
                <w:rPr>
                  <w:rFonts w:ascii="Arial" w:cs="Arial" w:eastAsia="Arial" w:hAnsi="Arial"/>
                  <w:sz w:val="18"/>
                  <w:szCs w:val="18"/>
                  <w:color w:val="0000EE"/>
                  <w:w w:val="99"/>
                </w:rPr>
                <w:t>Unit (filed as Exhibit 4.7 to Hercules’ Form 8-K filed on July 28, 1999 (SEC File No. 001-00496), and</w:t>
              </w:r>
            </w:hyperlink>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94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106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gridSpan w:val="2"/>
          </w:tcPr>
          <w:p>
            <w:pPr>
              <w:spacing w:after="0" w:line="20" w:lineRule="exact"/>
              <w:rPr>
                <w:sz w:val="1"/>
                <w:szCs w:val="1"/>
                <w:color w:val="auto"/>
              </w:rPr>
            </w:pPr>
          </w:p>
        </w:tc>
        <w:tc>
          <w:tcPr>
            <w:tcW w:w="2180" w:type="dxa"/>
            <w:vAlign w:val="bottom"/>
            <w:tcBorders>
              <w:bottom w:val="single" w:sz="8" w:color="0000EE"/>
            </w:tcBorders>
          </w:tcPr>
          <w:p>
            <w:pPr>
              <w:spacing w:after="0" w:line="20" w:lineRule="exact"/>
              <w:rPr>
                <w:sz w:val="1"/>
                <w:szCs w:val="1"/>
                <w:color w:val="auto"/>
              </w:rPr>
            </w:pPr>
          </w:p>
        </w:tc>
        <w:tc>
          <w:tcPr>
            <w:tcW w:w="1140" w:type="dxa"/>
            <w:vAlign w:val="bottom"/>
            <w:tcBorders>
              <w:bottom w:val="single" w:sz="8" w:color="0000EE"/>
            </w:tcBorders>
            <w:gridSpan w:val="2"/>
          </w:tcPr>
          <w:p>
            <w:pPr>
              <w:spacing w:after="0" w:line="20" w:lineRule="exact"/>
              <w:rPr>
                <w:sz w:val="1"/>
                <w:szCs w:val="1"/>
                <w:color w:val="auto"/>
              </w:rPr>
            </w:pPr>
          </w:p>
        </w:tc>
        <w:tc>
          <w:tcPr>
            <w:tcW w:w="54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60" w:type="dxa"/>
            <w:vAlign w:val="bottom"/>
            <w:gridSpan w:val="18"/>
          </w:tcPr>
          <w:p>
            <w:pPr>
              <w:spacing w:after="0" w:line="183" w:lineRule="exact"/>
              <w:rPr>
                <w:rFonts w:ascii="Arial" w:cs="Arial" w:eastAsia="Arial" w:hAnsi="Arial"/>
                <w:sz w:val="18"/>
                <w:szCs w:val="18"/>
                <w:color w:val="0000EE"/>
              </w:rPr>
            </w:pPr>
            <w:hyperlink r:id="rId54">
              <w:r>
                <w:rPr>
                  <w:rFonts w:ascii="Arial" w:cs="Arial" w:eastAsia="Arial" w:hAnsi="Arial"/>
                  <w:sz w:val="18"/>
                  <w:szCs w:val="18"/>
                  <w:color w:val="0000EE"/>
                </w:rPr>
                <w:t>incorporated herein by reference).</w:t>
              </w:r>
            </w:hyperlink>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ind w:left="340"/>
              <w:spacing w:after="0"/>
              <w:rPr>
                <w:sz w:val="20"/>
                <w:szCs w:val="20"/>
                <w:color w:val="auto"/>
              </w:rPr>
            </w:pPr>
            <w:r>
              <w:rPr>
                <w:rFonts w:ascii="Arial" w:cs="Arial" w:eastAsia="Arial" w:hAnsi="Arial"/>
                <w:sz w:val="18"/>
                <w:szCs w:val="18"/>
                <w:color w:val="auto"/>
              </w:rPr>
              <w:t>4.5</w:t>
            </w:r>
          </w:p>
        </w:tc>
        <w:tc>
          <w:tcPr>
            <w:tcW w:w="10060" w:type="dxa"/>
            <w:vAlign w:val="bottom"/>
            <w:gridSpan w:val="19"/>
          </w:tcPr>
          <w:p>
            <w:pPr>
              <w:ind w:left="32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54">
              <w:r>
                <w:rPr>
                  <w:rFonts w:ascii="Arial" w:cs="Arial" w:eastAsia="Arial" w:hAnsi="Arial"/>
                  <w:sz w:val="18"/>
                  <w:szCs w:val="18"/>
                  <w:color w:val="0000EE"/>
                  <w:w w:val="95"/>
                </w:rPr>
                <w:t>Form of Warrant (filed as Exhibit 4.8 to Hercules’ Form 8-K filed on July 28, 1999 (SEC File No. 001-00496), and incorporated</w:t>
              </w:r>
            </w:hyperlink>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herein by reference).</w:t>
              </w:r>
            </w:hyperlink>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ind w:left="340"/>
              <w:spacing w:after="0"/>
              <w:rPr>
                <w:sz w:val="20"/>
                <w:szCs w:val="20"/>
                <w:color w:val="auto"/>
              </w:rPr>
            </w:pPr>
            <w:r>
              <w:rPr>
                <w:rFonts w:ascii="Arial" w:cs="Arial" w:eastAsia="Arial" w:hAnsi="Arial"/>
                <w:sz w:val="18"/>
                <w:szCs w:val="18"/>
                <w:color w:val="auto"/>
              </w:rPr>
              <w:t>4.6</w:t>
            </w:r>
          </w:p>
        </w:tc>
        <w:tc>
          <w:tcPr>
            <w:tcW w:w="10060" w:type="dxa"/>
            <w:vAlign w:val="bottom"/>
            <w:gridSpan w:val="19"/>
          </w:tcPr>
          <w:p>
            <w:pPr>
              <w:ind w:left="32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55">
              <w:r>
                <w:rPr>
                  <w:rFonts w:ascii="Arial" w:cs="Arial" w:eastAsia="Arial" w:hAnsi="Arial"/>
                  <w:sz w:val="18"/>
                  <w:szCs w:val="18"/>
                  <w:color w:val="0000EE"/>
                  <w:w w:val="95"/>
                </w:rPr>
                <w:t>Form of</w:t>
              </w:r>
              <w:r>
                <w:rPr>
                  <w:rFonts w:ascii="Arial" w:cs="Arial" w:eastAsia="Arial" w:hAnsi="Arial"/>
                  <w:sz w:val="18"/>
                  <w:szCs w:val="18"/>
                  <w:color w:val="auto"/>
                  <w:w w:val="95"/>
                </w:rPr>
                <w:t xml:space="preserve"> </w:t>
              </w:r>
              <w:r>
                <w:rPr>
                  <w:rFonts w:ascii="Arial" w:cs="Arial" w:eastAsia="Arial" w:hAnsi="Arial"/>
                  <w:sz w:val="18"/>
                  <w:szCs w:val="18"/>
                  <w:u w:val="single" w:color="auto"/>
                  <w:color w:val="0000EE"/>
                  <w:w w:val="95"/>
                </w:rPr>
                <w:t>$</w:t>
              </w:r>
              <w:r>
                <w:rPr>
                  <w:rFonts w:ascii="Arial" w:cs="Arial" w:eastAsia="Arial" w:hAnsi="Arial"/>
                  <w:sz w:val="18"/>
                  <w:szCs w:val="18"/>
                  <w:color w:val="0000EE"/>
                  <w:w w:val="95"/>
                </w:rPr>
                <w:t>100,000,000 6.6% Debenture due August 27, 2027 (filed as Exhibit 4.2 to Hercules’ Form 8-K filed on July 30, 1997</w:t>
              </w:r>
            </w:hyperlink>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(SEC File No. 001-00496), and incorporated herein by reference).</w:t>
              </w:r>
            </w:hyperlink>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ind w:left="340"/>
              <w:spacing w:after="0"/>
              <w:rPr>
                <w:sz w:val="20"/>
                <w:szCs w:val="20"/>
                <w:color w:val="auto"/>
              </w:rPr>
            </w:pPr>
            <w:r>
              <w:rPr>
                <w:rFonts w:ascii="Arial" w:cs="Arial" w:eastAsia="Arial" w:hAnsi="Arial"/>
                <w:sz w:val="18"/>
                <w:szCs w:val="18"/>
                <w:color w:val="auto"/>
              </w:rPr>
              <w:t>4.7</w:t>
            </w:r>
          </w:p>
        </w:tc>
        <w:tc>
          <w:tcPr>
            <w:tcW w:w="10060" w:type="dxa"/>
            <w:vAlign w:val="bottom"/>
            <w:gridSpan w:val="19"/>
          </w:tcPr>
          <w:p>
            <w:pPr>
              <w:ind w:left="32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56">
              <w:r>
                <w:rPr>
                  <w:rFonts w:ascii="Arial" w:cs="Arial" w:eastAsia="Arial" w:hAnsi="Arial"/>
                  <w:sz w:val="18"/>
                  <w:szCs w:val="18"/>
                  <w:color w:val="0000EE"/>
                  <w:w w:val="95"/>
                </w:rPr>
                <w:t>Indenture, dated as of August 7, 2012, between Ashland Inc. and U.S. Bank N.A., as Trustee (filed as Exhibit 4.1 to Ashland’s</w:t>
              </w:r>
            </w:hyperlink>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Form 8-K filed on September 21, 2012 (SEC File No. 001-32532), and incorporated herein by reference).</w:t>
              </w:r>
            </w:hyperlink>
          </w:p>
        </w:tc>
        <w:tc>
          <w:tcPr>
            <w:tcW w:w="1860" w:type="dxa"/>
            <w:vAlign w:val="bottom"/>
            <w:tcBorders>
              <w:top w:val="single" w:sz="8" w:color="0000EE"/>
            </w:tcBorders>
            <w:gridSpan w:val="5"/>
          </w:tcPr>
          <w:p>
            <w:pPr>
              <w:spacing w:after="0"/>
              <w:rPr>
                <w:sz w:val="17"/>
                <w:szCs w:val="17"/>
                <w:color w:val="auto"/>
              </w:rPr>
            </w:pPr>
          </w:p>
        </w:tc>
      </w:tr>
      <w:tr>
        <w:trPr>
          <w:trHeight w:val="318"/>
        </w:trPr>
        <w:tc>
          <w:tcPr>
            <w:tcW w:w="1360" w:type="dxa"/>
            <w:vAlign w:val="bottom"/>
          </w:tcPr>
          <w:p>
            <w:pPr>
              <w:ind w:left="340"/>
              <w:spacing w:after="0"/>
              <w:rPr>
                <w:sz w:val="20"/>
                <w:szCs w:val="20"/>
                <w:color w:val="auto"/>
              </w:rPr>
            </w:pPr>
            <w:r>
              <w:rPr>
                <w:rFonts w:ascii="Arial" w:cs="Arial" w:eastAsia="Arial" w:hAnsi="Arial"/>
                <w:sz w:val="18"/>
                <w:szCs w:val="18"/>
                <w:color w:val="auto"/>
              </w:rPr>
              <w:t>4.8</w:t>
            </w:r>
          </w:p>
        </w:tc>
        <w:tc>
          <w:tcPr>
            <w:tcW w:w="10060" w:type="dxa"/>
            <w:vAlign w:val="bottom"/>
            <w:gridSpan w:val="19"/>
          </w:tcPr>
          <w:p>
            <w:pPr>
              <w:ind w:left="32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57">
              <w:r>
                <w:rPr>
                  <w:rFonts w:ascii="Arial" w:cs="Arial" w:eastAsia="Arial" w:hAnsi="Arial"/>
                  <w:sz w:val="18"/>
                  <w:szCs w:val="18"/>
                  <w:color w:val="0000EE"/>
                  <w:w w:val="96"/>
                </w:rPr>
                <w:t>First Supplemental Indenture, dated as of February 26, 2013, between Ashland Inc. and U.S. Bank National Association, as</w:t>
              </w:r>
            </w:hyperlink>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Trustee, in respect of the senior notes due 2022 (filed as Exhibit 4.11 to Ashland’s Form 10-K for the fiscal year ended September</w:t>
              </w:r>
            </w:hyperlink>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18"/>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30, 2013 (SEC File No. 001-32532), and incorporated herein by reference).</w:t>
              </w:r>
            </w:hyperlink>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ind w:left="340"/>
              <w:spacing w:after="0"/>
              <w:rPr>
                <w:sz w:val="20"/>
                <w:szCs w:val="20"/>
                <w:color w:val="auto"/>
              </w:rPr>
            </w:pPr>
            <w:r>
              <w:rPr>
                <w:rFonts w:ascii="Arial" w:cs="Arial" w:eastAsia="Arial" w:hAnsi="Arial"/>
                <w:sz w:val="18"/>
                <w:szCs w:val="18"/>
                <w:color w:val="auto"/>
              </w:rPr>
              <w:t>4.9</w:t>
            </w:r>
          </w:p>
        </w:tc>
        <w:tc>
          <w:tcPr>
            <w:tcW w:w="10060" w:type="dxa"/>
            <w:vAlign w:val="bottom"/>
            <w:gridSpan w:val="19"/>
          </w:tcPr>
          <w:p>
            <w:pPr>
              <w:ind w:left="3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58">
              <w:r>
                <w:rPr>
                  <w:rFonts w:ascii="Arial" w:cs="Arial" w:eastAsia="Arial" w:hAnsi="Arial"/>
                  <w:sz w:val="18"/>
                  <w:szCs w:val="18"/>
                  <w:color w:val="0000EE"/>
                  <w:w w:val="93"/>
                </w:rPr>
                <w:t>Indenture, dated as of February 26, 2013, between Ashland Inc. and U.S. Bank National Association, as Trustee (filed as Exhibit</w:t>
              </w:r>
            </w:hyperlink>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top w:val="single" w:sz="8" w:color="0000EE"/>
            </w:tcBorders>
            <w:gridSpan w:val="18"/>
          </w:tcPr>
          <w:p>
            <w:pPr>
              <w:spacing w:after="0" w:line="196" w:lineRule="exact"/>
              <w:rPr>
                <w:rFonts w:ascii="Arial" w:cs="Arial" w:eastAsia="Arial" w:hAnsi="Arial"/>
                <w:sz w:val="18"/>
                <w:szCs w:val="18"/>
                <w:color w:val="0000EE"/>
                <w:w w:val="98"/>
              </w:rPr>
            </w:pPr>
            <w:hyperlink r:id="rId58">
              <w:r>
                <w:rPr>
                  <w:rFonts w:ascii="Arial" w:cs="Arial" w:eastAsia="Arial" w:hAnsi="Arial"/>
                  <w:sz w:val="18"/>
                  <w:szCs w:val="18"/>
                  <w:color w:val="0000EE"/>
                  <w:w w:val="98"/>
                </w:rPr>
                <w:t>4.</w:t>
              </w:r>
              <w:r>
                <w:rPr>
                  <w:rFonts w:ascii="Arial" w:cs="Arial" w:eastAsia="Arial" w:hAnsi="Arial"/>
                  <w:sz w:val="18"/>
                  <w:szCs w:val="18"/>
                  <w:u w:val="single" w:color="auto"/>
                  <w:color w:val="0000EE"/>
                  <w:w w:val="98"/>
                </w:rPr>
                <w:t>3</w:t>
              </w:r>
              <w:r>
                <w:rPr>
                  <w:rFonts w:ascii="Arial" w:cs="Arial" w:eastAsia="Arial" w:hAnsi="Arial"/>
                  <w:sz w:val="18"/>
                  <w:szCs w:val="18"/>
                  <w:color w:val="0000EE"/>
                  <w:w w:val="98"/>
                </w:rPr>
                <w:t xml:space="preserve"> to Ashland’s Form 8-K filed on February 27, 2013 (SEC File No. 001- 32532), and incorporated herein by reference).</w:t>
              </w:r>
            </w:hyperlink>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60" w:type="dxa"/>
            <w:vAlign w:val="bottom"/>
            <w:gridSpan w:val="6"/>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ind w:left="340"/>
              <w:spacing w:after="0"/>
              <w:rPr>
                <w:sz w:val="20"/>
                <w:szCs w:val="20"/>
                <w:color w:val="auto"/>
              </w:rPr>
            </w:pPr>
            <w:r>
              <w:rPr>
                <w:rFonts w:ascii="Arial" w:cs="Arial" w:eastAsia="Arial" w:hAnsi="Arial"/>
                <w:sz w:val="18"/>
                <w:szCs w:val="18"/>
                <w:color w:val="auto"/>
              </w:rPr>
              <w:t>4.10</w:t>
            </w:r>
          </w:p>
        </w:tc>
        <w:tc>
          <w:tcPr>
            <w:tcW w:w="10060" w:type="dxa"/>
            <w:vAlign w:val="bottom"/>
            <w:gridSpan w:val="19"/>
          </w:tcPr>
          <w:p>
            <w:pPr>
              <w:ind w:left="32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59">
              <w:r>
                <w:rPr>
                  <w:rFonts w:ascii="Arial" w:cs="Arial" w:eastAsia="Arial" w:hAnsi="Arial"/>
                  <w:sz w:val="18"/>
                  <w:szCs w:val="18"/>
                  <w:color w:val="0000EE"/>
                  <w:w w:val="96"/>
                </w:rPr>
                <w:t>First Supplemental Indenture, dated as of February 26, 2013, between Ashland Inc. and U.S. Bank National Association, as</w:t>
              </w:r>
            </w:hyperlink>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18"/>
          </w:tcPr>
          <w:p>
            <w:pPr>
              <w:spacing w:after="0" w:line="19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Trustee, in respect of the senior notes due 2016, 2018 and 2043 (filed as Exhibit 4.4 to Ashland’s Form 8-K filed on February 27,</w:t>
              </w:r>
            </w:hyperlink>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2013 (SEC File No. 001-32532), and incorporated herein by reference).</w:t>
              </w:r>
            </w:hyperlink>
          </w:p>
        </w:tc>
        <w:tc>
          <w:tcPr>
            <w:tcW w:w="428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60" w:type="dxa"/>
            <w:vAlign w:val="bottom"/>
          </w:tcPr>
          <w:p>
            <w:pPr>
              <w:ind w:left="340"/>
              <w:spacing w:after="0"/>
              <w:rPr>
                <w:sz w:val="20"/>
                <w:szCs w:val="20"/>
                <w:color w:val="auto"/>
              </w:rPr>
            </w:pPr>
            <w:r>
              <w:rPr>
                <w:rFonts w:ascii="Arial" w:cs="Arial" w:eastAsia="Arial" w:hAnsi="Arial"/>
                <w:sz w:val="18"/>
                <w:szCs w:val="18"/>
                <w:color w:val="auto"/>
              </w:rPr>
              <w:t>4.11</w:t>
            </w:r>
          </w:p>
        </w:tc>
        <w:tc>
          <w:tcPr>
            <w:tcW w:w="10060" w:type="dxa"/>
            <w:vAlign w:val="bottom"/>
            <w:gridSpan w:val="19"/>
          </w:tcPr>
          <w:p>
            <w:pPr>
              <w:ind w:left="32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60">
              <w:r>
                <w:rPr>
                  <w:rFonts w:ascii="Arial" w:cs="Arial" w:eastAsia="Arial" w:hAnsi="Arial"/>
                  <w:sz w:val="18"/>
                  <w:szCs w:val="18"/>
                  <w:color w:val="0000EE"/>
                  <w:w w:val="96"/>
                </w:rPr>
                <w:t>Second Supplemental Indenture, dated as of March 14, 2013, between Ashland Inc. and U.S. Bank National Association, as</w:t>
              </w:r>
            </w:hyperlink>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top w:val="single" w:sz="8" w:color="0000EE"/>
            </w:tcBorders>
            <w:gridSpan w:val="18"/>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Trustee, in respect of the senior notes due 2043 (filed as Exhibit 4.2 to Ashland’s Form 8-K filed on March 18, 2013 (SEC File No.</w:t>
              </w:r>
            </w:hyperlink>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60">
              <w:r>
                <w:rPr>
                  <w:rFonts w:ascii="Arial" w:cs="Arial" w:eastAsia="Arial" w:hAnsi="Arial"/>
                  <w:sz w:val="18"/>
                  <w:szCs w:val="18"/>
                  <w:color w:val="0000EE"/>
                  <w:w w:val="89"/>
                </w:rPr>
                <w:t>001-32532), and incorporated herein by reference).</w:t>
              </w:r>
            </w:hyperlink>
          </w:p>
        </w:tc>
        <w:tc>
          <w:tcPr>
            <w:tcW w:w="576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60" w:type="dxa"/>
            <w:vAlign w:val="bottom"/>
          </w:tcPr>
          <w:p>
            <w:pPr>
              <w:ind w:left="340"/>
              <w:spacing w:after="0"/>
              <w:rPr>
                <w:sz w:val="20"/>
                <w:szCs w:val="20"/>
                <w:color w:val="auto"/>
              </w:rPr>
            </w:pPr>
            <w:r>
              <w:rPr>
                <w:rFonts w:ascii="Arial" w:cs="Arial" w:eastAsia="Arial" w:hAnsi="Arial"/>
                <w:sz w:val="18"/>
                <w:szCs w:val="18"/>
                <w:color w:val="auto"/>
              </w:rPr>
              <w:t>4.12</w:t>
            </w:r>
          </w:p>
        </w:tc>
        <w:tc>
          <w:tcPr>
            <w:tcW w:w="10060" w:type="dxa"/>
            <w:vAlign w:val="bottom"/>
            <w:gridSpan w:val="19"/>
          </w:tcPr>
          <w:p>
            <w:pPr>
              <w:ind w:left="32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61">
              <w:r>
                <w:rPr>
                  <w:rFonts w:ascii="Arial" w:cs="Arial" w:eastAsia="Arial" w:hAnsi="Arial"/>
                  <w:sz w:val="18"/>
                  <w:szCs w:val="18"/>
                  <w:color w:val="0000EE"/>
                  <w:w w:val="97"/>
                </w:rPr>
                <w:t>Second Supplemental Indenture dated October 19, 2016, among Ashland LLC, Ashland Global Holdings Inc. and US Bank</w:t>
              </w:r>
            </w:hyperlink>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National Association, to the Indenture dated as of August 7, 2012 between Ashland LLC and US Bank National Association (filed</w:t>
              </w:r>
            </w:hyperlink>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bottom w:val="single" w:sz="8" w:color="0000EE"/>
            </w:tcBorders>
            <w:gridSpan w:val="18"/>
          </w:tcPr>
          <w:p>
            <w:pPr>
              <w:spacing w:after="0" w:line="196" w:lineRule="exact"/>
              <w:rPr>
                <w:rFonts w:ascii="Arial" w:cs="Arial" w:eastAsia="Arial" w:hAnsi="Arial"/>
                <w:sz w:val="18"/>
                <w:szCs w:val="18"/>
                <w:color w:val="0000EE"/>
                <w:w w:val="99"/>
              </w:rPr>
            </w:pPr>
            <w:hyperlink r:id="rId61">
              <w:r>
                <w:rPr>
                  <w:rFonts w:ascii="Arial" w:cs="Arial" w:eastAsia="Arial" w:hAnsi="Arial"/>
                  <w:sz w:val="18"/>
                  <w:szCs w:val="18"/>
                  <w:color w:val="0000EE"/>
                  <w:w w:val="99"/>
                </w:rPr>
                <w:t>as Exhibit 4.1 to Ashland’s Form 8-K filed on October 20, 2016 (SEC File No. 333-211719), and incorporated herein by</w:t>
              </w:r>
            </w:hyperlink>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18"/>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reference).</w:t>
              </w:r>
            </w:hyperlink>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18"/>
        </w:trPr>
        <w:tc>
          <w:tcPr>
            <w:tcW w:w="1360" w:type="dxa"/>
            <w:vAlign w:val="bottom"/>
          </w:tcPr>
          <w:p>
            <w:pPr>
              <w:ind w:left="340"/>
              <w:spacing w:after="0"/>
              <w:rPr>
                <w:sz w:val="20"/>
                <w:szCs w:val="20"/>
                <w:color w:val="auto"/>
              </w:rPr>
            </w:pPr>
            <w:r>
              <w:rPr>
                <w:rFonts w:ascii="Arial" w:cs="Arial" w:eastAsia="Arial" w:hAnsi="Arial"/>
                <w:sz w:val="18"/>
                <w:szCs w:val="18"/>
                <w:color w:val="auto"/>
              </w:rPr>
              <w:t>4.13</w:t>
            </w:r>
          </w:p>
        </w:tc>
        <w:tc>
          <w:tcPr>
            <w:tcW w:w="10060" w:type="dxa"/>
            <w:vAlign w:val="bottom"/>
            <w:gridSpan w:val="19"/>
          </w:tcPr>
          <w:p>
            <w:pPr>
              <w:ind w:left="32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62">
              <w:r>
                <w:rPr>
                  <w:rFonts w:ascii="Arial" w:cs="Arial" w:eastAsia="Arial" w:hAnsi="Arial"/>
                  <w:sz w:val="18"/>
                  <w:szCs w:val="18"/>
                  <w:color w:val="0000EE"/>
                  <w:w w:val="92"/>
                </w:rPr>
                <w:t>Third Supplemental Indenture dated October 19, 2016, among Ashland LLC, Ashland Global Holdings Inc. and US Bank National</w:t>
              </w:r>
            </w:hyperlink>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4"/>
              </w:rPr>
            </w:pPr>
            <w:hyperlink r:id="rId62">
              <w:r>
                <w:rPr>
                  <w:rFonts w:ascii="Arial" w:cs="Arial" w:eastAsia="Arial" w:hAnsi="Arial"/>
                  <w:sz w:val="18"/>
                  <w:szCs w:val="18"/>
                  <w:color w:val="0000EE"/>
                  <w:w w:val="94"/>
                </w:rPr>
                <w:t>Association, to the Indenture dated as of February 27, 2013 between Ashland LLC and US Bank National Association (filed as</w:t>
              </w:r>
            </w:hyperlink>
          </w:p>
        </w:tc>
      </w:tr>
      <w:tr>
        <w:trPr>
          <w:trHeight w:val="196"/>
        </w:trPr>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18"/>
          </w:tcPr>
          <w:p>
            <w:pPr>
              <w:spacing w:after="0" w:line="196" w:lineRule="exact"/>
              <w:rPr>
                <w:rFonts w:ascii="Arial" w:cs="Arial" w:eastAsia="Arial" w:hAnsi="Arial"/>
                <w:sz w:val="18"/>
                <w:szCs w:val="18"/>
                <w:color w:val="0000EE"/>
                <w:w w:val="93"/>
              </w:rPr>
            </w:pPr>
            <w:hyperlink r:id="rId62">
              <w:r>
                <w:rPr>
                  <w:rFonts w:ascii="Arial" w:cs="Arial" w:eastAsia="Arial" w:hAnsi="Arial"/>
                  <w:sz w:val="18"/>
                  <w:szCs w:val="18"/>
                  <w:color w:val="0000EE"/>
                  <w:w w:val="93"/>
                </w:rPr>
                <w:t>Exhibit 4.2 to Ashland’s Form 8-K filed on October 20, 2016 (SEC File No. 333-211719), and incorporated herein by reference).</w:t>
              </w:r>
            </w:hyperlink>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5900" w:type="dxa"/>
            <w:vAlign w:val="bottom"/>
            <w:gridSpan w:val="8"/>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18"/>
        </w:trPr>
        <w:tc>
          <w:tcPr>
            <w:tcW w:w="1360" w:type="dxa"/>
            <w:vAlign w:val="bottom"/>
          </w:tcPr>
          <w:p>
            <w:pPr>
              <w:ind w:left="340"/>
              <w:spacing w:after="0"/>
              <w:rPr>
                <w:sz w:val="20"/>
                <w:szCs w:val="20"/>
                <w:color w:val="auto"/>
              </w:rPr>
            </w:pPr>
            <w:r>
              <w:rPr>
                <w:rFonts w:ascii="Arial" w:cs="Arial" w:eastAsia="Arial" w:hAnsi="Arial"/>
                <w:sz w:val="18"/>
                <w:szCs w:val="18"/>
                <w:color w:val="auto"/>
              </w:rPr>
              <w:t>4.14(a)**</w:t>
            </w:r>
          </w:p>
        </w:tc>
        <w:tc>
          <w:tcPr>
            <w:tcW w:w="10060" w:type="dxa"/>
            <w:vAlign w:val="bottom"/>
            <w:gridSpan w:val="19"/>
          </w:tcPr>
          <w:p>
            <w:pPr>
              <w:ind w:left="3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49">
              <w:r>
                <w:rPr>
                  <w:rFonts w:ascii="Arial" w:cs="Arial" w:eastAsia="Arial" w:hAnsi="Arial"/>
                  <w:sz w:val="18"/>
                  <w:szCs w:val="18"/>
                  <w:color w:val="0000EE"/>
                </w:rPr>
                <w:t>Description of Capital Stock.</w:t>
              </w:r>
            </w:hyperlink>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80" w:type="dxa"/>
            <w:vAlign w:val="bottom"/>
            <w:gridSpan w:val="10"/>
          </w:tcPr>
          <w:p>
            <w:pPr>
              <w:spacing w:after="0" w:line="20" w:lineRule="exact"/>
              <w:rPr>
                <w:sz w:val="1"/>
                <w:szCs w:val="1"/>
                <w:color w:val="auto"/>
              </w:rPr>
            </w:pPr>
          </w:p>
        </w:tc>
      </w:tr>
      <w:tr>
        <w:trPr>
          <w:trHeight w:val="412"/>
        </w:trPr>
        <w:tc>
          <w:tcPr>
            <w:tcW w:w="1360" w:type="dxa"/>
            <w:vAlign w:val="bottom"/>
          </w:tcPr>
          <w:p>
            <w:pPr>
              <w:ind w:left="340"/>
              <w:spacing w:after="0"/>
              <w:rPr>
                <w:sz w:val="20"/>
                <w:szCs w:val="20"/>
                <w:color w:val="auto"/>
              </w:rPr>
            </w:pPr>
            <w:r>
              <w:rPr>
                <w:rFonts w:ascii="Arial" w:cs="Arial" w:eastAsia="Arial" w:hAnsi="Arial"/>
                <w:sz w:val="18"/>
                <w:szCs w:val="18"/>
                <w:color w:val="auto"/>
              </w:rPr>
              <w:t>4.14(b)**</w:t>
            </w:r>
          </w:p>
        </w:tc>
        <w:tc>
          <w:tcPr>
            <w:tcW w:w="10060" w:type="dxa"/>
            <w:vAlign w:val="bottom"/>
            <w:gridSpan w:val="19"/>
          </w:tcPr>
          <w:p>
            <w:pPr>
              <w:ind w:left="3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53">
              <w:r>
                <w:rPr>
                  <w:rFonts w:ascii="Arial" w:cs="Arial" w:eastAsia="Arial" w:hAnsi="Arial"/>
                  <w:sz w:val="18"/>
                  <w:szCs w:val="18"/>
                  <w:color w:val="0000EE"/>
                </w:rPr>
                <w:t>Description of 6.875% Senior Notes due 2043.</w:t>
              </w:r>
            </w:hyperlink>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80" w:type="dxa"/>
            <w:vAlign w:val="bottom"/>
            <w:tcBorders>
              <w:right w:val="single" w:sz="8" w:color="0000EE"/>
            </w:tcBorders>
            <w:gridSpan w:val="8"/>
            <w:shd w:val="clear" w:color="auto" w:fill="0000EE"/>
          </w:tcPr>
          <w:p>
            <w:pPr>
              <w:spacing w:after="0" w:line="20" w:lineRule="exact"/>
              <w:rPr>
                <w:sz w:val="1"/>
                <w:szCs w:val="1"/>
                <w:color w:val="auto"/>
              </w:rPr>
            </w:pPr>
          </w:p>
        </w:tc>
        <w:tc>
          <w:tcPr>
            <w:tcW w:w="6080" w:type="dxa"/>
            <w:vAlign w:val="bottom"/>
            <w:gridSpan w:val="10"/>
          </w:tcPr>
          <w:p>
            <w:pPr>
              <w:spacing w:after="0" w:line="20" w:lineRule="exact"/>
              <w:rPr>
                <w:sz w:val="1"/>
                <w:szCs w:val="1"/>
                <w:color w:val="auto"/>
              </w:rPr>
            </w:pPr>
          </w:p>
        </w:tc>
      </w:tr>
      <w:tr>
        <w:trPr>
          <w:trHeight w:val="412"/>
        </w:trPr>
        <w:tc>
          <w:tcPr>
            <w:tcW w:w="1360" w:type="dxa"/>
            <w:vAlign w:val="bottom"/>
          </w:tcPr>
          <w:p>
            <w:pPr>
              <w:ind w:left="340"/>
              <w:spacing w:after="0"/>
              <w:rPr>
                <w:sz w:val="20"/>
                <w:szCs w:val="20"/>
                <w:color w:val="auto"/>
              </w:rPr>
            </w:pPr>
            <w:r>
              <w:rPr>
                <w:rFonts w:ascii="Arial" w:cs="Arial" w:eastAsia="Arial" w:hAnsi="Arial"/>
                <w:sz w:val="18"/>
                <w:szCs w:val="18"/>
                <w:color w:val="auto"/>
              </w:rPr>
              <w:t>4.14(c)**</w:t>
            </w:r>
          </w:p>
        </w:tc>
        <w:tc>
          <w:tcPr>
            <w:tcW w:w="10060" w:type="dxa"/>
            <w:vAlign w:val="bottom"/>
            <w:gridSpan w:val="19"/>
          </w:tcPr>
          <w:p>
            <w:pPr>
              <w:ind w:left="3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68">
              <w:r>
                <w:rPr>
                  <w:rFonts w:ascii="Arial" w:cs="Arial" w:eastAsia="Arial" w:hAnsi="Arial"/>
                  <w:sz w:val="18"/>
                  <w:szCs w:val="18"/>
                  <w:color w:val="0000EE"/>
                </w:rPr>
                <w:t>Description of 4.750% Senior Notes due 2022.</w:t>
              </w:r>
            </w:hyperlink>
          </w:p>
        </w:tc>
      </w:tr>
      <w:tr>
        <w:trPr>
          <w:trHeight w:val="588"/>
        </w:trPr>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80" w:type="dxa"/>
            <w:vAlign w:val="bottom"/>
            <w:tcBorders>
              <w:top w:val="single" w:sz="8" w:color="0000EE"/>
            </w:tcBorders>
            <w:gridSpan w:val="8"/>
          </w:tcPr>
          <w:p>
            <w:pPr>
              <w:spacing w:after="0"/>
              <w:rPr>
                <w:sz w:val="24"/>
                <w:szCs w:val="24"/>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9" w:name="page30"/>
    <w:bookmarkEnd w:id="29"/>
    <w:p>
      <w:pPr>
        <w:ind w:firstLine="401"/>
        <w:spacing w:after="0" w:line="277" w:lineRule="auto"/>
        <w:rPr>
          <w:sz w:val="20"/>
          <w:szCs w:val="20"/>
          <w:color w:val="auto"/>
        </w:rPr>
      </w:pPr>
      <w:r>
        <w:rPr>
          <w:rFonts w:ascii="Arial" w:cs="Arial" w:eastAsia="Arial" w:hAnsi="Arial"/>
          <w:sz w:val="18"/>
          <w:szCs w:val="18"/>
          <w:color w:val="auto"/>
        </w:rPr>
        <w:t>The following Exhibits 10.1 through 10.45 are contracts or compensatory plans or arrangements or management contracts required to be filed as exhibits pursuant to Items 601(b)(10)(ii)(A) and 601(b)(10)(iii)(A) and (B) of Regulation S-K.</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ind w:left="340"/>
              <w:spacing w:after="0"/>
              <w:rPr>
                <w:sz w:val="20"/>
                <w:szCs w:val="20"/>
                <w:color w:val="auto"/>
              </w:rPr>
            </w:pPr>
            <w:r>
              <w:rPr>
                <w:rFonts w:ascii="Arial" w:cs="Arial" w:eastAsia="Arial" w:hAnsi="Arial"/>
                <w:sz w:val="18"/>
                <w:szCs w:val="18"/>
                <w:color w:val="auto"/>
              </w:rPr>
              <w:t>10.1</w:t>
            </w:r>
          </w:p>
        </w:tc>
        <w:tc>
          <w:tcPr>
            <w:tcW w:w="10220" w:type="dxa"/>
            <w:vAlign w:val="bottom"/>
            <w:gridSpan w:val="17"/>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65">
              <w:r>
                <w:rPr>
                  <w:rFonts w:ascii="Arial" w:cs="Arial" w:eastAsia="Arial" w:hAnsi="Arial"/>
                  <w:sz w:val="18"/>
                  <w:szCs w:val="18"/>
                  <w:color w:val="0000EE"/>
                  <w:w w:val="93"/>
                </w:rPr>
                <w:t>Ashland Inc. Deferred Compensation Plan for Non-Employee Directors and Amendment No. 1 (filed as Exhibit 10.5 to Ashland’s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Arial" w:cs="Arial" w:eastAsia="Arial" w:hAnsi="Arial"/>
                <w:sz w:val="18"/>
                <w:szCs w:val="18"/>
                <w:color w:val="0000EE"/>
                <w:w w:val="99"/>
              </w:rPr>
            </w:pPr>
            <w:hyperlink r:id="rId65">
              <w:r>
                <w:rPr>
                  <w:rFonts w:ascii="Arial" w:cs="Arial" w:eastAsia="Arial" w:hAnsi="Arial"/>
                  <w:sz w:val="18"/>
                  <w:szCs w:val="18"/>
                  <w:color w:val="0000EE"/>
                  <w:w w:val="99"/>
                </w:rPr>
                <w:t>Form 10-Q for the quarter ended December 31, 2004 (SEC File No. 001-02918),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10.2</w:t>
            </w:r>
          </w:p>
        </w:tc>
        <w:tc>
          <w:tcPr>
            <w:tcW w:w="10220" w:type="dxa"/>
            <w:vAlign w:val="bottom"/>
            <w:gridSpan w:val="17"/>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66">
              <w:r>
                <w:rPr>
                  <w:rFonts w:ascii="Arial" w:cs="Arial" w:eastAsia="Arial" w:hAnsi="Arial"/>
                  <w:sz w:val="18"/>
                  <w:szCs w:val="18"/>
                  <w:color w:val="0000EE"/>
                  <w:w w:val="95"/>
                </w:rPr>
                <w:t>Ashland Inc. Deferred Compensation Plan and Amendment No. 1 (filed as Exhibit 10.3 to Ashland’s Form 10-Q for the quarter</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ended December 31, 2004 (SEC File No. 001-02918),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10.3</w:t>
            </w:r>
          </w:p>
        </w:tc>
        <w:tc>
          <w:tcPr>
            <w:tcW w:w="10220" w:type="dxa"/>
            <w:vAlign w:val="bottom"/>
            <w:gridSpan w:val="17"/>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67">
              <w:r>
                <w:rPr>
                  <w:rFonts w:ascii="Arial" w:cs="Arial" w:eastAsia="Arial" w:hAnsi="Arial"/>
                  <w:sz w:val="18"/>
                  <w:szCs w:val="18"/>
                  <w:color w:val="0000EE"/>
                  <w:w w:val="93"/>
                </w:rPr>
                <w:t>Amended and Restated Ashland Global Holdings Inc. Deferred Compensation Plan for Employees (2005) effective as of January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3"/>
              </w:rPr>
            </w:pPr>
            <w:hyperlink r:id="rId67">
              <w:r>
                <w:rPr>
                  <w:rFonts w:ascii="Arial" w:cs="Arial" w:eastAsia="Arial" w:hAnsi="Arial"/>
                  <w:sz w:val="18"/>
                  <w:szCs w:val="18"/>
                  <w:color w:val="0000EE"/>
                  <w:w w:val="93"/>
                </w:rPr>
                <w:t>1, 2017 (filed as Exhibit 10.3 to Ashland’s Form 10-K for the fiscal year ended September 30, 2016 (SEC File No. 333-211719),</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6"/>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and incorporated by reference herein).</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10.4</w:t>
            </w:r>
          </w:p>
        </w:tc>
        <w:tc>
          <w:tcPr>
            <w:tcW w:w="10220" w:type="dxa"/>
            <w:vAlign w:val="bottom"/>
            <w:gridSpan w:val="17"/>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68">
              <w:r>
                <w:rPr>
                  <w:rFonts w:ascii="Arial" w:cs="Arial" w:eastAsia="Arial" w:hAnsi="Arial"/>
                  <w:sz w:val="18"/>
                  <w:szCs w:val="18"/>
                  <w:color w:val="0000EE"/>
                  <w:w w:val="95"/>
                </w:rPr>
                <w:t>Amended and Restated Ashland Inc. Deferred Compensation Plan for Non-Employee Directors (2005) (filed as Exhibit 10.4 to</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r:id="rId68">
              <w:r>
                <w:rPr>
                  <w:rFonts w:ascii="Arial" w:cs="Arial" w:eastAsia="Arial" w:hAnsi="Arial"/>
                  <w:sz w:val="18"/>
                  <w:szCs w:val="18"/>
                  <w:color w:val="0000EE"/>
                  <w:w w:val="97"/>
                </w:rPr>
                <w:t>Ashland’s Form 10-K for the fiscal year ended September 30, 2008 (SEC File No. 001-32532), and incorporated herein by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6"/>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10.5</w:t>
            </w:r>
          </w:p>
        </w:tc>
        <w:tc>
          <w:tcPr>
            <w:tcW w:w="10220" w:type="dxa"/>
            <w:vAlign w:val="bottom"/>
            <w:gridSpan w:val="17"/>
          </w:tcPr>
          <w:p>
            <w:pPr>
              <w:ind w:left="4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69">
              <w:r>
                <w:rPr>
                  <w:rFonts w:ascii="Arial" w:cs="Arial" w:eastAsia="Arial" w:hAnsi="Arial"/>
                  <w:sz w:val="18"/>
                  <w:szCs w:val="18"/>
                  <w:color w:val="0000EE"/>
                  <w:w w:val="92"/>
                </w:rPr>
                <w:t>Amendment to the Amended and Restated Ashland Inc. Deferred Compensation Plan for Non-Employee Directors (2005) (filed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Exhibit 10.4 to Ashland’s Form 10-Q for the quarter ended March 31, 2015 (SEC File No. 001-32532), and incorporated herein by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6"/>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10.6</w:t>
            </w:r>
          </w:p>
        </w:tc>
        <w:tc>
          <w:tcPr>
            <w:tcW w:w="10220" w:type="dxa"/>
            <w:vAlign w:val="bottom"/>
            <w:gridSpan w:val="17"/>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70">
              <w:r>
                <w:rPr>
                  <w:rFonts w:ascii="Arial" w:cs="Arial" w:eastAsia="Arial" w:hAnsi="Arial"/>
                  <w:sz w:val="18"/>
                  <w:szCs w:val="18"/>
                  <w:color w:val="0000EE"/>
                  <w:w w:val="93"/>
                </w:rPr>
                <w:t>Amended and Restated Ashland Global Holdings Inc. Deferred Compensation Plan for Non-Employee Directors (2005) effective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as of January 1, 2017 (filed as Exhibit 10.4 to Ashland’s Form 10-Q for the quarter ended December 31, 2016 (SEC File No. 333-</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6"/>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211719)</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10.7</w:t>
            </w:r>
          </w:p>
        </w:tc>
        <w:tc>
          <w:tcPr>
            <w:tcW w:w="10220" w:type="dxa"/>
            <w:vAlign w:val="bottom"/>
            <w:gridSpan w:val="17"/>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71">
              <w:r>
                <w:rPr>
                  <w:rFonts w:ascii="Arial" w:cs="Arial" w:eastAsia="Arial" w:hAnsi="Arial"/>
                  <w:sz w:val="18"/>
                  <w:szCs w:val="18"/>
                  <w:color w:val="0000EE"/>
                  <w:w w:val="93"/>
                </w:rPr>
                <w:t>Amended and Restated Ashland Inc. Deferred Compensation Plan for Employees (2005) (filed as Exhibit 10.3 to Ashland’s Form</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10-K for the fiscal year ended September 30, 2008 (SEC File No. 001-32532) and incorporated herein by reference).</w:t>
              </w:r>
            </w:hyperlink>
          </w:p>
        </w:tc>
        <w:tc>
          <w:tcPr>
            <w:tcW w:w="1060" w:type="dxa"/>
            <w:vAlign w:val="bottom"/>
            <w:tcBorders>
              <w:top w:val="single" w:sz="8" w:color="0000EE"/>
            </w:tcBorders>
            <w:gridSpan w:val="3"/>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10.8</w:t>
            </w:r>
          </w:p>
        </w:tc>
        <w:tc>
          <w:tcPr>
            <w:tcW w:w="76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Ashland Global Holdings Inc. Deferred Compensation Plan for Employees (Amended and Restated Effective as of May 22, 2019)</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72">
              <w:r>
                <w:rPr>
                  <w:rFonts w:ascii="Arial" w:cs="Arial" w:eastAsia="Arial" w:hAnsi="Arial"/>
                  <w:sz w:val="18"/>
                  <w:szCs w:val="18"/>
                  <w:color w:val="0000EE"/>
                  <w:w w:val="94"/>
                </w:rPr>
                <w:t>(filed as Exhibit 10.1 to Ashland’s Form10-Q for the quarter ended June 30, 2019 (SEC File No. 33-211719), and incorporated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herein by reference).</w:t>
              </w:r>
            </w:hyperlink>
          </w:p>
        </w:tc>
        <w:tc>
          <w:tcPr>
            <w:tcW w:w="7960" w:type="dxa"/>
            <w:vAlign w:val="bottom"/>
            <w:gridSpan w:val="13"/>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10.9</w:t>
            </w:r>
          </w:p>
        </w:tc>
        <w:tc>
          <w:tcPr>
            <w:tcW w:w="76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rFonts w:ascii="Arial" w:cs="Arial" w:eastAsia="Arial" w:hAnsi="Arial"/>
                <w:sz w:val="18"/>
                <w:szCs w:val="18"/>
                <w:color w:val="0000EE"/>
                <w:w w:val="93"/>
              </w:rPr>
            </w:pPr>
            <w:hyperlink r:id="rId73">
              <w:r>
                <w:rPr>
                  <w:rFonts w:ascii="Arial" w:cs="Arial" w:eastAsia="Arial" w:hAnsi="Arial"/>
                  <w:sz w:val="18"/>
                  <w:szCs w:val="18"/>
                  <w:color w:val="0000EE"/>
                  <w:w w:val="93"/>
                </w:rPr>
                <w:t>Ashland Global Holdings Inc. Deferred Compensation Plan for Non-Employee Directors (Amended and Restated as of May 22,</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6"/>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2019) (filed as Exhibit 10.2 to Ashland’s Form 10-Q for the quarter ended June 30, 2019 (SEC File No. 33-21179),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6"/>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10.10</w:t>
            </w:r>
          </w:p>
        </w:tc>
        <w:tc>
          <w:tcPr>
            <w:tcW w:w="10220" w:type="dxa"/>
            <w:vAlign w:val="bottom"/>
            <w:gridSpan w:val="17"/>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74">
              <w:r>
                <w:rPr>
                  <w:rFonts w:ascii="Arial" w:cs="Arial" w:eastAsia="Arial" w:hAnsi="Arial"/>
                  <w:sz w:val="18"/>
                  <w:szCs w:val="18"/>
                  <w:color w:val="0000EE"/>
                  <w:w w:val="96"/>
                </w:rPr>
                <w:t>Ashland Supplemental Defined Contribution Plan for Certain Employees (filed as Exhibit 10.3 to Ashland’s Form 10-Q for the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quarter ended March 31, 2011 (SEC File No. 001-32532), and incorporated herein by reference) (Frozen).</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86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10.11</w:t>
            </w:r>
          </w:p>
        </w:tc>
        <w:tc>
          <w:tcPr>
            <w:tcW w:w="10220" w:type="dxa"/>
            <w:vAlign w:val="bottom"/>
            <w:gridSpan w:val="17"/>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75">
              <w:r>
                <w:rPr>
                  <w:rFonts w:ascii="Arial" w:cs="Arial" w:eastAsia="Arial" w:hAnsi="Arial"/>
                  <w:sz w:val="18"/>
                  <w:szCs w:val="18"/>
                  <w:color w:val="0000EE"/>
                  <w:w w:val="95"/>
                </w:rPr>
                <w:t>Form of Chief Executive Officer Change in Control Agreement (filed as Exhibit 10.1 to Ashland’s Form 8-K filed on October 9,</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2015 (SEC File No. 001-32532), and incorporated herein by reference).</w:t>
              </w:r>
            </w:hyperlink>
          </w:p>
        </w:tc>
        <w:tc>
          <w:tcPr>
            <w:tcW w:w="4300" w:type="dxa"/>
            <w:vAlign w:val="bottom"/>
            <w:tcBorders>
              <w:top w:val="single" w:sz="8" w:color="0000EE"/>
            </w:tcBorders>
            <w:gridSpan w:val="7"/>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10.12</w:t>
            </w:r>
          </w:p>
        </w:tc>
        <w:tc>
          <w:tcPr>
            <w:tcW w:w="10220" w:type="dxa"/>
            <w:vAlign w:val="bottom"/>
            <w:gridSpan w:val="17"/>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76">
              <w:r>
                <w:rPr>
                  <w:rFonts w:ascii="Arial" w:cs="Arial" w:eastAsia="Arial" w:hAnsi="Arial"/>
                  <w:sz w:val="18"/>
                  <w:szCs w:val="18"/>
                  <w:color w:val="0000EE"/>
                  <w:w w:val="95"/>
                </w:rPr>
                <w:t>Form of Executive Officer Change in Control Agreement (filed as Exhibit 10.2 to Ashland’s Form 8-K filed on October 9, 2015</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(SEC File No. 001-32532),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10.13</w:t>
            </w:r>
          </w:p>
        </w:tc>
        <w:tc>
          <w:tcPr>
            <w:tcW w:w="10220" w:type="dxa"/>
            <w:vAlign w:val="bottom"/>
            <w:gridSpan w:val="17"/>
          </w:tcPr>
          <w:p>
            <w:pPr>
              <w:ind w:left="4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77">
              <w:r>
                <w:rPr>
                  <w:rFonts w:ascii="Arial" w:cs="Arial" w:eastAsia="Arial" w:hAnsi="Arial"/>
                  <w:sz w:val="18"/>
                  <w:szCs w:val="18"/>
                  <w:color w:val="0000EE"/>
                  <w:w w:val="97"/>
                </w:rPr>
                <w:t>Amended and Restated Ashland Inc. Incentive Plan (filed as Exhibit 10.17 to Ashland’s Form 10-K for the fiscal year ended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77">
              <w:r>
                <w:rPr>
                  <w:rFonts w:ascii="Arial" w:cs="Arial" w:eastAsia="Arial" w:hAnsi="Arial"/>
                  <w:sz w:val="18"/>
                  <w:szCs w:val="18"/>
                  <w:color w:val="0000EE"/>
                  <w:w w:val="89"/>
                </w:rPr>
                <w:t>September 30, 2009 (SEC File No. 001-32532), and incorporated herein by reference).</w:t>
              </w:r>
            </w:hyperlink>
          </w:p>
        </w:tc>
        <w:tc>
          <w:tcPr>
            <w:tcW w:w="3220" w:type="dxa"/>
            <w:vAlign w:val="bottom"/>
            <w:tcBorders>
              <w:top w:val="single" w:sz="8" w:color="0000EE"/>
            </w:tcBorders>
            <w:gridSpan w:val="6"/>
          </w:tcPr>
          <w:p>
            <w:pPr>
              <w:spacing w:after="0"/>
              <w:rPr>
                <w:sz w:val="17"/>
                <w:szCs w:val="17"/>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10.14</w:t>
            </w:r>
          </w:p>
        </w:tc>
        <w:tc>
          <w:tcPr>
            <w:tcW w:w="10220" w:type="dxa"/>
            <w:vAlign w:val="bottom"/>
            <w:gridSpan w:val="17"/>
          </w:tcPr>
          <w:p>
            <w:pPr>
              <w:ind w:left="4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8">
              <w:r>
                <w:rPr>
                  <w:rFonts w:ascii="Arial" w:cs="Arial" w:eastAsia="Arial" w:hAnsi="Arial"/>
                  <w:sz w:val="18"/>
                  <w:szCs w:val="18"/>
                  <w:color w:val="0000EE"/>
                  <w:w w:val="92"/>
                </w:rPr>
                <w:t>2006 Ashland Inc. Incentive Plan (filed as Exhibit 10 to Ashland’s Form 10-Q for the quarter ended December 31, 2005 (SEC File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No. 001-32532),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10.15</w:t>
            </w:r>
          </w:p>
        </w:tc>
        <w:tc>
          <w:tcPr>
            <w:tcW w:w="10220" w:type="dxa"/>
            <w:vAlign w:val="bottom"/>
            <w:gridSpan w:val="17"/>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79">
              <w:r>
                <w:rPr>
                  <w:rFonts w:ascii="Arial" w:cs="Arial" w:eastAsia="Arial" w:hAnsi="Arial"/>
                  <w:sz w:val="18"/>
                  <w:szCs w:val="18"/>
                  <w:color w:val="0000EE"/>
                  <w:w w:val="94"/>
                </w:rPr>
                <w:t>Amended and Restated 2011 Ashland Inc. Incentive Plan (filed as Exhibit 10.2 to Ashland’s Form 8-K filed on February 1, 2013</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(SEC File No. 001-32532),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260" w:type="dxa"/>
            <w:vAlign w:val="bottom"/>
            <w:gridSpan w:val="6"/>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10.16</w:t>
            </w:r>
          </w:p>
        </w:tc>
        <w:tc>
          <w:tcPr>
            <w:tcW w:w="10220" w:type="dxa"/>
            <w:vAlign w:val="bottom"/>
            <w:gridSpan w:val="17"/>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0">
              <w:r>
                <w:rPr>
                  <w:rFonts w:ascii="Arial" w:cs="Arial" w:eastAsia="Arial" w:hAnsi="Arial"/>
                  <w:sz w:val="18"/>
                  <w:szCs w:val="18"/>
                  <w:color w:val="0000EE"/>
                  <w:w w:val="93"/>
                </w:rPr>
                <w:t>Amended and Restated 2015 Ashland Global Holdings Inc. Incentive Plan (filed as Exhibit 10.21 to Ashland’s Form 10-K for the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fiscal year ended September 30, 2016 (SEC File No. 333-211719), and incorporated by reference herein).</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6100" w:type="dxa"/>
            <w:vAlign w:val="bottom"/>
            <w:gridSpan w:val="10"/>
            <w:shd w:val="clear" w:color="auto" w:fill="0000EE"/>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r>
      <w:tr>
        <w:trPr>
          <w:trHeight w:val="318"/>
        </w:trPr>
        <w:tc>
          <w:tcPr>
            <w:tcW w:w="1200" w:type="dxa"/>
            <w:vAlign w:val="bottom"/>
          </w:tcPr>
          <w:p>
            <w:pPr>
              <w:ind w:left="340"/>
              <w:spacing w:after="0"/>
              <w:rPr>
                <w:sz w:val="20"/>
                <w:szCs w:val="20"/>
                <w:color w:val="auto"/>
              </w:rPr>
            </w:pPr>
            <w:r>
              <w:rPr>
                <w:rFonts w:ascii="Arial" w:cs="Arial" w:eastAsia="Arial" w:hAnsi="Arial"/>
                <w:sz w:val="18"/>
                <w:szCs w:val="18"/>
                <w:color w:val="auto"/>
              </w:rPr>
              <w:t>10.17</w:t>
            </w:r>
          </w:p>
        </w:tc>
        <w:tc>
          <w:tcPr>
            <w:tcW w:w="10220" w:type="dxa"/>
            <w:vAlign w:val="bottom"/>
            <w:gridSpan w:val="17"/>
          </w:tcPr>
          <w:p>
            <w:pPr>
              <w:ind w:left="4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81">
              <w:r>
                <w:rPr>
                  <w:rFonts w:ascii="Arial" w:cs="Arial" w:eastAsia="Arial" w:hAnsi="Arial"/>
                  <w:sz w:val="18"/>
                  <w:szCs w:val="18"/>
                  <w:color w:val="0000EE"/>
                  <w:w w:val="92"/>
                </w:rPr>
                <w:t>Form of Stock Appreciation Rights Award Agreement under the Amended and Restated 2011 Ashland Inc. Incentive Plan (filed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Exhibit 10.16 to Ashland’s Form 10-K for the fiscal year ended September 30, 2014 (SEC File No. 001-32532), and incorporated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6"/>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herein by reference).</w:t>
              </w:r>
            </w:hyperlink>
          </w:p>
        </w:tc>
      </w:tr>
      <w:tr>
        <w:trPr>
          <w:trHeight w:val="453"/>
        </w:trPr>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Borders>
              <w:top w:val="single" w:sz="8" w:color="0000EE"/>
            </w:tcBorders>
            <w:gridSpan w:val="2"/>
          </w:tcPr>
          <w:p>
            <w:pPr>
              <w:spacing w:after="0"/>
              <w:rPr>
                <w:sz w:val="24"/>
                <w:szCs w:val="24"/>
                <w:color w:val="auto"/>
              </w:rPr>
            </w:pPr>
          </w:p>
        </w:tc>
        <w:tc>
          <w:tcPr>
            <w:tcW w:w="2500" w:type="dxa"/>
            <w:vAlign w:val="bottom"/>
            <w:gridSpan w:val="5"/>
          </w:tcPr>
          <w:p>
            <w:pPr>
              <w:jc w:val="right"/>
              <w:ind w:right="140"/>
              <w:spacing w:after="0"/>
              <w:rPr>
                <w:sz w:val="20"/>
                <w:szCs w:val="20"/>
                <w:color w:val="auto"/>
              </w:rPr>
            </w:pPr>
            <w:r>
              <w:rPr>
                <w:rFonts w:ascii="Arial" w:cs="Arial" w:eastAsia="Arial" w:hAnsi="Arial"/>
                <w:sz w:val="18"/>
                <w:szCs w:val="18"/>
                <w:color w:val="auto"/>
              </w:rPr>
              <w:t>28</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10.18</w:t>
            </w:r>
          </w:p>
        </w:tc>
        <w:tc>
          <w:tcPr>
            <w:tcW w:w="10220" w:type="dxa"/>
            <w:vAlign w:val="bottom"/>
            <w:gridSpan w:val="15"/>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4">
              <w:r>
                <w:rPr>
                  <w:rFonts w:ascii="Arial" w:cs="Arial" w:eastAsia="Arial" w:hAnsi="Arial"/>
                  <w:sz w:val="18"/>
                  <w:szCs w:val="18"/>
                  <w:color w:val="0000EE"/>
                  <w:w w:val="93"/>
                </w:rPr>
                <w:t>Form of Restricted Stock Award Agreement under the Amended and Restated 2011 Ashland Inc. Incentive Plan (filed as Exhibit</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18</w:t>
              </w:r>
              <w:r>
                <w:rPr>
                  <w:rFonts w:ascii="Arial" w:cs="Arial" w:eastAsia="Arial" w:hAnsi="Arial"/>
                  <w:sz w:val="18"/>
                  <w:szCs w:val="18"/>
                  <w:color w:val="0000EE"/>
                  <w:w w:val="90"/>
                </w:rPr>
                <w:t xml:space="preserve"> to Ashland’s Form 10-K for the fiscal year ended September 30, 2014 (SEC File No. 001-32532), and incorporated herein by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4"/>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10.19</w:t>
            </w:r>
          </w:p>
        </w:tc>
        <w:tc>
          <w:tcPr>
            <w:tcW w:w="10220" w:type="dxa"/>
            <w:vAlign w:val="bottom"/>
            <w:gridSpan w:val="15"/>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5">
              <w:r>
                <w:rPr>
                  <w:rFonts w:ascii="Arial" w:cs="Arial" w:eastAsia="Arial" w:hAnsi="Arial"/>
                  <w:sz w:val="18"/>
                  <w:szCs w:val="18"/>
                  <w:color w:val="0000EE"/>
                  <w:w w:val="93"/>
                </w:rPr>
                <w:t>Form of Restricted Stock Award Agreement under the Amended and Restated 2015 Ashland Global Holdings Inc. Incentive Plan</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(filed as Exhibit 10.5 to Ashland’s Form 10-Q for the quarter ended March 31, 2015 (SEC File No. 001-32532), and incorporated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4"/>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10.20</w:t>
            </w:r>
          </w:p>
        </w:tc>
        <w:tc>
          <w:tcPr>
            <w:tcW w:w="10220" w:type="dxa"/>
            <w:vAlign w:val="bottom"/>
            <w:gridSpan w:val="15"/>
          </w:tcPr>
          <w:p>
            <w:pPr>
              <w:ind w:left="4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86">
              <w:r>
                <w:rPr>
                  <w:rFonts w:ascii="Arial" w:cs="Arial" w:eastAsia="Arial" w:hAnsi="Arial"/>
                  <w:sz w:val="18"/>
                  <w:szCs w:val="18"/>
                  <w:color w:val="0000EE"/>
                  <w:w w:val="97"/>
                </w:rPr>
                <w:t>Form of Stock Appreciation Rights Award Agreement under the Amended and Restated 2015 Ashland Global Holdings Inc.</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Incentive Plan (filed as Exhibit 10.7 to Ashland’s Form 10-Q for the quarter ended March 31, 2015 (SEC File No. 001-32532),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4"/>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10.21</w:t>
            </w:r>
          </w:p>
        </w:tc>
        <w:tc>
          <w:tcPr>
            <w:tcW w:w="10220" w:type="dxa"/>
            <w:vAlign w:val="bottom"/>
            <w:gridSpan w:val="15"/>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7">
              <w:r>
                <w:rPr>
                  <w:rFonts w:ascii="Arial" w:cs="Arial" w:eastAsia="Arial" w:hAnsi="Arial"/>
                  <w:sz w:val="18"/>
                  <w:szCs w:val="18"/>
                  <w:color w:val="0000EE"/>
                  <w:w w:val="93"/>
                </w:rPr>
                <w:t>Form of Restricted Stock Award Agreement under the Amended and Restated 2015 Ashland Global Holdings Inc. Incentive Plan</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8"/>
              </w:rPr>
            </w:pPr>
            <w:hyperlink r:id="rId87">
              <w:r>
                <w:rPr>
                  <w:rFonts w:ascii="Arial" w:cs="Arial" w:eastAsia="Arial" w:hAnsi="Arial"/>
                  <w:sz w:val="18"/>
                  <w:szCs w:val="18"/>
                  <w:color w:val="0000EE"/>
                  <w:w w:val="98"/>
                </w:rPr>
                <w:t>(Double-Trigger Form) (filed as Exhibit 10.2 to Ashland’s Form 8-K filed on July 20, 2015 (SEC File No. 001-32532),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4"/>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10.22</w:t>
            </w:r>
          </w:p>
        </w:tc>
        <w:tc>
          <w:tcPr>
            <w:tcW w:w="10220" w:type="dxa"/>
            <w:vAlign w:val="bottom"/>
            <w:gridSpan w:val="15"/>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8">
              <w:r>
                <w:rPr>
                  <w:rFonts w:ascii="Arial" w:cs="Arial" w:eastAsia="Arial" w:hAnsi="Arial"/>
                  <w:sz w:val="18"/>
                  <w:szCs w:val="18"/>
                  <w:color w:val="0000EE"/>
                  <w:w w:val="93"/>
                </w:rPr>
                <w:t>Form of Performance-Based Restricted Stock Award Agreement (filed as Exhibit 10.3 to Ashland’s Form 8-K filed on October 9,</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2015 (SEC File No. 001-32532), and incorporated herein by reference).</w:t>
              </w:r>
            </w:hyperlink>
          </w:p>
        </w:tc>
        <w:tc>
          <w:tcPr>
            <w:tcW w:w="4300" w:type="dxa"/>
            <w:vAlign w:val="bottom"/>
            <w:tcBorders>
              <w:top w:val="single" w:sz="8" w:color="0000EE"/>
            </w:tcBorders>
            <w:gridSpan w:val="7"/>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10.23</w:t>
            </w:r>
          </w:p>
        </w:tc>
        <w:tc>
          <w:tcPr>
            <w:tcW w:w="10220" w:type="dxa"/>
            <w:vAlign w:val="bottom"/>
            <w:gridSpan w:val="15"/>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89">
              <w:r>
                <w:rPr>
                  <w:rFonts w:ascii="Arial" w:cs="Arial" w:eastAsia="Arial" w:hAnsi="Arial"/>
                  <w:sz w:val="18"/>
                  <w:szCs w:val="18"/>
                  <w:color w:val="0000EE"/>
                  <w:w w:val="93"/>
                </w:rPr>
                <w:t>Form of Restricted Stock Award Agreement under the Amended and Restated 2015 Ashland Global Holdings Inc. Incentive Plan</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4"/>
              </w:rPr>
            </w:pPr>
            <w:hyperlink r:id="rId89">
              <w:r>
                <w:rPr>
                  <w:rFonts w:ascii="Arial" w:cs="Arial" w:eastAsia="Arial" w:hAnsi="Arial"/>
                  <w:sz w:val="18"/>
                  <w:szCs w:val="18"/>
                  <w:color w:val="0000EE"/>
                  <w:w w:val="94"/>
                </w:rPr>
                <w:t>(Double-Trigger Form) (filed as Exhibit 10.37 to Ashland’s Form 10-K for the fiscal year ended September 30, 2016 (SEC File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4"/>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No. 333-211719), and incorporated by reference herein).</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8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10.24</w:t>
            </w:r>
          </w:p>
        </w:tc>
        <w:tc>
          <w:tcPr>
            <w:tcW w:w="10220" w:type="dxa"/>
            <w:vAlign w:val="bottom"/>
            <w:gridSpan w:val="15"/>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90">
              <w:r>
                <w:rPr>
                  <w:rFonts w:ascii="Arial" w:cs="Arial" w:eastAsia="Arial" w:hAnsi="Arial"/>
                  <w:sz w:val="18"/>
                  <w:szCs w:val="18"/>
                  <w:color w:val="0000EE"/>
                  <w:w w:val="93"/>
                </w:rPr>
                <w:t>Form of Restricted Stock Unit Award Agreement under the Amended and Restated 2015 Ashland Global Holdings Inc. Incentive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4"/>
              </w:rPr>
            </w:pPr>
            <w:hyperlink r:id="rId90">
              <w:r>
                <w:rPr>
                  <w:rFonts w:ascii="Arial" w:cs="Arial" w:eastAsia="Arial" w:hAnsi="Arial"/>
                  <w:sz w:val="18"/>
                  <w:szCs w:val="18"/>
                  <w:color w:val="0000EE"/>
                  <w:w w:val="94"/>
                </w:rPr>
                <w:t>Plan (Double-Trigger Form) (filed as Exhibit 10.38 to Ashland’s Form 10-K for the fiscal year ended September 30, 2016 (SEC</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File No. 333-211719), and incorporated by reference herein).</w:t>
              </w:r>
            </w:hyperlink>
          </w:p>
        </w:tc>
        <w:tc>
          <w:tcPr>
            <w:tcW w:w="5060" w:type="dxa"/>
            <w:vAlign w:val="bottom"/>
            <w:gridSpan w:val="8"/>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10.25</w:t>
            </w:r>
          </w:p>
        </w:tc>
        <w:tc>
          <w:tcPr>
            <w:tcW w:w="10220" w:type="dxa"/>
            <w:vAlign w:val="bottom"/>
            <w:gridSpan w:val="15"/>
          </w:tcPr>
          <w:p>
            <w:pPr>
              <w:ind w:left="480"/>
              <w:spacing w:after="0"/>
              <w:rPr>
                <w:rFonts w:ascii="Arial" w:cs="Arial" w:eastAsia="Arial" w:hAnsi="Arial"/>
                <w:sz w:val="18"/>
                <w:szCs w:val="18"/>
                <w:color w:val="auto"/>
                <w:w w:val="90"/>
              </w:rPr>
            </w:pPr>
            <w:r>
              <w:rPr>
                <w:rFonts w:ascii="Arial" w:cs="Arial" w:eastAsia="Arial" w:hAnsi="Arial"/>
                <w:sz w:val="18"/>
                <w:szCs w:val="18"/>
                <w:color w:val="auto"/>
                <w:w w:val="90"/>
              </w:rPr>
              <w:t xml:space="preserve">–  </w:t>
            </w:r>
            <w:hyperlink r:id="rId91">
              <w:r>
                <w:rPr>
                  <w:rFonts w:ascii="Arial" w:cs="Arial" w:eastAsia="Arial" w:hAnsi="Arial"/>
                  <w:sz w:val="18"/>
                  <w:szCs w:val="18"/>
                  <w:color w:val="0000EE"/>
                  <w:w w:val="90"/>
                </w:rPr>
                <w:t>Form of Stock Appreciation Rights Award Agreement under the Amended and Restated 2015 Ashland Global Holdings Inc. Incentive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Plan (Double-Trigger Form) (filed as Exhibit 10.39 to Ashland’s Form 10-K for the fiscal year ended September 30, 2016 (SEC File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No. 333-211719), and incorporated by reference herein).</w:t>
              </w:r>
            </w:hyperlink>
          </w:p>
        </w:tc>
        <w:tc>
          <w:tcPr>
            <w:tcW w:w="5400" w:type="dxa"/>
            <w:vAlign w:val="bottom"/>
            <w:gridSpan w:val="9"/>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10.26</w:t>
            </w:r>
          </w:p>
        </w:tc>
        <w:tc>
          <w:tcPr>
            <w:tcW w:w="10220" w:type="dxa"/>
            <w:vAlign w:val="bottom"/>
            <w:gridSpan w:val="15"/>
          </w:tcPr>
          <w:p>
            <w:pPr>
              <w:ind w:left="4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92">
              <w:r>
                <w:rPr>
                  <w:rFonts w:ascii="Arial" w:cs="Arial" w:eastAsia="Arial" w:hAnsi="Arial"/>
                  <w:sz w:val="18"/>
                  <w:szCs w:val="18"/>
                  <w:color w:val="0000EE"/>
                  <w:w w:val="91"/>
                </w:rPr>
                <w:t>Form of Performance Unit (LTIP) Award Agreement under the Amended and Restated 2015 Ashland Global Holdings Inc. Incentive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Plan (Double-Trigger Form) (filed as Exhibit 10.40 to Ashland’s Form 10-K for the fiscal year ended September 30, 2016 (SEC File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92">
              <w:r>
                <w:rPr>
                  <w:rFonts w:ascii="Arial" w:cs="Arial" w:eastAsia="Arial" w:hAnsi="Arial"/>
                  <w:sz w:val="18"/>
                  <w:szCs w:val="18"/>
                  <w:color w:val="0000EE"/>
                  <w:w w:val="87"/>
                </w:rPr>
                <w:t>No. 333-211719), and incorporated by reference herein).</w:t>
              </w:r>
            </w:hyperlink>
          </w:p>
        </w:tc>
        <w:tc>
          <w:tcPr>
            <w:tcW w:w="5480" w:type="dxa"/>
            <w:vAlign w:val="bottom"/>
            <w:gridSpan w:val="10"/>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10.27</w:t>
            </w:r>
          </w:p>
        </w:tc>
        <w:tc>
          <w:tcPr>
            <w:tcW w:w="10220" w:type="dxa"/>
            <w:vAlign w:val="bottom"/>
            <w:gridSpan w:val="15"/>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93">
              <w:r>
                <w:rPr>
                  <w:rFonts w:ascii="Arial" w:cs="Arial" w:eastAsia="Arial" w:hAnsi="Arial"/>
                  <w:sz w:val="18"/>
                  <w:szCs w:val="18"/>
                  <w:color w:val="0000EE"/>
                  <w:w w:val="95"/>
                </w:rPr>
                <w:t>Form of Indemnification Agreement between Ashland and members of its Board of Directors (filed as Exhibit 10.2 to Ashland’s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Form 8-K filed on September 20, 2016 (SEC File No. 333-211719), and incorporated herein by reference).</w:t>
              </w:r>
            </w:hyperlink>
          </w:p>
        </w:tc>
        <w:tc>
          <w:tcPr>
            <w:tcW w:w="1780" w:type="dxa"/>
            <w:vAlign w:val="bottom"/>
            <w:tcBorders>
              <w:top w:val="single" w:sz="8" w:color="0000EE"/>
            </w:tcBorders>
            <w:gridSpan w:val="3"/>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10.28</w:t>
            </w:r>
          </w:p>
        </w:tc>
        <w:tc>
          <w:tcPr>
            <w:tcW w:w="10220" w:type="dxa"/>
            <w:vAlign w:val="bottom"/>
            <w:gridSpan w:val="15"/>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94">
              <w:r>
                <w:rPr>
                  <w:rFonts w:ascii="Arial" w:cs="Arial" w:eastAsia="Arial" w:hAnsi="Arial"/>
                  <w:sz w:val="18"/>
                  <w:szCs w:val="18"/>
                  <w:color w:val="0000EE"/>
                  <w:w w:val="95"/>
                </w:rPr>
                <w:t>Ashland Severance Pay Plan effective as of January 1, 2017 (filed as Exhibit 10.49 to Ashland’s Form 10-K for the fiscal year</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94">
              <w:r>
                <w:rPr>
                  <w:rFonts w:ascii="Arial" w:cs="Arial" w:eastAsia="Arial" w:hAnsi="Arial"/>
                  <w:sz w:val="18"/>
                  <w:szCs w:val="18"/>
                  <w:color w:val="0000EE"/>
                  <w:w w:val="89"/>
                </w:rPr>
                <w:t>ended September 30, 2016 (SEC File No. 333-211719), and incorporated by reference herein).</w:t>
              </w:r>
            </w:hyperlink>
          </w:p>
        </w:tc>
        <w:tc>
          <w:tcPr>
            <w:tcW w:w="2660" w:type="dxa"/>
            <w:vAlign w:val="bottom"/>
            <w:tcBorders>
              <w:top w:val="single" w:sz="8" w:color="0000EE"/>
            </w:tcBorders>
            <w:gridSpan w:val="4"/>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10.29</w:t>
            </w:r>
          </w:p>
        </w:tc>
        <w:tc>
          <w:tcPr>
            <w:tcW w:w="10220" w:type="dxa"/>
            <w:vAlign w:val="bottom"/>
            <w:gridSpan w:val="15"/>
          </w:tcPr>
          <w:p>
            <w:pPr>
              <w:ind w:left="48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95">
              <w:r>
                <w:rPr>
                  <w:rFonts w:ascii="Arial" w:cs="Arial" w:eastAsia="Arial" w:hAnsi="Arial"/>
                  <w:sz w:val="18"/>
                  <w:szCs w:val="18"/>
                  <w:color w:val="0000EE"/>
                  <w:w w:val="98"/>
                </w:rPr>
                <w:t>Form of Cash-Settled Performance Unit (LTIP) Award Agreement under the Amended and Restated 2015 Ashland Global</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6"/>
              </w:rPr>
            </w:pPr>
            <w:hyperlink r:id="rId95">
              <w:r>
                <w:rPr>
                  <w:rFonts w:ascii="Arial" w:cs="Arial" w:eastAsia="Arial" w:hAnsi="Arial"/>
                  <w:sz w:val="18"/>
                  <w:szCs w:val="18"/>
                  <w:color w:val="0000EE"/>
                  <w:w w:val="96"/>
                </w:rPr>
                <w:t>Holdings Inc. Incentive Plan (Double-Trigger Form) (filed as Exhibit 10.59 to Ashland’s Form 10-K for the fiscal year ended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3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September 30, 2016 (SEC File No. 333-211719), and incorporated by reference herein).</w:t>
              </w:r>
            </w:hyperlink>
          </w:p>
        </w:tc>
        <w:tc>
          <w:tcPr>
            <w:tcW w:w="3140" w:type="dxa"/>
            <w:vAlign w:val="bottom"/>
            <w:gridSpan w:val="5"/>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10.30</w:t>
            </w:r>
          </w:p>
        </w:tc>
        <w:tc>
          <w:tcPr>
            <w:tcW w:w="10220" w:type="dxa"/>
            <w:vAlign w:val="bottom"/>
            <w:gridSpan w:val="15"/>
          </w:tcPr>
          <w:p>
            <w:pPr>
              <w:ind w:left="4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96">
              <w:r>
                <w:rPr>
                  <w:rFonts w:ascii="Arial" w:cs="Arial" w:eastAsia="Arial" w:hAnsi="Arial"/>
                  <w:sz w:val="18"/>
                  <w:szCs w:val="18"/>
                  <w:color w:val="0000EE"/>
                  <w:w w:val="92"/>
                </w:rPr>
                <w:t>Amended and Restated Hercules Deferred Compensation Plan effective January 1, 2008 (filed as Exhibit 10.8 to Ashland’s Form</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10-K for the fiscal year ended on September 30, 2010 (SEC File No. 001-32532), and incorporated herein by reference).</w:t>
              </w:r>
            </w:hyperlink>
          </w:p>
        </w:tc>
        <w:tc>
          <w:tcPr>
            <w:tcW w:w="800" w:type="dxa"/>
            <w:vAlign w:val="bottom"/>
            <w:tcBorders>
              <w:top w:val="single" w:sz="8" w:color="0000EE"/>
            </w:tcBorders>
            <w:gridSpan w:val="2"/>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10.31</w:t>
            </w:r>
          </w:p>
        </w:tc>
        <w:tc>
          <w:tcPr>
            <w:tcW w:w="10220" w:type="dxa"/>
            <w:vAlign w:val="bottom"/>
            <w:gridSpan w:val="15"/>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97">
              <w:r>
                <w:rPr>
                  <w:rFonts w:ascii="Arial" w:cs="Arial" w:eastAsia="Arial" w:hAnsi="Arial"/>
                  <w:sz w:val="18"/>
                  <w:szCs w:val="18"/>
                  <w:color w:val="0000EE"/>
                  <w:w w:val="93"/>
                </w:rPr>
                <w:t>Amendment to the Amended and Restated Hercules Deferred Compensation Plan dated September 30, 2016 (annuity cash-out)</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00" w:type="dxa"/>
            <w:vAlign w:val="bottom"/>
            <w:gridSpan w:val="8"/>
            <w:shd w:val="clear" w:color="auto" w:fill="0000EE"/>
          </w:tcPr>
          <w:p>
            <w:pPr>
              <w:spacing w:after="0" w:line="20" w:lineRule="exact"/>
              <w:rPr>
                <w:sz w:val="1"/>
                <w:szCs w:val="1"/>
                <w:color w:val="auto"/>
              </w:rPr>
            </w:pPr>
          </w:p>
        </w:tc>
        <w:tc>
          <w:tcPr>
            <w:tcW w:w="33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97">
              <w:r>
                <w:rPr>
                  <w:rFonts w:ascii="Arial" w:cs="Arial" w:eastAsia="Arial" w:hAnsi="Arial"/>
                  <w:sz w:val="18"/>
                  <w:szCs w:val="18"/>
                  <w:color w:val="0000EE"/>
                  <w:w w:val="95"/>
                </w:rPr>
                <w:t>(filed as Exhibit 10.61 to Ashland’s Form 10-K for the fiscal year ended September 30, 2016 (SEC File No. 333-211719),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4"/>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incorporated by reference herein).</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10.32</w:t>
            </w:r>
          </w:p>
        </w:tc>
        <w:tc>
          <w:tcPr>
            <w:tcW w:w="10220" w:type="dxa"/>
            <w:vAlign w:val="bottom"/>
            <w:gridSpan w:val="15"/>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98">
              <w:r>
                <w:rPr>
                  <w:rFonts w:ascii="Arial" w:cs="Arial" w:eastAsia="Arial" w:hAnsi="Arial"/>
                  <w:sz w:val="18"/>
                  <w:szCs w:val="18"/>
                  <w:color w:val="0000EE"/>
                  <w:w w:val="94"/>
                </w:rPr>
                <w:t>Ashland Global Holdings Inc. 2018 Omnibus Incentive Compensation Plan (filed as Exhibit 10.1 to Ashland’s Form 8-K filed on</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January 26, 2018 (SEC File No. 333-211719), and incorporated herein by reference).</w:t>
              </w:r>
            </w:hyperlink>
          </w:p>
        </w:tc>
      </w:tr>
      <w:tr>
        <w:trPr>
          <w:trHeight w:val="574"/>
        </w:trPr>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80" w:type="dxa"/>
            <w:vAlign w:val="bottom"/>
            <w:tcBorders>
              <w:top w:val="single" w:sz="8" w:color="0000EE"/>
            </w:tcBorders>
            <w:gridSpan w:val="4"/>
          </w:tcPr>
          <w:p>
            <w:pPr>
              <w:ind w:left="3660"/>
              <w:spacing w:after="0"/>
              <w:rPr>
                <w:sz w:val="20"/>
                <w:szCs w:val="20"/>
                <w:color w:val="auto"/>
              </w:rPr>
            </w:pPr>
            <w:r>
              <w:rPr>
                <w:rFonts w:ascii="Arial" w:cs="Arial" w:eastAsia="Arial" w:hAnsi="Arial"/>
                <w:sz w:val="18"/>
                <w:szCs w:val="18"/>
                <w:color w:val="auto"/>
              </w:rPr>
              <w:t>29</w:t>
            </w: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10.33</w:t>
            </w:r>
          </w:p>
        </w:tc>
        <w:tc>
          <w:tcPr>
            <w:tcW w:w="10120" w:type="dxa"/>
            <w:vAlign w:val="bottom"/>
            <w:gridSpan w:val="12"/>
          </w:tcPr>
          <w:p>
            <w:pPr>
              <w:ind w:left="3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01">
              <w:r>
                <w:rPr>
                  <w:rFonts w:ascii="Arial" w:cs="Arial" w:eastAsia="Arial" w:hAnsi="Arial"/>
                  <w:sz w:val="18"/>
                  <w:szCs w:val="18"/>
                  <w:color w:val="0000EE"/>
                  <w:w w:val="94"/>
                </w:rPr>
                <w:t>Form of Stock-Settled Restricted Stock Unit Award Agreement under the Ashland Global Holdings Inc. 2018 Omnibus Incentive</w:t>
              </w:r>
            </w:hyperlink>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r:id="rId101">
              <w:r>
                <w:rPr>
                  <w:rFonts w:ascii="Arial" w:cs="Arial" w:eastAsia="Arial" w:hAnsi="Arial"/>
                  <w:sz w:val="18"/>
                  <w:szCs w:val="18"/>
                  <w:color w:val="0000EE"/>
                  <w:w w:val="96"/>
                </w:rPr>
                <w:t>Compensation Plan (filed as Exhibit 10.2 to Ashland’s Form 8-K filed on January 26, 2018 (SEC File No. 333-211719), and</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gridSpan w:val="11"/>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incorporated herein by reference).</w:t>
              </w:r>
            </w:hyperlink>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10.34</w:t>
            </w:r>
          </w:p>
        </w:tc>
        <w:tc>
          <w:tcPr>
            <w:tcW w:w="10120" w:type="dxa"/>
            <w:vAlign w:val="bottom"/>
            <w:gridSpan w:val="12"/>
          </w:tcPr>
          <w:p>
            <w:pPr>
              <w:ind w:left="3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02">
              <w:r>
                <w:rPr>
                  <w:rFonts w:ascii="Arial" w:cs="Arial" w:eastAsia="Arial" w:hAnsi="Arial"/>
                  <w:sz w:val="18"/>
                  <w:szCs w:val="18"/>
                  <w:color w:val="0000EE"/>
                  <w:w w:val="92"/>
                </w:rPr>
                <w:t>Form of Restricted Stock Award Agreement under the Ashland Global Holdings Inc. 2018 Omnibus Incentive Compensation Plan</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tcBorders>
              <w:top w:val="single" w:sz="8" w:color="0000EE"/>
            </w:tcBorders>
            <w:gridSpan w:val="11"/>
          </w:tcPr>
          <w:p>
            <w:pPr>
              <w:spacing w:after="0" w:line="196" w:lineRule="exact"/>
              <w:rPr>
                <w:rFonts w:ascii="Arial" w:cs="Arial" w:eastAsia="Arial" w:hAnsi="Arial"/>
                <w:sz w:val="18"/>
                <w:szCs w:val="18"/>
                <w:color w:val="0000EE"/>
                <w:w w:val="94"/>
              </w:rPr>
            </w:pPr>
            <w:hyperlink r:id="rId102">
              <w:r>
                <w:rPr>
                  <w:rFonts w:ascii="Arial" w:cs="Arial" w:eastAsia="Arial" w:hAnsi="Arial"/>
                  <w:sz w:val="18"/>
                  <w:szCs w:val="18"/>
                  <w:color w:val="0000EE"/>
                  <w:w w:val="94"/>
                </w:rPr>
                <w:t>(filed as Exhibit 10.3 to Ashland’s Form 8-K filed on January 26, 2018 (SEC File No. 333-211719), and incorporated herein by</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reference).</w:t>
              </w:r>
            </w:hyperlink>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10.35</w:t>
            </w:r>
          </w:p>
        </w:tc>
        <w:tc>
          <w:tcPr>
            <w:tcW w:w="10120" w:type="dxa"/>
            <w:vAlign w:val="bottom"/>
            <w:gridSpan w:val="12"/>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03">
              <w:r>
                <w:rPr>
                  <w:rFonts w:ascii="Arial" w:cs="Arial" w:eastAsia="Arial" w:hAnsi="Arial"/>
                  <w:sz w:val="18"/>
                  <w:szCs w:val="18"/>
                  <w:color w:val="0000EE"/>
                </w:rPr>
                <w:t>Form of Stock Appreciation Rights Award Agreement under the Ashland Global Holdings Inc. 2018 Omnibus Incentive</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6"/>
              </w:rPr>
            </w:pPr>
            <w:hyperlink r:id="rId103">
              <w:r>
                <w:rPr>
                  <w:rFonts w:ascii="Arial" w:cs="Arial" w:eastAsia="Arial" w:hAnsi="Arial"/>
                  <w:sz w:val="18"/>
                  <w:szCs w:val="18"/>
                  <w:color w:val="0000EE"/>
                  <w:w w:val="96"/>
                </w:rPr>
                <w:t>Compensation Plan (filed as Exhibit 10.4 to Ashland’s Form 8-K filed on January 26, 2018 (SEC File No. 333-211719), and</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gridSpan w:val="11"/>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incorporated herein by reference).</w:t>
              </w:r>
            </w:hyperlink>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10.36</w:t>
            </w:r>
          </w:p>
        </w:tc>
        <w:tc>
          <w:tcPr>
            <w:tcW w:w="10120" w:type="dxa"/>
            <w:vAlign w:val="bottom"/>
            <w:gridSpan w:val="12"/>
          </w:tcPr>
          <w:p>
            <w:pPr>
              <w:ind w:left="3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04">
              <w:r>
                <w:rPr>
                  <w:rFonts w:ascii="Arial" w:cs="Arial" w:eastAsia="Arial" w:hAnsi="Arial"/>
                  <w:sz w:val="18"/>
                  <w:szCs w:val="18"/>
                  <w:color w:val="0000EE"/>
                  <w:w w:val="95"/>
                </w:rPr>
                <w:t>Form of Performance Unit Award Agreement under the Ashland Global Holdings Inc. 2018 Omnibus Incentive Compensation</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Plan (filed as Exhibit 10.5 to Ashland’s Form 8-K filed on January 26, 2018 (SEC File No. 333-211719), and incorporated herein</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04">
              <w:r>
                <w:rPr>
                  <w:rFonts w:ascii="Arial" w:cs="Arial" w:eastAsia="Arial" w:hAnsi="Arial"/>
                  <w:sz w:val="18"/>
                  <w:szCs w:val="18"/>
                  <w:color w:val="0000EE"/>
                  <w:w w:val="88"/>
                </w:rPr>
                <w:t>by reference).</w:t>
              </w:r>
            </w:hyperlink>
          </w:p>
        </w:tc>
        <w:tc>
          <w:tcPr>
            <w:tcW w:w="8460" w:type="dxa"/>
            <w:vAlign w:val="bottom"/>
            <w:gridSpan w:val="9"/>
          </w:tcPr>
          <w:p>
            <w:pPr>
              <w:spacing w:after="0"/>
              <w:rPr>
                <w:sz w:val="17"/>
                <w:szCs w:val="17"/>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10.37</w:t>
            </w:r>
          </w:p>
        </w:tc>
        <w:tc>
          <w:tcPr>
            <w:tcW w:w="10120" w:type="dxa"/>
            <w:vAlign w:val="bottom"/>
            <w:gridSpan w:val="12"/>
          </w:tcPr>
          <w:p>
            <w:pPr>
              <w:ind w:left="3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05">
              <w:r>
                <w:rPr>
                  <w:rFonts w:ascii="Arial" w:cs="Arial" w:eastAsia="Arial" w:hAnsi="Arial"/>
                  <w:sz w:val="18"/>
                  <w:szCs w:val="18"/>
                  <w:color w:val="0000EE"/>
                  <w:w w:val="94"/>
                </w:rPr>
                <w:t>Form of Cash-Settled Restricted Stock Unit Award Agreement under the Ashland Global Holdings Inc. 2018 Omnibus Incentive</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6"/>
              </w:rPr>
            </w:pPr>
            <w:hyperlink r:id="rId105">
              <w:r>
                <w:rPr>
                  <w:rFonts w:ascii="Arial" w:cs="Arial" w:eastAsia="Arial" w:hAnsi="Arial"/>
                  <w:sz w:val="18"/>
                  <w:szCs w:val="18"/>
                  <w:color w:val="0000EE"/>
                  <w:w w:val="96"/>
                </w:rPr>
                <w:t>Compensation Plan (filed as Exhibit 10.6 to Ashland’s Form 8-K filed on January 26, 2018 (SEC File No. 333-211719), and</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gridSpan w:val="11"/>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incorporated herein by reference).</w:t>
              </w:r>
            </w:hyperlink>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20" w:type="dxa"/>
            <w:vAlign w:val="bottom"/>
            <w:tcBorders>
              <w:left w:val="single" w:sz="8" w:color="0000EE"/>
            </w:tcBorders>
            <w:gridSpan w:val="2"/>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10.38</w:t>
            </w:r>
          </w:p>
        </w:tc>
        <w:tc>
          <w:tcPr>
            <w:tcW w:w="10120" w:type="dxa"/>
            <w:vAlign w:val="bottom"/>
            <w:gridSpan w:val="12"/>
          </w:tcPr>
          <w:p>
            <w:pPr>
              <w:ind w:left="3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06">
              <w:r>
                <w:rPr>
                  <w:rFonts w:ascii="Arial" w:cs="Arial" w:eastAsia="Arial" w:hAnsi="Arial"/>
                  <w:sz w:val="18"/>
                  <w:szCs w:val="18"/>
                  <w:color w:val="0000EE"/>
                  <w:w w:val="96"/>
                </w:rPr>
                <w:t>Ashland Global Holdings Inc. NonQualified Defined Contribution Plan (Amended and Restated as of May 22, 2019) (filed as</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tcBorders>
              <w:top w:val="single" w:sz="8" w:color="0000EE"/>
            </w:tcBorders>
            <w:gridSpan w:val="11"/>
          </w:tcPr>
          <w:p>
            <w:pPr>
              <w:spacing w:after="0" w:line="19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Exhibit 10.3 to Ashland’s Form 10-Q for the quarter ended June 30, 2019 (SEC File No. 33-21179), and incorporated herein by</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reference).</w:t>
              </w:r>
            </w:hyperlink>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60" w:type="dxa"/>
            <w:vAlign w:val="bottom"/>
            <w:tcBorders>
              <w:left w:val="single" w:sz="8" w:color="0000EE"/>
            </w:tcBorders>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10.39**</w:t>
            </w:r>
          </w:p>
        </w:tc>
        <w:tc>
          <w:tcPr>
            <w:tcW w:w="10120" w:type="dxa"/>
            <w:vAlign w:val="bottom"/>
            <w:gridSpan w:val="12"/>
          </w:tcPr>
          <w:p>
            <w:pPr>
              <w:ind w:left="3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183">
              <w:r>
                <w:rPr>
                  <w:rFonts w:ascii="Arial" w:cs="Arial" w:eastAsia="Arial" w:hAnsi="Arial"/>
                  <w:sz w:val="18"/>
                  <w:szCs w:val="18"/>
                  <w:color w:val="0000EE"/>
                  <w:w w:val="93"/>
                </w:rPr>
                <w:t>Ashland Global Holdings Inc. Supplemental Defined Contribution Plan for Certain Employees (Amended and Restated as of May</w:t>
              </w:r>
            </w:hyperlink>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380" w:type="dxa"/>
            <w:vAlign w:val="bottom"/>
            <w:gridSpan w:val="2"/>
          </w:tcPr>
          <w:p>
            <w:pPr>
              <w:ind w:left="660"/>
              <w:spacing w:after="0" w:line="196" w:lineRule="exact"/>
              <w:rPr>
                <w:rFonts w:ascii="Arial" w:cs="Arial" w:eastAsia="Arial" w:hAnsi="Arial"/>
                <w:sz w:val="18"/>
                <w:szCs w:val="18"/>
                <w:color w:val="0000EE"/>
                <w:w w:val="83"/>
              </w:rPr>
            </w:pPr>
            <w:hyperlink w:anchor="page183">
              <w:r>
                <w:rPr>
                  <w:rFonts w:ascii="Arial" w:cs="Arial" w:eastAsia="Arial" w:hAnsi="Arial"/>
                  <w:sz w:val="18"/>
                  <w:szCs w:val="18"/>
                  <w:color w:val="0000EE"/>
                  <w:w w:val="83"/>
                </w:rPr>
                <w:t>22, 2019).</w:t>
              </w:r>
            </w:hyperlink>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10.40</w:t>
            </w:r>
          </w:p>
        </w:tc>
        <w:tc>
          <w:tcPr>
            <w:tcW w:w="10120" w:type="dxa"/>
            <w:vAlign w:val="bottom"/>
            <w:gridSpan w:val="12"/>
          </w:tcPr>
          <w:p>
            <w:pPr>
              <w:ind w:left="3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07">
              <w:r>
                <w:rPr>
                  <w:rFonts w:ascii="Arial" w:cs="Arial" w:eastAsia="Arial" w:hAnsi="Arial"/>
                  <w:sz w:val="18"/>
                  <w:szCs w:val="18"/>
                  <w:color w:val="0000EE"/>
                  <w:w w:val="92"/>
                </w:rPr>
                <w:t>Form of Restricted Stock Award Agreement under the Ashland Global Holdings Inc. 2018 Omnibus Incentive Compensation Plan</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3"/>
              </w:rPr>
            </w:pPr>
            <w:hyperlink r:id="rId107">
              <w:r>
                <w:rPr>
                  <w:rFonts w:ascii="Arial" w:cs="Arial" w:eastAsia="Arial" w:hAnsi="Arial"/>
                  <w:sz w:val="18"/>
                  <w:szCs w:val="18"/>
                  <w:color w:val="0000EE"/>
                  <w:w w:val="93"/>
                </w:rPr>
                <w:t>(with pro-rata vesting upon death, disability and retirement) (filed as Exhibit 10.5 to Ashland’s Form 10-Q for the quarter ended</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gridSpan w:val="11"/>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June 30, 2019 (SEC File No. 33-211719), and incorporated herein by reference).</w:t>
              </w:r>
            </w:hyperlink>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78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10.41</w:t>
            </w:r>
          </w:p>
        </w:tc>
        <w:tc>
          <w:tcPr>
            <w:tcW w:w="10120" w:type="dxa"/>
            <w:vAlign w:val="bottom"/>
            <w:gridSpan w:val="12"/>
          </w:tcPr>
          <w:p>
            <w:pPr>
              <w:ind w:left="3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08">
              <w:r>
                <w:rPr>
                  <w:rFonts w:ascii="Arial" w:cs="Arial" w:eastAsia="Arial" w:hAnsi="Arial"/>
                  <w:sz w:val="18"/>
                  <w:szCs w:val="18"/>
                  <w:color w:val="0000EE"/>
                  <w:w w:val="96"/>
                </w:rPr>
                <w:t>Form of Stock Appreciation Rights Award Agreement (Stock Settled) under the Ashland Global Holdings Inc. 2018 Omnibus</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Incentive Compensation Plan (with pro-rata vesting upon death, disability and retirement) (filed as Exhibit 10.6 to Ashland’s Form</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10-Q for the quarter ended June 30, 2019 (SEC File No. 33-211719), and incorporated herein by reference).</w:t>
              </w:r>
            </w:hyperlink>
          </w:p>
        </w:tc>
        <w:tc>
          <w:tcPr>
            <w:tcW w:w="1700" w:type="dxa"/>
            <w:vAlign w:val="bottom"/>
            <w:gridSpan w:val="4"/>
          </w:tcPr>
          <w:p>
            <w:pPr>
              <w:spacing w:after="0"/>
              <w:rPr>
                <w:sz w:val="17"/>
                <w:szCs w:val="17"/>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10.42</w:t>
            </w:r>
          </w:p>
        </w:tc>
        <w:tc>
          <w:tcPr>
            <w:tcW w:w="10120" w:type="dxa"/>
            <w:vAlign w:val="bottom"/>
            <w:gridSpan w:val="12"/>
          </w:tcPr>
          <w:p>
            <w:pPr>
              <w:ind w:left="3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09">
              <w:r>
                <w:rPr>
                  <w:rFonts w:ascii="Arial" w:cs="Arial" w:eastAsia="Arial" w:hAnsi="Arial"/>
                  <w:sz w:val="18"/>
                  <w:szCs w:val="18"/>
                  <w:color w:val="0000EE"/>
                  <w:w w:val="93"/>
                </w:rPr>
                <w:t>Form of Restricted Stock Unit Award Agreement under the Ashland Global Holdings Inc. 2018 Omnibus Incentive Compensation</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r:id="rId109">
              <w:r>
                <w:rPr>
                  <w:rFonts w:ascii="Arial" w:cs="Arial" w:eastAsia="Arial" w:hAnsi="Arial"/>
                  <w:sz w:val="18"/>
                  <w:szCs w:val="18"/>
                  <w:color w:val="0000EE"/>
                  <w:w w:val="95"/>
                </w:rPr>
                <w:t>Plan (with pro-rata vesting upon death, disability and retirement) (filed as Exhibit 10.7 to Ashland’s Form 10-Q for the quarter</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gridSpan w:val="11"/>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ended June 30, 2019 (SEC File No. 33-211719), and incorporated herein by reference).</w:t>
              </w:r>
            </w:hyperlink>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60" w:type="dxa"/>
            <w:vAlign w:val="bottom"/>
            <w:gridSpan w:val="5"/>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10.43</w:t>
            </w:r>
          </w:p>
        </w:tc>
        <w:tc>
          <w:tcPr>
            <w:tcW w:w="10120" w:type="dxa"/>
            <w:vAlign w:val="bottom"/>
            <w:gridSpan w:val="12"/>
          </w:tcPr>
          <w:p>
            <w:pPr>
              <w:ind w:left="3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10">
              <w:r>
                <w:rPr>
                  <w:rFonts w:ascii="Arial" w:cs="Arial" w:eastAsia="Arial" w:hAnsi="Arial"/>
                  <w:sz w:val="18"/>
                  <w:szCs w:val="18"/>
                  <w:color w:val="0000EE"/>
                  <w:w w:val="96"/>
                </w:rPr>
                <w:t>Form of Stock-Settled Performance Unit Award Agreement under the Ashland Global Holdings Inc. 2018 Omnibus Incentive</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Compensation Plan (with pro-rata vesting upon death, disability and retirement) (filed as Exhibit 10.8 to Ashland’s Form 10-Q for</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gridSpan w:val="11"/>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the quarter ended June 30, 2019 (SEC File No. 33-211719), and incorporated herein by reference).</w:t>
              </w:r>
            </w:hyperlink>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80" w:type="dxa"/>
            <w:vAlign w:val="bottom"/>
            <w:gridSpan w:val="6"/>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10.44</w:t>
            </w:r>
          </w:p>
        </w:tc>
        <w:tc>
          <w:tcPr>
            <w:tcW w:w="10120" w:type="dxa"/>
            <w:vAlign w:val="bottom"/>
            <w:gridSpan w:val="12"/>
          </w:tcPr>
          <w:p>
            <w:pPr>
              <w:ind w:left="3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11">
              <w:r>
                <w:rPr>
                  <w:rFonts w:ascii="Arial" w:cs="Arial" w:eastAsia="Arial" w:hAnsi="Arial"/>
                  <w:sz w:val="18"/>
                  <w:szCs w:val="18"/>
                  <w:color w:val="0000EE"/>
                  <w:w w:val="93"/>
                </w:rPr>
                <w:t>Offer Letter dated as of October 8, 2019, entered into by Guillermo Novo and Ashland Global Holdings Inc. (filed as Exhibit 10.1</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to Ashland’s Form 8-K filed on October 8, 2019 (SEC File No. 333-211719) and incorporated herein by reference).</w:t>
              </w:r>
            </w:hyperlink>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300" w:type="dxa"/>
            <w:vAlign w:val="bottom"/>
            <w:gridSpan w:val="8"/>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10.45</w:t>
            </w:r>
          </w:p>
        </w:tc>
        <w:tc>
          <w:tcPr>
            <w:tcW w:w="10120" w:type="dxa"/>
            <w:vAlign w:val="bottom"/>
            <w:gridSpan w:val="12"/>
          </w:tcPr>
          <w:p>
            <w:pPr>
              <w:ind w:left="3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12">
              <w:r>
                <w:rPr>
                  <w:rFonts w:ascii="Arial" w:cs="Arial" w:eastAsia="Arial" w:hAnsi="Arial"/>
                  <w:sz w:val="18"/>
                  <w:szCs w:val="18"/>
                  <w:color w:val="0000EE"/>
                  <w:w w:val="95"/>
                </w:rPr>
                <w:t>Letter Agreement dated as of October 8, 2019, entered into by William A. Wulfsohn and Ashland Global Holdings Inc. (filed as</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Exhibit 10.2 to Ashland’s Form 8-K filed on October 8, 2019 (SEC File No. 333-211719) and incorporated herein by reference).</w:t>
              </w:r>
            </w:hyperlink>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10.46</w:t>
            </w:r>
          </w:p>
        </w:tc>
        <w:tc>
          <w:tcPr>
            <w:tcW w:w="10120" w:type="dxa"/>
            <w:vAlign w:val="bottom"/>
            <w:gridSpan w:val="12"/>
          </w:tcPr>
          <w:p>
            <w:pPr>
              <w:ind w:left="3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13">
              <w:r>
                <w:rPr>
                  <w:rFonts w:ascii="Arial" w:cs="Arial" w:eastAsia="Arial" w:hAnsi="Arial"/>
                  <w:sz w:val="18"/>
                  <w:szCs w:val="18"/>
                  <w:color w:val="0000EE"/>
                  <w:w w:val="92"/>
                </w:rPr>
                <w:t>Stock Purchase Agreement dated as of May 30, 2011, entered into by and among The Samuel J. Heyman 1981 Continuing Trust</w:t>
              </w:r>
            </w:hyperlink>
          </w:p>
        </w:tc>
      </w:tr>
      <w:tr>
        <w:trPr>
          <w:trHeight w:val="196"/>
        </w:trPr>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60" w:type="dxa"/>
            <w:vAlign w:val="bottom"/>
            <w:tcBorders>
              <w:top w:val="single" w:sz="8" w:color="0000EE"/>
            </w:tcBorders>
            <w:gridSpan w:val="11"/>
          </w:tcPr>
          <w:p>
            <w:pPr>
              <w:spacing w:after="0" w:line="196"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for Lazarus S. Heyman, The Samuel J. Heyman 1981 Continuing Trust for Eleanor S. Heyman, The Samuel J. Heyman 1981</w:t>
              </w:r>
            </w:hyperlink>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620"/>
        <w:spacing w:after="0" w:line="255" w:lineRule="auto"/>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Continuing Trust for Jennifer L. Heyman, The Samuel J. Heyman 1981 Continuing Trust for Elizabeth D. Heyman, The Lazarus S.</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Heyman Age 50 Trust for Assets Appointed Under Will of Lazarus S. Heyman, The Eleanor S. Heyman Age 50 Trust for Assets</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Appointed Under Will of Lazarus S. Heyman, The Jennifer L. Heyman Age 50 Trust for Assets Appointed Under Will of Lazarus</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S. Heyman, The Elizabeth D. Heyman Age 50 Trust for Assets Appointed Under Will of Lazarus S. Heyman, The Horizon</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Holdings Residual Trust, RFH Investment Holdings LLC, Ashland and Ronnie F. Heyman, as representative of the Seller Parties</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(filed as Exhibit 2.1 to Ashland’s Form 8-K filed on May 31, 2011 (SEC File No. 001-32532), and incorporated herein by</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reference).</w:t>
        </w:r>
      </w:hyperlink>
    </w:p>
    <w:p>
      <w:pPr>
        <w:spacing w:after="0" w:line="189" w:lineRule="exact"/>
        <w:rPr>
          <w:rFonts w:ascii="Arial" w:cs="Arial" w:eastAsia="Arial" w:hAnsi="Arial"/>
          <w:sz w:val="18"/>
          <w:szCs w:val="18"/>
          <w:u w:val="single" w:color="auto"/>
          <w:color w:val="0000EE"/>
        </w:rPr>
      </w:pPr>
    </w:p>
    <w:p>
      <w:pPr>
        <w:jc w:val="center"/>
        <w:ind w:right="340"/>
        <w:spacing w:after="0"/>
        <w:rPr>
          <w:sz w:val="20"/>
          <w:szCs w:val="20"/>
          <w:color w:val="auto"/>
        </w:rPr>
      </w:pPr>
      <w:r>
        <w:rPr>
          <w:rFonts w:ascii="Arial" w:cs="Arial" w:eastAsia="Arial" w:hAnsi="Arial"/>
          <w:sz w:val="18"/>
          <w:szCs w:val="18"/>
          <w:color w:val="auto"/>
        </w:rPr>
        <w:t>30</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580" w:top="324"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10.47</w:t>
            </w:r>
          </w:p>
        </w:tc>
        <w:tc>
          <w:tcPr>
            <w:tcW w:w="10220" w:type="dxa"/>
            <w:vAlign w:val="bottom"/>
            <w:gridSpan w:val="11"/>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15">
              <w:r>
                <w:rPr>
                  <w:rFonts w:ascii="Arial" w:cs="Arial" w:eastAsia="Arial" w:hAnsi="Arial"/>
                  <w:sz w:val="18"/>
                  <w:szCs w:val="18"/>
                  <w:color w:val="0000EE"/>
                  <w:w w:val="96"/>
                </w:rPr>
                <w:t>Credit Agreement, dated as of May 17, 2017, among Ashland LLC, as Borrower, The Bank of Nova Scotia, as Administrative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Agent, Swing Line Lender and an L/C Issuer, each Lender and L/C Issuer party thereto and the other agents party thereto (filed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Exhibit 10.1 to Ashland’s Form 8-K filed on May 18, 2017 (SEC File No. 333-211719) and incorporated herein by reference).</w:t>
              </w:r>
            </w:hyperlink>
          </w:p>
        </w:tc>
        <w:tc>
          <w:tcPr>
            <w:tcW w:w="380" w:type="dxa"/>
            <w:vAlign w:val="bottom"/>
            <w:gridSpan w:val="2"/>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10.48</w:t>
            </w:r>
          </w:p>
        </w:tc>
        <w:tc>
          <w:tcPr>
            <w:tcW w:w="10220" w:type="dxa"/>
            <w:vAlign w:val="bottom"/>
            <w:gridSpan w:val="11"/>
          </w:tcPr>
          <w:p>
            <w:pPr>
              <w:ind w:left="4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16">
              <w:r>
                <w:rPr>
                  <w:rFonts w:ascii="Arial" w:cs="Arial" w:eastAsia="Arial" w:hAnsi="Arial"/>
                  <w:sz w:val="18"/>
                  <w:szCs w:val="18"/>
                  <w:color w:val="0000EE"/>
                  <w:w w:val="97"/>
                </w:rPr>
                <w:t>Amendment No. 1 dated as of May 19, 2017, among Ashland LLC, as Borrower (the “Borrower”), certain subsidiaries of the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Borrower, The Bank of Nova Scotia, as Administrative Agent (the “Administrative Agent”), and Citibank, N.A., as the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Incremental Revolving Credit Lender, to the Credit Agreement dated as of May 17, 2017, among the Borrower, the Administrative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Agent, each lender and letter of credit issuer party thereto and the other agents party thereto (filed as Exhibit 10.1 to Ashland’s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Form 8-K filed on May 22, 2017 (SEC File No. 333-211719) and incorporated herein by reference).</w:t>
              </w:r>
            </w:hyperlink>
          </w:p>
        </w:tc>
        <w:tc>
          <w:tcPr>
            <w:tcW w:w="2260" w:type="dxa"/>
            <w:vAlign w:val="bottom"/>
            <w:gridSpan w:val="3"/>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10.49</w:t>
            </w:r>
          </w:p>
        </w:tc>
        <w:tc>
          <w:tcPr>
            <w:tcW w:w="10220" w:type="dxa"/>
            <w:vAlign w:val="bottom"/>
            <w:gridSpan w:val="11"/>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17">
              <w:r>
                <w:rPr>
                  <w:rFonts w:ascii="Arial" w:cs="Arial" w:eastAsia="Arial" w:hAnsi="Arial"/>
                  <w:sz w:val="18"/>
                  <w:szCs w:val="18"/>
                  <w:color w:val="0000EE"/>
                  <w:w w:val="96"/>
                </w:rPr>
                <w:t>Amendment No. 2 dated as of June 14, 2017, among Ashland LLC, as Borrower (the “Borrower”), certain subsidiaries of the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r:id="rId117">
              <w:r>
                <w:rPr>
                  <w:rFonts w:ascii="Arial" w:cs="Arial" w:eastAsia="Arial" w:hAnsi="Arial"/>
                  <w:sz w:val="18"/>
                  <w:szCs w:val="18"/>
                  <w:color w:val="0000EE"/>
                  <w:w w:val="95"/>
                </w:rPr>
                <w:t>Borrower, The Bank of Nova Scotia, as Administrative Agent (the “Administrative Agent”), and Citibank, N.A., as the Term B</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Lender, to the Credit Agreement dated as of May 17, 2017, among the Borrower, the Administrative Agent, each lender and letter</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of credit issuer party thereto and the other agents party thereto (filed as Exhibit 10.1 to Ashland’s Form 8-K filed on June 14, 2017</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0"/>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(SEC File 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10.50</w:t>
            </w:r>
          </w:p>
        </w:tc>
        <w:tc>
          <w:tcPr>
            <w:tcW w:w="10220" w:type="dxa"/>
            <w:vAlign w:val="bottom"/>
            <w:gridSpan w:val="11"/>
          </w:tcPr>
          <w:p>
            <w:pPr>
              <w:ind w:left="48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18">
              <w:r>
                <w:rPr>
                  <w:rFonts w:ascii="Arial" w:cs="Arial" w:eastAsia="Arial" w:hAnsi="Arial"/>
                  <w:sz w:val="18"/>
                  <w:szCs w:val="18"/>
                  <w:color w:val="0000EE"/>
                  <w:w w:val="98"/>
                </w:rPr>
                <w:t>Amendment No. 3 to the Credit Agreement dated as of May 17, 2017, dated as of May 22, 2018, among Ashland LLC,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Borrower, the Lenders from time to time party thereto, The Bank of Nova Scotia, as Administrative Agent, Swing Line Lender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an L/C Issuer, each other L/C Issuer from time to time party thereto and Citibank, N.A., as Syndication Agent, and the various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other parties thereto (as amended by Amendment No. 1 to the Credit Agreement, dated as of May 19, 2017, as further amended by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r:id="rId118">
              <w:r>
                <w:rPr>
                  <w:rFonts w:ascii="Arial" w:cs="Arial" w:eastAsia="Arial" w:hAnsi="Arial"/>
                  <w:sz w:val="18"/>
                  <w:szCs w:val="18"/>
                  <w:color w:val="0000EE"/>
                  <w:w w:val="99"/>
                </w:rPr>
                <w:t>Amendment No. 2 to the Credit Agreement, dated as of June 14, 2017, and as further amended, restated, modified and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supplemented from time to time) (filed as Exhibit 10.1 to Ashland’s Form 8-K filed on May 23, 2018 (SEC File No. 333-211719),</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0"/>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10.51</w:t>
            </w:r>
          </w:p>
        </w:tc>
        <w:tc>
          <w:tcPr>
            <w:tcW w:w="10220" w:type="dxa"/>
            <w:vAlign w:val="bottom"/>
            <w:gridSpan w:val="11"/>
          </w:tcPr>
          <w:p>
            <w:pPr>
              <w:ind w:left="48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19">
              <w:r>
                <w:rPr>
                  <w:rFonts w:ascii="Arial" w:cs="Arial" w:eastAsia="Arial" w:hAnsi="Arial"/>
                  <w:sz w:val="18"/>
                  <w:szCs w:val="18"/>
                  <w:color w:val="0000EE"/>
                  <w:w w:val="98"/>
                </w:rPr>
                <w:t>Amendment No. 4 to the Credit Agreement dated as of May 17, 2017, dated as of June 29, 2018, among Ashland LLC,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Borrower, The Lenders from time to time party thereto, The Bank of Nova Scotia, as Administrative Agent (the “Administrative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r:id="rId119">
              <w:r>
                <w:rPr>
                  <w:rFonts w:ascii="Arial" w:cs="Arial" w:eastAsia="Arial" w:hAnsi="Arial"/>
                  <w:sz w:val="18"/>
                  <w:szCs w:val="18"/>
                  <w:color w:val="0000EE"/>
                  <w:w w:val="97"/>
                </w:rPr>
                <w:t>Agent”), Swing Line Lender and an L/C Issuer, each other L/C Issuer from time to time party thereto and Citibank, N.A.,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Syndication Agent, and the various other parties thereto (as amended by Amendment No. 1 to the Credit Agreement, dated as of</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May 19, 2017, as further amended by Amendment No. 2 to the Credit Agreement, dated as of June 14, 2017 and Amendment No.</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3 to the Credit Agreement, dated as of May 22, 2018, and as further amended, restated, modified and supplemented from time to</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time) (filed as Exhibit 10.1 to Ashland’s Form 8-K filed on July 2, 2018 (SEC File No. 333-211719), and incorporated herein by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19">
              <w:r>
                <w:rPr>
                  <w:rFonts w:ascii="Arial" w:cs="Arial" w:eastAsia="Arial" w:hAnsi="Arial"/>
                  <w:sz w:val="18"/>
                  <w:szCs w:val="18"/>
                  <w:color w:val="0000EE"/>
                  <w:w w:val="87"/>
                </w:rPr>
                <w:t>reference).</w:t>
              </w:r>
            </w:hyperlink>
          </w:p>
        </w:tc>
        <w:tc>
          <w:tcPr>
            <w:tcW w:w="8680" w:type="dxa"/>
            <w:vAlign w:val="bottom"/>
            <w:gridSpan w:val="8"/>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10.52</w:t>
            </w:r>
          </w:p>
        </w:tc>
        <w:tc>
          <w:tcPr>
            <w:tcW w:w="10220" w:type="dxa"/>
            <w:vAlign w:val="bottom"/>
            <w:gridSpan w:val="11"/>
          </w:tcPr>
          <w:p>
            <w:pPr>
              <w:ind w:left="4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20">
              <w:r>
                <w:rPr>
                  <w:rFonts w:ascii="Arial" w:cs="Arial" w:eastAsia="Arial" w:hAnsi="Arial"/>
                  <w:sz w:val="18"/>
                  <w:szCs w:val="18"/>
                  <w:color w:val="0000EE"/>
                  <w:w w:val="96"/>
                </w:rPr>
                <w:t>Assumption Agreement dated September 20, 2016, by and between Ashland Global Holdings Inc. and Ashland Inc. (filed as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0"/>
          </w:tcPr>
          <w:p>
            <w:pPr>
              <w:spacing w:after="0" w:line="196" w:lineRule="exact"/>
              <w:rPr>
                <w:rFonts w:ascii="Arial" w:cs="Arial" w:eastAsia="Arial" w:hAnsi="Arial"/>
                <w:sz w:val="18"/>
                <w:szCs w:val="18"/>
                <w:color w:val="0000EE"/>
                <w:w w:val="98"/>
              </w:rPr>
            </w:pPr>
            <w:hyperlink r:id="rId120">
              <w:r>
                <w:rPr>
                  <w:rFonts w:ascii="Arial" w:cs="Arial" w:eastAsia="Arial" w:hAnsi="Arial"/>
                  <w:sz w:val="18"/>
                  <w:szCs w:val="18"/>
                  <w:color w:val="0000EE"/>
                  <w:w w:val="98"/>
                </w:rPr>
                <w:t>Exhibit 10.1 to Ashland’s Form 8-K filed on September 20, 2016 (SEC File No. 333-211719), and incorporated herein by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reference).</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10.53</w:t>
            </w:r>
          </w:p>
        </w:tc>
        <w:tc>
          <w:tcPr>
            <w:tcW w:w="10220" w:type="dxa"/>
            <w:vAlign w:val="bottom"/>
            <w:gridSpan w:val="11"/>
          </w:tcPr>
          <w:p>
            <w:pPr>
              <w:ind w:left="4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21">
              <w:r>
                <w:rPr>
                  <w:rFonts w:ascii="Arial" w:cs="Arial" w:eastAsia="Arial" w:hAnsi="Arial"/>
                  <w:sz w:val="18"/>
                  <w:szCs w:val="18"/>
                  <w:color w:val="0000EE"/>
                  <w:w w:val="91"/>
                </w:rPr>
                <w:t>Separation Agreement dated as of September 22, 2016, between and among Ashland Global Holdings Inc. and Valvoline Inc. (filed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6"/>
              </w:rPr>
            </w:pPr>
            <w:hyperlink r:id="rId121">
              <w:r>
                <w:rPr>
                  <w:rFonts w:ascii="Arial" w:cs="Arial" w:eastAsia="Arial" w:hAnsi="Arial"/>
                  <w:sz w:val="18"/>
                  <w:szCs w:val="18"/>
                  <w:color w:val="0000EE"/>
                  <w:w w:val="96"/>
                </w:rPr>
                <w:t>as Exhibit 10.1 to Ashland’s Form 8-K filed on September 28, 2016 (SEC File No. 333-211719), and incorporated herein by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21">
              <w:r>
                <w:rPr>
                  <w:rFonts w:ascii="Arial" w:cs="Arial" w:eastAsia="Arial" w:hAnsi="Arial"/>
                  <w:sz w:val="18"/>
                  <w:szCs w:val="18"/>
                  <w:color w:val="0000EE"/>
                  <w:w w:val="87"/>
                </w:rPr>
                <w:t>reference).</w:t>
              </w:r>
            </w:hyperlink>
          </w:p>
        </w:tc>
        <w:tc>
          <w:tcPr>
            <w:tcW w:w="8680" w:type="dxa"/>
            <w:vAlign w:val="bottom"/>
            <w:gridSpan w:val="8"/>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10.54</w:t>
            </w:r>
          </w:p>
        </w:tc>
        <w:tc>
          <w:tcPr>
            <w:tcW w:w="10220" w:type="dxa"/>
            <w:vAlign w:val="bottom"/>
            <w:gridSpan w:val="11"/>
          </w:tcPr>
          <w:p>
            <w:pPr>
              <w:ind w:left="4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22">
              <w:r>
                <w:rPr>
                  <w:rFonts w:ascii="Arial" w:cs="Arial" w:eastAsia="Arial" w:hAnsi="Arial"/>
                  <w:sz w:val="18"/>
                  <w:szCs w:val="18"/>
                  <w:color w:val="0000EE"/>
                  <w:w w:val="94"/>
                </w:rPr>
                <w:t>Tax Matters Agreement dated as of September 22, 2016, between and among Ashland Global Holdings Inc. and Valvoline Inc.</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(filed as Exhibit 10.4 to Ashland’s Form 8-K filed on September 28, 2016 (SEC File No. 333-211719), and incorporated herein by</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0"/>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10.55</w:t>
            </w:r>
          </w:p>
        </w:tc>
        <w:tc>
          <w:tcPr>
            <w:tcW w:w="10220" w:type="dxa"/>
            <w:vAlign w:val="bottom"/>
            <w:gridSpan w:val="11"/>
          </w:tcPr>
          <w:p>
            <w:pPr>
              <w:ind w:left="4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23">
              <w:r>
                <w:rPr>
                  <w:rFonts w:ascii="Arial" w:cs="Arial" w:eastAsia="Arial" w:hAnsi="Arial"/>
                  <w:sz w:val="18"/>
                  <w:szCs w:val="18"/>
                  <w:color w:val="0000EE"/>
                  <w:w w:val="93"/>
                </w:rPr>
                <w:t>Employee Matters Agreement dated as of September 22, 2016, between and among Ashland Global Holdings Inc. and Valvoline</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tcBorders>
            <w:gridSpan w:val="10"/>
          </w:tcPr>
          <w:p>
            <w:pPr>
              <w:spacing w:after="0" w:line="196" w:lineRule="exact"/>
              <w:rPr>
                <w:rFonts w:ascii="Arial" w:cs="Arial" w:eastAsia="Arial" w:hAnsi="Arial"/>
                <w:sz w:val="18"/>
                <w:szCs w:val="18"/>
                <w:color w:val="0000EE"/>
                <w:w w:val="96"/>
              </w:rPr>
            </w:pPr>
            <w:hyperlink r:id="rId123">
              <w:r>
                <w:rPr>
                  <w:rFonts w:ascii="Arial" w:cs="Arial" w:eastAsia="Arial" w:hAnsi="Arial"/>
                  <w:sz w:val="18"/>
                  <w:szCs w:val="18"/>
                  <w:color w:val="0000EE"/>
                  <w:w w:val="96"/>
                </w:rPr>
                <w:t>Inc. (filed as Exhibit 10.5 to Ashland’s Form 8-K filed on September 28, 2016 (SEC File No. 333-211719), and incorporated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herein by reference).</w:t>
              </w:r>
            </w:hyperlink>
          </w:p>
        </w:tc>
        <w:tc>
          <w:tcPr>
            <w:tcW w:w="79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10.56</w:t>
            </w:r>
          </w:p>
        </w:tc>
        <w:tc>
          <w:tcPr>
            <w:tcW w:w="10220" w:type="dxa"/>
            <w:vAlign w:val="bottom"/>
            <w:gridSpan w:val="11"/>
          </w:tcPr>
          <w:p>
            <w:pPr>
              <w:ind w:left="4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24">
              <w:r>
                <w:rPr>
                  <w:rFonts w:ascii="Arial" w:cs="Arial" w:eastAsia="Arial" w:hAnsi="Arial"/>
                  <w:sz w:val="18"/>
                  <w:szCs w:val="18"/>
                  <w:color w:val="0000EE"/>
                  <w:w w:val="95"/>
                </w:rPr>
                <w:t>Stock Purchase Agreement, dated April 14, 2017, by and among Ashland LLC, Pharmachem Laboratories, Inc., the holders of</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common stock of Pharmachem Laboratories, Inc., Dr. David Peele, and Photon SH Representative LLC, solely as the shareholders’</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24">
              <w:r>
                <w:rPr>
                  <w:rFonts w:ascii="Arial" w:cs="Arial" w:eastAsia="Arial" w:hAnsi="Arial"/>
                  <w:sz w:val="18"/>
                  <w:szCs w:val="18"/>
                  <w:color w:val="0000EE"/>
                  <w:w w:val="95"/>
                </w:rPr>
                <w:t>representative (filed as Exhibit 2.1 to Ashland’s Form 8-K filed on May 18, 2017 (SEC File No. 333-211719) and incorporated</w:t>
              </w:r>
            </w:hyperlink>
          </w:p>
        </w:tc>
      </w:tr>
      <w:tr>
        <w:trPr>
          <w:trHeight w:val="196"/>
        </w:trPr>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gridSpan w:val="10"/>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herein by reference).</w:t>
              </w:r>
            </w:hyperlink>
          </w:p>
        </w:tc>
      </w:tr>
      <w:tr>
        <w:trPr>
          <w:trHeight w:val="453"/>
        </w:trPr>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Borders>
              <w:top w:val="single" w:sz="8" w:color="0000EE"/>
            </w:tcBorders>
            <w:gridSpan w:val="3"/>
          </w:tcPr>
          <w:p>
            <w:pPr>
              <w:spacing w:after="0"/>
              <w:rPr>
                <w:sz w:val="24"/>
                <w:szCs w:val="24"/>
                <w:color w:val="auto"/>
              </w:rPr>
            </w:pPr>
          </w:p>
        </w:tc>
        <w:tc>
          <w:tcPr>
            <w:tcW w:w="3300" w:type="dxa"/>
            <w:vAlign w:val="bottom"/>
            <w:gridSpan w:val="3"/>
          </w:tcPr>
          <w:p>
            <w:pPr>
              <w:jc w:val="right"/>
              <w:ind w:right="940"/>
              <w:spacing w:after="0"/>
              <w:rPr>
                <w:sz w:val="20"/>
                <w:szCs w:val="20"/>
                <w:color w:val="auto"/>
              </w:rPr>
            </w:pPr>
            <w:r>
              <w:rPr>
                <w:rFonts w:ascii="Arial" w:cs="Arial" w:eastAsia="Arial" w:hAnsi="Arial"/>
                <w:sz w:val="18"/>
                <w:szCs w:val="18"/>
                <w:color w:val="auto"/>
              </w:rPr>
              <w:t>31</w:t>
            </w:r>
          </w:p>
        </w:tc>
        <w:tc>
          <w:tcPr>
            <w:tcW w:w="2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33" w:name="page34"/>
    <w:bookmarkEnd w:id="33"/>
    <w:tbl>
      <w:tblPr>
        <w:tblLayout w:type="fixed"/>
        <w:tblInd w:w="3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10.57</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EE"/>
            </w:tcBorders>
            <w:gridSpan w:val="14"/>
          </w:tcPr>
          <w:p>
            <w:pPr>
              <w:spacing w:after="0"/>
              <w:rPr>
                <w:rFonts w:ascii="Arial" w:cs="Arial" w:eastAsia="Arial" w:hAnsi="Arial"/>
                <w:sz w:val="18"/>
                <w:szCs w:val="18"/>
                <w:color w:val="0000EE"/>
              </w:rPr>
            </w:pPr>
            <w:hyperlink r:id="rId127">
              <w:r>
                <w:rPr>
                  <w:rFonts w:ascii="Arial" w:cs="Arial" w:eastAsia="Arial" w:hAnsi="Arial"/>
                  <w:sz w:val="18"/>
                  <w:szCs w:val="18"/>
                  <w:color w:val="0000EE"/>
                </w:rPr>
                <w:t>Amendment No. 1 to the Stock Purchase Agreement, dated May 16, 2017, by and among Ashland LLC, Pharmachem</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tcBorders>
              <w:bottom w:val="single" w:sz="8" w:color="0000EE"/>
            </w:tcBorders>
            <w:gridSpan w:val="14"/>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Laboratories, Inc., the holders of common stock of Pharmachem Laboratories, Inc., Dr. David Peele, and Photon SH</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Representative LLC, solely as the shareholders’ representative (filed as Exhibit 2.2 to Ashland’s Form 8-K filed on May 18, 2017</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14"/>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(SEC File No. 333-211719) and incorporated herein by reference).</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10.58</w:t>
            </w:r>
          </w:p>
        </w:tc>
        <w:tc>
          <w:tcPr>
            <w:tcW w:w="10040" w:type="dxa"/>
            <w:vAlign w:val="bottom"/>
            <w:gridSpan w:val="15"/>
          </w:tcPr>
          <w:p>
            <w:pPr>
              <w:ind w:left="30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28">
              <w:r>
                <w:rPr>
                  <w:rFonts w:ascii="Arial" w:cs="Arial" w:eastAsia="Arial" w:hAnsi="Arial"/>
                  <w:sz w:val="18"/>
                  <w:szCs w:val="18"/>
                  <w:color w:val="0000EE"/>
                  <w:w w:val="99"/>
                </w:rPr>
                <w:t>Amendment No. 2 to the Stock Purchase Agreement, dated August 23, 2017, by and among Ashland LLC, Pharmachem</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Laboratories, Inc., the holders of common stock of Pharmachem Laboratories, Inc., Dr. David Peele, and Photon SH</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28">
              <w:r>
                <w:rPr>
                  <w:rFonts w:ascii="Arial" w:cs="Arial" w:eastAsia="Arial" w:hAnsi="Arial"/>
                  <w:sz w:val="18"/>
                  <w:szCs w:val="18"/>
                  <w:color w:val="0000EE"/>
                  <w:w w:val="93"/>
                </w:rPr>
                <w:t>Representative LLC, solely as the shareholders’ representative (filed as Exhibit 10.84 to Ashland’s Form 10-K for the fiscal year</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ended September 30, 2017 (SEC File No. 333-211719), and incorporated by reference herein).</w:t>
              </w:r>
            </w:hyperlink>
          </w:p>
        </w:tc>
        <w:tc>
          <w:tcPr>
            <w:tcW w:w="2660" w:type="dxa"/>
            <w:vAlign w:val="bottom"/>
            <w:gridSpan w:val="3"/>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10.59</w:t>
            </w:r>
          </w:p>
        </w:tc>
        <w:tc>
          <w:tcPr>
            <w:tcW w:w="10040" w:type="dxa"/>
            <w:vAlign w:val="bottom"/>
            <w:gridSpan w:val="15"/>
          </w:tcPr>
          <w:p>
            <w:pPr>
              <w:ind w:left="30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29">
              <w:r>
                <w:rPr>
                  <w:rFonts w:ascii="Arial" w:cs="Arial" w:eastAsia="Arial" w:hAnsi="Arial"/>
                  <w:sz w:val="18"/>
                  <w:szCs w:val="18"/>
                  <w:color w:val="0000EE"/>
                  <w:w w:val="97"/>
                </w:rPr>
                <w:t>Agreement, dated January 22, 2019, by and amount Ashland Global Holdings Inc., Cruiser Capital Advisors, LLC, Keith M.</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7"/>
              </w:rPr>
            </w:pPr>
            <w:hyperlink r:id="rId129">
              <w:r>
                <w:rPr>
                  <w:rFonts w:ascii="Arial" w:cs="Arial" w:eastAsia="Arial" w:hAnsi="Arial"/>
                  <w:sz w:val="18"/>
                  <w:szCs w:val="18"/>
                  <w:color w:val="0000EE"/>
                  <w:w w:val="97"/>
                </w:rPr>
                <w:t>Rosenbloom, Cruiser Capital Master Fund LP, Metamorphosis IV LLC, William H. Joyce, Metamorphosis Master Fund LP,</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Cruiser Capital Metamorphosis Advisors, LLC, Cruiser Capital, LLC, Cruiser Capital, Ltd., the William H. Joyce Revocable Trust</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and the Joyce Family Irrevocable Trust (filed as Exhibit 10.1 to Ashland’s Form 8-K filed on January 22, 2019 (SEC File No. 333-</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gridSpan w:val="14"/>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211719)</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and incorporated herein by reference.)</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10.60</w:t>
            </w:r>
          </w:p>
        </w:tc>
        <w:tc>
          <w:tcPr>
            <w:tcW w:w="10040" w:type="dxa"/>
            <w:vAlign w:val="bottom"/>
            <w:gridSpan w:val="15"/>
          </w:tcPr>
          <w:p>
            <w:pPr>
              <w:ind w:left="3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30">
              <w:r>
                <w:rPr>
                  <w:rFonts w:ascii="Arial" w:cs="Arial" w:eastAsia="Arial" w:hAnsi="Arial"/>
                  <w:sz w:val="18"/>
                  <w:szCs w:val="18"/>
                  <w:color w:val="0000EE"/>
                  <w:w w:val="92"/>
                </w:rPr>
                <w:t>Master Confirmation – Uncollared Accelerated Share Repurchase, dated May 6, 2019, between Ashland Global Holdings Inc. and</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tcBorders>
              <w:top w:val="single" w:sz="8" w:color="0000EE"/>
            </w:tcBorders>
            <w:gridSpan w:val="14"/>
          </w:tcPr>
          <w:p>
            <w:pPr>
              <w:spacing w:after="0" w:line="19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Goldman Sachs (filed as Exhibit 10.1 to Ashland’s Form 8-K filed on May 7, 2019 (SEC File No. 333-211719) and incorporated</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herein by reference)</w:t>
              </w:r>
              <w:r>
                <w:rPr>
                  <w:rFonts w:ascii="Arial" w:cs="Arial" w:eastAsia="Arial" w:hAnsi="Arial"/>
                  <w:sz w:val="18"/>
                  <w:szCs w:val="18"/>
                  <w:color w:val="0563C1"/>
                </w:rPr>
                <w:t>.</w:t>
              </w:r>
            </w:hyperlink>
          </w:p>
        </w:tc>
        <w:tc>
          <w:tcPr>
            <w:tcW w:w="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213">
              <w:r>
                <w:rPr>
                  <w:rFonts w:ascii="Arial" w:cs="Arial" w:eastAsia="Arial" w:hAnsi="Arial"/>
                  <w:sz w:val="18"/>
                  <w:szCs w:val="18"/>
                  <w:color w:val="0000EE"/>
                  <w:w w:val="90"/>
                </w:rPr>
                <w:t>List of Subsidiaries.</w:t>
              </w:r>
            </w:hyperlink>
          </w:p>
        </w:tc>
        <w:tc>
          <w:tcPr>
            <w:tcW w:w="20" w:type="dxa"/>
            <w:vAlign w:val="bottom"/>
            <w:tcBorders>
              <w:top w:val="single" w:sz="8" w:color="0000EE"/>
            </w:tcBorders>
          </w:tcPr>
          <w:p>
            <w:pPr>
              <w:spacing w:after="0"/>
              <w:rPr>
                <w:sz w:val="24"/>
                <w:szCs w:val="24"/>
                <w:color w:val="auto"/>
              </w:rPr>
            </w:pPr>
          </w:p>
        </w:tc>
        <w:tc>
          <w:tcPr>
            <w:tcW w:w="8000" w:type="dxa"/>
            <w:vAlign w:val="bottom"/>
            <w:gridSpan w:val="10"/>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10040" w:type="dxa"/>
            <w:vAlign w:val="bottom"/>
            <w:gridSpan w:val="15"/>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16">
              <w:r>
                <w:rPr>
                  <w:rFonts w:ascii="Arial" w:cs="Arial" w:eastAsia="Arial" w:hAnsi="Arial"/>
                  <w:sz w:val="18"/>
                  <w:szCs w:val="18"/>
                  <w:color w:val="0000EE"/>
                </w:rPr>
                <w:t>Consent of Ernst &amp; Young LLP.</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23.2**</w:t>
            </w:r>
          </w:p>
        </w:tc>
        <w:tc>
          <w:tcPr>
            <w:tcW w:w="10040" w:type="dxa"/>
            <w:vAlign w:val="bottom"/>
            <w:gridSpan w:val="15"/>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17">
              <w:r>
                <w:rPr>
                  <w:rFonts w:ascii="Arial" w:cs="Arial" w:eastAsia="Arial" w:hAnsi="Arial"/>
                  <w:sz w:val="18"/>
                  <w:szCs w:val="18"/>
                  <w:color w:val="0000EE"/>
                </w:rPr>
                <w:t>Consent of Hamilton, Rabinovitz &amp; Associates, Inc.</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23.3**</w:t>
            </w:r>
          </w:p>
        </w:tc>
        <w:tc>
          <w:tcPr>
            <w:tcW w:w="10040" w:type="dxa"/>
            <w:vAlign w:val="bottom"/>
            <w:gridSpan w:val="15"/>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18">
              <w:r>
                <w:rPr>
                  <w:rFonts w:ascii="Arial" w:cs="Arial" w:eastAsia="Arial" w:hAnsi="Arial"/>
                  <w:sz w:val="18"/>
                  <w:szCs w:val="18"/>
                  <w:color w:val="0000EE"/>
                </w:rPr>
                <w:t>Consent of Nathan Associates, Inc.</w:t>
              </w:r>
            </w:hyperlink>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24**</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520" w:type="dxa"/>
            <w:vAlign w:val="bottom"/>
            <w:tcBorders>
              <w:top w:val="single" w:sz="8" w:color="0000EE"/>
            </w:tcBorders>
            <w:gridSpan w:val="6"/>
          </w:tcPr>
          <w:p>
            <w:pPr>
              <w:spacing w:after="0"/>
              <w:rPr>
                <w:rFonts w:ascii="Arial" w:cs="Arial" w:eastAsia="Arial" w:hAnsi="Arial"/>
                <w:sz w:val="18"/>
                <w:szCs w:val="18"/>
                <w:color w:val="0000EE"/>
              </w:rPr>
            </w:pPr>
            <w:hyperlink w:anchor="page219">
              <w:r>
                <w:rPr>
                  <w:rFonts w:ascii="Arial" w:cs="Arial" w:eastAsia="Arial" w:hAnsi="Arial"/>
                  <w:sz w:val="18"/>
                  <w:szCs w:val="18"/>
                  <w:color w:val="0000EE"/>
                </w:rPr>
                <w:t>Power of Attorney.</w:t>
              </w:r>
            </w:hyperlink>
          </w:p>
        </w:tc>
        <w:tc>
          <w:tcPr>
            <w:tcW w:w="6940" w:type="dxa"/>
            <w:vAlign w:val="bottom"/>
            <w:gridSpan w:val="8"/>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0040" w:type="dxa"/>
            <w:vAlign w:val="bottom"/>
            <w:gridSpan w:val="15"/>
          </w:tcPr>
          <w:p>
            <w:pPr>
              <w:ind w:left="3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220">
              <w:r>
                <w:rPr>
                  <w:rFonts w:ascii="Arial" w:cs="Arial" w:eastAsia="Arial" w:hAnsi="Arial"/>
                  <w:sz w:val="18"/>
                  <w:szCs w:val="18"/>
                  <w:color w:val="0000EE"/>
                  <w:w w:val="95"/>
                </w:rPr>
                <w:t>Certification of William A. Wulfsohn, Chief Executive Officer of Ashland, pursuant to Section 302 of the Sarbanes-Oxley Act of</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20">
              <w:r>
                <w:rPr>
                  <w:rFonts w:ascii="Arial" w:cs="Arial" w:eastAsia="Arial" w:hAnsi="Arial"/>
                  <w:sz w:val="18"/>
                  <w:szCs w:val="18"/>
                  <w:color w:val="0000EE"/>
                  <w:w w:val="84"/>
                </w:rPr>
                <w:t>2002.</w:t>
              </w:r>
            </w:hyperlink>
          </w:p>
        </w:tc>
        <w:tc>
          <w:tcPr>
            <w:tcW w:w="9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gridSpan w:val="15"/>
          </w:tcPr>
          <w:p>
            <w:pPr>
              <w:ind w:left="3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221">
              <w:r>
                <w:rPr>
                  <w:rFonts w:ascii="Arial" w:cs="Arial" w:eastAsia="Arial" w:hAnsi="Arial"/>
                  <w:sz w:val="18"/>
                  <w:szCs w:val="18"/>
                  <w:color w:val="0000EE"/>
                  <w:w w:val="95"/>
                </w:rPr>
                <w:t>Certification of J. Kevin Willis, Chief Financial Officer of Ashland, pursuant to Section 302 of the Sarbanes-Oxley Act of 2002.</w:t>
              </w:r>
            </w:hyperlink>
          </w:p>
        </w:tc>
      </w:tr>
      <w:tr>
        <w:trPr>
          <w:trHeight w:val="20"/>
        </w:trPr>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0" w:type="dxa"/>
            <w:vAlign w:val="bottom"/>
            <w:gridSpan w:val="10"/>
            <w:shd w:val="clear" w:color="auto" w:fill="0000EE"/>
          </w:tcPr>
          <w:p>
            <w:pPr>
              <w:spacing w:after="0" w:line="20" w:lineRule="exact"/>
              <w:rPr>
                <w:sz w:val="1"/>
                <w:szCs w:val="1"/>
                <w:color w:val="auto"/>
              </w:rPr>
            </w:pPr>
          </w:p>
        </w:tc>
        <w:tc>
          <w:tcPr>
            <w:tcW w:w="42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10040" w:type="dxa"/>
            <w:vAlign w:val="bottom"/>
            <w:gridSpan w:val="15"/>
          </w:tcPr>
          <w:p>
            <w:pPr>
              <w:ind w:left="3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22">
              <w:r>
                <w:rPr>
                  <w:rFonts w:ascii="Arial" w:cs="Arial" w:eastAsia="Arial" w:hAnsi="Arial"/>
                  <w:sz w:val="18"/>
                  <w:szCs w:val="18"/>
                  <w:color w:val="0000EE"/>
                </w:rPr>
                <w:t>Certification of William A. Wulfsohn, Chief Executive Officer of Ashland, and J. Kevin Willis, Chief Financial Officer of</w:t>
              </w:r>
            </w:hyperlink>
          </w:p>
        </w:tc>
      </w:tr>
      <w:tr>
        <w:trPr>
          <w:trHeight w:val="196"/>
        </w:trPr>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222">
              <w:r>
                <w:rPr>
                  <w:rFonts w:ascii="Arial" w:cs="Arial" w:eastAsia="Arial" w:hAnsi="Arial"/>
                  <w:sz w:val="18"/>
                  <w:szCs w:val="18"/>
                  <w:color w:val="0000EE"/>
                  <w:w w:val="90"/>
                </w:rPr>
                <w:t>Ashland, pursuant to Section 906 of the Sarbanes-Oxley Act of 2002.</w:t>
              </w:r>
            </w:hyperlink>
          </w:p>
        </w:tc>
        <w:tc>
          <w:tcPr>
            <w:tcW w:w="4460" w:type="dxa"/>
            <w:vAlign w:val="bottom"/>
            <w:tcBorders>
              <w:top w:val="single" w:sz="8" w:color="0000EE"/>
            </w:tcBorders>
            <w:gridSpan w:val="4"/>
          </w:tcPr>
          <w:p>
            <w:pPr>
              <w:spacing w:after="0"/>
              <w:rPr>
                <w:sz w:val="17"/>
                <w:szCs w:val="17"/>
                <w:color w:val="auto"/>
              </w:rPr>
            </w:pP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580" w:type="dxa"/>
            <w:vAlign w:val="bottom"/>
          </w:tcPr>
          <w:p>
            <w:pPr>
              <w:spacing w:after="0"/>
              <w:rPr>
                <w:sz w:val="24"/>
                <w:szCs w:val="24"/>
                <w:color w:val="auto"/>
              </w:rPr>
            </w:pPr>
          </w:p>
        </w:tc>
        <w:tc>
          <w:tcPr>
            <w:tcW w:w="9460" w:type="dxa"/>
            <w:vAlign w:val="bottom"/>
            <w:gridSpan w:val="14"/>
          </w:tcPr>
          <w:p>
            <w:pPr>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80" w:type="dxa"/>
            <w:vAlign w:val="bottom"/>
          </w:tcPr>
          <w:p>
            <w:pPr>
              <w:spacing w:after="0"/>
              <w:rPr>
                <w:sz w:val="24"/>
                <w:szCs w:val="24"/>
                <w:color w:val="auto"/>
              </w:rPr>
            </w:pPr>
          </w:p>
        </w:tc>
        <w:tc>
          <w:tcPr>
            <w:tcW w:w="946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80" w:type="dxa"/>
            <w:vAlign w:val="bottom"/>
          </w:tcPr>
          <w:p>
            <w:pPr>
              <w:spacing w:after="0"/>
              <w:rPr>
                <w:sz w:val="24"/>
                <w:szCs w:val="24"/>
                <w:color w:val="auto"/>
              </w:rPr>
            </w:pPr>
          </w:p>
        </w:tc>
        <w:tc>
          <w:tcPr>
            <w:tcW w:w="946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80" w:type="dxa"/>
            <w:vAlign w:val="bottom"/>
          </w:tcPr>
          <w:p>
            <w:pPr>
              <w:spacing w:after="0"/>
              <w:rPr>
                <w:sz w:val="24"/>
                <w:szCs w:val="24"/>
                <w:color w:val="auto"/>
              </w:rPr>
            </w:pPr>
          </w:p>
        </w:tc>
        <w:tc>
          <w:tcPr>
            <w:tcW w:w="946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80" w:type="dxa"/>
            <w:vAlign w:val="bottom"/>
          </w:tcPr>
          <w:p>
            <w:pPr>
              <w:spacing w:after="0"/>
              <w:rPr>
                <w:sz w:val="24"/>
                <w:szCs w:val="24"/>
                <w:color w:val="auto"/>
              </w:rPr>
            </w:pPr>
          </w:p>
        </w:tc>
        <w:tc>
          <w:tcPr>
            <w:tcW w:w="946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80" w:type="dxa"/>
            <w:vAlign w:val="bottom"/>
          </w:tcPr>
          <w:p>
            <w:pPr>
              <w:spacing w:after="0"/>
              <w:rPr>
                <w:sz w:val="24"/>
                <w:szCs w:val="24"/>
                <w:color w:val="auto"/>
              </w:rPr>
            </w:pPr>
          </w:p>
        </w:tc>
        <w:tc>
          <w:tcPr>
            <w:tcW w:w="946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9460" w:type="dxa"/>
            <w:vAlign w:val="bottom"/>
            <w:gridSpan w:val="1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323" w:lineRule="exact"/>
        <w:rPr>
          <w:sz w:val="20"/>
          <w:szCs w:val="20"/>
          <w:color w:val="auto"/>
        </w:rPr>
      </w:pPr>
    </w:p>
    <w:p>
      <w:pPr>
        <w:jc w:val="both"/>
        <w:ind w:left="300" w:hanging="292"/>
        <w:spacing w:after="0" w:line="264"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Attached as Exhibit 101 to this report are the following documents formatted in XBRL (Extensible Business Reporting Language): (i) Statements of Consolidated Comprehensive Income (Loss) for years ended September 30, 2019, 2018 and 2017; (ii) Consolidated Balance Sheets at September 30, 2019 and 2018; (iii) Statements of Consolidated Equity 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34" w:name="page35"/>
    <w:bookmarkEnd w:id="34"/>
    <w:p>
      <w:pPr>
        <w:ind w:left="300"/>
        <w:spacing w:after="0" w:line="258" w:lineRule="auto"/>
        <w:rPr>
          <w:sz w:val="20"/>
          <w:szCs w:val="20"/>
          <w:color w:val="auto"/>
        </w:rPr>
      </w:pPr>
      <w:r>
        <w:rPr>
          <w:rFonts w:ascii="Arial" w:cs="Arial" w:eastAsia="Arial" w:hAnsi="Arial"/>
          <w:sz w:val="18"/>
          <w:szCs w:val="18"/>
          <w:color w:val="auto"/>
        </w:rPr>
        <w:t>September 30, 2019, 2018 and 2017; (iv) Statements of Consolidated Cash Flows for years ended September 30, 2019, 2018 and 2017; and (v)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 xml:space="preserve">SM </w:t>
      </w:r>
      <w:r>
        <w:rPr>
          <w:rFonts w:ascii="Arial" w:cs="Arial" w:eastAsia="Arial" w:hAnsi="Arial"/>
          <w:sz w:val="18"/>
          <w:szCs w:val="18"/>
          <w:color w:val="auto"/>
        </w:rPr>
        <w:t>Service mark, Ashland or its subsidiaries, registered in various countries.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Trademark, Ashland or its subsidiaries, registered in various countries.</w:t>
      </w:r>
    </w:p>
    <w:p>
      <w:pPr>
        <w:spacing w:after="0" w:line="117" w:lineRule="exact"/>
        <w:rPr>
          <w:sz w:val="20"/>
          <w:szCs w:val="20"/>
          <w:color w:val="auto"/>
        </w:rPr>
      </w:pPr>
    </w:p>
    <w:p>
      <w:pPr>
        <w:ind w:left="540" w:hanging="131"/>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Trademark owned by a third party.</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Upon written or oral request, a copy of the above exhibits will be furnished at cost.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firstLine="40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ASHLAND GLOBAL HOLDINGS INC.</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Kevin Willis</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25, 2019</w:t>
      </w:r>
    </w:p>
    <w:p>
      <w:pPr>
        <w:spacing w:after="0" w:line="158"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 on November 25,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Signatures</w:t>
            </w:r>
          </w:p>
        </w:tc>
        <w:tc>
          <w:tcPr>
            <w:tcW w:w="2340" w:type="dxa"/>
            <w:vAlign w:val="bottom"/>
            <w:gridSpan w:val="2"/>
          </w:tcPr>
          <w:p>
            <w:pPr>
              <w:spacing w:after="0"/>
              <w:rPr>
                <w:sz w:val="17"/>
                <w:szCs w:val="17"/>
                <w:color w:val="auto"/>
              </w:rPr>
            </w:pPr>
          </w:p>
        </w:tc>
        <w:tc>
          <w:tcPr>
            <w:tcW w:w="272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Capacity</w:t>
            </w: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620" w:type="dxa"/>
            <w:vAlign w:val="bottom"/>
          </w:tcPr>
          <w:p>
            <w:pPr>
              <w:spacing w:after="0"/>
              <w:rPr>
                <w:sz w:val="24"/>
                <w:szCs w:val="24"/>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6"/>
              </w:rPr>
              <w:t>/s/ William A. Wulfsohn</w:t>
            </w: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Chairman of the Board, Chief Executive Officer and 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5920" w:type="dxa"/>
            <w:vAlign w:val="bottom"/>
            <w:gridSpan w:val="3"/>
            <w:vMerge w:val="restart"/>
          </w:tcPr>
          <w:p>
            <w:pPr>
              <w:ind w:left="2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6"/>
              </w:rPr>
              <w:t>William A. Wulfsohn</w:t>
            </w:r>
          </w:p>
        </w:tc>
        <w:tc>
          <w:tcPr>
            <w:tcW w:w="59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6"/>
              </w:rPr>
              <w:t>/s/ J. Kevin Willis</w:t>
            </w: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5920" w:type="dxa"/>
            <w:vAlign w:val="bottom"/>
            <w:gridSpan w:val="3"/>
            <w:vMerge w:val="restart"/>
          </w:tcPr>
          <w:p>
            <w:pPr>
              <w:ind w:left="2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5"/>
              </w:rPr>
              <w:t>J. Kevin Willis</w:t>
            </w:r>
          </w:p>
        </w:tc>
        <w:tc>
          <w:tcPr>
            <w:tcW w:w="59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3"/>
              </w:rPr>
              <w:t>/s/ J. William Heitman</w:t>
            </w: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Vice President and Controller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5920" w:type="dxa"/>
            <w:vAlign w:val="bottom"/>
            <w:gridSpan w:val="3"/>
            <w:vMerge w:val="restart"/>
          </w:tcPr>
          <w:p>
            <w:pPr>
              <w:ind w:left="2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5"/>
              </w:rPr>
              <w:t>J. William Heitman</w:t>
            </w:r>
          </w:p>
        </w:tc>
        <w:tc>
          <w:tcPr>
            <w:tcW w:w="59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620" w:type="dxa"/>
            <w:vAlign w:val="bottom"/>
          </w:tcPr>
          <w:p>
            <w:pPr>
              <w:spacing w:after="0"/>
              <w:rPr>
                <w:sz w:val="24"/>
                <w:szCs w:val="24"/>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3"/>
              </w:rPr>
              <w:t>Brendan M. Cummins</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4"/>
              </w:rPr>
              <w:t>William G. Dempsey</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2"/>
              </w:rPr>
              <w:t>Jay V. Ihlenfeld</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2"/>
              </w:rPr>
              <w:t>Susan L. Main</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5"/>
              </w:rPr>
              <w:t>Guillermo Novo</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88"/>
              </w:rPr>
              <w:t>Jerome A. Peribere</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0"/>
              </w:rPr>
              <w:t>Craig A. Rogerson</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5"/>
              </w:rPr>
              <w:t>Mark C. Rohr</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88"/>
              </w:rPr>
              <w:t>Janice J. Teal</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540" w:type="dxa"/>
            <w:vAlign w:val="bottom"/>
            <w:gridSpan w:val="2"/>
          </w:tcPr>
          <w:p>
            <w:pPr>
              <w:jc w:val="center"/>
              <w:ind w:left="16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4880" w:type="dxa"/>
            <w:vAlign w:val="bottom"/>
            <w:gridSpan w:val="4"/>
          </w:tcPr>
          <w:p>
            <w:pPr>
              <w:jc w:val="center"/>
              <w:ind w:right="620"/>
              <w:spacing w:after="0"/>
              <w:rPr>
                <w:sz w:val="20"/>
                <w:szCs w:val="20"/>
                <w:color w:val="auto"/>
              </w:rPr>
            </w:pPr>
            <w:r>
              <w:rPr>
                <w:rFonts w:ascii="Arial" w:cs="Arial" w:eastAsia="Arial" w:hAnsi="Arial"/>
                <w:sz w:val="18"/>
                <w:szCs w:val="18"/>
                <w:color w:val="auto"/>
                <w:w w:val="91"/>
              </w:rPr>
              <w:t>Kathleen Wilson-Thompson</w:t>
            </w: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gridSpan w:val="4"/>
          </w:tcPr>
          <w:p>
            <w:pPr>
              <w:spacing w:after="0"/>
              <w:rPr>
                <w:sz w:val="20"/>
                <w:szCs w:val="20"/>
                <w:color w:val="auto"/>
              </w:rPr>
            </w:pPr>
            <w:r>
              <w:rPr>
                <w:rFonts w:ascii="Arial" w:cs="Arial" w:eastAsia="Arial" w:hAnsi="Arial"/>
                <w:sz w:val="18"/>
                <w:szCs w:val="18"/>
                <w:color w:val="auto"/>
              </w:rPr>
              <w:t>/s/ Peter J. Ganz</w:t>
            </w:r>
          </w:p>
        </w:tc>
        <w:tc>
          <w:tcPr>
            <w:tcW w:w="2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34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26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Peter J. Ganz</w:t>
            </w:r>
          </w:p>
        </w:tc>
        <w:tc>
          <w:tcPr>
            <w:tcW w:w="22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4880" w:type="dxa"/>
            <w:vAlign w:val="bottom"/>
            <w:gridSpan w:val="4"/>
          </w:tcPr>
          <w:p>
            <w:pPr>
              <w:spacing w:after="0"/>
              <w:rPr>
                <w:sz w:val="20"/>
                <w:szCs w:val="20"/>
                <w:color w:val="auto"/>
              </w:rPr>
            </w:pPr>
            <w:r>
              <w:rPr>
                <w:rFonts w:ascii="Arial" w:cs="Arial" w:eastAsia="Arial" w:hAnsi="Arial"/>
                <w:sz w:val="18"/>
                <w:szCs w:val="18"/>
                <w:color w:val="auto"/>
              </w:rPr>
              <w:t>Attorney-in-Fact</w:t>
            </w:r>
          </w:p>
        </w:tc>
        <w:tc>
          <w:tcPr>
            <w:tcW w:w="2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gridSpan w:val="4"/>
          </w:tcPr>
          <w:p>
            <w:pPr>
              <w:spacing w:after="0"/>
              <w:rPr>
                <w:sz w:val="20"/>
                <w:szCs w:val="20"/>
                <w:color w:val="auto"/>
              </w:rPr>
            </w:pPr>
            <w:r>
              <w:rPr>
                <w:rFonts w:ascii="Arial" w:cs="Arial" w:eastAsia="Arial" w:hAnsi="Arial"/>
                <w:sz w:val="18"/>
                <w:szCs w:val="18"/>
                <w:color w:val="auto"/>
              </w:rPr>
              <w:t>November 25, 2019</w:t>
            </w:r>
          </w:p>
        </w:tc>
        <w:tc>
          <w:tcPr>
            <w:tcW w:w="2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34</w:t>
            </w: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accompanying Notes to Consolidated Financial Statements for the years ended September 30, 2019, 2018 and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 profile</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Ashland is a premier global leader in providing specialty chemical solutions to customers in a wide range of consumer and industrial markets, including adhesives, architectural coatings, construction, energy, food and beverage, nutraceuticals, personal care and pharmaceutical. With approximately 4,700 employees worldwide, Ashland serves customers in more than 100 countries.</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Ashland’s sales generated outside of North America were 60% in 2019, 2018 and 2017. Sales by region expressed as a percentage of total consolidated sales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Geography</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5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6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16"/>
        </w:trPr>
        <w:tc>
          <w:tcPr>
            <w:tcW w:w="66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Ashland includes only U.S. and Canada in its North American designation.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Ashland’s reporting structure is composed of two reportable segments: Specialty Ingredients and Intermediates and Solvents. For further descriptions of each reportable segment, see “Results of Operations – Reportable Segment Review” beginning on page M-17.</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Sales by each reportable segment expressed as a percentage of total consolidated sales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Reportable Segment</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Intermediates and Solvents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6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During 2019, the following operational decisions and economic developments had an impact on Ashland’s current and future cash flows, results of operations and financial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Results</w:t>
      </w:r>
    </w:p>
    <w:p>
      <w:pPr>
        <w:spacing w:after="0" w:line="121"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Ashland’s net income was $505 million ($24 million from continuing operations and $481 million from discontinued operations) in 2019 compared to $114 million ($19 million from continuing operations and $95 million from discontinued operations) in 2018. Results for Ashland’s continuing operations were primarily driven by the performance of Specialty Ingredients and the Intermediates and Solvents operating results, as well as reduced Corporate costs, between periods. Discontinued operations were primarily driven by the results of the Composites segment (including Ashland’s maleic anhydride business (Maleic business)) and Marl facility including the gain on sale of $372 million and adjustments for retained liabilities associated with divested discontinued operations businesses such as Distribution. Ashland’s Adjusted EBITDA increased by $17 million to $532 million during 2019 compared to 2018 (see U.S. GAAP reconciliation on page M-8). The increase in Adjusted EBITDA was mainly due to lower selling, general and administrative costs for Specialty Ingredients and Corporate attributable to company-wide restructuring program savings and lower incentive compensation. Business results for both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Specialty Ingredients and Intermediates and Solvents were lower than the prior year primarily driven by lower volume and mix and unfavorable foreign currency exchange partially offset by lower selling, general and administrative expense.</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discussion outlines significant transactions announced or executed during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Composites Segment and Marl Facility</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On November 15, 2018, Ashland announced that it had signed a definitive agreement to sell its Composites segment and Intermediates and Solvents Marl facility to INEOS Enterprises (INEOS) in a transaction valued at $1.1 billion. Ashland retained the remaining Intermediates and Solvents facility in Lima, Ohio primarily for its own internal business use.</w:t>
      </w:r>
    </w:p>
    <w:p>
      <w:pPr>
        <w:spacing w:after="0" w:line="73"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In late July of 2019, Ashland and INEOS agreed to certain additional changes to the sale agreement. As part of the proposed changes, the purchase price was adjusted to $1.015 billion while Ashland retained the right to the Maleic business, including the retention of any subsequent sale proceeds.</w:t>
      </w:r>
    </w:p>
    <w:p>
      <w:pPr>
        <w:spacing w:after="0" w:line="16"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On August 30, 2019 Ashland completed the previously announced sale of its Composites business (excluding the Maleic business) and butanediol manufacturing facility in Marl, Germany to INEOS. Net proceeds from the sale were approximately $1 billion and were used primarily for debt reductions. Approximately $0.9 billion of debt was retired by September 30, 2019.</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 a result of the sale, Ashland recognized a $372 million after-tax gain within the Statement of Consolidated Comprehensive Income (Loss) within the income from discontinued operations caption.</w:t>
      </w:r>
    </w:p>
    <w:p>
      <w:pPr>
        <w:spacing w:after="0" w:line="62"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Since this disposal group signifies a strategic shift in Ashland’s business and had a major effect on Ashland’s operations and financial results, the operating results and cash flows related to Composites and the Marl facility, including the Maleic business, have been reflected as discontinued operations in the Statements of Consolidated Comprehensive Income (Loss) and Statements of Consolidated Cash Flows. See Note E of the Notes to Condensed Consolidated Financial Statements for the results of operations for Composites and the Marl facility, including the Maleic business, for all periods presented.</w:t>
      </w:r>
    </w:p>
    <w:p>
      <w:pPr>
        <w:spacing w:after="0" w:line="46"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Certain indirect corporate costs included within the selling, general and administrative expense caption of the Statements of Consolidated Comprehensive Income (Loss) that were previously allocated to the Composites segment and Marl facility, including the Maleic business, do not qualify for classification within discontinued operations and are now reported as selling, general and administrative expense within continuing operations on a consolidated basis and within the Unallocated and other segment. These costs were $41 million, $46 million and $36 million during the twelve months ended September 30, 2019, 2018, and 2017, respectively. Ashland is currently implementing plans to eliminate these costs as part of the global restructuring program.</w:t>
      </w:r>
    </w:p>
    <w:p>
      <w:pPr>
        <w:spacing w:after="0" w:line="85"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Subsequent to the completion of the sale, Ashland is providing certain transition services to INEOS for a fee. While the transition services are expected to vary in duration depending upon the type of service provided, Ashland expects to reduce certain costs as the transition services are completed. Ashland recognized transition service fees of $1 million during 2019 for the one month period since the completion of the divestiture.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Plans</w:t>
      </w:r>
    </w:p>
    <w:p>
      <w:pPr>
        <w:spacing w:after="0" w:line="121"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In early May 2018, Ashland announced a company-wide restructuring program to accelerate EBITDA margin growth by creating a leaner, more cost competitive company with improved operating efficiency, faster decision making and a stronger customer focus. Under this program, Ashland intends to eliminate a total of $120 million of existing allocated costs, direct expenses within Specialty Ingredients SG&amp;A, and facility-related costs as follows:</w:t>
      </w:r>
    </w:p>
    <w:p>
      <w:pPr>
        <w:spacing w:after="0" w:line="39" w:lineRule="exact"/>
        <w:rPr>
          <w:sz w:val="20"/>
          <w:szCs w:val="20"/>
          <w:color w:val="auto"/>
        </w:rPr>
      </w:pPr>
    </w:p>
    <w:p>
      <w:pPr>
        <w:ind w:left="800" w:hanging="400"/>
        <w:spacing w:after="0" w:line="308"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Approximately $70 million of costs allocated to the Composites business and to the butanediol manufacturing facility in Marl, Germany, are expected to be offset or eliminated through transfers and reductions. This reduction is intended to eliminate stranded costs.</w:t>
      </w:r>
    </w:p>
    <w:p>
      <w:pPr>
        <w:spacing w:after="0" w:line="38" w:lineRule="exact"/>
        <w:rPr>
          <w:rFonts w:ascii="Arial" w:cs="Arial" w:eastAsia="Arial" w:hAnsi="Arial"/>
          <w:sz w:val="17"/>
          <w:szCs w:val="17"/>
          <w:color w:val="auto"/>
        </w:rPr>
      </w:pPr>
    </w:p>
    <w:p>
      <w:pPr>
        <w:ind w:left="800" w:hanging="400"/>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$50 million of additional costs are expected to be eliminated to drive improved profitability in Specialty Ingredients and accelerate achievement of its adjusted EBITDA margin target of 25-27 percent.</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Ashland continues to expect to achieve the full $120 million in run-rate savings by the end of calendar year 2019. Ashland captured $115 million in annualized run-rate savings under this program by the end of the September 2019 quarter. Ashland expects the remaining cost savings from this program to be achieved by December 31,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Tax Law Changes</w:t>
      </w:r>
    </w:p>
    <w:p>
      <w:pPr>
        <w:spacing w:after="0" w:line="121"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The Tax Cuts and Jobs Act (Tax Act) was enacted on December 22, 2017. The Tax Act reduced the U.S. federal corporate tax rate from 35% to 21%, required companies to pay a one-time transition tax on earnings of certain foreign subsidiaries that were previously tax deferred and created new taxes on certain foreign sourced earnings. Through September 30, 2018 Ashland recorded provisional amounts for certain enactment date effects of the Tax Act by applying the guidance in SAB 118 because Ashland had not yet completed its enactment date accounting for these effects. During 2019, Ashland completed its internal accounting assessment for the tax effects from the enactment of the Tax Act and recorded adjustments to provisional amounts previously recorded. Ashland’s final assessment resulted in net unfavorable tax adjustments of $29 million during the twelve months ended September 30, 2019. These adjustments are primarily related to the one-time transition tax assessed on foreign cash and unremitted earnings. There could be additional guidance issued subsequent to September 30, 2019 that could impact Ashland’s interpretation of the Tax Act and such changes could affect the amounts recorded. The impact, if any, of further transitional tax guidance that may be issued by the U.S. Treasury would be reflected in the Company’s provision for income tax in the period such guidance is effective.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On April 30, 2019, Ashland announced an intention to commence a $200 million share repurchase program under Ashland’s Board of Directors approved $1 billion stock repurchase program in fiscal 2018.</w:t>
      </w:r>
    </w:p>
    <w:p>
      <w:pPr>
        <w:spacing w:after="0" w:line="62"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In May 2019, under the 2018 stock repurchase program, Ashland announced that it entered into an accelerated share repurchase agreement (2019 ASR Agreement). Under the 2019 ASR Agreement, Ashland paid an initial purchase price of $200 million and received an initial delivery of 2.2 million shares of common stock during May 2019. The bank exercised its early termination option under the 2019 ASR Agreement in August 2019, and an additional 400 thousand shares were repurchased, bringing the total shares repurchased upon settlement to 2.6 million. This was the first stock repurchase under the 2018 stock repurchase program.</w:t>
      </w:r>
    </w:p>
    <w:p>
      <w:pPr>
        <w:spacing w:after="0" w:line="80" w:lineRule="exact"/>
        <w:rPr>
          <w:sz w:val="20"/>
          <w:szCs w:val="20"/>
          <w:color w:val="auto"/>
        </w:rPr>
      </w:pPr>
    </w:p>
    <w:p>
      <w:pPr>
        <w:ind w:right="2220" w:firstLine="401"/>
        <w:spacing w:after="0" w:line="375" w:lineRule="auto"/>
        <w:rPr>
          <w:sz w:val="20"/>
          <w:szCs w:val="20"/>
          <w:color w:val="auto"/>
        </w:rPr>
      </w:pPr>
      <w:r>
        <w:rPr>
          <w:rFonts w:ascii="Arial" w:cs="Arial" w:eastAsia="Arial" w:hAnsi="Arial"/>
          <w:sz w:val="18"/>
          <w:szCs w:val="18"/>
          <w:color w:val="auto"/>
        </w:rPr>
        <w:t xml:space="preserve">As of September 30, 2019, $800 million remained available for repurchase under the $1 billion stock repurchase program. </w:t>
      </w:r>
      <w:r>
        <w:rPr>
          <w:rFonts w:ascii="Arial" w:cs="Arial" w:eastAsia="Arial" w:hAnsi="Arial"/>
          <w:sz w:val="18"/>
          <w:szCs w:val="18"/>
          <w:b w:val="1"/>
          <w:bCs w:val="1"/>
          <w:color w:val="auto"/>
        </w:rPr>
        <w:t>Stockholder Dividends</w:t>
      </w:r>
    </w:p>
    <w:p>
      <w:pPr>
        <w:spacing w:after="0" w:line="1"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In May 2019, the Board of Directors of Ashland announced a quarterly cash dividend of 27.5 cents per share, which represents an increase from the previous quarterly cash dividend of 25.0 cents per share. This dividend was paid in the third and fourth quarters of fiscal 2019.</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 and Ashland Credit Ratings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fiscal 2019, Ashland reduced outstanding debt by approximately $0.9 billion. This debt reduction was primarily funded through the proceeds received from the Composites segment (excluding the Maleic business) and the Marl facility sale. As a result of these debt reductions, in September and October 2019 Ashland’s corporate credit ratings with both Standard &amp; Poor’s and Moody’s Investor Services were upgraded as follows: Standard &amp; Poor’s from BB to BB+; and Moody’s Investor Services from Ba2 to Ba1.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CONSOLIDATED REVIEW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non-GAAP measures</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3" w:lineRule="exact"/>
        <w:rPr>
          <w:sz w:val="20"/>
          <w:szCs w:val="20"/>
          <w:color w:val="auto"/>
        </w:rPr>
      </w:pPr>
    </w:p>
    <w:p>
      <w:pPr>
        <w:ind w:left="800" w:hanging="400"/>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EBITDA - net income (loss), plus income tax expense (benefit), net interest and other financing expenses, and depreciation and amortization.</w:t>
      </w:r>
    </w:p>
    <w:p>
      <w:pPr>
        <w:spacing w:after="0" w:line="128" w:lineRule="exact"/>
        <w:rPr>
          <w:rFonts w:ascii="Arial" w:cs="Arial" w:eastAsia="Arial" w:hAnsi="Arial"/>
          <w:sz w:val="17"/>
          <w:szCs w:val="17"/>
          <w:color w:val="auto"/>
        </w:rPr>
      </w:pPr>
    </w:p>
    <w:p>
      <w:pPr>
        <w:ind w:left="800" w:hanging="400"/>
        <w:spacing w:after="0" w:line="342"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 EBITDA adjusted for noncontrolling interests, discontinued operations, net gain (loss) on acquisitions and divestitures, other income and (expense) and key items (including the remeasurement gains and losses related to pension and other postretirement plans).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0" w:name="page41"/>
    <w:bookmarkEnd w:id="40"/>
    <w:p>
      <w:pPr>
        <w:ind w:left="800" w:hanging="40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margin - Adjusted EBITDA, which can include pro forma adjustments, divided by sales.</w:t>
      </w:r>
    </w:p>
    <w:p>
      <w:pPr>
        <w:spacing w:after="0" w:line="117" w:lineRule="exact"/>
        <w:rPr>
          <w:rFonts w:ascii="Arial" w:cs="Arial" w:eastAsia="Arial" w:hAnsi="Arial"/>
          <w:sz w:val="18"/>
          <w:szCs w:val="18"/>
          <w:color w:val="auto"/>
        </w:rPr>
      </w:pPr>
    </w:p>
    <w:p>
      <w:pPr>
        <w:ind w:left="800" w:right="20" w:hanging="400"/>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diluted earnings per share (EPS) - income (loss) from continuing operations, adjusted for key items, net of tax, divided by the average outstanding diluted shares for the applicable period.</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Free cash flow - operating cash flows less capital expenditures and certain other adjustments as applicable.</w:t>
      </w:r>
    </w:p>
    <w:p>
      <w:pPr>
        <w:spacing w:after="0" w:line="117"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70"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79"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free cash flow metric enables Ashland to provide a better indication of the ongoing cash being generated that is ultimately available for both debt and equity holders as well as other investment opportunities. Unlike cash flow provided by operating activities, free cash flow includes the impact of capital expenditures from continuing operations, providing a more complete picture of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80"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Although Ashland may provide forward-looking guidance for Adjusted EBITDA, Adjusted diluted EPS and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70"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2017 Credit Agreement are based on similar non-GAAP measures and are defined further in the sections that reference this metric.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jc w:val="both"/>
        <w:ind w:firstLine="401"/>
        <w:spacing w:after="0" w:line="287" w:lineRule="auto"/>
        <w:rPr>
          <w:sz w:val="20"/>
          <w:szCs w:val="20"/>
          <w:color w:val="auto"/>
        </w:rPr>
      </w:pPr>
      <w:r>
        <w:rPr>
          <w:rFonts w:ascii="Arial" w:cs="Arial" w:eastAsia="Arial" w:hAnsi="Arial"/>
          <w:sz w:val="16"/>
          <w:szCs w:val="16"/>
          <w:color w:val="auto"/>
        </w:rPr>
        <w:t>In accordance with U.S. GAAP, Ashland recognizes actuarial gains and losses for defined benefit pension and other postretirement benefit plans annually in the fourth quarter of each fiscal year and whenever a plan is determined to qualify for a remeasurement during a fiscal year. Actuarial gains and losses occur when actual experience differs from the estimates used to allocate the change in value of pension and other postretirement benefit plans to expense throughout the year or when assumptions change, as they may each year. Significant factors that can contribute to the recognition of actuarial gains and losses include changes in discount rates used to remeasure pension and other postretirement obligations on an annual basis or upon a qualifying remeasurement, differences between actual and expected returns on plan assets and other changes in actuarial assumptions, for example, the life expectancy of plan participants. Management believes Adjusted EBITDA, which includes the expected return on pension plan assets yet excludes both the actual return on pension plan assets and the impact of actuarial gains and losses, provides investors with a meaningful supplemental presentation of Ashland’s operating performance (see the Adjusted EBITDA reconciliation table on page M-8 for additional details on exact amounts included within this non-GAAP measure related to pension and other postretirement plans). Management believes these actuarial gains and losses are primarily financing activities that are more reflective of changes in current conditions in global financial markets (and in particular interest rates) that are not directly related to the underlying business. For further information on the actuarial assumptions and plan assets referenced above, see Note N of the Notes to Consolidated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net income is primarily affected by results within operating income, net interest and other financing expense, net loss on acquisitions and divestitures, income taxes, discontinued operations and other significant events or transactions that are unusual or nonrecurring. Net income also includes Ashland’s adjustment for the immediate recognition of the change in the fair value of the plan assets and net actuarial gains and losses for defined benefit pension plans and other postretirement benefit plans for each fiscal year.</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Key financial results for 2019, 2018 and 2017 included the following:</w:t>
      </w:r>
    </w:p>
    <w:p>
      <w:pPr>
        <w:spacing w:after="0" w:line="117" w:lineRule="exact"/>
        <w:rPr>
          <w:sz w:val="20"/>
          <w:szCs w:val="20"/>
          <w:color w:val="auto"/>
        </w:rPr>
      </w:pPr>
    </w:p>
    <w:p>
      <w:pPr>
        <w:ind w:left="800" w:hanging="400"/>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Ashland’s net income attributable to Ashland amounted to income of $505 million in 2019, $114 million in 2018, and $1 million in 2017, or $8.03, $1.79 and $0.01 diluted earnings per share, respectively.</w:t>
      </w:r>
    </w:p>
    <w:p>
      <w:pPr>
        <w:spacing w:after="0" w:line="62" w:lineRule="exact"/>
        <w:rPr>
          <w:rFonts w:ascii="Arial" w:cs="Arial" w:eastAsia="Arial" w:hAnsi="Arial"/>
          <w:sz w:val="18"/>
          <w:szCs w:val="18"/>
          <w:color w:val="auto"/>
        </w:rPr>
      </w:pPr>
    </w:p>
    <w:p>
      <w:pPr>
        <w:ind w:left="800" w:hanging="400"/>
        <w:spacing w:after="0" w:line="308"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Ashland’s net income attributable to noncontrolling interest amounted to $27 million during 2017 and reflects the noncontrolling interest of Valvoline Inc. for the period after the IPO close on September 28, 2016 and before the final separation occurred on May 12, 2017.</w:t>
      </w:r>
    </w:p>
    <w:p>
      <w:pPr>
        <w:spacing w:after="0" w:line="38" w:lineRule="exact"/>
        <w:rPr>
          <w:rFonts w:ascii="Arial" w:cs="Arial" w:eastAsia="Arial" w:hAnsi="Arial"/>
          <w:sz w:val="17"/>
          <w:szCs w:val="17"/>
          <w:color w:val="auto"/>
        </w:rPr>
      </w:pPr>
    </w:p>
    <w:p>
      <w:pPr>
        <w:jc w:val="both"/>
        <w:ind w:left="800" w:hanging="400"/>
        <w:spacing w:after="0" w:line="255"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Discontinued operations, which are reported net of taxes, resulted in income of $481 million, $95 million and $208 million during 2019, 2018 and 2017, respectively. The activity within discontinued operations includes the gain on the disposal of the Composites segment (excluding the Maleic business) and the Intermediates and Solvents Marl facility in 2019, the operating results of the Composites segment (including the Maleic business) and the Intermediates and Solvents Marl facility for all periods reported, and Valvoline Inc. for the period in fiscal year 2017 prior to the final separation on May 12, 2017. Discontinued operations also includes adjustments related to other retained liabilities for previously divested businesses within discontinued operations.</w:t>
      </w:r>
    </w:p>
    <w:p>
      <w:pPr>
        <w:spacing w:after="0" w:line="85" w:lineRule="exact"/>
        <w:rPr>
          <w:rFonts w:ascii="Arial" w:cs="Arial" w:eastAsia="Arial" w:hAnsi="Arial"/>
          <w:sz w:val="18"/>
          <w:szCs w:val="18"/>
          <w:color w:val="auto"/>
        </w:rPr>
      </w:pPr>
    </w:p>
    <w:p>
      <w:pPr>
        <w:ind w:left="800" w:hanging="400"/>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from continuing operations, which excludes results from discontinued operations, amounted to income of $24 million in 2019, $19 million in 2018 and a loss of $180 million in 2017.</w:t>
      </w:r>
    </w:p>
    <w:p>
      <w:pPr>
        <w:spacing w:after="0" w:line="62" w:lineRule="exact"/>
        <w:rPr>
          <w:rFonts w:ascii="Arial" w:cs="Arial" w:eastAsia="Arial" w:hAnsi="Arial"/>
          <w:sz w:val="18"/>
          <w:szCs w:val="18"/>
          <w:color w:val="auto"/>
        </w:rPr>
      </w:pPr>
    </w:p>
    <w:p>
      <w:pPr>
        <w:ind w:left="800" w:right="20" w:hanging="400"/>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 income tax expense rate of 66% for 2019, income tax benefit rate of 73% for 2018, and income tax benefit rate of 8% for 2017, were significantly impacted by certain tax specific key items and tax discrete items.</w:t>
      </w:r>
    </w:p>
    <w:p>
      <w:pPr>
        <w:spacing w:after="0" w:line="62" w:lineRule="exact"/>
        <w:rPr>
          <w:rFonts w:ascii="Arial" w:cs="Arial" w:eastAsia="Arial" w:hAnsi="Arial"/>
          <w:sz w:val="18"/>
          <w:szCs w:val="18"/>
          <w:color w:val="auto"/>
        </w:rPr>
      </w:pPr>
    </w:p>
    <w:p>
      <w:pPr>
        <w:ind w:left="800" w:hanging="400"/>
        <w:spacing w:after="0" w:line="308"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Ashland incurred pretax net interest and other financing expense of $99 million, $102 million and $229 million during 2019, 2018 and 2017, respectively, and was impacted by debt principal payments and certain charges associated with debt financing activity during each year.</w:t>
      </w:r>
    </w:p>
    <w:p>
      <w:pPr>
        <w:spacing w:after="0" w:line="38" w:lineRule="exact"/>
        <w:rPr>
          <w:rFonts w:ascii="Arial" w:cs="Arial" w:eastAsia="Arial" w:hAnsi="Arial"/>
          <w:sz w:val="17"/>
          <w:szCs w:val="17"/>
          <w:color w:val="auto"/>
        </w:rPr>
      </w:pPr>
    </w:p>
    <w:p>
      <w:pPr>
        <w:ind w:left="800" w:hanging="400"/>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net periodic benefit income (costs) totaled income of $5 million and $15 million during 2019 and 2018, respectively, and costs of $6 million during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ind w:left="800" w:hanging="400"/>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loss on acquisitions and divestitures totaled $2 million, $4 million and $10 million during 2019, 2018 and 2017, respectively.</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income amounted to income of $166 million, $102 million and $49 million in 2019, 2018 and 2017, respectively.</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For further information on the items reported above, see the discussion in the comparative Statements of Consolidated Comprehensive Income (Loss) caption review analysis.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Operating income amounted to income of $166 million, $102 million and $49 million in 2019, 2018 and 2017, respectively. The current and prior years’ operating income included certain key items that were excluded to arrive at Adjusted EBITDA and are quantified in the table on page M-8. These operating key items for the applicable periods are summarized as follows:</w:t>
      </w:r>
    </w:p>
    <w:p>
      <w:pPr>
        <w:spacing w:after="0" w:line="73" w:lineRule="exact"/>
        <w:rPr>
          <w:sz w:val="20"/>
          <w:szCs w:val="20"/>
          <w:color w:val="auto"/>
        </w:rPr>
      </w:pPr>
    </w:p>
    <w:p>
      <w:pPr>
        <w:jc w:val="both"/>
        <w:ind w:left="800" w:hanging="400"/>
        <w:spacing w:after="0" w:line="255"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separation and other costs - Ashland periodically implements company-wide restructuring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Notes C, D and F in the Notes to Consolidated Financial Statements for further information. Also included within this key item category are separation costs incurred as a result of the separation from Valvoline, which primarily related to transaction, consulting and legal fees. See Note B of the Notes to Consolidated Financial Statements for more information on the separation of Valvoline.</w:t>
      </w:r>
    </w:p>
    <w:p>
      <w:pPr>
        <w:spacing w:after="0" w:line="85" w:lineRule="exact"/>
        <w:rPr>
          <w:rFonts w:ascii="Arial" w:cs="Arial" w:eastAsia="Arial" w:hAnsi="Arial"/>
          <w:sz w:val="18"/>
          <w:szCs w:val="18"/>
          <w:color w:val="auto"/>
        </w:rPr>
      </w:pPr>
    </w:p>
    <w:p>
      <w:pPr>
        <w:jc w:val="both"/>
        <w:ind w:left="800" w:hanging="400"/>
        <w:spacing w:after="0" w:line="264"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Accelerated depreciation – As a result of various restructuring activities at certain office facilities and manufacturing plants, Ashland recorded accelerated depreciation due to changes in the expected useful life of certain property, plant and equipment. See Note H of the Notes to Consolidated Financial Statements for more information.</w:t>
      </w:r>
    </w:p>
    <w:p>
      <w:pPr>
        <w:spacing w:after="0" w:line="73" w:lineRule="exact"/>
        <w:rPr>
          <w:rFonts w:ascii="Arial" w:cs="Arial" w:eastAsia="Arial" w:hAnsi="Arial"/>
          <w:sz w:val="18"/>
          <w:szCs w:val="18"/>
          <w:color w:val="auto"/>
        </w:rPr>
      </w:pPr>
    </w:p>
    <w:p>
      <w:pPr>
        <w:ind w:left="800" w:hanging="400"/>
        <w:spacing w:after="0" w:line="27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Proxy costs – Ashland incurred significant consulting and other costs associated with the 2019 Annual Meeting of Stockholders and agreement with the Cruiser Group (as defined in the agreement).</w:t>
      </w:r>
    </w:p>
    <w:p>
      <w:pPr>
        <w:spacing w:after="0" w:line="62" w:lineRule="exact"/>
        <w:rPr>
          <w:rFonts w:ascii="Arial" w:cs="Arial" w:eastAsia="Arial" w:hAnsi="Arial"/>
          <w:sz w:val="18"/>
          <w:szCs w:val="18"/>
          <w:color w:val="auto"/>
        </w:rPr>
      </w:pPr>
    </w:p>
    <w:p>
      <w:pPr>
        <w:jc w:val="both"/>
        <w:ind w:left="800" w:hanging="400"/>
        <w:spacing w:after="0" w:line="279" w:lineRule="auto"/>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non-cash adjustments during each year to its environmental liabilities and receivables related to previously divested businesses or non-operational sites. See Note O of the Notes to Consolidated Financial Statements for more information.</w:t>
      </w:r>
    </w:p>
    <w:p>
      <w:pPr>
        <w:spacing w:after="0" w:line="63" w:lineRule="exact"/>
        <w:rPr>
          <w:rFonts w:ascii="Arial" w:cs="Arial" w:eastAsia="Arial" w:hAnsi="Arial"/>
          <w:sz w:val="17"/>
          <w:szCs w:val="17"/>
          <w:color w:val="auto"/>
        </w:rPr>
      </w:pPr>
    </w:p>
    <w:p>
      <w:pPr>
        <w:jc w:val="both"/>
        <w:ind w:left="800" w:hanging="400"/>
        <w:spacing w:after="0" w:line="312" w:lineRule="auto"/>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Asset impairments – Consistent with historical policies and U.S. GAAP provisions, Ashland recognizes assets at fair value less cost to sell which resulted in impairment charges to certain assets during 2019 and 2018. The charges during 2018 primarily related to the impairment of an office facility as a result of a company-wide restructuring program. See Note F of the Notes to Consolidated Financial Statements for more information.</w:t>
      </w:r>
    </w:p>
    <w:p>
      <w:pPr>
        <w:spacing w:after="0" w:line="38" w:lineRule="exact"/>
        <w:rPr>
          <w:rFonts w:ascii="Arial" w:cs="Arial" w:eastAsia="Arial" w:hAnsi="Arial"/>
          <w:sz w:val="16"/>
          <w:szCs w:val="16"/>
          <w:color w:val="auto"/>
        </w:rPr>
      </w:pPr>
    </w:p>
    <w:p>
      <w:pPr>
        <w:ind w:left="800" w:hanging="400"/>
        <w:spacing w:after="0" w:line="27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indemnity expense – During 2019 and 2018, Ashland recorded an adjustment to a tax indemnity receivable that was associated with the acquisition of Pharmachem.</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settlement/reserve – Ashland recorded adjustments related to settlements and/or reserves for certain legal matters.</w:t>
      </w:r>
    </w:p>
    <w:p>
      <w:pPr>
        <w:spacing w:after="0" w:line="117" w:lineRule="exact"/>
        <w:rPr>
          <w:rFonts w:ascii="Arial" w:cs="Arial" w:eastAsia="Arial" w:hAnsi="Arial"/>
          <w:sz w:val="18"/>
          <w:szCs w:val="18"/>
          <w:color w:val="auto"/>
        </w:rPr>
      </w:pPr>
    </w:p>
    <w:p>
      <w:pPr>
        <w:jc w:val="both"/>
        <w:ind w:left="800" w:hanging="400"/>
        <w:spacing w:after="0" w:line="264"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Unplanned plant shutdowns – During 2019 and 2017, Ashland incurred costs related to temporary shutdowns as follows: (a) for the Specialty Ingredients Parlin facility as a result of force majeure contract issues in 2019 and (b) from a Specialty Ingredients manufacturing plant due to a hurricane in 2017.</w:t>
      </w:r>
    </w:p>
    <w:p>
      <w:pPr>
        <w:spacing w:after="0" w:line="73" w:lineRule="exact"/>
        <w:rPr>
          <w:rFonts w:ascii="Arial" w:cs="Arial" w:eastAsia="Arial" w:hAnsi="Arial"/>
          <w:sz w:val="18"/>
          <w:szCs w:val="18"/>
          <w:color w:val="auto"/>
        </w:rPr>
      </w:pPr>
    </w:p>
    <w:p>
      <w:pPr>
        <w:ind w:left="800" w:right="20" w:hanging="400"/>
        <w:spacing w:after="0" w:line="27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Inventory fair value adjustment – During 2017, Ashland recorded non-cash charges related to the fair value adjustment of inventory acquired from Pharmachem at the date of acquisition. See Note C for more information on the acquisition of Pharmachem.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ind w:right="20" w:firstLine="401"/>
        <w:spacing w:after="0" w:line="277" w:lineRule="auto"/>
        <w:rPr>
          <w:sz w:val="20"/>
          <w:szCs w:val="20"/>
          <w:color w:val="auto"/>
        </w:rPr>
      </w:pPr>
      <w:r>
        <w:rPr>
          <w:rFonts w:ascii="Arial" w:cs="Arial" w:eastAsia="Arial" w:hAnsi="Arial"/>
          <w:sz w:val="18"/>
          <w:szCs w:val="18"/>
          <w:color w:val="auto"/>
        </w:rPr>
        <w:t>Operating income for 2019, 2018 and 2017 included depreciation and amortization of $289 million, $277 million and $265 million, respectively (which includes accelerated depreciation of $39 million, $14 million, and $19 million, respectively, for each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key items affecting EBITDA</w:t>
      </w:r>
    </w:p>
    <w:p>
      <w:pPr>
        <w:spacing w:after="0" w:line="117"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During the current and prior years, there were certain key items that were not included in operating income but were excluded to arrive at Adjusted EBITDA. These non-operating key items for the applicable periods are summarized as follows:</w:t>
      </w:r>
    </w:p>
    <w:p>
      <w:pPr>
        <w:spacing w:after="0" w:line="62" w:lineRule="exact"/>
        <w:rPr>
          <w:sz w:val="20"/>
          <w:szCs w:val="20"/>
          <w:color w:val="auto"/>
        </w:rPr>
      </w:pPr>
    </w:p>
    <w:p>
      <w:pPr>
        <w:jc w:val="both"/>
        <w:ind w:left="800" w:hanging="400"/>
        <w:spacing w:after="0" w:line="264"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loss on acquisitions and divestitures – Ashland recorded a loss on certain divestitures during each year and incurred certain transaction costs associated with the acquisition of Pharmachem during 2017. See Notes C and D of the Notes to Consolidated Financial Statements for more information on these acquisitions and divestitures.</w:t>
      </w:r>
    </w:p>
    <w:p>
      <w:pPr>
        <w:spacing w:after="0" w:line="73" w:lineRule="exact"/>
        <w:rPr>
          <w:rFonts w:ascii="Arial" w:cs="Arial" w:eastAsia="Arial" w:hAnsi="Arial"/>
          <w:sz w:val="18"/>
          <w:szCs w:val="18"/>
          <w:color w:val="auto"/>
        </w:rPr>
      </w:pPr>
    </w:p>
    <w:p>
      <w:pPr>
        <w:jc w:val="both"/>
        <w:ind w:left="800" w:hanging="400"/>
        <w:spacing w:after="0" w:line="286"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Loss (gain) on pension and other postretirement plan remeasurements - Ashland recognized actuarial gains and losses for defined benefit pension and other postretirement benefit plans annually in the fourth quarter of each fiscal year and whenever a plan is determined to qualify for a remeasurement during a fiscal year. See Note N of the Notes to Consolidated Financial Statements for more information.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EBITDA and Adjusted EBITDA</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EBITDA totaled $900 million, $471 million and $487 million for 2019, 2018 and 2017, respectively. EBITDA and Adjusted EBITDA results in the following table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7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80" w:type="dxa"/>
            <w:vAlign w:val="bottom"/>
            <w:tcBorders>
              <w:top w:val="single" w:sz="8" w:color="auto"/>
            </w:tcBorders>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505</w:t>
            </w:r>
          </w:p>
        </w:tc>
        <w:tc>
          <w:tcPr>
            <w:tcW w:w="660" w:type="dxa"/>
            <w:vAlign w:val="bottom"/>
            <w:tcBorders>
              <w:top w:val="single" w:sz="8" w:color="auto"/>
            </w:tcBorders>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c>
          <w:tcPr>
            <w:tcW w:w="680" w:type="dxa"/>
            <w:vAlign w:val="bottom"/>
            <w:tcBorders>
              <w:top w:val="single" w:sz="8" w:color="auto"/>
            </w:tcBorders>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interest and other financing expense</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(a)</w:t>
            </w:r>
          </w:p>
        </w:tc>
        <w:tc>
          <w:tcPr>
            <w:tcW w:w="7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Income from discontinued operations (net of taxes)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Key items included in EBITDA:</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 xml:space="preserve">Restructuring, separation and other costs </w:t>
            </w:r>
            <w:r>
              <w:rPr>
                <w:rFonts w:ascii="Arial" w:cs="Arial" w:eastAsia="Arial" w:hAnsi="Arial"/>
                <w:sz w:val="14"/>
                <w:szCs w:val="14"/>
                <w:color w:val="auto"/>
              </w:rPr>
              <w:t>(b)</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Proxy costs</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Accelerated depreciation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Environmental reserve adjustments</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Asset impairments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indemnity expense</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 xml:space="preserve">Net loss on acquisitions and divestitures </w:t>
            </w:r>
            <w:r>
              <w:rPr>
                <w:rFonts w:ascii="Arial" w:cs="Arial" w:eastAsia="Arial" w:hAnsi="Arial"/>
                <w:sz w:val="14"/>
                <w:szCs w:val="14"/>
                <w:color w:val="auto"/>
              </w:rPr>
              <w:t>(c)</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(gain) on pension and other postretirement plan remeasurements</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Legal settlement/reserve</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Unplanned plant shutdowns</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Inventory fair value adjustment</w:t>
            </w:r>
          </w:p>
        </w:tc>
        <w:tc>
          <w:tcPr>
            <w:tcW w:w="7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key items included in EBITDA</w:t>
            </w:r>
          </w:p>
        </w:tc>
        <w:tc>
          <w:tcPr>
            <w:tcW w:w="7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63"/>
        </w:trPr>
        <w:tc>
          <w:tcPr>
            <w:tcW w:w="6040" w:type="dxa"/>
            <w:vAlign w:val="bottom"/>
            <w:gridSpan w:val="2"/>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4"/>
                <w:szCs w:val="14"/>
                <w:color w:val="auto"/>
              </w:rPr>
              <w:t>(d)</w:t>
            </w:r>
          </w:p>
        </w:tc>
        <w:tc>
          <w:tcPr>
            <w:tcW w:w="740" w:type="dxa"/>
            <w:vAlign w:val="bottom"/>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22"/>
                <w:szCs w:val="22"/>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Total key items included in EBITDA</w:t>
            </w: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68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Unrealized gain on securities </w:t>
            </w:r>
            <w:r>
              <w:rPr>
                <w:rFonts w:ascii="Arial" w:cs="Arial" w:eastAsia="Arial" w:hAnsi="Arial"/>
                <w:sz w:val="14"/>
                <w:szCs w:val="14"/>
                <w:color w:val="auto"/>
              </w:rPr>
              <w:t>(e)</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Debt refinancing costs </w:t>
            </w:r>
            <w:r>
              <w:rPr>
                <w:rFonts w:ascii="Arial" w:cs="Arial" w:eastAsia="Arial" w:hAnsi="Arial"/>
                <w:sz w:val="14"/>
                <w:szCs w:val="14"/>
                <w:color w:val="auto"/>
              </w:rPr>
              <w:t>(f)</w:t>
            </w:r>
          </w:p>
        </w:tc>
        <w:tc>
          <w:tcPr>
            <w:tcW w:w="7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key items, before tax</w:t>
            </w:r>
          </w:p>
        </w:tc>
        <w:tc>
          <w:tcPr>
            <w:tcW w:w="7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Excludes $39 million, $14 million and $19 million of accelerated depreciation during 2019, 2018 and 2017, respectively.</w:t>
      </w:r>
    </w:p>
    <w:p>
      <w:pPr>
        <w:ind w:left="300" w:hanging="292"/>
        <w:spacing w:after="0" w:line="221"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impairments of $8 million during 2019.</w:t>
      </w:r>
    </w:p>
    <w:p>
      <w:pPr>
        <w:ind w:left="300" w:hanging="292"/>
        <w:spacing w:after="0" w:line="221"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Excludes expense of $3 million, $2 million and $9 million during 2019, 2018 and 2017, respectively, related to ongoing adjustments of previous divestiture transactions.</w:t>
      </w:r>
    </w:p>
    <w:p>
      <w:pPr>
        <w:jc w:val="both"/>
        <w:ind w:left="300" w:hanging="292"/>
        <w:spacing w:after="0" w:line="221"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$9 million, $8 million and $7 million during 2019, 2018 and 2017, respectively, of net periodic pension and other postretirement costs (income) recognized ratably through the fiscal year. These costs (income) are comprised of service cost, interest cost, expected return on plan assets, and amortization of prior service credit and are disclosed in further detail in Note N of the Notes to Consolidated Financial Statements.</w:t>
      </w:r>
    </w:p>
    <w:p>
      <w:pPr>
        <w:ind w:left="300" w:right="20" w:hanging="292"/>
        <w:spacing w:after="0" w:line="238"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Due to the adoption of new accounting guidance in 2019, the unrealized (gains) losses on certain investment securities directly impact earnings and are recorded within the net interest and other expense caption on the Statements of Consolidated Comprehensive Income (Loss). See Note A of the Notes to Consolidated Financial Statements for more information.</w:t>
      </w:r>
    </w:p>
    <w:p>
      <w:pPr>
        <w:jc w:val="both"/>
        <w:ind w:left="300" w:hanging="292"/>
        <w:spacing w:after="0" w:line="226"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Debt refinancing costs during 2019 included a $6 million debt issuance costs amortization charge for the early repayment of term loans A and B. Debt refinancing costs during 2018 primarily included a $1 million charge for new debt issuance costs incurred with the re-pricing of the term loan B facility. Debt refinancing costs during 2017 included $92 million of accelerated accretion from the tender offer of the 2029 notes, a $16 million charge for early redemption premium payments and bondholder consent fees for senior notes due 2018 and 2022, a $9 million charge for debt issuance costs resulting from financing activity for the 2017 Credit Agreement and a net gain of $5 million related to the repayment of notes due 2029. All debt refinancing costs were recorded within the net interest and other financing expense caption on the Statements of Consolidated Comprehensive Income (Loss). See Note J of the Notes to Consolidated Financial Statements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-1336040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Diluted EPS and Adjusted Diluted EPS</w:t>
      </w:r>
    </w:p>
    <w:p>
      <w:pPr>
        <w:spacing w:after="0" w:line="117" w:lineRule="exact"/>
        <w:rPr>
          <w:sz w:val="20"/>
          <w:szCs w:val="20"/>
          <w:color w:val="auto"/>
        </w:rPr>
      </w:pPr>
    </w:p>
    <w:p>
      <w:pPr>
        <w:jc w:val="both"/>
        <w:ind w:firstLine="401"/>
        <w:spacing w:after="0" w:line="275" w:lineRule="auto"/>
        <w:rPr>
          <w:sz w:val="20"/>
          <w:szCs w:val="20"/>
          <w:color w:val="auto"/>
        </w:rPr>
      </w:pPr>
      <w:r>
        <w:rPr>
          <w:rFonts w:ascii="Arial" w:cs="Arial" w:eastAsia="Arial" w:hAnsi="Arial"/>
          <w:sz w:val="17"/>
          <w:szCs w:val="17"/>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Diluted EPS from continuing operations (as reported)</w:t>
            </w:r>
          </w:p>
        </w:tc>
        <w:tc>
          <w:tcPr>
            <w:tcW w:w="150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0.39</w:t>
            </w:r>
          </w:p>
        </w:tc>
        <w:tc>
          <w:tcPr>
            <w:tcW w:w="6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9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Key items, before tax:</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5"/>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separation and other costs (including accelerated</w:t>
            </w: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depreciation)</w:t>
            </w:r>
          </w:p>
        </w:tc>
        <w:tc>
          <w:tcPr>
            <w:tcW w:w="9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1.70</w:t>
            </w: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Proxy costs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Environmental reserve adjustments</w:t>
            </w:r>
          </w:p>
        </w:tc>
        <w:tc>
          <w:tcPr>
            <w:tcW w:w="9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0.15</w:t>
            </w: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Asset impairments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(gain) on pension and other postretirement plan</w:t>
            </w: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remeasurements</w:t>
            </w:r>
          </w:p>
        </w:tc>
        <w:tc>
          <w:tcPr>
            <w:tcW w:w="9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0.13</w:t>
            </w: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Tax indemnity expense</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on acquisitions and divestitures</w:t>
            </w:r>
          </w:p>
        </w:tc>
        <w:tc>
          <w:tcPr>
            <w:tcW w:w="9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0.16</w:t>
            </w: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Legal settlement/reserve</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0.07</w:t>
            </w: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Unplanned plant shutdowns</w:t>
            </w:r>
          </w:p>
        </w:tc>
        <w:tc>
          <w:tcPr>
            <w:tcW w:w="9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0.10</w:t>
            </w: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Unrealized (gain) loss on securities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fair value adjustment</w:t>
            </w:r>
          </w:p>
        </w:tc>
        <w:tc>
          <w:tcPr>
            <w:tcW w:w="9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0.11</w:t>
            </w:r>
          </w:p>
        </w:tc>
      </w:tr>
      <w:tr>
        <w:trPr>
          <w:trHeight w:val="230"/>
        </w:trPr>
        <w:tc>
          <w:tcPr>
            <w:tcW w:w="5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Debt refinancing costs</w:t>
            </w:r>
          </w:p>
        </w:tc>
        <w:tc>
          <w:tcPr>
            <w:tcW w:w="9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0.09</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Key items, before tax</w:t>
            </w:r>
          </w:p>
        </w:tc>
        <w:tc>
          <w:tcPr>
            <w:tcW w:w="9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4.20</w:t>
            </w: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9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Key items, after tax</w:t>
            </w:r>
          </w:p>
        </w:tc>
        <w:tc>
          <w:tcPr>
            <w:tcW w:w="9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2.81</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Tax specific key items: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rate changes</w:t>
            </w:r>
          </w:p>
        </w:tc>
        <w:tc>
          <w:tcPr>
            <w:tcW w:w="9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One-time transition tax</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Uncertain tax positions</w:t>
            </w:r>
          </w:p>
        </w:tc>
        <w:tc>
          <w:tcPr>
            <w:tcW w:w="9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Restructuring and separation activity</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0.28</w:t>
            </w: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tax reform related activity</w:t>
            </w:r>
          </w:p>
        </w:tc>
        <w:tc>
          <w:tcPr>
            <w:tcW w:w="9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Valuation allowances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dividends</w:t>
            </w:r>
          </w:p>
        </w:tc>
        <w:tc>
          <w:tcPr>
            <w:tcW w:w="9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w:t>
            </w:r>
          </w:p>
        </w:tc>
      </w:tr>
      <w:tr>
        <w:trPr>
          <w:trHeight w:val="223"/>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9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0.55</w:t>
            </w:r>
          </w:p>
        </w:tc>
        <w:tc>
          <w:tcPr>
            <w:tcW w:w="14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0.16</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w:t>
            </w: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Total key items</w:t>
            </w:r>
          </w:p>
        </w:tc>
        <w:tc>
          <w:tcPr>
            <w:tcW w:w="9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4.14</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Adjusted diluted EPS from continuing operations (non-GAAP)</w:t>
            </w:r>
          </w:p>
        </w:tc>
        <w:tc>
          <w:tcPr>
            <w:tcW w:w="98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w:t>
            </w:r>
          </w:p>
        </w:tc>
      </w:tr>
      <w:tr>
        <w:trPr>
          <w:trHeight w:val="20"/>
        </w:trPr>
        <w:tc>
          <w:tcPr>
            <w:tcW w:w="5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previously identified above.</w:t>
      </w:r>
    </w:p>
    <w:p>
      <w:pPr>
        <w:ind w:left="300" w:hanging="292"/>
        <w:spacing w:after="0" w:line="237" w:lineRule="auto"/>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diluted EPS impact from tax specific financial transactions, tax law changes or other matters that fall within the definition of tax specific key items. For additional explanation of these tax specific key items, see the income tax expense (benefit) discussion within the following caption review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Statements of Consolidated Comprehensive Income (Loss) – caption review</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 comparative analysis of the Statements of Consolidated Comprehensive Income (Loss) by caption is provided as follows for the years ended September 30, 2019, 2018 and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100" w:type="dxa"/>
            <w:vAlign w:val="bottom"/>
            <w:tcBorders>
              <w:top w:val="single" w:sz="8" w:color="auto"/>
            </w:tcBorders>
          </w:tcPr>
          <w:p>
            <w:pPr>
              <w:spacing w:after="0"/>
              <w:rPr>
                <w:sz w:val="21"/>
                <w:szCs w:val="21"/>
                <w:color w:val="auto"/>
              </w:rPr>
            </w:pPr>
          </w:p>
        </w:tc>
        <w:tc>
          <w:tcPr>
            <w:tcW w:w="25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3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30"/>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5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3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25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2,493</w:t>
            </w:r>
          </w:p>
        </w:tc>
        <w:tc>
          <w:tcPr>
            <w:tcW w:w="4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2,589</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2,309</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280</w:t>
            </w:r>
          </w:p>
        </w:tc>
      </w:tr>
    </w:tbl>
    <w:p>
      <w:pPr>
        <w:spacing w:after="0" w:line="9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provides a reconciliation of the change in sales between fiscal years 2019 and 2018 and between fiscal years 2018 and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7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 change</w:t>
            </w:r>
          </w:p>
        </w:tc>
        <w:tc>
          <w:tcPr>
            <w:tcW w:w="1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 change</w:t>
            </w: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Volume/product mix</w:t>
            </w:r>
          </w:p>
        </w:tc>
        <w:tc>
          <w:tcPr>
            <w:tcW w:w="21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5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88</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Currency exchange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45</w:t>
            </w: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Acquisitions and Divestitures (including plant realignment)</w:t>
            </w:r>
          </w:p>
        </w:tc>
        <w:tc>
          <w:tcPr>
            <w:tcW w:w="1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107</w:t>
            </w:r>
          </w:p>
        </w:tc>
      </w:tr>
      <w:tr>
        <w:trPr>
          <w:trHeight w:val="230"/>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Pricing</w:t>
            </w:r>
          </w:p>
        </w:tc>
        <w:tc>
          <w:tcPr>
            <w:tcW w:w="17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w:t>
            </w:r>
          </w:p>
        </w:tc>
      </w:tr>
      <w:tr>
        <w:trPr>
          <w:trHeight w:val="223"/>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sales</w:t>
            </w:r>
          </w:p>
        </w:tc>
        <w:tc>
          <w:tcPr>
            <w:tcW w:w="17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280</w:t>
            </w:r>
          </w:p>
        </w:tc>
      </w:tr>
      <w:tr>
        <w:trPr>
          <w:trHeight w:val="20"/>
        </w:trPr>
        <w:tc>
          <w:tcPr>
            <w:tcW w:w="6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Sales for 2019 decreased $96 million, or 4%, compared to 2018. Unfavorable volume/product mix, foreign currency exchange and acquisitions and divestitures decreased sales by $58 million, $45 million and $11 million, respectively. These decreases were partially offset by product pricing which increased sales by $18 million.</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Sales for 2018 increased $280 million, or 12%, compared to 2017. The acquisition of Pharmachem within the Specialty Ingredients reportable segment increased sales by $140 million while the net impact of other acquisitions and divestitures decreased sales by $33 million. Improved volume, higher pricing and favorable foreign currency increased sales by $88 million, $40 million and $45 million,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82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30"/>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change</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16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1,726</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1,726</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1,580</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w:t>
            </w:r>
          </w:p>
        </w:tc>
      </w:t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Gross profit as a percent of sales</w:t>
            </w:r>
          </w:p>
        </w:tc>
        <w:tc>
          <w:tcPr>
            <w:tcW w:w="16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89"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Fluctuations in cost of sales are driven primarily by raw material prices, volume and changes in product mix, currency exchange, acquisitions and divestitures and other certain charges incurred as a result of changes or events within the businesses or restructuring activities.</w:t>
      </w:r>
    </w:p>
    <w:p>
      <w:pPr>
        <w:spacing w:after="0" w:line="38"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provides a reconciliation of the changes in cost of sales between fiscal years 2019 and 2018 and between fiscal years 2018 and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0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8"/>
                <w:szCs w:val="18"/>
                <w:color w:val="auto"/>
              </w:rPr>
              <w:t>2019 change</w:t>
            </w:r>
          </w:p>
        </w:tc>
        <w:tc>
          <w:tcPr>
            <w:tcW w:w="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 change</w:t>
            </w: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Volume/product mix</w:t>
            </w:r>
          </w:p>
        </w:tc>
        <w:tc>
          <w:tcPr>
            <w:tcW w:w="21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Currency exchange</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24</w:t>
            </w: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Acquisitions and divestitures (including plant realignment)</w:t>
            </w:r>
          </w:p>
        </w:tc>
        <w:tc>
          <w:tcPr>
            <w:tcW w:w="1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72</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Accelerated depreciation</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Production costs</w:t>
            </w:r>
          </w:p>
        </w:tc>
        <w:tc>
          <w:tcPr>
            <w:tcW w:w="1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Unplanned plant shutdowns</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Inventory fair value adjustment</w:t>
            </w:r>
          </w:p>
        </w:tc>
        <w:tc>
          <w:tcPr>
            <w:tcW w:w="1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Change in cost of sales</w:t>
            </w:r>
          </w:p>
        </w:tc>
        <w:tc>
          <w:tcPr>
            <w:tcW w:w="18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146</w:t>
            </w:r>
          </w:p>
        </w:tc>
      </w:tr>
      <w:tr>
        <w:trPr>
          <w:trHeight w:val="20"/>
        </w:trPr>
        <w:tc>
          <w:tcPr>
            <w:tcW w:w="6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01"/>
        <w:spacing w:after="0" w:line="312" w:lineRule="auto"/>
        <w:rPr>
          <w:sz w:val="20"/>
          <w:szCs w:val="20"/>
          <w:color w:val="auto"/>
        </w:rPr>
      </w:pPr>
      <w:r>
        <w:rPr>
          <w:rFonts w:ascii="Arial" w:cs="Arial" w:eastAsia="Arial" w:hAnsi="Arial"/>
          <w:sz w:val="16"/>
          <w:szCs w:val="16"/>
          <w:color w:val="auto"/>
        </w:rPr>
        <w:t>Cost of sales for 2019 was flat compared to 2018. Accelerated depreciation, higher production costs and charges for unplanned plant shutdowns increased cost of sales by $39 million, $14 million and $8 million, respectively. Those increases were offset by declines in volume and product mix, currency exchange and the net impact of acquisitions and divestitures which decreased cost of sales by $27 million, $23 million and $11 million,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7" w:name="page48"/>
    <w:bookmarkEnd w:id="47"/>
    <w:p>
      <w:pPr>
        <w:jc w:val="both"/>
        <w:ind w:firstLine="401"/>
        <w:spacing w:after="0" w:line="257" w:lineRule="auto"/>
        <w:rPr>
          <w:sz w:val="20"/>
          <w:szCs w:val="20"/>
          <w:color w:val="auto"/>
        </w:rPr>
      </w:pPr>
      <w:r>
        <w:rPr>
          <w:rFonts w:ascii="Arial" w:cs="Arial" w:eastAsia="Arial" w:hAnsi="Arial"/>
          <w:sz w:val="18"/>
          <w:szCs w:val="18"/>
          <w:color w:val="auto"/>
        </w:rPr>
        <w:t>Cost of sales for 2018 increased $146 million, or 9%, compared to 2017. The Pharmachem acquisition increased cost of sales by $101 million, while the net impact of other acquisitions and divestitures decreased cost of sales by $29 million. Changes in volume and product mix and higher production costs increased cost of sales by $54 million and $20 million, respectively. Unfavorable currency exchange increased cost of sales by $24 million. Charges for accelerated depreciation, unplanned plant shutdowns and inventory fair value adjustments decreased cost of sales by $13 million, $4 million and $7 million,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30"/>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12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539</w:t>
            </w:r>
          </w:p>
        </w:tc>
        <w:tc>
          <w:tcPr>
            <w:tcW w:w="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692</w:t>
            </w:r>
          </w:p>
        </w:tc>
        <w:tc>
          <w:tcPr>
            <w:tcW w:w="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610</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(153)</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w:t>
            </w:r>
          </w:p>
        </w:tc>
      </w:t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As a percent of sales</w:t>
            </w:r>
          </w:p>
        </w:tc>
        <w:tc>
          <w:tcPr>
            <w:tcW w:w="1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8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Selling, general and administrative expense for 2019 decreased $153 million compared to 2018, with expenses as a percent of sales decreasing 5.1 percentage points. Key drivers of the fluctuation in selling, general and administrative expense compared to 2018 were:</w:t>
      </w:r>
    </w:p>
    <w:p>
      <w:pPr>
        <w:spacing w:after="0" w:line="62" w:lineRule="exact"/>
        <w:rPr>
          <w:sz w:val="20"/>
          <w:szCs w:val="20"/>
          <w:color w:val="auto"/>
        </w:rPr>
      </w:pPr>
    </w:p>
    <w:p>
      <w:pPr>
        <w:ind w:left="800" w:hanging="400"/>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$27 million and $60 million in net environmental-related expenses during 2019 and 2018, respectively (see Note O for more information);</w:t>
      </w:r>
    </w:p>
    <w:p>
      <w:pPr>
        <w:spacing w:after="0" w:line="128" w:lineRule="exact"/>
        <w:rPr>
          <w:rFonts w:ascii="Arial" w:cs="Arial" w:eastAsia="Arial" w:hAnsi="Arial"/>
          <w:sz w:val="17"/>
          <w:szCs w:val="17"/>
          <w:color w:val="auto"/>
        </w:rPr>
      </w:pPr>
    </w:p>
    <w:p>
      <w:pPr>
        <w:ind w:left="800" w:hanging="400"/>
        <w:spacing w:after="0" w:line="277"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$43 million and $83 million of key items for restructuring, separation and other costs during the current and prior year, respectively, comprised of the following:</w:t>
      </w:r>
    </w:p>
    <w:p>
      <w:pPr>
        <w:spacing w:after="0" w:line="62" w:lineRule="exact"/>
        <w:rPr>
          <w:sz w:val="20"/>
          <w:szCs w:val="20"/>
          <w:color w:val="auto"/>
        </w:rPr>
      </w:pPr>
    </w:p>
    <w:p>
      <w:pPr>
        <w:ind w:left="1580" w:right="20" w:hanging="383"/>
        <w:spacing w:after="0" w:line="198" w:lineRule="auto"/>
        <w:tabs>
          <w:tab w:leader="none" w:pos="1580" w:val="left"/>
        </w:tabs>
        <w:numPr>
          <w:ilvl w:val="1"/>
          <w:numId w:val="23"/>
        </w:numPr>
        <w:rPr>
          <w:rFonts w:ascii="Arial" w:cs="Arial" w:eastAsia="Arial" w:hAnsi="Arial"/>
          <w:sz w:val="29"/>
          <w:szCs w:val="29"/>
          <w:color w:val="auto"/>
          <w:vertAlign w:val="superscript"/>
        </w:rPr>
      </w:pPr>
      <w:r>
        <w:rPr>
          <w:rFonts w:ascii="Arial" w:cs="Arial" w:eastAsia="Arial" w:hAnsi="Arial"/>
          <w:sz w:val="18"/>
          <w:szCs w:val="18"/>
          <w:color w:val="auto"/>
        </w:rPr>
        <w:t>$43 million and $56 million of severance, lease abandonment and other restructuring costs related to company-wide cost-savings initiatives during 2019 and 2018, respectively;</w:t>
      </w:r>
    </w:p>
    <w:p>
      <w:pPr>
        <w:ind w:left="1580" w:hanging="383"/>
        <w:spacing w:after="0" w:line="233" w:lineRule="auto"/>
        <w:tabs>
          <w:tab w:leader="none" w:pos="1580" w:val="left"/>
        </w:tabs>
        <w:numPr>
          <w:ilvl w:val="1"/>
          <w:numId w:val="23"/>
        </w:numPr>
        <w:rPr>
          <w:rFonts w:ascii="Arial" w:cs="Arial" w:eastAsia="Arial" w:hAnsi="Arial"/>
          <w:sz w:val="29"/>
          <w:szCs w:val="29"/>
          <w:color w:val="auto"/>
          <w:vertAlign w:val="superscript"/>
        </w:rPr>
      </w:pPr>
      <w:r>
        <w:rPr>
          <w:rFonts w:ascii="Arial" w:cs="Arial" w:eastAsia="Arial" w:hAnsi="Arial"/>
          <w:sz w:val="18"/>
          <w:szCs w:val="18"/>
          <w:color w:val="auto"/>
        </w:rPr>
        <w:t>$10 million of costs related to the separation of Valvoline during 2018;</w:t>
      </w:r>
    </w:p>
    <w:p>
      <w:pPr>
        <w:spacing w:after="0" w:line="110" w:lineRule="exact"/>
        <w:rPr>
          <w:rFonts w:ascii="Arial" w:cs="Arial" w:eastAsia="Arial" w:hAnsi="Arial"/>
          <w:sz w:val="29"/>
          <w:szCs w:val="29"/>
          <w:color w:val="auto"/>
          <w:vertAlign w:val="superscript"/>
        </w:rPr>
      </w:pPr>
    </w:p>
    <w:p>
      <w:pPr>
        <w:ind w:left="1580" w:hanging="383"/>
        <w:spacing w:after="0" w:line="186" w:lineRule="auto"/>
        <w:tabs>
          <w:tab w:leader="none" w:pos="1580" w:val="left"/>
        </w:tabs>
        <w:numPr>
          <w:ilvl w:val="1"/>
          <w:numId w:val="23"/>
        </w:numPr>
        <w:rPr>
          <w:rFonts w:ascii="Arial" w:cs="Arial" w:eastAsia="Arial" w:hAnsi="Arial"/>
          <w:sz w:val="24"/>
          <w:szCs w:val="24"/>
          <w:color w:val="auto"/>
          <w:vertAlign w:val="superscript"/>
        </w:rPr>
      </w:pPr>
      <w:r>
        <w:rPr>
          <w:rFonts w:ascii="Arial" w:cs="Arial" w:eastAsia="Arial" w:hAnsi="Arial"/>
          <w:sz w:val="15"/>
          <w:szCs w:val="15"/>
          <w:color w:val="auto"/>
        </w:rPr>
        <w:t>$8 million of accelerated depreciation related to the planned closure of an office building during 2018; and</w:t>
      </w:r>
    </w:p>
    <w:p>
      <w:pPr>
        <w:spacing w:after="0" w:line="110" w:lineRule="exact"/>
        <w:rPr>
          <w:rFonts w:ascii="Arial" w:cs="Arial" w:eastAsia="Arial" w:hAnsi="Arial"/>
          <w:sz w:val="24"/>
          <w:szCs w:val="24"/>
          <w:color w:val="auto"/>
          <w:vertAlign w:val="superscript"/>
        </w:rPr>
      </w:pPr>
    </w:p>
    <w:p>
      <w:pPr>
        <w:ind w:left="1580" w:hanging="383"/>
        <w:spacing w:after="0" w:line="186" w:lineRule="auto"/>
        <w:tabs>
          <w:tab w:leader="none" w:pos="1580" w:val="left"/>
        </w:tabs>
        <w:numPr>
          <w:ilvl w:val="1"/>
          <w:numId w:val="23"/>
        </w:numPr>
        <w:rPr>
          <w:rFonts w:ascii="Arial" w:cs="Arial" w:eastAsia="Arial" w:hAnsi="Arial"/>
          <w:sz w:val="24"/>
          <w:szCs w:val="24"/>
          <w:color w:val="auto"/>
          <w:vertAlign w:val="superscript"/>
        </w:rPr>
      </w:pPr>
      <w:r>
        <w:rPr>
          <w:rFonts w:ascii="Arial" w:cs="Arial" w:eastAsia="Arial" w:hAnsi="Arial"/>
          <w:sz w:val="15"/>
          <w:szCs w:val="15"/>
          <w:color w:val="auto"/>
        </w:rPr>
        <w:t>$9 million of Pharmachem integration costs during 2018;</w:t>
      </w:r>
    </w:p>
    <w:p>
      <w:pPr>
        <w:spacing w:after="0" w:line="110" w:lineRule="exact"/>
        <w:rPr>
          <w:rFonts w:ascii="Arial" w:cs="Arial" w:eastAsia="Arial" w:hAnsi="Arial"/>
          <w:sz w:val="24"/>
          <w:szCs w:val="24"/>
          <w:color w:val="auto"/>
          <w:vertAlign w:val="superscript"/>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$16 million of asset impairment charges during 2018;</w:t>
      </w:r>
    </w:p>
    <w:p>
      <w:pPr>
        <w:spacing w:after="0" w:line="101" w:lineRule="exact"/>
        <w:rPr>
          <w:rFonts w:ascii="Arial" w:cs="Arial" w:eastAsia="Arial" w:hAnsi="Arial"/>
          <w:sz w:val="18"/>
          <w:szCs w:val="18"/>
          <w:color w:val="auto"/>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 million of consulting and other costs associated with the proxy contest during 2019;</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variable compensation of $21 million during 2019;</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Favorable currency exchange of $9 million as well as achieved cost savings during 2019.</w:t>
      </w:r>
    </w:p>
    <w:p>
      <w:pPr>
        <w:spacing w:after="0" w:line="117" w:lineRule="exact"/>
        <w:rPr>
          <w:sz w:val="20"/>
          <w:szCs w:val="20"/>
          <w:color w:val="auto"/>
        </w:rPr>
      </w:pPr>
    </w:p>
    <w:p>
      <w:pPr>
        <w:ind w:right="20" w:firstLine="401"/>
        <w:spacing w:after="0" w:line="277" w:lineRule="auto"/>
        <w:rPr>
          <w:sz w:val="20"/>
          <w:szCs w:val="20"/>
          <w:color w:val="auto"/>
        </w:rPr>
      </w:pPr>
      <w:r>
        <w:rPr>
          <w:rFonts w:ascii="Arial" w:cs="Arial" w:eastAsia="Arial" w:hAnsi="Arial"/>
          <w:sz w:val="18"/>
          <w:szCs w:val="18"/>
          <w:color w:val="auto"/>
        </w:rPr>
        <w:t>Selling, general and administrative expense for 2018 increased $82 million compared to 2017, while expenses as a percent of sales increased 0.3 percentage points. Key drivers of the fluctuation in selling, general and administrative expense compared to 2017 were:</w:t>
      </w:r>
    </w:p>
    <w:p>
      <w:pPr>
        <w:spacing w:after="0" w:line="62" w:lineRule="exact"/>
        <w:rPr>
          <w:sz w:val="20"/>
          <w:szCs w:val="20"/>
          <w:color w:val="auto"/>
        </w:rPr>
      </w:pPr>
    </w:p>
    <w:p>
      <w:pPr>
        <w:ind w:left="800" w:hanging="400"/>
        <w:spacing w:after="0"/>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$75 million and $86 million of restructuring, separation and other costs during 2018 and 2017, respectively, comprised of the following:</w:t>
      </w:r>
    </w:p>
    <w:p>
      <w:pPr>
        <w:spacing w:after="0" w:line="129" w:lineRule="exact"/>
        <w:rPr>
          <w:sz w:val="20"/>
          <w:szCs w:val="20"/>
          <w:color w:val="auto"/>
        </w:rPr>
      </w:pPr>
    </w:p>
    <w:p>
      <w:pPr>
        <w:ind w:left="1580" w:hanging="383"/>
        <w:spacing w:after="0" w:line="198" w:lineRule="auto"/>
        <w:tabs>
          <w:tab w:leader="none" w:pos="1580" w:val="left"/>
        </w:tabs>
        <w:numPr>
          <w:ilvl w:val="1"/>
          <w:numId w:val="25"/>
        </w:numPr>
        <w:rPr>
          <w:rFonts w:ascii="Arial" w:cs="Arial" w:eastAsia="Arial" w:hAnsi="Arial"/>
          <w:sz w:val="29"/>
          <w:szCs w:val="29"/>
          <w:color w:val="auto"/>
          <w:vertAlign w:val="superscript"/>
        </w:rPr>
      </w:pPr>
      <w:r>
        <w:rPr>
          <w:rFonts w:ascii="Arial" w:cs="Arial" w:eastAsia="Arial" w:hAnsi="Arial"/>
          <w:sz w:val="18"/>
          <w:szCs w:val="18"/>
          <w:color w:val="auto"/>
        </w:rPr>
        <w:t>$56 million of severance, lease abandonment and other restructuring costs related to company-wide cost-savings initiatives during 2018;</w:t>
      </w:r>
    </w:p>
    <w:p>
      <w:pPr>
        <w:ind w:left="1580" w:hanging="383"/>
        <w:spacing w:after="0" w:line="233" w:lineRule="auto"/>
        <w:tabs>
          <w:tab w:leader="none" w:pos="1580" w:val="left"/>
        </w:tabs>
        <w:numPr>
          <w:ilvl w:val="1"/>
          <w:numId w:val="25"/>
        </w:numPr>
        <w:rPr>
          <w:rFonts w:ascii="Arial" w:cs="Arial" w:eastAsia="Arial" w:hAnsi="Arial"/>
          <w:sz w:val="29"/>
          <w:szCs w:val="29"/>
          <w:color w:val="auto"/>
          <w:vertAlign w:val="superscript"/>
        </w:rPr>
      </w:pPr>
      <w:r>
        <w:rPr>
          <w:rFonts w:ascii="Arial" w:cs="Arial" w:eastAsia="Arial" w:hAnsi="Arial"/>
          <w:sz w:val="18"/>
          <w:szCs w:val="18"/>
          <w:color w:val="auto"/>
        </w:rPr>
        <w:t>$10 million of costs related to the separation of Valvoline during 2018 compared to $82 million during 2017; and</w:t>
      </w:r>
    </w:p>
    <w:p>
      <w:pPr>
        <w:spacing w:after="0" w:line="110" w:lineRule="exact"/>
        <w:rPr>
          <w:rFonts w:ascii="Arial" w:cs="Arial" w:eastAsia="Arial" w:hAnsi="Arial"/>
          <w:sz w:val="29"/>
          <w:szCs w:val="29"/>
          <w:color w:val="auto"/>
          <w:vertAlign w:val="superscript"/>
        </w:rPr>
      </w:pPr>
    </w:p>
    <w:p>
      <w:pPr>
        <w:ind w:left="1580" w:hanging="383"/>
        <w:spacing w:after="0" w:line="186" w:lineRule="auto"/>
        <w:tabs>
          <w:tab w:leader="none" w:pos="1580" w:val="left"/>
        </w:tabs>
        <w:numPr>
          <w:ilvl w:val="1"/>
          <w:numId w:val="25"/>
        </w:numPr>
        <w:rPr>
          <w:rFonts w:ascii="Arial" w:cs="Arial" w:eastAsia="Arial" w:hAnsi="Arial"/>
          <w:sz w:val="24"/>
          <w:szCs w:val="24"/>
          <w:color w:val="auto"/>
          <w:vertAlign w:val="superscript"/>
        </w:rPr>
      </w:pPr>
      <w:r>
        <w:rPr>
          <w:rFonts w:ascii="Arial" w:cs="Arial" w:eastAsia="Arial" w:hAnsi="Arial"/>
          <w:sz w:val="15"/>
          <w:szCs w:val="15"/>
          <w:color w:val="auto"/>
        </w:rPr>
        <w:t>$9 million of Pharmachem integration costs during 2018 compared to $4 million during 2017;</w:t>
      </w:r>
    </w:p>
    <w:p>
      <w:pPr>
        <w:spacing w:after="0" w:line="110" w:lineRule="exact"/>
        <w:rPr>
          <w:rFonts w:ascii="Arial" w:cs="Arial" w:eastAsia="Arial" w:hAnsi="Arial"/>
          <w:sz w:val="24"/>
          <w:szCs w:val="24"/>
          <w:color w:val="auto"/>
          <w:vertAlign w:val="superscript"/>
        </w:rPr>
      </w:pPr>
    </w:p>
    <w:p>
      <w:pPr>
        <w:ind w:left="800" w:hanging="40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$60 million and $21 million in net environmental-related expenses during 2018 and 2017, respectively;</w:t>
      </w:r>
    </w:p>
    <w:p>
      <w:pPr>
        <w:spacing w:after="0" w:line="101" w:lineRule="exact"/>
        <w:rPr>
          <w:rFonts w:ascii="Arial" w:cs="Arial" w:eastAsia="Arial" w:hAnsi="Arial"/>
          <w:sz w:val="18"/>
          <w:szCs w:val="18"/>
          <w:color w:val="auto"/>
        </w:rPr>
      </w:pPr>
    </w:p>
    <w:p>
      <w:pPr>
        <w:ind w:left="800" w:hanging="40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$23 million of incremental costs related to Pharmachem’s operations in 2018;</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$16 million of asset impairment charges during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ind w:left="800" w:hanging="400"/>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 million increase during 2018 due to foreign currency exchange; and</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 million of accelerated depreciation related to the closure of an office building during 2018 compared to $3 million during 2017.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3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Research and development expense</w:t>
            </w:r>
          </w:p>
        </w:tc>
        <w:tc>
          <w:tcPr>
            <w:tcW w:w="16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5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w:t>
            </w:r>
          </w:p>
        </w:tc>
        <w:tc>
          <w:tcPr>
            <w:tcW w:w="4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Research and development expense decreased $7 million in 2019 compared to 2018 primarily due to the overall company-wide cost reduction program.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2018 expense remained relatively consistent compared to 2017.</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6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30"/>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change</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and other income</w:t>
            </w:r>
          </w:p>
        </w:tc>
        <w:tc>
          <w:tcPr>
            <w:tcW w:w="1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Equity income</w:t>
            </w:r>
          </w:p>
        </w:tc>
        <w:tc>
          <w:tcPr>
            <w:tcW w:w="20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1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3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0"/>
        </w:trPr>
        <w:tc>
          <w:tcPr>
            <w:tcW w:w="3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equity and other income remained relatively consistent during each year.</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change</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and other expense (income)</w:t>
            </w: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114</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116</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Loss (income) from restricted investments</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financing costs</w:t>
            </w: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4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4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Net interest and other financing expense decreased $3 million in 2019 compared to 2018. The current year decrease in interest expense was primarily due to lower debt levels during 2019 compared to 2018. This decrease was partially offset by $6 million of accelerated debt issuance costs related to the early repayments of term loans. The investment securities income of $17 million compared to $14 million in 2018 represents investment income related to restricted investments discussed in Note G of the Notes to Consolidated Financial Statements. Interest income and other financing costs were relatively consistent.</w:t>
      </w:r>
    </w:p>
    <w:p>
      <w:pPr>
        <w:spacing w:after="0" w:line="80"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8"/>
          <w:szCs w:val="18"/>
          <w:color w:val="auto"/>
        </w:rPr>
        <w:t>Net interest and other financing expense decreased $127 million in 2018 compared to 2017. The decrease in interest expense from 2017 to 2018 was primarily due to 2017 including $92 million of accelerated accretion related to the December 2016 tender offer of the 2029 notes. In addition, there was also interest expense of $9 million in 2018 related to accelerated debt issuance costs associated with 2017 financing activity, which was comprised of $7 million of accelerated amortization of previously capitalized debt issuance costs and $2 million of new debt issuance costs immediately recognized. Interest expense in 2018 included $1 million of charges for new debt issuance costs incurred with the re-pricing of the 2017 term loan B facility. The investment securities income of $14 million in 2018 compared to $11 million in 2017 represents investment income related to restricted investments discussed in Note G of the Notes to Consolidated Financial Statements. The 2018 decrease in other financing costs was primarily due to a net $11 million charge during 2017 related to early redemption premium payments and bondholder consent fees for senior notes due 2018 and 2022, partially offset by a net gain related to the repayment of notes due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42"/>
        </w:trPr>
        <w:tc>
          <w:tcPr>
            <w:tcW w:w="42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30"/>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net periodic benefit income (costs)</w:t>
            </w:r>
          </w:p>
        </w:tc>
        <w:tc>
          <w:tcPr>
            <w:tcW w:w="14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5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r>
    </w:tbl>
    <w:p>
      <w:pPr>
        <w:spacing w:after="0" w:line="94"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Other net periodic benefit income (costs) during 2019 primarily included an $11 million loss on pension and other postretirement plan remeasurements, offset by a curtailment gain of $18 million due to the settlement of a non-U.S. pension plan in 2019. 2019 also included an $12 million charge for interest cost, partially offset by a $10 million expected return on plan assets.</w:t>
      </w:r>
    </w:p>
    <w:p>
      <w:pPr>
        <w:spacing w:after="0" w:line="73"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Other net periodic benefit income (costs) during 2018 primarily included a gain on pension and other postretirement plan remeasurements of $14 million and an expected return on plan assets of $12 million, offset by interest cost of $11 million.</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Other net periodic benefit income (costs) during 2017 primarily included interest cost of $10 million and a loss on pension and other postretirement plan remeasurements of $8 million, partially offset by an expected return on plan assets of $12 million.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1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4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30"/>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on acquisitions and divestitures</w:t>
            </w:r>
          </w:p>
        </w:tc>
        <w:tc>
          <w:tcPr>
            <w:tcW w:w="15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bl>
    <w:p>
      <w:pPr>
        <w:spacing w:after="0" w:line="94"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Net loss on acquisitions and divestitures during 2019 primarily included a loss of $2 million related to the impairment of an investment offset by a gain on sale of a manufacturing facility, along with post-closing adjustments related to other previous divestitures.</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Net loss on acquisitions and divestitures during 2018 primarily included a loss of $2 million related to the sale of a manufacturing facility, along with post-closing adjustments related to other previous divestitures.</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Net loss on acquisitions and divestitures during 2017 included a net loss of $5 million from the acquisition of Pharmachem, a loss of $4 million recognized for the Specialty Ingredients joint venture divestiture in China and a loss of $1 million due to post-closing adjustments related to other previous divestitures.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68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4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30"/>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expense (benefit)</w:t>
            </w:r>
          </w:p>
        </w:tc>
        <w:tc>
          <w:tcPr>
            <w:tcW w:w="18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18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2019 effective tax rate was impacted by jurisdictional income mix, restructuring activities, and the U.S. tax reform.</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2018 effective tax rate was impacted by jurisdictional income mix and restructuring activities, while the impact of U.S. tax reform and other items netted together to have an insignificant impact.</w:t>
      </w:r>
    </w:p>
    <w:p>
      <w:pPr>
        <w:spacing w:after="0" w:line="62"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2017 effective tax rate was impacted by jurisdictional income mix, tax expense related to deemed dividend inclusions and a tax benefit for the reversal of a valuation allowance related to the utilization of foreign tax credits.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Adjusted income tax expense (benefit)</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0" w:right="239" w:bottom="1440" w:gutter="0" w:footer="0" w:header="0"/>
        </w:sectPr>
      </w:pPr>
    </w:p>
    <w:bookmarkStart w:id="50" w:name="page51"/>
    <w:bookmarkEnd w:id="50"/>
    <w:p>
      <w:pPr>
        <w:ind w:left="400"/>
        <w:spacing w:after="0"/>
        <w:rPr>
          <w:sz w:val="20"/>
          <w:szCs w:val="20"/>
          <w:color w:val="auto"/>
        </w:rPr>
      </w:pPr>
      <w:r>
        <w:rPr>
          <w:rFonts w:ascii="Arial" w:cs="Arial" w:eastAsia="Arial" w:hAnsi="Arial"/>
          <w:sz w:val="18"/>
          <w:szCs w:val="18"/>
          <w:color w:val="auto"/>
        </w:rPr>
        <w:t>The effective tax rates during 2019, 2018 and 2017 were significantly impacted by the following tax specific key items:</w:t>
      </w:r>
    </w:p>
    <w:p>
      <w:pPr>
        <w:spacing w:after="0" w:line="117" w:lineRule="exact"/>
        <w:rPr>
          <w:sz w:val="20"/>
          <w:szCs w:val="20"/>
          <w:color w:val="auto"/>
        </w:rPr>
      </w:pPr>
    </w:p>
    <w:p>
      <w:pPr>
        <w:ind w:left="800" w:hanging="400"/>
        <w:spacing w:after="0" w:line="277"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Deferred tax rate changes - Includes the impact from the remeasurement of Ashland’s domestic deferred tax balances resulting from the enactment of the Tax Act as well as the impact from deferred rate changes for other jurisdictions during 2019 and 2018;</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One-time transition tax - Includes the one-time transition tax resulting from the enactment of the Tax Act during 2019 and 2018;</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Uncertain tax position - Includes the impact from the settlement of uncertain tax positions with various tax authorities during 2019 and 2018;</w:t>
      </w:r>
    </w:p>
    <w:p>
      <w:pPr>
        <w:spacing w:after="0" w:line="128" w:lineRule="exact"/>
        <w:rPr>
          <w:rFonts w:ascii="Arial" w:cs="Arial" w:eastAsia="Arial" w:hAnsi="Arial"/>
          <w:sz w:val="17"/>
          <w:szCs w:val="17"/>
          <w:color w:val="auto"/>
        </w:rPr>
      </w:pPr>
    </w:p>
    <w:p>
      <w:pPr>
        <w:ind w:left="800" w:hanging="400"/>
        <w:spacing w:after="0" w:line="342" w:lineRule="auto"/>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Restructuring and separation activity - Includes the impact from company-wide restructuring activities during 2018 and the separation of Valvoline during 2017. These adjustments related to various tax impacts including state tax costs, foreign tax costs and other tax account adjustments;</w:t>
      </w:r>
    </w:p>
    <w:p>
      <w:pPr>
        <w:spacing w:after="0" w:line="15" w:lineRule="exact"/>
        <w:rPr>
          <w:rFonts w:ascii="Arial" w:cs="Arial" w:eastAsia="Arial" w:hAnsi="Arial"/>
          <w:sz w:val="16"/>
          <w:szCs w:val="16"/>
          <w:color w:val="auto"/>
        </w:rPr>
      </w:pPr>
    </w:p>
    <w:p>
      <w:pPr>
        <w:ind w:left="800" w:hanging="400"/>
        <w:spacing w:after="0" w:line="277"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tax reform - Includes the impact from other tax law changes resulting from the enactment of the Tax Act during 2019 and 2018. These adjustments include the impact from the deductibility of compensation items and miscellaneous state tax items;</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Valuation allowances - Includes the impact from net operating loss and foreign tax credit valuation allowances during 2019, 2018 and 2017; and</w:t>
      </w:r>
    </w:p>
    <w:p>
      <w:pPr>
        <w:spacing w:after="0" w:line="140" w:lineRule="exact"/>
        <w:rPr>
          <w:rFonts w:ascii="Arial" w:cs="Arial" w:eastAsia="Arial" w:hAnsi="Arial"/>
          <w:sz w:val="16"/>
          <w:szCs w:val="16"/>
          <w:color w:val="auto"/>
        </w:rPr>
      </w:pPr>
    </w:p>
    <w:p>
      <w:pPr>
        <w:jc w:val="both"/>
        <w:ind w:left="800" w:hanging="400"/>
        <w:spacing w:after="0" w:line="264"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dividends - Includes the impact from a significant deemed dividend inclusion in the U.S. during 2017. This deemed dividend transaction allowed Ashland to utilize foreign tax credit carryforwards which may have otherwise expired. This transaction was driven in part by projected changes to Ashland’s business and tax profile as a result of the Valvoline separation.</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is a calculation of the effective tax rate, excluding the impact of these key items: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(In millions)</w:t>
            </w:r>
          </w:p>
        </w:tc>
        <w:tc>
          <w:tcPr>
            <w:tcW w:w="14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2019</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2018</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Income (loss) from continuing operations</w:t>
            </w:r>
          </w:p>
        </w:tc>
        <w:tc>
          <w:tcPr>
            <w:tcW w:w="14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7"/>
                <w:szCs w:val="17"/>
                <w:color w:val="auto"/>
              </w:rPr>
              <w:t>before income taxes</w:t>
            </w:r>
          </w:p>
        </w:tc>
        <w:tc>
          <w:tcPr>
            <w:tcW w:w="1940" w:type="dxa"/>
            <w:vAlign w:val="bottom"/>
            <w:gridSpan w:val="2"/>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70</w:t>
            </w:r>
          </w:p>
        </w:tc>
        <w:tc>
          <w:tcPr>
            <w:tcW w:w="680" w:type="dxa"/>
            <w:vAlign w:val="bottom"/>
            <w:gridSpan w:val="2"/>
          </w:tcPr>
          <w:p>
            <w:pPr>
              <w:jc w:val="right"/>
              <w:ind w:right="35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8"/>
                <w:szCs w:val="18"/>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Key items (pre-tax) </w:t>
            </w:r>
            <w:r>
              <w:rPr>
                <w:rFonts w:ascii="Arial" w:cs="Arial" w:eastAsia="Arial" w:hAnsi="Arial"/>
                <w:sz w:val="14"/>
                <w:szCs w:val="14"/>
                <w:color w:val="auto"/>
              </w:rPr>
              <w:t>(a)</w:t>
            </w:r>
          </w:p>
        </w:tc>
        <w:tc>
          <w:tcPr>
            <w:tcW w:w="142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rPr>
              <w:t>112</w:t>
            </w:r>
          </w:p>
        </w:tc>
        <w:tc>
          <w:tcPr>
            <w:tcW w:w="14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rPr>
              <w:t>140</w:t>
            </w:r>
          </w:p>
        </w:tc>
        <w:tc>
          <w:tcPr>
            <w:tcW w:w="14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8"/>
        </w:trPr>
        <w:tc>
          <w:tcPr>
            <w:tcW w:w="5200" w:type="dxa"/>
            <w:vAlign w:val="bottom"/>
            <w:gridSpan w:val="2"/>
          </w:tcPr>
          <w:p>
            <w:pPr>
              <w:spacing w:after="0"/>
              <w:rPr>
                <w:sz w:val="20"/>
                <w:szCs w:val="20"/>
                <w:color w:val="auto"/>
              </w:rPr>
            </w:pPr>
            <w:r>
              <w:rPr>
                <w:rFonts w:ascii="Arial" w:cs="Arial" w:eastAsia="Arial" w:hAnsi="Arial"/>
                <w:sz w:val="17"/>
                <w:szCs w:val="17"/>
                <w:b w:val="1"/>
                <w:bCs w:val="1"/>
                <w:color w:val="auto"/>
              </w:rPr>
              <w:t>Adjusted income from continuing operations</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FF0FC"/>
          </w:tcPr>
          <w:p>
            <w:pPr>
              <w:ind w:left="120"/>
              <w:spacing w:after="0"/>
              <w:rPr>
                <w:sz w:val="20"/>
                <w:szCs w:val="20"/>
                <w:color w:val="auto"/>
              </w:rPr>
            </w:pPr>
            <w:r>
              <w:rPr>
                <w:rFonts w:ascii="Arial" w:cs="Arial" w:eastAsia="Arial" w:hAnsi="Arial"/>
                <w:sz w:val="17"/>
                <w:szCs w:val="17"/>
                <w:b w:val="1"/>
                <w:bCs w:val="1"/>
                <w:color w:val="auto"/>
              </w:rPr>
              <w:t>before income taxes</w:t>
            </w:r>
          </w:p>
        </w:tc>
        <w:tc>
          <w:tcPr>
            <w:tcW w:w="1940" w:type="dxa"/>
            <w:vAlign w:val="bottom"/>
            <w:gridSpan w:val="2"/>
            <w:shd w:val="clear" w:color="auto" w:fill="CFF0FC"/>
          </w:tcPr>
          <w:p>
            <w:pPr>
              <w:jc w:val="right"/>
              <w:ind w:right="3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182</w:t>
            </w:r>
          </w:p>
        </w:tc>
        <w:tc>
          <w:tcPr>
            <w:tcW w:w="680" w:type="dxa"/>
            <w:vAlign w:val="bottom"/>
            <w:gridSpan w:val="2"/>
            <w:shd w:val="clear" w:color="auto" w:fill="CFF0FC"/>
          </w:tcPr>
          <w:p>
            <w:pPr>
              <w:jc w:val="right"/>
              <w:ind w:right="355"/>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151</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Income tax expense (benefit)</w:t>
            </w:r>
          </w:p>
        </w:tc>
        <w:tc>
          <w:tcPr>
            <w:tcW w:w="142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rPr>
              <w:t>46</w:t>
            </w:r>
          </w:p>
        </w:tc>
        <w:tc>
          <w:tcPr>
            <w:tcW w:w="14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(8)</w:t>
            </w:r>
          </w:p>
        </w:tc>
        <w:tc>
          <w:tcPr>
            <w:tcW w:w="14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8"/>
        </w:trPr>
        <w:tc>
          <w:tcPr>
            <w:tcW w:w="5200" w:type="dxa"/>
            <w:vAlign w:val="bottom"/>
            <w:gridSpan w:val="2"/>
          </w:tcPr>
          <w:p>
            <w:pPr>
              <w:spacing w:after="0"/>
              <w:rPr>
                <w:sz w:val="20"/>
                <w:szCs w:val="20"/>
                <w:color w:val="auto"/>
              </w:rPr>
            </w:pPr>
            <w:r>
              <w:rPr>
                <w:rFonts w:ascii="Arial" w:cs="Arial" w:eastAsia="Arial" w:hAnsi="Arial"/>
                <w:sz w:val="17"/>
                <w:szCs w:val="17"/>
                <w:color w:val="auto"/>
              </w:rPr>
              <w:t>Income tax rate adjustments:</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Tax effect of key items </w:t>
            </w:r>
            <w:r>
              <w:rPr>
                <w:rFonts w:ascii="Arial" w:cs="Arial" w:eastAsia="Arial" w:hAnsi="Arial"/>
                <w:sz w:val="14"/>
                <w:szCs w:val="14"/>
                <w:color w:val="auto"/>
              </w:rPr>
              <w:t>(b)</w:t>
            </w:r>
          </w:p>
        </w:tc>
        <w:tc>
          <w:tcPr>
            <w:tcW w:w="1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20"/>
              <w:spacing w:after="0"/>
              <w:rPr>
                <w:sz w:val="20"/>
                <w:szCs w:val="20"/>
                <w:color w:val="auto"/>
              </w:rPr>
            </w:pPr>
            <w:r>
              <w:rPr>
                <w:rFonts w:ascii="Arial" w:cs="Arial" w:eastAsia="Arial" w:hAnsi="Arial"/>
                <w:sz w:val="17"/>
                <w:szCs w:val="17"/>
                <w:color w:val="auto"/>
              </w:rPr>
              <w:t xml:space="preserve">Tax specific key items: </w:t>
            </w:r>
            <w:r>
              <w:rPr>
                <w:rFonts w:ascii="Arial" w:cs="Arial" w:eastAsia="Arial" w:hAnsi="Arial"/>
                <w:sz w:val="14"/>
                <w:szCs w:val="14"/>
                <w:color w:val="auto"/>
              </w:rPr>
              <w:t>(c)</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Deferred tax rate changes</w:t>
            </w:r>
          </w:p>
        </w:tc>
        <w:tc>
          <w:tcPr>
            <w:tcW w:w="1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(2)</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139</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7"/>
                <w:szCs w:val="17"/>
                <w:color w:val="auto"/>
              </w:rPr>
              <w:t>One-time transition tax</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(128)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Uncertain tax positions</w:t>
            </w:r>
          </w:p>
        </w:tc>
        <w:tc>
          <w:tcPr>
            <w:tcW w:w="1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6</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7"/>
                <w:szCs w:val="17"/>
                <w:color w:val="auto"/>
              </w:rPr>
              <w:t>Restructuring and separation activity</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(36)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Other tax reform related activity</w:t>
            </w:r>
          </w:p>
        </w:tc>
        <w:tc>
          <w:tcPr>
            <w:tcW w:w="1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1</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60"/>
              <w:spacing w:after="0"/>
              <w:rPr>
                <w:sz w:val="20"/>
                <w:szCs w:val="20"/>
                <w:color w:val="auto"/>
              </w:rPr>
            </w:pPr>
            <w:r>
              <w:rPr>
                <w:rFonts w:ascii="Arial" w:cs="Arial" w:eastAsia="Arial" w:hAnsi="Arial"/>
                <w:sz w:val="17"/>
                <w:szCs w:val="17"/>
                <w:color w:val="auto"/>
              </w:rPr>
              <w:t>Valuation allowances</w:t>
            </w: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020" w:type="dxa"/>
            <w:vAlign w:val="bottom"/>
          </w:tcPr>
          <w:p>
            <w:pPr>
              <w:jc w:val="right"/>
              <w:ind w:right="135"/>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Foreign dividends</w:t>
            </w:r>
          </w:p>
        </w:tc>
        <w:tc>
          <w:tcPr>
            <w:tcW w:w="1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20"/>
                <w:szCs w:val="20"/>
                <w:color w:val="auto"/>
              </w:rPr>
            </w:pPr>
            <w:r>
              <w:rPr>
                <w:rFonts w:ascii="Arial" w:cs="Arial" w:eastAsia="Arial" w:hAnsi="Arial"/>
                <w:sz w:val="17"/>
                <w:szCs w:val="17"/>
                <w:color w:val="auto"/>
              </w:rPr>
              <w:t>Total income tax rate adjustments</w:t>
            </w:r>
          </w:p>
        </w:tc>
        <w:tc>
          <w:tcPr>
            <w:tcW w:w="14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Adjusted income tax expense (benefit)</w:t>
            </w:r>
          </w:p>
        </w:tc>
        <w:tc>
          <w:tcPr>
            <w:tcW w:w="1420" w:type="dxa"/>
            <w:vAlign w:val="bottom"/>
            <w:tcBorders>
              <w:top w:val="single" w:sz="8" w:color="CFF0FC"/>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ind w:right="33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rPr>
              <w:t>25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5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rPr>
              <w:t>12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Effective tax rate, excluding key items (Non-GAAP)</w:t>
            </w:r>
          </w:p>
        </w:tc>
        <w:tc>
          <w:tcPr>
            <w:tcW w:w="14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See Adjusted EBITDA reconciliation table previously disclosed in this Management, Discussion and Analysis for a summary of the key items, before tax.</w:t>
      </w:r>
    </w:p>
    <w:p>
      <w:pPr>
        <w:ind w:left="300" w:hanging="292"/>
        <w:spacing w:after="0" w:line="221" w:lineRule="auto"/>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tax rate specific to the jurisdiction in which the key item originates is used to calculate the tax effect of key items.</w:t>
      </w:r>
    </w:p>
    <w:p>
      <w:pPr>
        <w:ind w:left="300" w:hanging="292"/>
        <w:spacing w:after="0"/>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For additional information on the effect that these tax specific key items had on EPS, see the Adjusted Diluted EPS table previously disclosed in this Management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1" w:name="page52"/>
    <w:bookmarkEnd w:id="51"/>
    <w:p>
      <w:pPr>
        <w:jc w:val="both"/>
        <w:ind w:firstLine="401"/>
        <w:spacing w:after="0" w:line="277" w:lineRule="auto"/>
        <w:rPr>
          <w:sz w:val="20"/>
          <w:szCs w:val="20"/>
          <w:color w:val="auto"/>
        </w:rPr>
      </w:pPr>
      <w:r>
        <w:rPr>
          <w:rFonts w:ascii="Arial" w:cs="Arial" w:eastAsia="Arial" w:hAnsi="Arial"/>
          <w:sz w:val="18"/>
          <w:szCs w:val="18"/>
          <w:color w:val="auto"/>
        </w:rPr>
        <w:t>The following table provides a reconciliation of tax specific key items within the statutory federal income tax with the provision for income taxes summary disclosed in Note M of the Notes to Consolidated Financial Statements.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20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Tax effect of key items computed at applicable statutory rate</w:t>
            </w:r>
          </w:p>
        </w:tc>
        <w:tc>
          <w:tcPr>
            <w:tcW w:w="17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6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68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Tax reform</w:t>
            </w: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Uncertain tax positions</w:t>
            </w:r>
          </w:p>
        </w:tc>
        <w:tc>
          <w:tcPr>
            <w:tcW w:w="1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Foreign dividend, deemed inclusions and other restructuring</w:t>
            </w: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Foreign tax credits</w:t>
            </w:r>
          </w:p>
        </w:tc>
        <w:tc>
          <w:tcPr>
            <w:tcW w:w="1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 xml:space="preserve">Valuation allowance changes </w:t>
            </w:r>
            <w:r>
              <w:rPr>
                <w:rFonts w:ascii="Arial" w:cs="Arial" w:eastAsia="Arial" w:hAnsi="Arial"/>
                <w:sz w:val="14"/>
                <w:szCs w:val="14"/>
                <w:color w:val="auto"/>
              </w:rPr>
              <w:t>(a)</w:t>
            </w: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State taxes</w:t>
            </w:r>
          </w:p>
        </w:tc>
        <w:tc>
          <w:tcPr>
            <w:tcW w:w="1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items</w:t>
            </w:r>
          </w:p>
        </w:tc>
        <w:tc>
          <w:tcPr>
            <w:tcW w:w="12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558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0"/>
        </w:trPr>
        <w:tc>
          <w:tcPr>
            <w:tcW w:w="5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Includes $14 million of charges during 2017 that were included in the “Restructuring and separation activity” line in previous table, which is an activity-based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8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30"/>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Income (loss) from discontinued operations (net of taxes)</w:t>
            </w: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Composites and Marl Facility</w:t>
            </w:r>
          </w:p>
        </w:tc>
        <w:tc>
          <w:tcPr>
            <w:tcW w:w="8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94</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Asbestos-related litigation</w:t>
            </w: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1"/>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Water Technologies</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w:t>
            </w: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Valvoline</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Gain on disposal of discontinued operations</w:t>
            </w: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4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Composites/Marl facility</w:t>
            </w:r>
          </w:p>
        </w:tc>
        <w:tc>
          <w:tcPr>
            <w:tcW w:w="4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4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As a result of the divestiture of the Composites segment (including the Maleic business) and Marl facility, the related operating results have been reflected as discontinued operations (net of tax) within the Statements of Consolidated Comprehensive Income (Loss). See Note E for more information on this divestiture. In 2019, the sales and pre-tax operating income included in discontinued operations were $1,012 million and $145 million, respectively. In 2018, the sales and pre-tax operating income included in discontinued operations were $1,154 million and $125 million, respectively. In 2017, the sales and pre-tax operating income included in discontinued operations were $951 million and $97 million, respectively. A $372 million gain on disposal was recorded in the fourth quarter associated with the August 30, 2019 closing of the Composites business (excluding the Maleic business) and the Marl facility with INEOS.</w:t>
      </w:r>
    </w:p>
    <w:p>
      <w:pPr>
        <w:spacing w:after="0" w:line="8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Asbestos-related activity during 2019, 2018 and 2017 included after-tax net adjustments to the asbestos reserves and receivables of zero, $13 million of income and $25 million of expense, respectively, including the adjustments for the annual update.</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activity for Water Technologies and Distribution during 2019, 2018 and 2017 was related to post-closing adjustments.</w:t>
      </w:r>
    </w:p>
    <w:p>
      <w:pPr>
        <w:spacing w:after="0" w:line="117"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The Valvoline activity within 2019 and 2018 primarily represents subsequent adjustments that were made in conjunction with the Tax Matters Agreement. Prior to the full separation of Valvoline Inc. on May 12, 2017, the operating results related to Valvoline Inc., including the operating results of the former Valvoline reportable segment, have been reflected as discontinued operations (net of tax) within the Statements of Consolidated Comprehensive Income (Loss) for 2017. Valvoline’s sales included in discontinued operations during 2017 were $1,237 million (reflective of sales until the full separation on May 12, 2017). Valvoline’s pre-tax income of discontinued operations during 2017 totaled $240 million.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42"/>
        </w:trPr>
        <w:tc>
          <w:tcPr>
            <w:tcW w:w="366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30"/>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change</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w:t>
            </w:r>
          </w:p>
        </w:tc>
        <w:tc>
          <w:tcPr>
            <w:tcW w:w="20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4"/>
        </w:trPr>
        <w:tc>
          <w:tcPr>
            <w:tcW w:w="3660" w:type="dxa"/>
            <w:vAlign w:val="bottom"/>
          </w:tcPr>
          <w:p>
            <w:pPr>
              <w:ind w:left="140"/>
              <w:spacing w:after="0"/>
              <w:rPr>
                <w:sz w:val="20"/>
                <w:szCs w:val="20"/>
                <w:color w:val="auto"/>
              </w:rPr>
            </w:pPr>
            <w:r>
              <w:rPr>
                <w:rFonts w:ascii="Arial" w:cs="Arial" w:eastAsia="Arial" w:hAnsi="Arial"/>
                <w:sz w:val="18"/>
                <w:szCs w:val="18"/>
                <w:b w:val="1"/>
                <w:bCs w:val="1"/>
                <w:color w:val="auto"/>
              </w:rPr>
              <w:t>noncontrolling interest</w:t>
            </w:r>
          </w:p>
        </w:tc>
        <w:tc>
          <w:tcPr>
            <w:tcW w:w="2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89"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Since Ashland’s ownership interest in Valvoline Inc. was approximately 83% after completing the IPO on September 28, 2016 and before the distribution of its remaining shares of Valvoline on May 12, 2017, the amount of net income attributable to the outside stockholders’ approximately 17% noncontrolling interest in Valvoline Inc. was presented within this caption in the Statements of Consolidated Comprehensive Income (Loss) for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income (loss)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comparative analysis of the components of other comprehensive income (loss) is provided below for the last three fiscal years ended September 30.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5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30"/>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change</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taxes)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Unrealized translation gain (loss)</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and postretirement</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4520" w:type="dxa"/>
            <w:vAlign w:val="bottom"/>
          </w:tcPr>
          <w:p>
            <w:pPr>
              <w:ind w:left="500"/>
              <w:spacing w:after="0"/>
              <w:rPr>
                <w:sz w:val="20"/>
                <w:szCs w:val="20"/>
                <w:color w:val="auto"/>
              </w:rPr>
            </w:pPr>
            <w:r>
              <w:rPr>
                <w:rFonts w:ascii="Arial" w:cs="Arial" w:eastAsia="Arial" w:hAnsi="Arial"/>
                <w:sz w:val="18"/>
                <w:szCs w:val="18"/>
                <w:color w:val="auto"/>
              </w:rPr>
              <w:t>obligation adjustment</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change in investment securities</w:t>
            </w:r>
          </w:p>
        </w:tc>
        <w:tc>
          <w:tcPr>
            <w:tcW w:w="7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4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Total other comprehensive income (loss), net of tax, decreased $16 million in 2019 as compared to 2018 as a result of the following components.</w:t>
      </w:r>
    </w:p>
    <w:p>
      <w:pPr>
        <w:spacing w:after="0" w:line="129" w:lineRule="exact"/>
        <w:rPr>
          <w:sz w:val="20"/>
          <w:szCs w:val="20"/>
          <w:color w:val="auto"/>
        </w:rPr>
      </w:pPr>
    </w:p>
    <w:p>
      <w:pPr>
        <w:jc w:val="both"/>
        <w:ind w:left="800" w:hanging="400"/>
        <w:spacing w:after="0" w:line="264"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2019, the change in unrealized gain (loss) from foreign currency translation adjustments resulted in a loss of $80 million, compared to a loss of $82 million during 2018. The fluctuations in unrealized translation gains and losses were primarily due to translating foreign subsidiary financial statements from local currencies to U.S. Dollars.</w:t>
      </w:r>
    </w:p>
    <w:p>
      <w:pPr>
        <w:spacing w:after="0" w:line="73" w:lineRule="exact"/>
        <w:rPr>
          <w:rFonts w:ascii="Arial" w:cs="Arial" w:eastAsia="Arial" w:hAnsi="Arial"/>
          <w:sz w:val="18"/>
          <w:szCs w:val="18"/>
          <w:color w:val="auto"/>
        </w:rPr>
      </w:pPr>
    </w:p>
    <w:p>
      <w:pPr>
        <w:jc w:val="both"/>
        <w:ind w:left="800" w:hanging="400"/>
        <w:spacing w:after="0" w:line="264"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pension and postretirement obligation adjustment was $5 million during 2019 compared to zero during 2018. The adjustment during 2019 related to amortization of unrecognized prior services credits for pension and other postretirement benefit plans, net of tax, and were reclassified into net income.</w:t>
      </w:r>
    </w:p>
    <w:p>
      <w:pPr>
        <w:spacing w:after="0" w:line="73" w:lineRule="exact"/>
        <w:rPr>
          <w:rFonts w:ascii="Arial" w:cs="Arial" w:eastAsia="Arial" w:hAnsi="Arial"/>
          <w:sz w:val="18"/>
          <w:szCs w:val="18"/>
          <w:color w:val="auto"/>
        </w:rPr>
      </w:pPr>
    </w:p>
    <w:p>
      <w:pPr>
        <w:jc w:val="both"/>
        <w:ind w:left="800" w:hanging="400"/>
        <w:spacing w:after="0" w:line="264"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Due to the adoption of new accounting guidance in 2019, unrealized gains and losses on Ashland’s equity securities are now recognized in net income rather than AOCI. See Notes A and G for more information. A $13 million gain on investment securities, net of tax, related to restricted investments, were recognized within other comprehensive income (loss) during 2018.</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Total other comprehensive income (loss), net of tax, decreased $161 million in 2018 as compared to 2017 as a result of the following components.</w:t>
      </w:r>
    </w:p>
    <w:p>
      <w:pPr>
        <w:spacing w:after="0" w:line="129" w:lineRule="exact"/>
        <w:rPr>
          <w:sz w:val="20"/>
          <w:szCs w:val="20"/>
          <w:color w:val="auto"/>
        </w:rPr>
      </w:pPr>
    </w:p>
    <w:p>
      <w:pPr>
        <w:jc w:val="both"/>
        <w:ind w:left="800" w:hanging="400"/>
        <w:spacing w:after="0" w:line="264"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2018, the change in unrealized gain (loss) from foreign currency translation adjustments resulted in a loss of $82 million, compared to a gain of $81 million during 2017. The fluctuations in unrealized translation gains and losses are primarily due to translating foreign subsidiary financial statements from local currencies to U.S. Dollars.</w:t>
      </w:r>
    </w:p>
    <w:p>
      <w:pPr>
        <w:spacing w:after="0" w:line="73" w:lineRule="exact"/>
        <w:rPr>
          <w:rFonts w:ascii="Arial" w:cs="Arial" w:eastAsia="Arial" w:hAnsi="Arial"/>
          <w:sz w:val="18"/>
          <w:szCs w:val="18"/>
          <w:color w:val="auto"/>
        </w:rPr>
      </w:pPr>
    </w:p>
    <w:p>
      <w:pPr>
        <w:ind w:left="800" w:hanging="400"/>
        <w:spacing w:after="0" w:line="342"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pension and postretirement obligation adjustment was zero during 2018 compared to a loss of $4 million during 2017 due to unrecognized prior service credits, net of tax, relating to pension and other postretirement benefit plans were amortized and reclassified into net income.</w:t>
      </w:r>
    </w:p>
    <w:p>
      <w:pPr>
        <w:spacing w:after="0" w:line="15" w:lineRule="exact"/>
        <w:rPr>
          <w:rFonts w:ascii="Arial" w:cs="Arial" w:eastAsia="Arial" w:hAnsi="Arial"/>
          <w:sz w:val="16"/>
          <w:szCs w:val="16"/>
          <w:color w:val="auto"/>
        </w:rPr>
      </w:pPr>
    </w:p>
    <w:p>
      <w:pPr>
        <w:ind w:left="800" w:right="20" w:hanging="400"/>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Gains of $13 million and $15 million on restricted investments, net of tax, were recognized within other comprehensive income (loss) during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RESULTS OF OPERATIONS – REPORTABLE SEGMENT REVIEW</w:t>
      </w:r>
    </w:p>
    <w:p>
      <w:pPr>
        <w:spacing w:after="0" w:line="121" w:lineRule="exact"/>
        <w:rPr>
          <w:sz w:val="20"/>
          <w:szCs w:val="20"/>
          <w:color w:val="auto"/>
        </w:rPr>
      </w:pPr>
    </w:p>
    <w:p>
      <w:pPr>
        <w:jc w:val="both"/>
        <w:ind w:firstLine="401"/>
        <w:spacing w:after="0" w:line="289" w:lineRule="auto"/>
        <w:rPr>
          <w:sz w:val="20"/>
          <w:szCs w:val="20"/>
          <w:color w:val="auto"/>
        </w:rPr>
      </w:pPr>
      <w:r>
        <w:rPr>
          <w:rFonts w:ascii="Arial" w:cs="Arial" w:eastAsia="Arial" w:hAnsi="Arial"/>
          <w:sz w:val="16"/>
          <w:szCs w:val="16"/>
          <w:color w:val="auto"/>
        </w:rPr>
        <w:t>Ashland’s operations are managed within the following two reportable segments: Specialty Ingredients and Intermediates and Solvents. 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costs to its reportable segments except for certain significant company-wide restructuring activities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(costs)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59"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7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shows sales, operating income, depreciation and amortization and statistical operating information by reportable segment for each of the last three years ended September 30.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20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Specialty Ingredients</w:t>
            </w:r>
          </w:p>
        </w:tc>
        <w:tc>
          <w:tcPr>
            <w:tcW w:w="25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2,382</w:t>
            </w:r>
          </w:p>
        </w:tc>
        <w:tc>
          <w:tcPr>
            <w:tcW w:w="140" w:type="dxa"/>
            <w:vAlign w:val="bottom"/>
          </w:tcPr>
          <w:p>
            <w:pPr>
              <w:spacing w:after="0"/>
              <w:rPr>
                <w:sz w:val="19"/>
                <w:szCs w:val="19"/>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20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FF0FC"/>
            </w:tcBorders>
          </w:tcPr>
          <w:p>
            <w:pPr>
              <w:spacing w:after="0"/>
              <w:rPr>
                <w:sz w:val="22"/>
                <w:szCs w:val="22"/>
                <w:color w:val="auto"/>
              </w:rPr>
            </w:pPr>
          </w:p>
        </w:tc>
        <w:tc>
          <w:tcPr>
            <w:tcW w:w="200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2,493</w:t>
            </w: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2,589</w:t>
            </w: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 (loss)</w:t>
            </w:r>
          </w:p>
        </w:tc>
        <w:tc>
          <w:tcPr>
            <w:tcW w:w="20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Specialty Ingredients</w:t>
            </w:r>
          </w:p>
        </w:tc>
        <w:tc>
          <w:tcPr>
            <w:tcW w:w="25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20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 and Other</w:t>
            </w:r>
          </w:p>
        </w:tc>
        <w:tc>
          <w:tcPr>
            <w:tcW w:w="20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166</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2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250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2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Unallocated and Other</w:t>
            </w:r>
          </w:p>
        </w:tc>
        <w:tc>
          <w:tcPr>
            <w:tcW w:w="20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FF0FC"/>
            </w:tcBorders>
          </w:tcPr>
          <w:p>
            <w:pPr>
              <w:spacing w:after="0"/>
              <w:rPr>
                <w:sz w:val="22"/>
                <w:szCs w:val="22"/>
                <w:color w:val="auto"/>
              </w:rPr>
            </w:pPr>
          </w:p>
        </w:tc>
        <w:tc>
          <w:tcPr>
            <w:tcW w:w="200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289</w:t>
            </w: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information</w:t>
            </w:r>
          </w:p>
        </w:tc>
        <w:tc>
          <w:tcPr>
            <w:tcW w:w="20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 xml:space="preserve">Specialty Ingredients </w:t>
            </w:r>
            <w:r>
              <w:rPr>
                <w:rFonts w:ascii="Arial" w:cs="Arial" w:eastAsia="Arial" w:hAnsi="Arial"/>
                <w:sz w:val="14"/>
                <w:szCs w:val="14"/>
                <w:color w:val="auto"/>
              </w:rPr>
              <w:t>(a)</w:t>
            </w:r>
          </w:p>
        </w:tc>
        <w:tc>
          <w:tcPr>
            <w:tcW w:w="2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per shipping day</w:t>
            </w:r>
          </w:p>
        </w:tc>
        <w:tc>
          <w:tcPr>
            <w:tcW w:w="250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Metric tons sold (thousands)</w:t>
            </w:r>
          </w:p>
        </w:tc>
        <w:tc>
          <w:tcPr>
            <w:tcW w:w="2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317.2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324.7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 as a percent of sales</w:t>
            </w:r>
          </w:p>
        </w:tc>
        <w:tc>
          <w:tcPr>
            <w:tcW w:w="20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 xml:space="preserve">Intermediates and Solvents </w:t>
            </w:r>
            <w:r>
              <w:rPr>
                <w:rFonts w:ascii="Arial" w:cs="Arial" w:eastAsia="Arial" w:hAnsi="Arial"/>
                <w:sz w:val="14"/>
                <w:szCs w:val="14"/>
                <w:color w:val="auto"/>
              </w:rPr>
              <w:t>(a)</w:t>
            </w:r>
          </w:p>
        </w:tc>
        <w:tc>
          <w:tcPr>
            <w:tcW w:w="2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per shipping day</w:t>
            </w:r>
          </w:p>
        </w:tc>
        <w:tc>
          <w:tcPr>
            <w:tcW w:w="250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Metric tons sold (thousands)</w:t>
            </w:r>
          </w:p>
        </w:tc>
        <w:tc>
          <w:tcPr>
            <w:tcW w:w="2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 as a percent of sales</w:t>
            </w:r>
          </w:p>
        </w:tc>
        <w:tc>
          <w:tcPr>
            <w:tcW w:w="20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Sales are defined as sales and operating revenues. Gross profit is defined as sales, less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M-17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4" w:name="page55"/>
    <w:bookmarkEnd w:id="54"/>
    <w:p>
      <w:pPr>
        <w:ind w:left="400"/>
        <w:spacing w:after="0"/>
        <w:rPr>
          <w:sz w:val="20"/>
          <w:szCs w:val="20"/>
          <w:color w:val="auto"/>
        </w:rPr>
      </w:pPr>
      <w:r>
        <w:rPr>
          <w:rFonts w:ascii="Arial" w:cs="Arial" w:eastAsia="Arial" w:hAnsi="Arial"/>
          <w:sz w:val="16"/>
          <w:szCs w:val="16"/>
          <w:color w:val="auto"/>
        </w:rPr>
        <w:t>Sales by region expressed as a percentage of reportable segment sales for each of the last three fiscal years ended September 30 were as follows.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Ashland includes only U.S. and Canada in its North American designation.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4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2019</w:t>
            </w:r>
          </w:p>
        </w:tc>
        <w:tc>
          <w:tcPr>
            <w:tcW w:w="1460" w:type="dxa"/>
            <w:vAlign w:val="bottom"/>
            <w:tcBorders>
              <w:top w:val="single" w:sz="8" w:color="auto"/>
              <w:bottom w:val="single" w:sz="8" w:color="auto"/>
            </w:tcBorders>
          </w:tcPr>
          <w:p>
            <w:pPr>
              <w:spacing w:after="0"/>
              <w:rPr>
                <w:sz w:val="21"/>
                <w:szCs w:val="21"/>
                <w:color w:val="auto"/>
              </w:rPr>
            </w:pPr>
          </w:p>
        </w:tc>
      </w:tr>
      <w:tr>
        <w:trPr>
          <w:trHeight w:val="209"/>
        </w:trPr>
        <w:tc>
          <w:tcPr>
            <w:tcW w:w="7740" w:type="dxa"/>
            <w:vAlign w:val="bottom"/>
          </w:tcPr>
          <w:p>
            <w:pPr>
              <w:spacing w:after="0"/>
              <w:rPr>
                <w:sz w:val="18"/>
                <w:szCs w:val="18"/>
                <w:color w:val="auto"/>
              </w:rPr>
            </w:pPr>
          </w:p>
        </w:tc>
        <w:tc>
          <w:tcPr>
            <w:tcW w:w="2220" w:type="dxa"/>
            <w:vAlign w:val="bottom"/>
            <w:gridSpan w:val="3"/>
          </w:tcPr>
          <w:p>
            <w:pPr>
              <w:jc w:val="right"/>
              <w:ind w:right="640"/>
              <w:spacing w:after="0"/>
              <w:rPr>
                <w:sz w:val="20"/>
                <w:szCs w:val="20"/>
                <w:color w:val="auto"/>
              </w:rPr>
            </w:pPr>
            <w:r>
              <w:rPr>
                <w:rFonts w:ascii="Arial" w:cs="Arial" w:eastAsia="Arial" w:hAnsi="Arial"/>
                <w:sz w:val="18"/>
                <w:szCs w:val="18"/>
                <w:color w:val="auto"/>
              </w:rPr>
              <w:t>Specialty</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Intermediates</w:t>
            </w:r>
          </w:p>
        </w:tc>
      </w:tr>
      <w:tr>
        <w:trPr>
          <w:trHeight w:val="230"/>
        </w:trPr>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Geography</w:t>
            </w:r>
          </w:p>
        </w:tc>
        <w:tc>
          <w:tcPr>
            <w:tcW w:w="222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Ingredients</w:t>
            </w: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and Solvents</w:t>
            </w: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Europe</w:t>
            </w:r>
          </w:p>
        </w:tc>
        <w:tc>
          <w:tcPr>
            <w:tcW w:w="176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74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77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23"/>
        </w:trPr>
        <w:tc>
          <w:tcPr>
            <w:tcW w:w="77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2018</w:t>
            </w:r>
          </w:p>
        </w:tc>
        <w:tc>
          <w:tcPr>
            <w:tcW w:w="1460" w:type="dxa"/>
            <w:vAlign w:val="bottom"/>
            <w:tcBorders>
              <w:bottom w:val="single" w:sz="8" w:color="auto"/>
            </w:tcBorders>
          </w:tcPr>
          <w:p>
            <w:pPr>
              <w:spacing w:after="0"/>
              <w:rPr>
                <w:sz w:val="19"/>
                <w:szCs w:val="19"/>
                <w:color w:val="auto"/>
              </w:rPr>
            </w:pPr>
          </w:p>
        </w:tc>
      </w:tr>
      <w:tr>
        <w:trPr>
          <w:trHeight w:val="209"/>
        </w:trPr>
        <w:tc>
          <w:tcPr>
            <w:tcW w:w="7740" w:type="dxa"/>
            <w:vAlign w:val="bottom"/>
          </w:tcPr>
          <w:p>
            <w:pPr>
              <w:spacing w:after="0"/>
              <w:rPr>
                <w:sz w:val="18"/>
                <w:szCs w:val="18"/>
                <w:color w:val="auto"/>
              </w:rPr>
            </w:pPr>
          </w:p>
        </w:tc>
        <w:tc>
          <w:tcPr>
            <w:tcW w:w="2220" w:type="dxa"/>
            <w:vAlign w:val="bottom"/>
            <w:gridSpan w:val="3"/>
          </w:tcPr>
          <w:p>
            <w:pPr>
              <w:jc w:val="right"/>
              <w:ind w:right="640"/>
              <w:spacing w:after="0"/>
              <w:rPr>
                <w:sz w:val="20"/>
                <w:szCs w:val="20"/>
                <w:color w:val="auto"/>
              </w:rPr>
            </w:pPr>
            <w:r>
              <w:rPr>
                <w:rFonts w:ascii="Arial" w:cs="Arial" w:eastAsia="Arial" w:hAnsi="Arial"/>
                <w:sz w:val="18"/>
                <w:szCs w:val="18"/>
                <w:color w:val="auto"/>
              </w:rPr>
              <w:t>Specialty</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Intermediates</w:t>
            </w:r>
          </w:p>
        </w:tc>
      </w:tr>
      <w:tr>
        <w:trPr>
          <w:trHeight w:val="230"/>
        </w:trPr>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Geography</w:t>
            </w:r>
          </w:p>
        </w:tc>
        <w:tc>
          <w:tcPr>
            <w:tcW w:w="222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Ingredients</w:t>
            </w: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and Solvents</w:t>
            </w: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Europe</w:t>
            </w:r>
          </w:p>
        </w:tc>
        <w:tc>
          <w:tcPr>
            <w:tcW w:w="176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74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77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23"/>
        </w:trPr>
        <w:tc>
          <w:tcPr>
            <w:tcW w:w="77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2017</w:t>
            </w:r>
          </w:p>
        </w:tc>
        <w:tc>
          <w:tcPr>
            <w:tcW w:w="1460" w:type="dxa"/>
            <w:vAlign w:val="bottom"/>
            <w:tcBorders>
              <w:bottom w:val="single" w:sz="8" w:color="auto"/>
            </w:tcBorders>
          </w:tcPr>
          <w:p>
            <w:pPr>
              <w:spacing w:after="0"/>
              <w:rPr>
                <w:sz w:val="19"/>
                <w:szCs w:val="19"/>
                <w:color w:val="auto"/>
              </w:rPr>
            </w:pPr>
          </w:p>
        </w:tc>
      </w:tr>
      <w:tr>
        <w:trPr>
          <w:trHeight w:val="209"/>
        </w:trPr>
        <w:tc>
          <w:tcPr>
            <w:tcW w:w="7740" w:type="dxa"/>
            <w:vAlign w:val="bottom"/>
          </w:tcPr>
          <w:p>
            <w:pPr>
              <w:spacing w:after="0"/>
              <w:rPr>
                <w:sz w:val="18"/>
                <w:szCs w:val="18"/>
                <w:color w:val="auto"/>
              </w:rPr>
            </w:pPr>
          </w:p>
        </w:tc>
        <w:tc>
          <w:tcPr>
            <w:tcW w:w="2220" w:type="dxa"/>
            <w:vAlign w:val="bottom"/>
            <w:gridSpan w:val="3"/>
          </w:tcPr>
          <w:p>
            <w:pPr>
              <w:jc w:val="right"/>
              <w:ind w:right="640"/>
              <w:spacing w:after="0"/>
              <w:rPr>
                <w:sz w:val="20"/>
                <w:szCs w:val="20"/>
                <w:color w:val="auto"/>
              </w:rPr>
            </w:pPr>
            <w:r>
              <w:rPr>
                <w:rFonts w:ascii="Arial" w:cs="Arial" w:eastAsia="Arial" w:hAnsi="Arial"/>
                <w:sz w:val="18"/>
                <w:szCs w:val="18"/>
                <w:color w:val="auto"/>
              </w:rPr>
              <w:t>Specialty</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Intermediates</w:t>
            </w:r>
          </w:p>
        </w:tc>
      </w:tr>
      <w:tr>
        <w:trPr>
          <w:trHeight w:val="230"/>
        </w:trPr>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Geography</w:t>
            </w:r>
          </w:p>
        </w:tc>
        <w:tc>
          <w:tcPr>
            <w:tcW w:w="222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8"/>
                <w:szCs w:val="18"/>
                <w:color w:val="auto"/>
              </w:rPr>
              <w:t>Ingredients</w:t>
            </w: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and Solvents</w:t>
            </w: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Europe</w:t>
            </w:r>
          </w:p>
        </w:tc>
        <w:tc>
          <w:tcPr>
            <w:tcW w:w="17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74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Ingredients</w:t>
      </w:r>
    </w:p>
    <w:p>
      <w:pPr>
        <w:spacing w:after="0" w:line="121"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Specialty Ingredients offers industry-leading products, technologies and resources for solving formulation and product-performance challenges. Using natural, synthetic and semisynthetic polymers derived from cellulose ethers, vinyl pyrrolidones, acrylic polymers, polyester and polyurethane-based adhesives, and plant and seed extract, Specialty Ingredients offers comprehensive and innovative solutions for consumer and industrial applications.</w:t>
      </w:r>
    </w:p>
    <w:p>
      <w:pPr>
        <w:spacing w:after="0" w:line="39"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Key customers include pharmaceutical companies; makers of personal care products, food and beverages manufacturers; makers of nutraceuticals and supplements; manufacturers of paint, coatings and construction materials; packaging and converting; and oilfield service companies.</w:t>
      </w:r>
    </w:p>
    <w:p>
      <w:pPr>
        <w:spacing w:after="0" w:line="38"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On May 17, 2017, Ashland completed its acquisition of the stock of Pharmachem, a leading provider of quality ingredients to the global health and wellness industries and high-value differentiated products to fragrance and flavor houses. At the acquisition date, Pharmachem had approximately $300 million in annual revenues and 14 manufacturing facilities located in the United States and Mexico. New Jersey-based Pharmachem develops, manufactures and supplies custom and branded nutritional and fragrance products. See Note C of the Notes to Consolidated Financial Statements for more information.</w:t>
      </w:r>
    </w:p>
    <w:p>
      <w:pPr>
        <w:spacing w:after="0" w:line="46"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Ashland completed the transfer of its ownership interest in a consolidated joint venture during 2017. See Note D of the Notes to Consolidated Financial Statements for information on this divestiture.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Specialty Ingredients’ sales decreased $88 million, or 4%, to $2,382 million in 2019. Volume/mix, unfavorable foreign currency exchange and the closures of a manufacturing plant decreased sales by $49 million, $44 million and $11 million, respectively. Improved product pricing increased sales by $16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jc w:val="both"/>
        <w:ind w:firstLine="401"/>
        <w:spacing w:after="0" w:line="264" w:lineRule="auto"/>
        <w:rPr>
          <w:sz w:val="20"/>
          <w:szCs w:val="20"/>
          <w:color w:val="auto"/>
        </w:rPr>
      </w:pPr>
      <w:r>
        <w:rPr>
          <w:rFonts w:ascii="Arial" w:cs="Arial" w:eastAsia="Arial" w:hAnsi="Arial"/>
          <w:sz w:val="18"/>
          <w:szCs w:val="18"/>
          <w:color w:val="auto"/>
        </w:rPr>
        <w:t>Gross profit during 2019 decreased $95 million compared to 2018. Unfavorable foreign currency exchange and the net impact of volume and mix decreased gross profit by $21 million and $28 million, respectively. The net impact of pricing and costs decreased gross profit by $46 million, which included a $42 million net impact from the following key items during 2019 and 2018:</w:t>
      </w:r>
    </w:p>
    <w:p>
      <w:pPr>
        <w:spacing w:after="0" w:line="73" w:lineRule="exact"/>
        <w:rPr>
          <w:sz w:val="20"/>
          <w:szCs w:val="20"/>
          <w:color w:val="auto"/>
        </w:rPr>
      </w:pPr>
    </w:p>
    <w:p>
      <w:pPr>
        <w:ind w:left="800" w:right="20" w:hanging="400"/>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$45 million and $3 million of costs related to restructuring activity related to certain manufacturing plants during 2019 and 2018, respectively (including $38 million of accelerated depreciation for 2019);</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 million of unplanned plant shutdown costs for a manufacturing facility during 2019; and</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 million of impairment of an asset during 2018.</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total, gross profit margin during 2019 decreased 2.7 percentage points to 31.1% as compared to 2018.</w:t>
      </w:r>
    </w:p>
    <w:p>
      <w:pPr>
        <w:spacing w:after="0" w:line="117"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Selling, general and administrative expenses (which includes research and development expenses throughout the reportable segment discussion and analysis) decreased $50 million during 2019 as compared to 2018, largely due to the company-wide cost reduction program, lower employee incentive program costs and favorable foreign currency exchange. Equity and other income increased $3 million compared to 2018.</w:t>
      </w:r>
    </w:p>
    <w:p>
      <w:pPr>
        <w:spacing w:after="0" w:line="5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Operating income totaled $272 million for 2019 compared to $314 million in 2018. EBITDA decreased $53 million to $507 million in 2019, while Adjusted EBITDA decreased $16 million to $558 million. Operating income margin decreased 1.3 percentage points in 2019 to 11.4%. Adjusted EBITDA margin increased 0.2 percentage points in 2019 to 23.4%.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Specialty Ingredients’ sales increased $254 million, or 11%, to $2,470 million in 2018. The acquisition of Pharmachem increased sales by $140 million, or 6%. Volume and mix combined to increase sales by $87 million while favorable foreign currency exchange increased sales by $42 million. In addition, improved product pricing increased sales by $18 million. These increases were partially offset by a decrease of $33 million primarily related to the transfer of ownership interest in a consolidated joint venture.</w:t>
      </w:r>
    </w:p>
    <w:p>
      <w:pPr>
        <w:spacing w:after="0" w:line="79"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Gross profit during 2018 increased $110 million compared to 2017. The acquisition of Pharmachem and improved volume and mix increased gross profit by $39 million each, while favorable foreign currency exchange increased gross profit by $18 million. Additionally, the net impact of pricing and costs increased gross profit by $18 million, which included a $24 million net impact from the following key items during 2018 and 2017:</w:t>
      </w:r>
    </w:p>
    <w:p>
      <w:pPr>
        <w:spacing w:after="0" w:line="57" w:lineRule="exact"/>
        <w:rPr>
          <w:sz w:val="20"/>
          <w:szCs w:val="20"/>
          <w:color w:val="auto"/>
        </w:rPr>
      </w:pPr>
    </w:p>
    <w:p>
      <w:pPr>
        <w:ind w:left="800" w:hanging="400"/>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 million of costs related to restructuring activity at certain manufacturing plants during 2018;</w:t>
      </w:r>
    </w:p>
    <w:p>
      <w:pPr>
        <w:spacing w:after="0" w:line="117" w:lineRule="exact"/>
        <w:rPr>
          <w:rFonts w:ascii="Arial" w:cs="Arial" w:eastAsia="Arial" w:hAnsi="Arial"/>
          <w:sz w:val="18"/>
          <w:szCs w:val="18"/>
          <w:color w:val="auto"/>
        </w:rPr>
      </w:pPr>
    </w:p>
    <w:p>
      <w:pPr>
        <w:ind w:left="800" w:hanging="400"/>
        <w:spacing w:after="0" w:line="277"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 million of non-cash charges related to the fair value assessment of inventory acquired from Pharmachem at the date of acquisition during 2017; and</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$6 million of costs related to the temporary shutdown of a manufacturing plant due to a hurricane during 2017.</w:t>
      </w:r>
    </w:p>
    <w:p>
      <w:pPr>
        <w:spacing w:after="0" w:line="117"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These increases to gross profit were partially offset by a decrease of $4 million related to the joint venture divestiture. In total, gross profit margin during 2018 increased 1.1 percentage points to 33.8% as compared to 2017.</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Selling, general and administrative expenses increased $27 million during 2018 as compared to 2017, largely due to incremental costs of $23 million related to the acquisition of Pharmachem’s operations. The remaining increase to selling, general and administrative expense was primarily attributable to unfavorable foreign currency exchange. Equity and other income (loss) decreased $2 million compared to 2017.</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Operating income totaled $314 million for 2018 compared to $233 million in 2017. EBITDA increased $98 million to $560 million in 2018, while Adjusted EBITDA increased $81 million to $574 million. Operating income margin increased 2.2 percentage points in 2018 to 12.7%. Adjusted EBITDA margin increased 1.0 percentage point in 2018 to 23.2%.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EBITDA and Adjusted EBITDA reconciliation</w:t>
      </w:r>
    </w:p>
    <w:p>
      <w:pPr>
        <w:spacing w:after="0" w:line="117"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The following EBITDA and Adjusted EBITDA presentation for the three annual periods is provided as a means to enhance the understanding of financial measurements that Ashland has internally determined to be relevant measures of comparison for the results of Specialty Ingredients. Adjusted EBITDA results have been prepared to illustrate the ongoing effects of Ashland’s operations, which exclude certain key items.</w:t>
      </w:r>
    </w:p>
    <w:p>
      <w:pPr>
        <w:spacing w:after="0" w:line="57"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The key items during 2019 included $38 million of accelerated depreciation related to a planned facility closure, $10 million of costs related to restructuring activity at certain manufacturing plants, $2 million of an unplanned plant shutdown and $1 million of environmental reserve adjustments.</w:t>
      </w:r>
    </w:p>
    <w:p>
      <w:pPr>
        <w:spacing w:after="0" w:line="38"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The key items during 2018 included $6 million of accelerated depreciation related to the termination of a contract at a manufacturing facility, $2 million of integration costs related to the acquisition of Pharmachem and $3 million of costs related to restructuring activity at certain manufacturing plants. Additional key items during 2018 included $2 million of asset impairment charges and $1 million of environmental reserve adjustments.</w:t>
      </w:r>
    </w:p>
    <w:p>
      <w:pPr>
        <w:spacing w:after="0" w:line="5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key items during 2017 included $18 million of restructuring charges for the closure of a manufacturing plant and the termination of a contract at a manufacturing facility (which included $14 million of accelerated depreciation and $4 million of severance and other restructuring costs), $7 million for the revaluation of Pharmachem inventory and $6 million of charges related to an unplanned plant shutdown.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rPr>
              <w:t>September 30</w:t>
            </w:r>
          </w:p>
        </w:tc>
        <w:tc>
          <w:tcPr>
            <w:tcW w:w="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r>
      <w:tr>
        <w:trPr>
          <w:trHeight w:val="223"/>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233</w:t>
            </w: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(a)</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229</w:t>
            </w: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462</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Accelerated depreciation</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14</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Severance and other costs</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Asset impairment</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Environmental reserve adjustment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Inventory fair value adjustment</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Unplanned plant shutdown</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Adjusted EBITDA</w:t>
            </w: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493</w:t>
            </w:r>
          </w:p>
        </w:tc>
      </w:tr>
      <w:tr>
        <w:trPr>
          <w:trHeight w:val="20"/>
        </w:trPr>
        <w:tc>
          <w:tcPr>
            <w:tcW w:w="6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Excludes $38 million, $6 million and $14 million of accelerated depreciation during 2019,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Intermediates and Solvents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Intermediates and Solvents is a leading producer of 1,4 butanediol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 at cost.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Intermediates and Solvents sales decreased $8 million, or 7%, to $111 million in 2019. Volume and mix combined to decrease sales by $8 million and unfavorable foreign currency exchange decreased sales by another $1 million. Lower product pricing increased sales by $1 million.</w:t>
      </w:r>
    </w:p>
    <w:p>
      <w:pPr>
        <w:spacing w:after="0" w:line="62"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Gross profit during 2019 decreased $2 million compared to 2018. Unfavorable foreign currency exchange decreased gross profit by $1 million, while the net impact of pricing and costs decreased gross profit by an additional $1 million.</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total, gross profit margin during 2019 increased 0.1 percentage points to 23.1% as compared to 2018.</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Selling, general and administrative expenses decreased $1 million during 2019 as compared to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7" w:name="page58"/>
    <w:bookmarkEnd w:id="57"/>
    <w:p>
      <w:pPr>
        <w:jc w:val="both"/>
        <w:ind w:firstLine="401"/>
        <w:spacing w:after="0" w:line="277" w:lineRule="auto"/>
        <w:rPr>
          <w:sz w:val="20"/>
          <w:szCs w:val="20"/>
          <w:color w:val="auto"/>
        </w:rPr>
      </w:pPr>
      <w:r>
        <w:rPr>
          <w:rFonts w:ascii="Arial" w:cs="Arial" w:eastAsia="Arial" w:hAnsi="Arial"/>
          <w:sz w:val="18"/>
          <w:szCs w:val="18"/>
          <w:color w:val="auto"/>
        </w:rPr>
        <w:t>Operating income totaled $16 million for 2019 compared to $17 million in 2018. EBITDA decreased $2 million to $29 million in 2019. Operating income margin increased 0.1 percentage point in 2019 to 14.4%. EBITDA margin of 26.1% in 2019 was flat compared to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Intermediates and Solvents’ sales increased $26 million, or 28%, to $119 million in 2018. Improved product pricing increased sales by $22 million, while volume and favorable foreign currency exchange added an additional $2 million each.</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Gross profit during 2018 increased $23 million compared to 2017. Pricing and higher costs combined to increase gross profit by $19 million, while volume and mix combined to increase gross profit by $2 million. Additionally, favorable foreign currency exchange increased gross profit by $2 million. In total, gross profit margin during 2018 increased 18.9 percentage points to 23.0% as compared to 2017.</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Selling, general and administrative expenses and equity and other income (loss) remained consistent as compared to 2017.</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Operating income totaled $17 million for 2018 compared to a loss of $6 million in 2017. EBITDA increased $23 million to $31 million in 2018.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margin increased 20.8 percentage points in 2018 to 14.3%. Adjusted EBITDA margin increased 17.5 percentage points in 2018 to 26.1%.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and Adjusted EBITDA reconciliation</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following EBITDA presentation for the three annual periods is provided as a means to enhance the understanding of financial measurements that Ashland has internally determined to be relevant measures of comparison for the results of Intermediates and Solvents. There were no unusual or key items that affected comparability for EBITDA during 2019, 2018 or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0"/>
              </w:rPr>
              <w:t>September 30</w:t>
            </w: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r>
      <w:tr>
        <w:trPr>
          <w:trHeight w:val="223"/>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6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w:t>
            </w: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r>
      <w:tr>
        <w:trPr>
          <w:trHeight w:val="20"/>
        </w:trPr>
        <w:tc>
          <w:tcPr>
            <w:tcW w:w="6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and other</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summarizes the key components of the Unallocated and other segment’s operating income (loss) for each of the last three years ended September 30.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rPr>
              <w:t>September 30</w:t>
            </w:r>
          </w:p>
        </w:tc>
        <w:tc>
          <w:tcPr>
            <w:tcW w:w="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r>
      <w:tr>
        <w:trPr>
          <w:trHeight w:val="223"/>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activities</w:t>
            </w: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Environmental expenses</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 charges</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Legal settlement/reserve</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Tax indemnity expense</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Proxy costs</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unallocated expense</w:t>
            </w: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0"/>
        </w:trPr>
        <w:tc>
          <w:tcPr>
            <w:tcW w:w="6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Unallocated and other recorded expense of $122 million, $229 million and $178 million for 2019, 2018, and 2017, respectively. The charges for restructuring activities of $87 million, $139 million and $136 million during 2019, 2018 and 2017, respectively, were primarily comprised of the following items:</w:t>
      </w:r>
    </w:p>
    <w:p>
      <w:pPr>
        <w:spacing w:after="0" w:line="73" w:lineRule="exact"/>
        <w:rPr>
          <w:sz w:val="20"/>
          <w:szCs w:val="20"/>
          <w:color w:val="auto"/>
        </w:rPr>
      </w:pPr>
    </w:p>
    <w:p>
      <w:pPr>
        <w:ind w:left="800" w:right="20" w:hanging="400"/>
        <w:spacing w:after="0" w:line="27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$42 million and $49 million of severance, lease abandonment and other restructuring costs related to company-wide cost-savings initiatives during 2019 and 2018, respectively;</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$4 million of impairment related to the planned sale of an office building during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8" w:name="page59"/>
    <w:bookmarkEnd w:id="58"/>
    <w:p>
      <w:pPr>
        <w:ind w:left="800" w:hanging="400"/>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$41 million, $59 million and $50 million of stranded divestiture costs during 2019, 2018 and 2017, respectively;</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 million and $82 million of costs related to the separation of Valvoline during 2018 and 2017 respectively;</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$14 million of accelerated depreciation related to the closure of an office building during 2018; and</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$7 million and $4 million of integration costs related to the acquisition of Pharmachem during 2018 and 2017,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Ashland had $232 million in cash and cash equivalents as of September 30, 2019, of which $157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 remitted. Ashland currently has no plans to repatriate any amounts for which additional taxes would need to be accrued. However, due to the Tax Act enacted in the prior year, Ashland may reassess this position as it pertains to future earnings.</w:t>
      </w:r>
    </w:p>
    <w:p>
      <w:pPr>
        <w:spacing w:after="0" w:line="8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Ashland’s cash flows from operating, investing and financing activities, as reflected in the Statements of Consolidated Cash Flows, are summarized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(used) by:</w:t>
            </w: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Operating activities from continuing operations</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66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174</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 from continuing operations</w:t>
            </w: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Financing activities from continuing operations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136</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980</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r>
      <w:tr>
        <w:trPr>
          <w:trHeight w:val="215"/>
        </w:trPr>
        <w:tc>
          <w:tcPr>
            <w:tcW w:w="6780" w:type="dxa"/>
            <w:vAlign w:val="bottom"/>
          </w:tcPr>
          <w:p>
            <w:pPr>
              <w:ind w:left="260"/>
              <w:spacing w:after="0"/>
              <w:rPr>
                <w:sz w:val="20"/>
                <w:szCs w:val="20"/>
                <w:color w:val="auto"/>
              </w:rPr>
            </w:pPr>
            <w:r>
              <w:rPr>
                <w:rFonts w:ascii="Arial" w:cs="Arial" w:eastAsia="Arial" w:hAnsi="Arial"/>
                <w:sz w:val="18"/>
                <w:szCs w:val="18"/>
                <w:color w:val="auto"/>
              </w:rPr>
              <w:t>Effect of currency exchange rate changes on cash and</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7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cash equivalents</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r>
      <w:tr>
        <w:trPr>
          <w:trHeight w:val="20"/>
        </w:trPr>
        <w:tc>
          <w:tcPr>
            <w:tcW w:w="6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Ashland paid income taxes of $67 million during 2019 compared to $77 million in 2018 and $79 million in 2017. Cash receipts for interest income were $3 million in 2019, $4 million in 2018 and $4 million in 2017, while cash payments for interest expense amounted to $124 million in 2019, $126 million in 2018 and $132 million in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discloses the cash flows associated with Ashland’s operating activities for 2019, 2018 and 2017,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05"/>
        </w:trPr>
        <w:tc>
          <w:tcPr>
            <w:tcW w:w="67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Cash flows provided (used) by operating activities from</w:t>
            </w:r>
          </w:p>
        </w:tc>
        <w:tc>
          <w:tcPr>
            <w:tcW w:w="5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34"/>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continuing operations</w:t>
            </w: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505</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28</w:t>
            </w:r>
          </w:p>
        </w:tc>
      </w:tr>
      <w:tr>
        <w:trPr>
          <w:trHeight w:val="230"/>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from discontinued operations (net of tax)</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r>
      <w:tr>
        <w:trPr>
          <w:trHeight w:val="215"/>
        </w:trPr>
        <w:tc>
          <w:tcPr>
            <w:tcW w:w="6780" w:type="dxa"/>
            <w:vAlign w:val="bottom"/>
          </w:tcPr>
          <w:p>
            <w:pPr>
              <w:ind w:left="260"/>
              <w:spacing w:after="0"/>
              <w:rPr>
                <w:sz w:val="20"/>
                <w:szCs w:val="20"/>
                <w:color w:val="auto"/>
              </w:rPr>
            </w:pPr>
            <w:r>
              <w:rPr>
                <w:rFonts w:ascii="Arial" w:cs="Arial" w:eastAsia="Arial" w:hAnsi="Arial"/>
                <w:sz w:val="18"/>
                <w:szCs w:val="18"/>
                <w:color w:val="auto"/>
              </w:rPr>
              <w:t>Adjustments to reconcile income from continuing operations to</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cash flows from operating activities</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265</w:t>
            </w: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Original issue discount and debt issuance cost amortization</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109</w:t>
            </w: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Distributions from equity affiliates</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 based compensation expense - Note Q</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Excess tax benefits on stock based compensation</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early retirement of debt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Loss (income) from restricted investments</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 on acquisitions and divestitures - Notes C and D</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Impairments</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Pension contributions</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Loss (gain) on pension and other postretirement plan remeasurements</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w:t>
            </w: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 xml:space="preserve">Change in operating assets and liabilities </w:t>
            </w:r>
            <w:r>
              <w:rPr>
                <w:rFonts w:ascii="Arial" w:cs="Arial" w:eastAsia="Arial" w:hAnsi="Arial"/>
                <w:sz w:val="14"/>
                <w:szCs w:val="14"/>
                <w:color w:val="auto"/>
              </w:rPr>
              <w:t>(a)</w:t>
            </w: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6780" w:type="dxa"/>
            <w:vAlign w:val="bottom"/>
          </w:tcPr>
          <w:p>
            <w:pPr>
              <w:spacing w:after="0"/>
              <w:rPr>
                <w:sz w:val="20"/>
                <w:szCs w:val="20"/>
                <w:color w:val="auto"/>
              </w:rPr>
            </w:pPr>
            <w:r>
              <w:rPr>
                <w:rFonts w:ascii="Arial" w:cs="Arial" w:eastAsia="Arial" w:hAnsi="Arial"/>
                <w:sz w:val="18"/>
                <w:szCs w:val="18"/>
                <w:color w:val="auto"/>
              </w:rPr>
              <w:t>Total cash flows provided by operating activities from</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7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174</w:t>
            </w:r>
          </w:p>
        </w:tc>
      </w:tr>
      <w:tr>
        <w:trPr>
          <w:trHeight w:val="20"/>
        </w:trPr>
        <w:tc>
          <w:tcPr>
            <w:tcW w:w="67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67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Excludes changes resulting from operations acquired or sold.</w:t>
      </w:r>
    </w:p>
    <w:p>
      <w:pPr>
        <w:spacing w:after="0" w:line="10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Cash flows provided by operating activities from continuing operations, a major source of Ashland’s liquidity, amounted to $228 million in 2019, $241 million in 2018 and $174 million in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 - Operating Assets and Liabilities</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cash results during each year were primarily driven by net income, excluding discontinued operation results, adjusted for certain non-cash items including depreciation and amortization (including debt issuance cost amortization), losses on acquisitions and divestitures as well as changes in working capital, which are fluctuations within accounts receivable, inventory, trade payables and accrued expenses. Ashland continues to emphasize working capital management as a high priority and focus.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details certain changes in key operating assets and liabilities for 2019, 2018 and 2017,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Cash flows from assets and liabilities </w:t>
            </w:r>
            <w:r>
              <w:rPr>
                <w:rFonts w:ascii="Arial" w:cs="Arial" w:eastAsia="Arial" w:hAnsi="Arial"/>
                <w:sz w:val="14"/>
                <w:szCs w:val="14"/>
                <w:b w:val="1"/>
                <w:bCs w:val="1"/>
                <w:color w:val="auto"/>
              </w:rPr>
              <w:t>(a)</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66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33</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Other assets and liabilities</w:t>
            </w: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Change in operating assets and liabilities</w:t>
            </w: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6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Excludes changes resulting from operations acquired or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0" w:name="page61"/>
    <w:bookmarkEnd w:id="60"/>
    <w:p>
      <w:pPr>
        <w:ind w:firstLine="401"/>
        <w:spacing w:after="0" w:line="277" w:lineRule="auto"/>
        <w:rPr>
          <w:sz w:val="20"/>
          <w:szCs w:val="20"/>
          <w:color w:val="auto"/>
        </w:rPr>
      </w:pPr>
      <w:r>
        <w:rPr>
          <w:rFonts w:ascii="Arial" w:cs="Arial" w:eastAsia="Arial" w:hAnsi="Arial"/>
          <w:sz w:val="18"/>
          <w:szCs w:val="18"/>
          <w:color w:val="auto"/>
        </w:rPr>
        <w:t>Changes in net working capital accounted for outflows of $45 million in 2019, $18 million in 2018 and $8 million in 2017, and were driven by the following:</w:t>
      </w:r>
    </w:p>
    <w:p>
      <w:pPr>
        <w:spacing w:after="0" w:line="62" w:lineRule="exact"/>
        <w:rPr>
          <w:sz w:val="20"/>
          <w:szCs w:val="20"/>
          <w:color w:val="auto"/>
        </w:rPr>
      </w:pPr>
    </w:p>
    <w:p>
      <w:pPr>
        <w:ind w:left="800" w:hanging="400"/>
        <w:spacing w:after="0" w:line="277"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Accounts receivable - Changes in accounts receivable resulted in a $38 million inflow of cash in 2019 compared to cash outflows of $42 million in 2018 and $29 million in 2017, respectively and were primarily related to sales volumes in each period.</w:t>
      </w:r>
    </w:p>
    <w:p>
      <w:pPr>
        <w:spacing w:after="0" w:line="62" w:lineRule="exact"/>
        <w:rPr>
          <w:rFonts w:ascii="Arial" w:cs="Arial" w:eastAsia="Arial" w:hAnsi="Arial"/>
          <w:sz w:val="18"/>
          <w:szCs w:val="18"/>
          <w:color w:val="auto"/>
        </w:rPr>
      </w:pPr>
    </w:p>
    <w:p>
      <w:pPr>
        <w:ind w:left="800" w:hanging="400"/>
        <w:spacing w:after="0" w:line="277"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Inventory – Changes in inventory resulted in a cash outflow of $4 million in 2019 compared to cash outflows of $24 million in 2018 and $12 million in 2017, and were primarily driven by sales volumes and inventory management.</w:t>
      </w:r>
    </w:p>
    <w:p>
      <w:pPr>
        <w:spacing w:after="0" w:line="62" w:lineRule="exact"/>
        <w:rPr>
          <w:rFonts w:ascii="Arial" w:cs="Arial" w:eastAsia="Arial" w:hAnsi="Arial"/>
          <w:sz w:val="18"/>
          <w:szCs w:val="18"/>
          <w:color w:val="auto"/>
        </w:rPr>
      </w:pPr>
    </w:p>
    <w:p>
      <w:pPr>
        <w:ind w:left="800" w:hanging="400"/>
        <w:spacing w:after="0" w:line="277"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Trade and other payables - Changes in trade and other payables resulted in a cash outflow of $79 million in 2019 compared to cash inflows of $48 million in 2018 and $33 million in 2017, respectively and primarily related to the timing of certain payments.</w:t>
      </w:r>
    </w:p>
    <w:p>
      <w:pPr>
        <w:spacing w:after="0" w:line="62"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The remaining cash outflows of $84 million and $12 million for 2019 and 2017, respectively, and inflows of $43 million during 2018, respectively, were primarily due to income taxes paid or income tax refunds, interest paid, and adjustments to certain accruals and other long-term assets and liabilities.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 - Summary</w:t>
      </w:r>
    </w:p>
    <w:p>
      <w:pPr>
        <w:spacing w:after="0" w:line="117"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Operating cash flows for 2019 included income from continuing operations of $24 million, non-cash adjustments of $289 million for depreciation and amortization and $20 million for deferred income taxes. The adjustment for deferred income taxes during 2019 included the final adjustment related to the enactment of the Tax Act during the prior year. Operating cash flows for 2019 also included non-cash adjustments of $8 million related to asset impairment charges, $7 million of net gains on pension and other postretirement plan remeasurements and $13 million for debt issuance cost amortization.</w:t>
      </w:r>
    </w:p>
    <w:p>
      <w:pPr>
        <w:spacing w:after="0" w:line="46"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Operating cash flows for 2018 included income from continuing operations of $19 million, non-cash adjustments of $277 million for depreciation and amortization and $100 million for deferred income taxes. The adjustment for deferred income taxes during 2018 was significantly higher compared to prior years due to the impact from the enactment of the Tax Act during the current year. Operating cash flows for 2018 also included non-cash adjustments of $16 million related to asset impairment charges, $14 million of net gains on pension and other postretirement plan remeasurements and $8 million for debt issuance cost amortization.</w:t>
      </w:r>
    </w:p>
    <w:p>
      <w:pPr>
        <w:spacing w:after="0" w:line="80"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Operating cash flows for 2017 included a loss from continuing operations of $180 million, non-cash adjustments of $265 million for depreciation and amortization and $109 million for original issue discount and debt issuance cost amortization, including $92 million of accelerated accretion related to the tender offer of the 2029 notes. Operating cash flows for 2017 also included non-cash adjustments of $26 million for deferred income taxes and $8 million of net losses on pension and other postretirement plan remeasurements.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discloses the cash flows associated with Ashland’s investing activities for 2019, 2018 and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05"/>
        </w:trPr>
        <w:tc>
          <w:tcPr>
            <w:tcW w:w="67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Cash flows provided (used) by investing activities from</w:t>
            </w:r>
          </w:p>
        </w:tc>
        <w:tc>
          <w:tcPr>
            <w:tcW w:w="5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34"/>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continuing operations</w:t>
            </w: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66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disposal of property, plant and equipment</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Purchase of operations - net of cash acquired</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or restructuring of operations</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Life insurance payments</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purchases of funds restricted for specific transactions</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Reimbursement from restricted investments</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27</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securities</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Purchase of securities</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settlement of derivative instruments</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r>
      <w:tr>
        <w:trPr>
          <w:trHeight w:val="230"/>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Payments for the settlement of derivative instruments</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r>
      <w:tr>
        <w:trPr>
          <w:trHeight w:val="20"/>
        </w:trPr>
        <w:tc>
          <w:tcPr>
            <w:tcW w:w="6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Cash used by investing activities was $118 million in 2019 compared to $174 million and $798 million in 2018 and 2017, respectively. The significant cash investing activities for the current year primarily related to cash outflows of $154 million for capital expenditures. Additionally, there were reimbursements of $32 million from the restricted renewable annual asbestos trust.</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2018 year included cash outflows of $157 million for capital expenditures, $37 million related to payments for a corporate-owned life insurance policy loan and $11 million for the purchase of Vornia Limited. Additionally, there were reimbursements of $33 million from the restricted renewable annual asbestos trust.</w:t>
      </w:r>
    </w:p>
    <w:p>
      <w:pPr>
        <w:spacing w:after="0" w:line="73"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The significant cash investing activities for 2017 primarily related to cash outflows of $680 million for the acquisition of Pharmachem and $168 million for capital expenditures. Additionally, there were reimbursements of $27 million from the restricted renewable annual asbestos trust.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discloses the cash flows associated with Ashland’s financing activities for 2019, 2018 and 2017,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5"/>
        </w:trPr>
        <w:tc>
          <w:tcPr>
            <w:tcW w:w="67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Cash flows provided (used) by financing activities from</w:t>
            </w:r>
          </w:p>
        </w:tc>
        <w:tc>
          <w:tcPr>
            <w:tcW w:w="4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continuing operations</w:t>
            </w:r>
          </w:p>
        </w:tc>
        <w:tc>
          <w:tcPr>
            <w:tcW w:w="4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Proceeds from issuance of long-term debt</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long-term debt</w:t>
            </w: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Premium on long-term debt repayment</w:t>
            </w:r>
          </w:p>
        </w:tc>
        <w:tc>
          <w:tcPr>
            <w:tcW w:w="4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(repayment of) short-term debt</w:t>
            </w: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Repurchase of common stock</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w:t>
            </w: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Cash dividends paid</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 employee withholding taxes paid in cash</w:t>
            </w:r>
          </w:p>
        </w:tc>
        <w:tc>
          <w:tcPr>
            <w:tcW w:w="4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cash flows provided (used) by financing activities from continuing operations</w:t>
            </w: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5520"/>
              <w:spacing w:after="0"/>
              <w:rPr>
                <w:sz w:val="20"/>
                <w:szCs w:val="20"/>
                <w:color w:val="auto"/>
              </w:rPr>
            </w:pPr>
            <w:r>
              <w:rPr>
                <w:rFonts w:ascii="Arial" w:cs="Arial" w:eastAsia="Arial" w:hAnsi="Arial"/>
                <w:sz w:val="18"/>
                <w:szCs w:val="18"/>
                <w:color w:val="auto"/>
              </w:rPr>
              <w:t>M-25</w:t>
            </w: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2" w:name="page63"/>
    <w:bookmarkEnd w:id="62"/>
    <w:p>
      <w:pPr>
        <w:jc w:val="both"/>
        <w:ind w:firstLine="401"/>
        <w:spacing w:after="0" w:line="272" w:lineRule="auto"/>
        <w:rPr>
          <w:sz w:val="20"/>
          <w:szCs w:val="20"/>
          <w:color w:val="auto"/>
        </w:rPr>
      </w:pPr>
      <w:r>
        <w:rPr>
          <w:rFonts w:ascii="Arial" w:cs="Arial" w:eastAsia="Arial" w:hAnsi="Arial"/>
          <w:sz w:val="17"/>
          <w:szCs w:val="17"/>
          <w:color w:val="auto"/>
        </w:rPr>
        <w:t>Cash provided (used) by financing activities was $(1,149) million for 2019, $(368) million for 2018, and $136 million for 2017. Significant cash financing activities for the current year included a cash outflow $797 million for repayments of long-term debt, including $593 million for the full repayment of the term loan B facility, $195 million for the full repayment of the five-year term loan A facility, $5 million for repayments of the Series B – 9.35% Medium Term Notes, $3 million for repayments of the 4.75% Senior Notes due 2022, and $1 million for the 6.875% Senior Notes due 2043. The current period also included short-term debt net repayments of $78 million related to the revolving credit facility, the accounts receivable securitization facilities and a short-term loan facility. The revolving credit facility and the outstanding balance of the three-year term loan A facility were repaid primarily using cash from repatriations. The current year included cash dividends paid of $1.05 per share, for a total of $64 million.</w:t>
      </w:r>
    </w:p>
    <w:p>
      <w:pPr>
        <w:spacing w:after="0" w:line="70"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Significant cash financing activities for 2018 included a cash outflow of $311 million for repayments of long-term debt, including $250 million for the full repayment of the three-year term loan A facility, $55 million for early repayments of the five-year term loan A facility and $6 million for repayments of the term loan B facility. Financing activities for 2018 also included short-term debt net proceeds of $15 million related to the revolving credit facility, the accounts receivable securitization facilities and a short-term loan facility. The revolving credit facility and the outstanding balance of the three-year term loan A facility were repaid primarily using cash from repatriations. 2018 included cash dividends paid of $0.95 per share, for a total of $60 million.</w:t>
      </w:r>
    </w:p>
    <w:p>
      <w:pPr>
        <w:spacing w:after="0" w:line="64"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Significant cash financing activities during 2017 included cash outflows of $915 million primarily related to the full repayment of the 2018 notes and partial repayments of the 2029 notes and 2022 notes. There were also cash inflows of $1,100 million from the issuance of the term loan A facilities and the term loan B facility. Additionally, 2018 included short-term debt net cash inflows of $75 million primarily related to debt outstanding on the revolving credit facility and the accounts receivable securitization, partially offset by the repayment of the term loan due 2017. Ashland also paid cash dividends of $1.23 per share, for a total of $77 million.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(used) by discontinued operations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discloses the cash flows associated with Ashland’s discontinued operations for 2019, 2018 and 2017,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(used) by discontinued operations</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Operating cash flows</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66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209</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cash flows</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cash flows</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provided (used) by discontinued operations</w:t>
            </w: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980</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6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Cash flows for discontinued operations in 2019, 2018 and 2017 primarily related to net cash inflows of $1 billion (which includes net proceeds from the completed sale of the Composites business (excluding the Maleic business) and Marl facility of $972 million), $74 million and $67 million related to the divestiture of the Composites business (including the Maleic business) and Marl facility.</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During 2017, net cash outflows of $158 million related to the activity of Valvoline Inc. The remaining cash flows for discontinued operations for these years related to other previously divested businesses, including net payments of asbestos and environmental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Free cash flow and other liquidity information</w:t>
      </w:r>
    </w:p>
    <w:p>
      <w:pPr>
        <w:spacing w:after="0" w:line="117"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The following represents Ashland’s calculation of free cash flow for the disclosed periods and reconciles free cash flow to cash flows provided by operating activities from continuing operations. Free cash flow does not reflect adjustments for certain non-discretionary cash flows such as mandatory debt repayments. See “Results of Operations - Consolidated Review - Use of non-GAAP measures” for additional information.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rPr>
              <w:t>September 30</w:t>
            </w:r>
          </w:p>
        </w:tc>
        <w:tc>
          <w:tcPr>
            <w:tcW w:w="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r>
      <w:tr>
        <w:trPr>
          <w:trHeight w:val="223"/>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flows provided by operating activities from continuing operations</w:t>
            </w: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174</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Less:</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 xml:space="preserve">Free cash flows </w:t>
            </w:r>
            <w:r>
              <w:rPr>
                <w:rFonts w:ascii="Arial" w:cs="Arial" w:eastAsia="Arial" w:hAnsi="Arial"/>
                <w:sz w:val="14"/>
                <w:szCs w:val="14"/>
                <w:color w:val="auto"/>
              </w:rPr>
              <w:t>(a)</w:t>
            </w: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r>
      <w:tr>
        <w:trPr>
          <w:trHeight w:val="20"/>
        </w:trPr>
        <w:tc>
          <w:tcPr>
            <w:tcW w:w="6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Included $61 million, $39 million and $64 million of restructuring-related and separation payments during 2019,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At September 30, 2019, working capital (current assets minus current liabilities, excluding long-term debt due within one year) amounted to $676 million, compared to $647 million at the end of 2018. Liquid assets (cash, cash equivalents and accounts receivable) amounted to 94% of current liabilities at September 30, 2019 and 76% at September 30, 2018.</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summary reflects Ashland’s cash, investment securities and unused borrowing capacity as of September 30, 2019, 2018 and 2017.</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760" w:type="dxa"/>
            <w:vAlign w:val="bottom"/>
            <w:tcBorders>
              <w:top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0"/>
              </w:rPr>
              <w:t>September 30</w:t>
            </w:r>
          </w:p>
        </w:tc>
        <w:tc>
          <w:tcPr>
            <w:tcW w:w="6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66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w:t>
            </w:r>
          </w:p>
        </w:tc>
        <w:tc>
          <w:tcPr>
            <w:tcW w:w="520" w:type="dxa"/>
            <w:vAlign w:val="bottom"/>
            <w:tcBorders>
              <w:top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232</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294</w:t>
            </w:r>
          </w:p>
        </w:tc>
        <w:tc>
          <w:tcPr>
            <w:tcW w:w="66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Unused borrowing capacity</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2017 Revolving Credit Facility</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securitizations</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6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borrowing capacity remaining under the 2017 Revolving Credit Facility was $752 million due to a reduction of $48 million for letters of credit outstanding at September 30, 2019. In total, Ashland’s available liquidity position, which includes cash, the revolving credit facilities and accounts receivable securitization facilities, was $1,032 million at September 30, 2019 as compared to $1,048 million at September 30, 2018 and $1,180 million at September 30, 2017. For further information, see Note J within the Notes to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summary reflects Ashland’s debt as of September 30, 2019 and 2018.</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980" w:type="dxa"/>
            <w:vAlign w:val="bottom"/>
            <w:tcBorders>
              <w:top w:val="single" w:sz="8" w:color="auto"/>
              <w:bottom w:val="single" w:sz="8" w:color="auto"/>
            </w:tcBorders>
            <w:gridSpan w:val="3"/>
          </w:tcPr>
          <w:p>
            <w:pPr>
              <w:jc w:val="right"/>
              <w:ind w:right="325"/>
              <w:spacing w:after="0"/>
              <w:rPr>
                <w:sz w:val="20"/>
                <w:szCs w:val="20"/>
                <w:color w:val="auto"/>
              </w:rPr>
            </w:pPr>
            <w:r>
              <w:rPr>
                <w:rFonts w:ascii="Arial" w:cs="Arial" w:eastAsia="Arial" w:hAnsi="Arial"/>
                <w:sz w:val="18"/>
                <w:szCs w:val="18"/>
                <w:color w:val="auto"/>
              </w:rPr>
              <w:t>September 30</w:t>
            </w:r>
          </w:p>
        </w:tc>
        <w:tc>
          <w:tcPr>
            <w:tcW w:w="940" w:type="dxa"/>
            <w:vAlign w:val="bottom"/>
            <w:tcBorders>
              <w:top w:val="single" w:sz="8" w:color="auto"/>
              <w:bottom w:val="single" w:sz="8" w:color="auto"/>
            </w:tcBorders>
          </w:tcPr>
          <w:p>
            <w:pPr>
              <w:spacing w:after="0"/>
              <w:rPr>
                <w:sz w:val="21"/>
                <w:szCs w:val="21"/>
                <w:color w:val="auto"/>
              </w:rPr>
            </w:pPr>
          </w:p>
        </w:tc>
      </w:tr>
      <w:tr>
        <w:trPr>
          <w:trHeight w:val="223"/>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194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166</w:t>
            </w:r>
          </w:p>
        </w:tc>
        <w:tc>
          <w:tcPr>
            <w:tcW w:w="920" w:type="dxa"/>
            <w:vAlign w:val="bottom"/>
            <w:gridSpan w:val="2"/>
            <w:shd w:val="clear" w:color="auto" w:fill="CFF0FC"/>
          </w:tcPr>
          <w:p>
            <w:pPr>
              <w:jc w:val="right"/>
              <w:ind w:right="6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254</w:t>
            </w:r>
          </w:p>
        </w:tc>
      </w:tr>
      <w:tr>
        <w:trPr>
          <w:trHeight w:val="230"/>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Long-term debt (less current portion and debt issuance cost discounts) </w:t>
            </w:r>
            <w:r>
              <w:rPr>
                <w:rFonts w:ascii="Arial" w:cs="Arial" w:eastAsia="Arial" w:hAnsi="Arial"/>
                <w:sz w:val="14"/>
                <w:szCs w:val="14"/>
                <w:color w:val="auto"/>
              </w:rPr>
              <w:t>(a)</w:t>
            </w:r>
          </w:p>
        </w:tc>
        <w:tc>
          <w:tcPr>
            <w:tcW w:w="1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1,501</w:t>
            </w:r>
          </w:p>
        </w:tc>
        <w:tc>
          <w:tcPr>
            <w:tcW w:w="1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2,275</w:t>
            </w:r>
          </w:p>
        </w:tc>
      </w:tr>
      <w:tr>
        <w:trPr>
          <w:trHeight w:val="223"/>
        </w:trPr>
        <w:tc>
          <w:tcPr>
            <w:tcW w:w="65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w:t>
            </w:r>
          </w:p>
        </w:tc>
        <w:tc>
          <w:tcPr>
            <w:tcW w:w="1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1,667</w:t>
            </w: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2,529</w:t>
            </w:r>
          </w:p>
        </w:tc>
      </w:tr>
      <w:tr>
        <w:trPr>
          <w:trHeight w:val="20"/>
        </w:trPr>
        <w:tc>
          <w:tcPr>
            <w:tcW w:w="6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Includes $12 million and $21 million of debt issuance cost discounts as of September 30,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The current portion of long-term debt was zero at September 30, 2019. Debt as a percent of capital employed was 32% at September 30, 2019 and 43% at September 30, 2018. At September 30, 2019, Ashland’s total debt had an outstanding principal balance of $1,726 million, discounts of $47 million and debt issuance costs of $12 million. The scheduled aggregate maturities of long-term debt for the next five fiscal years (including the current portion and excluding debt issuance costs) are as follows: zero in 2020, zero in 2021, $1,083 million in 2022, zero in 2023 and zero in 2024.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Credit Agreements and Refinancing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Credit Agreement</w:t>
      </w:r>
    </w:p>
    <w:p>
      <w:pPr>
        <w:spacing w:after="0" w:line="117"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color w:val="auto"/>
        </w:rPr>
        <w:t>On May 17, 2017, in conjunction with the closing of the Pharmachem acquisition, Ashland entered into a secured credit agreement (the 2017 Credit Agreement) with a group of lenders. The 2017 Credit Agreement provided for (i) a $250 million three-year term loan A facility (the Three-Year TLA Facility), (ii) a $250 million five-year term loan A facility (the Five-Year TLA Facility and together with the Three-Year TLA Facility, the TLA Facilities) and (iii) a $680 million five-year revolving credit facility (including a $125 million letter of credit sublimit) (the 2017 Revolving Credit Facility). Proceeds of borrowings under the TLA Facilities were used solely to finance the acquisition of Pharmachem, while the proceeds of the 2017 Revolving Credit Facility were used to finance, in part, the acquisition of Pharmachem, to refinance the 2015 Senior Credit Agreement and for general corporate purposes. On May 19, 2017, Ashland entered into Amendment No. 1 to the 2017 Credit Agreement, which increased the aggregate commitments under the 2017 Revolving Credit Facility from $680 million to $800 million.</w:t>
      </w:r>
    </w:p>
    <w:p>
      <w:pPr>
        <w:spacing w:after="0" w:line="84" w:lineRule="exact"/>
        <w:rPr>
          <w:sz w:val="20"/>
          <w:szCs w:val="20"/>
          <w:color w:val="auto"/>
        </w:rPr>
      </w:pPr>
    </w:p>
    <w:p>
      <w:pPr>
        <w:jc w:val="both"/>
        <w:ind w:firstLine="401"/>
        <w:spacing w:after="0" w:line="287" w:lineRule="auto"/>
        <w:rPr>
          <w:sz w:val="20"/>
          <w:szCs w:val="20"/>
          <w:color w:val="auto"/>
        </w:rPr>
      </w:pPr>
      <w:r>
        <w:rPr>
          <w:rFonts w:ascii="Arial" w:cs="Arial" w:eastAsia="Arial" w:hAnsi="Arial"/>
          <w:sz w:val="16"/>
          <w:szCs w:val="16"/>
          <w:color w:val="auto"/>
        </w:rPr>
        <w:t>At Ashland’s option, loans issued under the 2017 Credit Agreement bear interest at either LIBOR or an alternate base rate, in each case plus the applicable interest rate margin. Loans bear interest at LIBOR plus 1.75% per annum, in the case of LIBOR borrowings, or at the alternate base rate plus 0.75%, in the alternative, through and including the date of delivery of a quarterly compliance certificate and thereafter the interest rate will fluctuate between LIBOR plus 1.375% per annum and LIBOR plus 2.500% per annum (or between the alternate base rate plus 0.375% per annum and the alternate base rate plus 1.500% per annum), based upon Ashland’s secured facilities ratings or the consolidated net leverage ratio (as defined in the 2017 Credit Agreement) (whichever yields a lower applicable interest rate margin) at such time. In addition, Ashland was required to pay fees of 0.25% per annum on the daily unused amount of the 2017 Revolving Credit Facility through and including the date of delivery of a compliance certificate, and thereafter the fee fluctuates between 0.175% and 0.40% per annum, based upon Ashland’s secured facilities rating or the consolidated net leverage ratio (whichever yields a lower applicable rate). The TLA Facilities may be prepaid at any time without premium. The Three-Year TLA Facility will not amortize and had a due date of May 17, 2020. The Five-Year TLA Facility will not amortize in each of the first, second and third years and will amortize at a rate of 20% per annum in each of the fourth and fifth years (payable in equal quarterly installments), with the outstanding balance of the Five-Year TLA Facility to be paid on May 17, 2022.</w:t>
      </w:r>
    </w:p>
    <w:p>
      <w:pPr>
        <w:spacing w:after="0" w:line="65"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On June 14, 2017, Ashland entered into Amendment No. 2 to the 2017 Credit Agreement, which provided for a new $600 million seven-year senior secured term loan B facility (the 2017 TLB Facility). At Ashland’s option, loans issued under the 2017 TLB Facility bear interest at either (x) LIBOR plus 2.00% per annum or (y) an alternate base rate plus 1.00% per annum. The 2017 TLB Facility may be prepaid at any time. The 2017 TLB Facility amortizes at a rate of 1.00% per annum (payable in equal quarterly installments) with the outstanding balance to be paid on May 17, 2024.</w:t>
      </w:r>
    </w:p>
    <w:p>
      <w:pPr>
        <w:spacing w:after="0" w:line="63"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Ashland incurred $15 million of new debt issuance costs in connection with the 2017 Credit Agreement, of which $2 million was expensed immediately during 2017 within the net interest and other financing expense caption of the Statements of Consolidated Comprehensive Income (Loss). The remaining balance is amortized using the effective interest method. Additionally, as a result of the termination of the 2015 Senior Credit Agreement, Ashland recognized a $5 million charge for the accelerated amortization of previously capitalized debt issuance costs during 2017, which is included in the net interest and other expense caption of the Statements of Consolidated Comprehensive Income (Loss).</w:t>
      </w:r>
    </w:p>
    <w:p>
      <w:pPr>
        <w:spacing w:after="0" w:line="80"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credit facilities under the 2017 Credit Agreement are guaranteed by Ashland Global Holdings Inc., Ashland Chemco Inc. and Ashland LLC's existing and future subsidiaries (other than certain immaterial subsidiaries, joint ventures, special purpose financing subsidiaries, regulated subsidiaries, foreign subsidiaries and certain other subsidiaries) and are secured by a first-priority security interest in substantially all of the personal property assets of Ashland and the guarantors, including all or a portion of the equity interests of certain of Ashland’s domestic subsidiaries and first-tier foreign subsidiaries and, in certain cases, a portion of the equity interests of other foreign subsidiaries. The guarantees by Ashland’s subsidiaries and pledge of security interests by such guarantors may, at Ashland’s option, be released upon and during the occurrence of a Collateral Release Event (as defined in the 2017 Credit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2018 financing activity related to the 2017 Credit Agreement</w:t>
      </w:r>
    </w:p>
    <w:p>
      <w:pPr>
        <w:spacing w:after="0" w:line="117"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On May 22, 2018, Ashland entered into Amendment No. 3 to the 2017 Credit Agreement which provided for the re-pricing of the 2017 TLB Facility. Due to this amendment, loans issued under the 2017 TLB Facility bear interest at LIBOR plus 1.75% per annum (previously LIBOR plus 2.00% per annum). All other significant terms of the agreement remained unchanged. Ashland incurred $1 million of new debt issuance costs in connection with the re-pricing, which was expensed during 2018 within the net interest and other expense caption of the Statements of Consolidated Comprehensive Income (Loss).</w:t>
      </w:r>
    </w:p>
    <w:p>
      <w:pPr>
        <w:spacing w:after="0" w:line="46"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2018, Ashland utilized cash primarily from repatriations and borrowings from the accounts receivable securitization facilities to fully repay the $250 million outstanding balance of the Three-Year TLA Facility and to repay $55 million of the Five-Year TLA Facility. As a result of these repayments, Ashland recognized accelerated amortization of previously capitalized debt issuance costs of less than $1 million during 2018, which was included in the net interest and other expense caption of the Statements of Consolidated Comprehensive Income (Loss).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financing activity related to the 2017 Credit Agreement</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2019, Ashland utilized proceeds from the sale of its Composites business (excluding the Maleic business) and the Marl facility to repay the remaining principal balance of the TLA Facility and the TLB Facility. As a result of these repayments, Ashland recognized accelerated amortization of previously capitalized debt issuance costs of $6 million during 2019, which was included in the net interest and other expense caption of the Statements of Consolidated Comprehensive Income (Loss).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 and repurchases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repatriation</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2019 and 2018, Ashland repatriated approximately $900 million and $590 million, respectively, in cash that was primarily used to repay existing debt, principally the TLA Facility and TLB Facility in 2019 and the 2017 Revolving Credit Facility and the outstanding balance of the Three-Year TLA Facility in 2018 (as previously discussed).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the Term loan A due 2022</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2019, Ashland repaid all of the outstanding principal balance of its term loan A for a total of $195 million. As a result of these repayments, Ashland recognized accelerated amortization of previously capitalized debt issuance costs of $1 million during 2019, which was included in the net interest and other expense caption of the Statements of Consolidated Comprehensive Income (Loss).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the Term loan B due 2024</w:t>
      </w:r>
    </w:p>
    <w:p>
      <w:pPr>
        <w:spacing w:after="0" w:line="117"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color w:val="auto"/>
        </w:rPr>
        <w:t>During 2019, Ashland repaid all of the outstanding principal balance of its term loan B for a total of $593 million. As a result of these repayments, Ashland recognized accelerated amortization of previously capitalized debt issuance costs of $5 million during 2019, which was included in the net interest and other expense caption of the Statements of Consolidated Comprehensive Income (Loss).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9.35% notes due 2019</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During 2019, Ashland redeemed all of its outstanding 9.35% medium term notes due 2019, of which approximately $5 million were outstanding. Cash on hand was used to pay for the redemption.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3.875% notes due 2018</w:t>
      </w:r>
    </w:p>
    <w:p>
      <w:pPr>
        <w:spacing w:after="0" w:line="117"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During 2017, Ashland redeemed all of its outstanding 3.875% senior notes due 2018 (2018 Senior Notes), of which approximately $659 million were outstanding. Proceeds of borrowings under the 2017 TLB Facility, together with cash on hand, were used to pay for the redemption. Ashland recognized a $13 million charge related to premiums paid and accelerated amortization of previously capitalized debt issuance costs during 2017, which is included in the net interest and other expense caption of the Statement of Consolidated Comprehensive Income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Open market repurchases of 4.750% notes due 2022, 3.875% notes due 2018 and 6.875% notes due 2043</w:t>
      </w:r>
    </w:p>
    <w:p>
      <w:pPr>
        <w:spacing w:after="0" w:line="117"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During 2017, Ashland executed open market repurchases of its 4.750% notes due 2022 (2022 Senior Notes) and its 3.875% notes due 2018 (2018 Senior Notes). As a result of these repurchases, the carrying values of the 2022 and 2018 Senior Notes were reduced by $39 million and $41 million, respectively. Ashland recognized a $3 million charge related to premiums paid in the open market repurchases and accelerated amortization of previously capitalized debt issuance costs during 2017, which is included in the net interest and other expense caption of the Statement of Consolidated Comprehensive Income (Loss). As previously discussed, the remaining outstanding amount of the 2018 Senior Notes was redeemed during 2017.</w:t>
      </w:r>
    </w:p>
    <w:p>
      <w:pPr>
        <w:spacing w:after="0" w:line="64"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During 2019, Ashland executed open market repurchases of its 4.750% notes due 2022 (2022 Senior Notes) and its 6.875% notes due 2043 (2043 Senior Notes). As a result of these repurchases, the carrying values of the 2022 and 2043 Senior Notes were reduced by $3 million and $1 million,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6.50% junior subordinated notes due 2029</w:t>
      </w:r>
    </w:p>
    <w:p>
      <w:pPr>
        <w:spacing w:after="0" w:line="117"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In December 2016, Hercules, an indirect wholly-owned subsidiary of Ashland, repurchased, through a cash tender offer, $182 million of the aggregate principal par value amount of its 6.50% junior subordinated notes due 2029 (2029 Notes) for an aggregate purchase price of $177 million. As a result, the carrying value of the 2029 Notes was reduced by $90 million and Ashland recognized a $92 million charge related to accelerated accretion of the recorded debt discount (compared to the total par value) and $5 million of a net gain related to the repayment of the debt during 2017. The charge and net gain are included in the net interest and other expense caption of the Statement of Consolidated Comprehensive Income (Loss).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securitizations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accounts receivable securitization</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During July 2018, Ashland entered into a €115 million accounts receivable securitization facility (the Program) for the transfer by certain subsidiaries of Ashland (the Sellers) directly or indirectly to Ester Finance Titrisation (the Purchaser), a wholly-owned subsidiary of Crédit Agricole Corporate and Investment Bank (the Arranger), of certain receivables and/or collections originated by the Sellers towards certain corporate debtors located in multiple European jurisdictions and denominated in multiple currencies. The Program originally had a term of two years, but was extended to August 2021 in September 2019.</w:t>
      </w:r>
    </w:p>
    <w:p>
      <w:pPr>
        <w:spacing w:after="0" w:line="80"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Under the Program, each Seller will assign, on an ongoing basis, certain of its accounts receivable and the right to the collections on those accounts receivable to the Purchaser. Under the terms of the Program, the Sellers could, from time to time, obtain up to €115 million from the Purchaser through the sale of an undivided interest in such accounts receivable and collections. Ashland accounts for the securitization facility as secured borrowings, and the receivables sold pursuant to the facility are included in the Consolidated Balance Sheets as accounts receivable. Fundings under the Program will be repaid as accounts receivable are collected, with new fundings being advanced (through daily advanced purchase price) as new accounts receivable are originated by the Sellers and assigned to the Purchaser, with settlement occurring monthly. Ashland classifies any borrowings under this facility as a short-term debt instrument within the Consolidated Balance Sheets. Once sold to the Purchaser, the accounts receivable and rights to collection described above are separate and distinct from each Sellers’ own assets and are not available to its creditors should such Sellers become insolvent.</w:t>
      </w:r>
    </w:p>
    <w:p>
      <w:pPr>
        <w:spacing w:after="0" w:line="58"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At September 30, 2019 and 2018, the outstanding amount of accounts receivable transferred by Ashland to the Purchaser was $133 million and $153 million, respectively, and there were $94 million and $109 million, respectively, of borrowings (denominated in multiple currencies) under the facility. The weighted-average interest rate for this instrument was 1.2% for 2019 and 1.8% for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2012 accounts receivable securitization</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On August 31, 2012, Ashland entered into a $350 million accounts receivable securitization facility pursuant to (i) a Sale Agreement, among Ashland and certain of its direct and indirect subsidiaries (each an Originator and collectively, the Originators) and CVG Capital III LLC, a wholly-owned “bankruptcy remote” special purpose subsidiary of the Originators (CVG) and (ii) a Transfer and Administration Agreement, among CVG, each Originator, Ashland, as Master Servicer, certain Conduit Investors, Uncommitted Investors, Letter of Credit Issuers, Managing Agents, Administrators and Committed Investors, and The Bank of Nova Scotia, as agent for various secured parties (the Agent). The Transfer and Administration Agreement had a term of three years, but was extendable at the discretion of Ashland and the Investors.</w:t>
      </w:r>
    </w:p>
    <w:p>
      <w:pPr>
        <w:spacing w:after="0" w:line="85"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Under the Sale Agreement, each Originator transfers, on an ongoing basis, certain of its accounts receivable, certain related assets and the right to the collections on those accounts receivable to CVG. Ashland accounts for the securitization facility as secured borrowings, and the receivables sold pursuant to the facility are included in the Consolidated Balance Sheets as accounts receivable. Fundings under the Transfer and Administration Agreement will be repaid as accounts receivable are collected, with new fundings being advanced (through daily reinvestments) as new accounts receivable are originated by the Originators and transferred to CVG, with settlement generally occurring monthly. Ashland continues to classify any borrowings under this facility as a short-term debt instrument within the Consolidated Balance Sheets. Once sold to CVG, the accounts receivable, related assets and rights to collection described above are separate and distinct from each Originator’s own assets and are not available to its creditors should such Originator become insolvent. Substantially all of CVG’s assets have been pledged to the Agent in support of its obligations under the Transfer and Administration Agreement.</w:t>
      </w:r>
    </w:p>
    <w:p>
      <w:pPr>
        <w:spacing w:after="0" w:line="58"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During 2016, the termination date of the commitments under the Transfer and Administration Agreement was extended from December 31, 2015, the previous termination extension date, to March 22, 2017. During March 2017, this facility was extended for an additional year with similar terms as the previous facility agreement. During March 2018, the termination date of the accounts receivable securitization facility was extended from March 2018 to March 2020. The available funding for qualified receivables under the accounts receivable securitization facility increased from $100 million to $115 million, however this was decreased back to $100 million on August 30, 2019 in conjunction with the Composites and Marl facility divestiture. No other changes to the agreement are expected to have a significant impact to Ashland's results of operations and financial position.</w:t>
      </w:r>
    </w:p>
    <w:p>
      <w:pPr>
        <w:spacing w:after="0" w:line="70"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At September 30, 2019 and 2018, the outstanding amount of accounts receivable transferred by Ashland to CVG was $147 million and $166 million, respectively. There were $50 million of borrowings under the facility as of September 30, 2019, while Ashland had $86 million of borrowings under the facility as of September 30, 2018. The weighted-average interest rate for this instrument was 3.3% for 2019 and 2.7% for 2018.</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At September 30, 2019 and 2018, Ashland held other debt totaling $81 million and $83 million, respectively, comprised primarily of a European short-term loan facility, the 6.50% notes due 2029 and other notes.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 debt covenants restrictions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2019, Ashland was in compliance with all debt agreement covenant restrictions.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8" w:name="page69"/>
    <w:bookmarkEnd w:id="68"/>
    <w:p>
      <w:pPr>
        <w:jc w:val="both"/>
        <w:ind w:firstLine="401"/>
        <w:spacing w:after="0" w:line="270" w:lineRule="auto"/>
        <w:rPr>
          <w:sz w:val="20"/>
          <w:szCs w:val="20"/>
          <w:color w:val="auto"/>
        </w:rPr>
      </w:pPr>
      <w:r>
        <w:rPr>
          <w:rFonts w:ascii="Arial" w:cs="Arial" w:eastAsia="Arial" w:hAnsi="Arial"/>
          <w:sz w:val="17"/>
          <w:szCs w:val="17"/>
          <w:color w:val="auto"/>
        </w:rPr>
        <w:t>The maximum consolidated net leverage ratio permitted under Ashland’s most recent credit agreement (the 2017 Credit Agreement) is 4.5. The 2017 Credit Agreement defines the consolidated net leverage ratio as the ratio of consolidated indebtedness minus unrestricted cash and cash equivalents to consolidated EBITDA (Covenant Adjusted EBITDA) for any measurement period. In general, the 2017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on page M-8. In general, consolidated indebtedness includes debt plus all purchase money indebtedness, banker’s acceptances and bank guaranties, deferred purchase price of property or services, attributable indebtedness and guarantees. At September 30, 2019, Ashland’s calculation of the consolidated net leverage ratio was 2.6.</w:t>
      </w:r>
    </w:p>
    <w:p>
      <w:pPr>
        <w:spacing w:after="0" w:line="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minimum required consolidated interest coverage ratio under the 2017 Credit Agreement is 3.0. The 2017 Credit Agreement defines the consolidated interest coverage ratio as the ratio of Covenant Adjusted EBITDA to consolidated interest charges for any measurement period. At September 30, 2019, Ashland’s calculation of the consolidated interest coverage ratio was 6.1.</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Any change in Covenant Adjusted EBITDA of $100 million would have an approximate 0.4x effect on the consolidated net leverage ratio and a 1.1x effect on the consolidated interest coverage ratio. Any change in consolidated indebtedness of $100 million would affect the consolidated net leverage ratio by approximately 0.2x.</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 credit ratings</w:t>
      </w:r>
    </w:p>
    <w:p>
      <w:pPr>
        <w:spacing w:after="0" w:line="121"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Ashland’s corporate credit ratings with both Standard &amp; Poor’s and Moody’s Investor Services were upgraded as follows: Standard &amp; Poor’s from BB to BB+; and Moody’s Investor Services from Ba2 to Ba1. Moody’s Investor Services and Standard &amp; Poor’s outlooks both remained at stable. Subsequent changes to these ratings may have an effect on Ashland’s borrowing rate or ability to access capital markets in the future.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cash projection</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projects that cash flow from operations and other available financial resources such as cash on hand and revolving credit should be sufficient to meet investing and financing requirements to enable Ashland to comply with the covenants and other terms of its financing obligations. These projections are based on various assumptions that include, but are not limited to: operational results, capital expenditures, working capital needs and tax payment and receipts.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Equity</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Total equity was $3,571 million and $3,406 million at September 30, 2019 and September 30, 2018, respectively. During 2019, there were increases of $505 million from net income, $10 million for common shares issued under stock incentive plans and repurchases of common stock of $200 million. These increases were offset by decreases of $80 million for deferred translation losses, $5 million for pension and postretirement obligation adjustments and $65 million for dividends paid during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programs</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March 2018, Ashland’s Board of Directors approved a new $1 billion stock repurchase program, which replaced the 2015 stock repurchase program. Under the new program, Ashland’s common shares may be repurchased in open market transactions, privately negotiated transactions or pursuant to one or more accelerated stock repurchase programs or Rule 10b5-1 plans. As of September 30, 2019, $800 million remained available for repurchase under this authorization.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Stock repurchase program agreements</w:t>
      </w:r>
    </w:p>
    <w:p>
      <w:pPr>
        <w:spacing w:after="0" w:line="117"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In May 2019, under the 2018 stock repurchase program, Ashland announced that it entered into an accelerated share repurchase agreement (2019 ASR Agreement). Under the 2019 ASR Agreement, Ashland paid an initial purchase price of $200 million and received an initial delivery of 2.2 million shares of common stock during May 2019. The bank exercised its early termination option under the 2019 ASR Agreement in August 2019, and an additional 400 thousand shares were repurchased, bringing the total shares repurchased upon settlement to 2.6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dividends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Ashland paid dividends per common share of $1.05, $0.95 and $1.23 during 2019, 2018 and 2017, respectively.</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In May 2019, the Board of Directors of Ashland announced a quarterly cash dividend of 27.5 cents per share to eligible stockholders at record, which represented an increase from the previous quarterly cash dividend of 25.0 cents per share. This dividend was paid in the third quarter and fourth quarters of fiscal 2019.</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In May 2018, the Board of Directors of Ashland announced a quarterly cash dividend of 25 cents per share to eligible stockholders at record, which represented an increase from the previous quarterly cash dividend of 22.5 cents per share. This dividend was paid in the third quarter and fourth quarters of fiscal 2018.</w:t>
      </w:r>
    </w:p>
    <w:p>
      <w:pPr>
        <w:spacing w:after="0" w:line="73" w:lineRule="exact"/>
        <w:rPr>
          <w:sz w:val="20"/>
          <w:szCs w:val="20"/>
          <w:color w:val="auto"/>
        </w:rPr>
      </w:pPr>
    </w:p>
    <w:p>
      <w:pPr>
        <w:jc w:val="both"/>
        <w:ind w:right="20" w:firstLine="401"/>
        <w:spacing w:after="0" w:line="259" w:lineRule="auto"/>
        <w:rPr>
          <w:sz w:val="20"/>
          <w:szCs w:val="20"/>
          <w:color w:val="auto"/>
        </w:rPr>
      </w:pPr>
      <w:r>
        <w:rPr>
          <w:rFonts w:ascii="Arial" w:cs="Arial" w:eastAsia="Arial" w:hAnsi="Arial"/>
          <w:sz w:val="18"/>
          <w:szCs w:val="18"/>
          <w:color w:val="auto"/>
        </w:rPr>
        <w:t>During May 2017, subsequent to the final distribution of Valvoline Inc.’s common stock, the Board of Directors announced a quarterly cash dividend of 22.5 cents per share to eligible shareholders at record, which was paid for quarterly dividends in the first and second quarter quarters of fiscal 2018 and the third and fourth quarters of fiscal 2017. This represented a reduction from the previous quarterly dividend of 39 cents per share paid during the first and second quarters of fiscal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Capital expenditures were $154 million for 2019 and averaged $160 million during the last three years. A summary of capital expenditures by reportable segment during 2019, 2018 and 2017 follow.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137</w:t>
            </w:r>
          </w:p>
        </w:tc>
        <w:tc>
          <w:tcPr>
            <w:tcW w:w="66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148</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Unallocated and other</w:t>
            </w: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r>
      <w:tr>
        <w:trPr>
          <w:trHeight w:val="223"/>
        </w:trPr>
        <w:tc>
          <w:tcPr>
            <w:tcW w:w="6780" w:type="dxa"/>
            <w:vAlign w:val="bottom"/>
          </w:tcPr>
          <w:p>
            <w:pPr>
              <w:ind w:left="260"/>
              <w:spacing w:after="0"/>
              <w:rPr>
                <w:sz w:val="20"/>
                <w:szCs w:val="20"/>
                <w:color w:val="auto"/>
              </w:rPr>
            </w:pPr>
            <w:r>
              <w:rPr>
                <w:rFonts w:ascii="Arial" w:cs="Arial" w:eastAsia="Arial" w:hAnsi="Arial"/>
                <w:sz w:val="18"/>
                <w:szCs w:val="18"/>
                <w:color w:val="auto"/>
              </w:rPr>
              <w:t>Total capital expenditures</w:t>
            </w: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168</w:t>
            </w:r>
          </w:p>
        </w:tc>
      </w:tr>
      <w:tr>
        <w:trPr>
          <w:trHeight w:val="20"/>
        </w:trPr>
        <w:tc>
          <w:tcPr>
            <w:tcW w:w="6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 summary of the capital employed in Ashland’s current operations, which is calculated by adding equity to capital investment, as of the end of the last three years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6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6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Capital employed </w:t>
            </w:r>
            <w:r>
              <w:rPr>
                <w:rFonts w:ascii="Arial" w:cs="Arial" w:eastAsia="Arial" w:hAnsi="Arial"/>
                <w:sz w:val="14"/>
                <w:szCs w:val="14"/>
                <w:b w:val="1"/>
                <w:bCs w:val="1"/>
                <w:color w:val="auto"/>
              </w:rPr>
              <w:t>(a)</w:t>
            </w:r>
          </w:p>
        </w:tc>
        <w:tc>
          <w:tcPr>
            <w:tcW w:w="2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Specialty Ingredients</w:t>
            </w:r>
          </w:p>
        </w:tc>
        <w:tc>
          <w:tcPr>
            <w:tcW w:w="28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5,409</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5,599</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5,726</w:t>
            </w: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Intermediates and Solvents</w:t>
            </w:r>
          </w:p>
        </w:tc>
        <w:tc>
          <w:tcPr>
            <w:tcW w:w="28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165</w:t>
            </w: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w:t>
            </w: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176</w:t>
            </w:r>
          </w:p>
        </w:tc>
      </w:tr>
    </w:tbl>
    <w:p>
      <w:pPr>
        <w:spacing w:after="0" w:line="130" w:lineRule="exact"/>
        <w:rPr>
          <w:sz w:val="20"/>
          <w:szCs w:val="20"/>
          <w:color w:val="auto"/>
        </w:rPr>
      </w:pPr>
    </w:p>
    <w:p>
      <w:pPr>
        <w:jc w:val="both"/>
        <w:ind w:left="300" w:hanging="292"/>
        <w:spacing w:after="0" w:line="238" w:lineRule="auto"/>
        <w:tabs>
          <w:tab w:leader="none" w:pos="3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the assets and liabilities classified within unallocated and other which primarily includes debt and other long-term liabilities such as asbestos and pension. The net liability in unallocated and other was $2,055 million, $2,894 million and $3,027 million as of September 30, 2019, 2018 and 2017, respectively. Additionally, net assets held for sale were $52 million, $528 million and $531 million as of September 30, 2019,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Contractual obligations and other commitments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aggregates Ashland’s obligations and commitments to make future payments under existing contracts at September 30,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for which the ultimate settlement of quantities or prices are not fixed and determinable have been excluded.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Less than</w:t>
            </w: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More than</w:t>
            </w: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 year</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years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years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Contractual obligations</w:t>
            </w:r>
          </w:p>
        </w:tc>
        <w:tc>
          <w:tcPr>
            <w:tcW w:w="10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Raw material and service contract purchase</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 xml:space="preserve">obligations </w:t>
            </w:r>
            <w:r>
              <w:rPr>
                <w:rFonts w:ascii="Arial" w:cs="Arial" w:eastAsia="Arial" w:hAnsi="Arial"/>
                <w:sz w:val="14"/>
                <w:szCs w:val="14"/>
                <w:color w:val="auto"/>
              </w:rPr>
              <w:t>(a)</w:t>
            </w:r>
          </w:p>
        </w:tc>
        <w:tc>
          <w:tcPr>
            <w:tcW w:w="1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180</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Employee benefit obligations </w:t>
            </w:r>
            <w:r>
              <w:rPr>
                <w:rFonts w:ascii="Arial" w:cs="Arial" w:eastAsia="Arial" w:hAnsi="Arial"/>
                <w:sz w:val="14"/>
                <w:szCs w:val="14"/>
                <w:color w:val="auto"/>
              </w:rPr>
              <w:t>(b)</w:t>
            </w: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4"/>
                <w:szCs w:val="14"/>
                <w:color w:val="auto"/>
              </w:rPr>
              <w:t>(c)</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Debt</w:t>
            </w: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14"/>
                <w:szCs w:val="14"/>
                <w:color w:val="auto"/>
              </w:rPr>
              <w:t>(d)</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Unrecognized tax benefits </w:t>
            </w:r>
            <w:r>
              <w:rPr>
                <w:rFonts w:ascii="Arial" w:cs="Arial" w:eastAsia="Arial" w:hAnsi="Arial"/>
                <w:sz w:val="14"/>
                <w:szCs w:val="14"/>
                <w:color w:val="auto"/>
              </w:rPr>
              <w:t>(e)</w:t>
            </w: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One-time transition tax </w:t>
            </w:r>
            <w:r>
              <w:rPr>
                <w:rFonts w:ascii="Arial" w:cs="Arial" w:eastAsia="Arial" w:hAnsi="Arial"/>
                <w:sz w:val="14"/>
                <w:szCs w:val="14"/>
                <w:color w:val="auto"/>
              </w:rPr>
              <w:t>(f)</w:t>
            </w:r>
          </w:p>
        </w:tc>
        <w:tc>
          <w:tcPr>
            <w:tcW w:w="10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10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3,272</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1,421</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commitments</w:t>
            </w: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 xml:space="preserve">Letters of credit </w:t>
            </w:r>
            <w:r>
              <w:rPr>
                <w:rFonts w:ascii="Arial" w:cs="Arial" w:eastAsia="Arial" w:hAnsi="Arial"/>
                <w:sz w:val="14"/>
                <w:szCs w:val="14"/>
                <w:color w:val="auto"/>
              </w:rPr>
              <w:t>(g)</w:t>
            </w:r>
          </w:p>
        </w:tc>
        <w:tc>
          <w:tcPr>
            <w:tcW w:w="1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raw material and service contracts where minimal committed quantities and prices are fixed.</w:t>
      </w:r>
    </w:p>
    <w:p>
      <w:pPr>
        <w:ind w:left="300" w:right="20" w:hanging="292"/>
        <w:spacing w:after="0" w:line="238" w:lineRule="auto"/>
        <w:tabs>
          <w:tab w:leader="none" w:pos="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estimated funding of Ashland’s qualified U.S. and non-U.S. pension plans for 2019 as well as projected benefit payments through 2028 under Ashland’s unfunded pension and other postretirement benefit plans. Excludes the benefit payments from the pension plan trust funds. See Note N of the Notes to Consolidated Financial Statements for additional information.</w:t>
      </w:r>
    </w:p>
    <w:p>
      <w:pPr>
        <w:ind w:left="300" w:hanging="292"/>
        <w:spacing w:after="0" w:line="221" w:lineRule="auto"/>
        <w:tabs>
          <w:tab w:leader="none" w:pos="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leases for office buildings, transportation equipment, warehouses and storage facilities and other equipment. For further information, see Note L of the Notes to Consolidated Financial Statements.</w:t>
      </w:r>
    </w:p>
    <w:p>
      <w:pPr>
        <w:ind w:left="300" w:hanging="292"/>
        <w:spacing w:after="0" w:line="221" w:lineRule="auto"/>
        <w:tabs>
          <w:tab w:leader="none" w:pos="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interest expense on both variable and fixed rate debt assuming no prepayments. Variable interest rates have been assumed to remain constant through the end of the term at rates that existed as of September 30, 2019.</w:t>
      </w:r>
    </w:p>
    <w:p>
      <w:pPr>
        <w:ind w:left="300" w:hanging="292"/>
        <w:spacing w:after="0" w:line="221" w:lineRule="auto"/>
        <w:tabs>
          <w:tab w:leader="none" w:pos="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Due to uncertainties in the timing of the effective settlement of tax positions with respect to taxing authorities, Ashland is unable to determine the timing of payments related to noncurrent unrecognized tax benefits, including interest and penalties. Therefore, these amounts were included in the “More than 5 years” column.</w:t>
      </w:r>
    </w:p>
    <w:p>
      <w:pPr>
        <w:ind w:left="300" w:hanging="292"/>
        <w:spacing w:after="0"/>
        <w:tabs>
          <w:tab w:leader="none" w:pos="3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As a result of the Tax Act enacted during fiscal year 2018, Ashland has currently recorded a $60 million liability for the one-time transition tax. This liability will be payable over 7 years.</w:t>
      </w:r>
    </w:p>
    <w:p>
      <w:pPr>
        <w:ind w:left="300" w:hanging="292"/>
        <w:spacing w:after="0"/>
        <w:tabs>
          <w:tab w:leader="none" w:pos="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Ashland issues various types of letters of credit as part of its normal course of business. For further information, see Note J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-1049020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As part of its normal course of business, Ashland is a party to various financial guarantees and other commitments. These arrangements involve elements of performance and credit risk that are not included in the Consolidated Balance Sheets. The possibility that Ashland would have to make actual cash expenditures in connection with these obligations is largely dependent on the performance of the guaranteed party, or the occurrence of future events that Ashland is unable to predict. Ashland has reserved the approximate fair value of these guarantees in accordance with U.S. GAAP.</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For a discussion and analysis of recently issued accounting pronouncements and its impact on Ashland, see Note A of Notes to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401"/>
        <w:spacing w:after="0" w:line="293" w:lineRule="auto"/>
        <w:rPr>
          <w:sz w:val="20"/>
          <w:szCs w:val="20"/>
          <w:color w:val="auto"/>
        </w:rPr>
      </w:pPr>
      <w:r>
        <w:rPr>
          <w:rFonts w:ascii="Arial" w:cs="Arial" w:eastAsia="Arial" w:hAnsi="Arial"/>
          <w:sz w:val="16"/>
          <w:szCs w:val="16"/>
          <w:color w:val="auto"/>
        </w:rPr>
        <w:t>The preparation of Ashland’s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environmental remediation, asbestos litigation, long-lived assets (including goodwill and other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and asset retirement obligations</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Ashland is subject to various federal, state and local environmental laws and regulations that require environmental assessment or remediation efforts (collectively environmental remediation) at multiple locations. At September 30, 2019, such locations included 80 waste treatment or disposal sites where Ashland has been identified as a potentially responsible party under Superfund or similar state laws, 113 current and former operating facilities and about 1,225 service station properties, of which 29 are being actively remediated. See Note O of the Notes to Consolidated Financial Statements for additional information.</w:t>
      </w:r>
    </w:p>
    <w:p>
      <w:pPr>
        <w:spacing w:after="0" w:line="80"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reserves for environmental remediation and related environmental litigation amounted to $186 million at September 30, 2019 compared to $187 million at September 30, 2018 of which $143 million at September 30, 2019 and $147 million at September 30, 2018 were classified in other noncurrent liabilities on the Consolidated Balance Sheets. The remaining reserves were classified in accrued expenses and other liabilities on the Consolidated Balance Sheets.</w:t>
      </w:r>
    </w:p>
    <w:p>
      <w:pPr>
        <w:spacing w:after="0" w:line="79"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September 30, 2019 and 2018, Ashland’s recorded receivable for these probable insurance recoveries was $13 million and $12 million, respectively, of which $12 million and $11 million, respectively, were classified in other noncurrent assets in the Consolidated Balance Sheets.</w:t>
      </w:r>
    </w:p>
    <w:p>
      <w:pPr>
        <w:spacing w:after="0" w:line="7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During 2019, Ashland recognized a $30 million charge for certain environmental liabilities related to normal ongoing remediation cost estimate updates for sites, which is consistent with Ashland’s historical environmental accounting policy.</w:t>
      </w:r>
    </w:p>
    <w:p>
      <w:pPr>
        <w:spacing w:after="0" w:line="62"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During 2018, Ashland recognized a $60 million charge for certain environmental liabilities. Of that amount, $18 million related to one site where, after significant research and analysis as part of Ashland’s normal process and protocol for these matters, the estimated cost for the ongoing remediation was finalized. As such, Ashland recorded the expense for this remediation project during 2018 since a reasonable estimate that is in accordance with U.S. GAAP provisions could be determined. The remaining charges in 2018 related to normal ongoing remediation cost estimate updates for sites, which is consistent with Ashland’s historical environmental accounting policy.</w:t>
      </w:r>
    </w:p>
    <w:p>
      <w:pPr>
        <w:spacing w:after="0" w:line="80"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$440 million. The largest reserve for any site is 14% of the remediation reserve.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Asbestos litigation</w:t>
      </w:r>
    </w:p>
    <w:p>
      <w:pPr>
        <w:spacing w:after="0" w:line="121"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7"/>
          <w:szCs w:val="17"/>
          <w:color w:val="auto"/>
        </w:rPr>
        <w:t>Ashland and Hercules have liabilities from claims alleging personal injury caused by exposure to asbestos. To assist in developing and annually updating independent reserve estimates for future asbestos claims and related costs given various assumptions, Ashland retained third party actuarial experts. Prior to 2018, Ashland retained Hamilton, Rabinovitz &amp; Associates, Inc. (HR&amp;A). During 2018, Ashland transitioned these responsibilities to Nathan Associates, Inc. (Nathan). The processes and methodologies used by Nathan are consistent with the ones historically employed by HR&amp;A.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 See Note O of the Notes to Consolidated Financial Statements for additional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litigation</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liability</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79" w:lineRule="exact"/>
        <w:rPr>
          <w:sz w:val="20"/>
          <w:szCs w:val="20"/>
          <w:color w:val="auto"/>
        </w:rPr>
      </w:pPr>
    </w:p>
    <w:p>
      <w:pPr>
        <w:jc w:val="both"/>
        <w:ind w:right="20" w:firstLine="401"/>
        <w:spacing w:after="0" w:line="308" w:lineRule="auto"/>
        <w:rPr>
          <w:sz w:val="20"/>
          <w:szCs w:val="20"/>
          <w:color w:val="auto"/>
        </w:rPr>
      </w:pPr>
      <w:r>
        <w:rPr>
          <w:rFonts w:ascii="Arial" w:cs="Arial" w:eastAsia="Arial" w:hAnsi="Arial"/>
          <w:sz w:val="17"/>
          <w:szCs w:val="17"/>
          <w:color w:val="auto"/>
        </w:rPr>
        <w:t>During the most recent update completed during 2019, it was determined that the liability for Ashland asbestos-related claims should be increased by $1 million. Total reserves for asbestos claims were $352 million at September 30, 2019 compared to $380 million at September 30, 2018.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receivables</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62"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79"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At September 30, 2019, Ashland’s receivable for recoveries of litigation defense and claim settlement costs from insurers amounted to $123 million (excluding the Hercules receivable for asbestos claims). Receivables from insurers amounted to $140 million at September 30, 2018. During 2019, the annual update of the model used for purposes of valuing the asbestos reserve and its impact on valuation of future recoveries from insurers, was completed. This model update resulted in a $5 million decrease in the receivable for probable insurance recoveries.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asbestos-related litigation</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Hercules asbestos-related liability</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2019, it was determined that the liability for Hercules asbestos-related claims should be decreased by $10 million. Total reserves for asbestos claims were $252 million at September 30, 2019 compared to $282 million at September 30, 2018.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asbestos-related receivables</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8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 of September 30, 2019 and 2018, the receivables from insurers amounted to $49 million and $54 million, respectively. During 2019, the annual update of the model used for purposes of valuing the asbestos reserve and its impact on valuation of future recoveries from insurers was completed. This model update resulted in a $5 million decrease in the receivable for probable insurance recoveries.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litigation cost projection</w:t>
      </w:r>
    </w:p>
    <w:p>
      <w:pPr>
        <w:spacing w:after="0" w:line="117" w:lineRule="exact"/>
        <w:rPr>
          <w:sz w:val="20"/>
          <w:szCs w:val="20"/>
          <w:color w:val="auto"/>
        </w:rPr>
      </w:pPr>
    </w:p>
    <w:p>
      <w:pPr>
        <w:jc w:val="both"/>
        <w:ind w:firstLine="401"/>
        <w:spacing w:after="0" w:line="268" w:lineRule="auto"/>
        <w:rPr>
          <w:sz w:val="20"/>
          <w:szCs w:val="20"/>
          <w:color w:val="auto"/>
        </w:rPr>
      </w:pPr>
      <w:r>
        <w:rPr>
          <w:rFonts w:ascii="Arial" w:cs="Arial" w:eastAsia="Arial" w:hAnsi="Arial"/>
          <w:sz w:val="17"/>
          <w:szCs w:val="17"/>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$550 million for the Ashland asbestos-related litigation (current reserve of $352 million) and approximately $390 million for the Hercules asbestos-related litigation (current reserve of $252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Tangible assets</w:t>
      </w:r>
    </w:p>
    <w:p>
      <w:pPr>
        <w:spacing w:after="0" w:line="117"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The cost of property, plant and equipment is depreciated by the straight-line method over the estimated useful lives of the assets. Buildings are depreciated principally over 12 to 35 years and machinery and equipment principally over 2 to 25 years. Ashland reviews property, plant and equipment asset groups for impairment whenever events or changes in circumstances indicate the carrying amount of an asset may not be recoverable. Ashland monitors these changes and events on at least a quarterly basis. Examples of events or changes in circumstances could include, but are not limited to, a prolonged economic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4" w:name="page75"/>
    <w:bookmarkEnd w:id="74"/>
    <w:p>
      <w:pPr>
        <w:jc w:val="both"/>
        <w:spacing w:after="0" w:line="269" w:lineRule="auto"/>
        <w:rPr>
          <w:sz w:val="20"/>
          <w:szCs w:val="20"/>
          <w:color w:val="auto"/>
        </w:rPr>
      </w:pPr>
      <w:r>
        <w:rPr>
          <w:rFonts w:ascii="Arial" w:cs="Arial" w:eastAsia="Arial" w:hAnsi="Arial"/>
          <w:sz w:val="17"/>
          <w:szCs w:val="17"/>
          <w:color w:val="auto"/>
        </w:rPr>
        <w:t>downturn, current period operating or cash flow losses combined with a history of losses or a forecast of continuing losses associated with the use of an asset group, or a current expectation that an asset group will be sold or disposed of before the end of its previously estimated useful life. Recoverability is based upon projections of anticipated future undiscounted cash flows associated with the use and eventual disposal of the property, plant and equipment asset groups, as well as specific appraisals in certain instances. Reviews occur at the lowest level for which identifiable cash flows are largely independent of cash flows associated with other property, plant and equipment asset groups. If the future undiscounted cash flows result in a value that is less than the carrying value, then the long-lived asset is considered impaired and a loss is recognized based on the amount by which the carrying amount exceeds the estimated fair value. Various factors that Ashland uses in determining the impact of these assessments include the expected useful lives of long-lived assets and the ability to realize any undiscounted cash flows in excess of the carrying amounts of such asset groups, and are affected primarily by changes in the expected use of the assets, changes in technology or development of alternative assets, changes in economic conditions, changes in operating performance and changes in expected future cash flows. Because judgment is involved in determining the fair value of property, plant and equipment asset groups, there is risk that the carrying value of these assets may require adjustment in future periods.</w:t>
      </w:r>
    </w:p>
    <w:p>
      <w:pPr>
        <w:spacing w:after="0" w:line="75"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Total depreciation expense on property, plant and equipment for 2019, 2018 and 2017 was $203 million, $184 million and $185 million, respectively. Depreciation expense for 2019, 2018 and 2017 included $39 million, $14 million and $19 million, respectively, in accelerated depreciation. Capitalized interest for 2019, 2018 and 2017 was zero, zero and $1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Finite-lived intangible assets</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Finite-lived intangible assets principally consist of certain trademarks and trade names, intellectual property, and customer relationships. These intangible assets are amortized on a straight-line basis over their estimated useful lives. The cost of trademarks and trade names is amortized principally over 3 to 25 years, intellectual property over 5 to 25 years and customer and supplier relationships over 3 to 24 years. Ashland reviews finite-lived intangible assets for impairment whenever events or changes in circumstances indicate the carrying amount of an asset may not be recoverable. Ashland monitors these changes and events on at least a quarterly basis.</w:t>
      </w:r>
    </w:p>
    <w:p>
      <w:pPr>
        <w:spacing w:after="0" w:line="80" w:lineRule="exact"/>
        <w:rPr>
          <w:sz w:val="20"/>
          <w:szCs w:val="20"/>
          <w:color w:val="auto"/>
        </w:rPr>
      </w:pPr>
    </w:p>
    <w:p>
      <w:pPr>
        <w:jc w:val="both"/>
        <w:ind w:right="20" w:firstLine="401"/>
        <w:spacing w:after="0" w:line="308" w:lineRule="auto"/>
        <w:rPr>
          <w:sz w:val="20"/>
          <w:szCs w:val="20"/>
          <w:color w:val="auto"/>
        </w:rPr>
      </w:pPr>
      <w:r>
        <w:rPr>
          <w:rFonts w:ascii="Arial" w:cs="Arial" w:eastAsia="Arial" w:hAnsi="Arial"/>
          <w:sz w:val="17"/>
          <w:szCs w:val="17"/>
          <w:color w:val="auto"/>
        </w:rPr>
        <w:t>Amortization expense recognized on finite-lived intangible assets was $86 million for 2019, $93 million for 2018 and $80 million for 2017, and is primarily included in the selling, general and administrative expense caption of the Statements of Consolidated Comprehensive Income (Loss).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Ashland accounts for goodwill and other intangible assets acquired in a business combination in conformity with current accounting guidance which does not allow for goodwill and indefinite-lived intangible assets to be amortized.</w:t>
      </w:r>
    </w:p>
    <w:p>
      <w:pPr>
        <w:spacing w:after="0" w:line="62"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Ashland reviews goodwill for impairment annually as of July 1 or when events and circumstances indicate an impairment may have occurred. Ashland tests goodwill for impairment by comparing the estimated fair value of the reporting units to the related carrying value. Reporting units are defined as either operating segments or one level below the operating segments for which discrete financial information is available and reviewed by the business management. Ashland determined that its reporting units are its two reportable segments: Specialty Ingredients (“ASI”) and Intermediates and Solvents (“I&amp;S”). Ashland tests goodwill either quantitatively or qualitatively for impairment.</w:t>
      </w:r>
    </w:p>
    <w:p>
      <w:pPr>
        <w:spacing w:after="0" w:line="80"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For the qualitative approach, Ashland considers relevant events and circumstances such as macroeconomic conditions, industry and market considerations, overall financial performance and changes in management and business strategy, changes in carrying value, among others. Ashland considers how these relevant events and circumstances change between quantitative goodwill impairment tests. Ashland decides whether it is more likely than not that the fair value of its reporting units exceeds the carrying values. If not, a quantitative assessment must be performed.</w:t>
      </w:r>
    </w:p>
    <w:p>
      <w:pPr>
        <w:spacing w:after="0" w:line="63"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For the quantitative approach, Ashland makes various estimates and assumptions in determining the estimated fair value of each reporting unit using a combination of discounted cash flow models and valuations based on earnings multiples for guideline public companies in each reporting unit’s industry peer group, when externally quoted market prices are not readily available. Discounted cash flow models are highly reliant on various assumptions, including projected business results and future industry direction, long-term growth factors and weighted-average cost of capital. Significant management judgement 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5" w:name="page76"/>
    <w:bookmarkEnd w:id="75"/>
    <w:p>
      <w:pPr>
        <w:jc w:val="both"/>
        <w:spacing w:after="0" w:line="257" w:lineRule="auto"/>
        <w:rPr>
          <w:sz w:val="20"/>
          <w:szCs w:val="20"/>
          <w:color w:val="auto"/>
        </w:rPr>
      </w:pPr>
      <w:r>
        <w:rPr>
          <w:rFonts w:ascii="Arial" w:cs="Arial" w:eastAsia="Arial" w:hAnsi="Arial"/>
          <w:sz w:val="18"/>
          <w:szCs w:val="18"/>
          <w:color w:val="auto"/>
        </w:rPr>
        <w:t>involved in estimating these variables, and they include inherent uncertainties since they are forecasting future events. Ashland performs sensitivity analyses by using a range of inputs to confirm reasonableness of these estimates. Additionally, Ashland compares the indicated equity value to Ashland’s market capitalization, and implied control premium/discount, to determine if the estimated enterprise value is reasonable compared to external market indicators. If this comparison indicates that a reporting unit’s estimated fair value is less than its carrying value, it is adjusted to its calculated fair value and the adjustment represents the impairment charge.</w:t>
      </w:r>
    </w:p>
    <w:p>
      <w:pPr>
        <w:spacing w:after="0" w:line="80"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Ashland performed its annual goodwill impairment test using the quantitative approach as of July 1, 2019 and concluded there was no impairment as of that date. For further information, see Note I of Notes to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indefinite-lived intangible assets</w:t>
      </w:r>
    </w:p>
    <w:p>
      <w:pPr>
        <w:spacing w:after="0" w:line="117"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Other indefinite-lived intangible assets include certain trademarks and trade names. Ashland reviews these intangible assets for possible impairment annually as of July 1 or whenever events or changes in circumstances indicate that carrying amounts may not be recoverable. If the carrying value of an individual indefinite-lived intangible asset exceeds its fair value, the asset is written down to its fair value and the amount of the write down is the impairment charge. Similar to its annual assessment for goodwill, Ashland performs either a qualitative or quantitative test for impairment.</w:t>
      </w:r>
    </w:p>
    <w:p>
      <w:pPr>
        <w:spacing w:after="0" w:line="46"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If a quantitative analysis is performed, Ashland tests these assets using a “relief-from-royalty” valuation method to determine the fair value. Significant assumptions inherent in the valuation methodologies include, but are not limited to, future projected business results, growth rates, the weighted-average cost of capital for a market participant, and royalty and discount rates.</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In conjunction with the July 1 annual assessment of indefinite-lived intangible assets, Ashland’s quantitative approach models did not indicate any impairment, as each indefinite-lived intangible asset’s fair value exceeded their carrying values.</w:t>
      </w:r>
    </w:p>
    <w:p>
      <w:pPr>
        <w:spacing w:after="0" w:line="62"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Significant assumptions inherent in the valuation methodologies include, but are not limited to, such estimates as future projected business results, growth rates, the weighted average cost of capital for a market participant, and royalty and discount rates. For further information, see Note I of Notes to Consolidated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01"/>
        <w:spacing w:after="0" w:line="287" w:lineRule="auto"/>
        <w:rPr>
          <w:sz w:val="20"/>
          <w:szCs w:val="20"/>
          <w:color w:val="auto"/>
        </w:rPr>
      </w:pPr>
      <w:r>
        <w:rPr>
          <w:rFonts w:ascii="Arial" w:cs="Arial" w:eastAsia="Arial" w:hAnsi="Arial"/>
          <w:sz w:val="16"/>
          <w:szCs w:val="16"/>
          <w:color w:val="auto"/>
        </w:rPr>
        <w:t>Ashland is subject to income taxes in the United States and numerous foreign jurisdictions. Judgment in the forecasting of taxable income using historical and projected future operating results is required in determining Ashland’s provision for income taxes and the related assets and liabilities. The provision for income taxes includes income taxes paid, currently payable or receivable, and deferred taxes. Under U.S. GAAP,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Valuation allowances are established when necessary on a jurisdictional basis to reduce deferred tax assets to the amounts expected to be realized. Deferred taxes are not provided on the unremitted earnings of subsidiaries outside of the United States when it is expected that these earnings are indefinitely reinvested. In the event that the actual outcome of future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 of Consolidated Comprehensive Income (Loss) and Consolidated Balance Sheet.</w:t>
      </w:r>
    </w:p>
    <w:p>
      <w:pPr>
        <w:spacing w:after="0" w:line="65"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The recoverability of deferred tax assets and the recognition and measurement of uncertain tax positions are subject to various assumptions and judgment by Ashland. If actual results differ from the estimates made by Ashland in establishing or maintaining valuation allowances against deferred tax assets, the resulting change in the valuation allowance would generally impact earnings or other comprehensive income depending on the nature of the respective deferred tax asset. Additionally, the positions taken with regard to tax contingencies may be subject to audit and review by tax authorities, which may result in future taxes, interest and penalties. Positive and negative evidence is considered in determining the need for a valuation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6" w:name="page77"/>
    <w:bookmarkEnd w:id="76"/>
    <w:p>
      <w:pPr>
        <w:jc w:val="both"/>
        <w:spacing w:after="0" w:line="277" w:lineRule="auto"/>
        <w:rPr>
          <w:sz w:val="20"/>
          <w:szCs w:val="20"/>
          <w:color w:val="auto"/>
        </w:rPr>
      </w:pPr>
      <w:r>
        <w:rPr>
          <w:rFonts w:ascii="Arial" w:cs="Arial" w:eastAsia="Arial" w:hAnsi="Arial"/>
          <w:sz w:val="18"/>
          <w:szCs w:val="18"/>
          <w:color w:val="auto"/>
        </w:rPr>
        <w:t>allowance against deferred tax assets, which includes such evidence as historical earnings, projected future earnings, tax planning strategies and expected timing of reversal of existing temporary differences.</w:t>
      </w:r>
    </w:p>
    <w:p>
      <w:pPr>
        <w:spacing w:after="0" w:line="62"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In determining the recoverability of deferred tax assets Ashland gives consideration to all available positive and negative evidence including reversals of deferred tax liabilities (other than those with an indefinite reversal period), projected future taxable income, tax planning strategies and recent financial operations. Ashland attaches the most weight to historical earnings due to their verifiable nature. In evaluating the objective evidence that historical results provide, Ashland considers three years of cumulative income or loss. In addition, Ashland has reflected increases and decreases in our valuation allowance based on the overall weight of positive versus negative evidence on a jurisdiction by jurisdiction basis.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CHANGING PRICES</w:t>
      </w:r>
    </w:p>
    <w:p>
      <w:pPr>
        <w:spacing w:after="0" w:line="121"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Ashland’s financial statements are prepared on the historical cost method of accounting in accordance with U.S. GAAP and, as a result, do not reflect changes in the purchasing power of the U.S. dollar. Monetary assets (such as cash, cash equivalents and accounts receivable) lose purchasing power as a result of inflation, while monetary liabilities (such as accounts payable and indebtedness) result in a gain, because they can be settled with dollars of diminished purchasing power. As of September 30, 2019, Ashland’s monetary assets exceed its monetary liabilities, leaving it currently more exposed to the effects of future inflation. However, given the recent consistent stability of inflation in the United States in the past decade as well as forward economic outlooks, current inflationary pressures seem moderate.</w:t>
      </w:r>
    </w:p>
    <w:p>
      <w:pPr>
        <w:spacing w:after="0" w:line="8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Certain of the industries in which Ashland operates are capital-intensive, and replacement costs for its plant and equipment generally would substantially exceed their historical costs. Accordingly, depreciation and amortization expense would be greater if it were based on current replacement costs. However, because replacement facilities would reflect technological improvements and changes in business strategies, such facilities would be expected to be more productive than existing facilities, mitigating at least part of the increased expense.</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Ashland uses the LIFO method to value a relatively small portion of its inventories to provide a better matching of revenues with current costs.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LIFO values such inventories below their replacement costs during inflationary periods.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01"/>
        <w:spacing w:after="0" w:line="285" w:lineRule="auto"/>
        <w:rPr>
          <w:sz w:val="20"/>
          <w:szCs w:val="20"/>
          <w:color w:val="auto"/>
        </w:rPr>
      </w:pPr>
      <w:r>
        <w:rPr>
          <w:rFonts w:ascii="Arial" w:cs="Arial" w:eastAsia="Arial" w:hAnsi="Arial"/>
          <w:sz w:val="16"/>
          <w:szCs w:val="16"/>
          <w:color w:val="auto"/>
        </w:rPr>
        <w:t>This Annual Report on Form 10-K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Shareholders,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and economic conditions (such as prices, supply and demand, cost of raw materials, and the ability to recover raw-material cost increases through price increases), and risks and uncertainties associated with the following: the program to eliminate certain existing corporate and Specialty Ingredients expenses (including the possibility that such cost eliminations may not occur or may take longer to implement than anticipated), the impact of acquisitions and/or divestitures that Ashland has made or may make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Ashland’s ability to generate sufficient cash to finance its stock repurchase plans; severe weather, natural disasters, cyber events and legal proceedings and claims (including product recalls, environmental and asbestos matters); and without limitation, risks and uncertainties affecting Ashland that are contained in “Use of estimates, risks and uncertainties” in Note A of the Notes to Consolidated Financial Statements and in Item 1A of this Annual Report on Form 10-K. Various risks and uncertainties may cause actual results to differ materially from those stated,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7" w:name="page78"/>
    <w:bookmarkEnd w:id="77"/>
    <w:p>
      <w:pPr>
        <w:jc w:val="both"/>
        <w:spacing w:after="0" w:line="259" w:lineRule="auto"/>
        <w:rPr>
          <w:sz w:val="20"/>
          <w:szCs w:val="20"/>
          <w:color w:val="auto"/>
        </w:rPr>
      </w:pPr>
      <w:r>
        <w:rPr>
          <w:rFonts w:ascii="Arial" w:cs="Arial" w:eastAsia="Arial" w:hAnsi="Arial"/>
          <w:sz w:val="18"/>
          <w:szCs w:val="18"/>
          <w:color w:val="auto"/>
        </w:rPr>
        <w:t>projected or implied by any forward-looking statements. Ashland believes its expectations and assumptions are reasonable, but there can be no assurance that the expectations reflected herein will be achieved. Unless legally required, Ashland undertakes no obligation to update any forward-looking statements made in this Form 10-K whether as a result of new information, future events or otherwise. Information on Ashland’s website is not incorporated into or a part of this Form 10-K.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401"/>
        <w:spacing w:after="0" w:line="293" w:lineRule="auto"/>
        <w:rPr>
          <w:sz w:val="20"/>
          <w:szCs w:val="20"/>
          <w:color w:val="auto"/>
        </w:rPr>
      </w:pPr>
      <w:r>
        <w:rPr>
          <w:rFonts w:ascii="Arial" w:cs="Arial" w:eastAsia="Arial" w:hAnsi="Arial"/>
          <w:sz w:val="16"/>
          <w:szCs w:val="16"/>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w:t>
      </w:r>
    </w:p>
    <w:p>
      <w:pPr>
        <w:spacing w:after="0" w:line="57"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As of September 30, 2019 and 2018, Ashland had not identified any significant credit risk on open derivative contracts. The potential loss from a hypothetical 10% adverse change in foreign currency rates on Ashland’s open foreign currency derivative instruments would be largely offset by gains resulting from the impact of changes in exchange rates on transactions denominated in non-functional currencies. Ashland did not transact or have open any significant hedging contracts with respect to commodities or any related raw material requirements as of and for the year ended September 30, 2019.</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40" w:type="dxa"/>
            <w:vAlign w:val="bottom"/>
            <w:gridSpan w:val="11"/>
            <w:vMerge w:val="restart"/>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Management’s report on internal control over financial reporting</w:t>
              </w:r>
            </w:hyperlink>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10740" w:type="dxa"/>
            <w:vAlign w:val="bottom"/>
            <w:gridSpan w:val="11"/>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660" w:type="dxa"/>
            <w:vAlign w:val="bottom"/>
            <w:tcBorders>
              <w:top w:val="single" w:sz="8" w:color="0000EE"/>
            </w:tcBorders>
            <w:gridSpan w:val="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Reports of independent registered public accounting firm</w:t>
              </w:r>
            </w:hyperlink>
          </w:p>
        </w:tc>
        <w:tc>
          <w:tcPr>
            <w:tcW w:w="6080" w:type="dxa"/>
            <w:vAlign w:val="bottom"/>
            <w:gridSpan w:val="2"/>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453"/>
        </w:trPr>
        <w:tc>
          <w:tcPr>
            <w:tcW w:w="412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Consolidated Financial Statements:</w:t>
            </w:r>
          </w:p>
        </w:tc>
        <w:tc>
          <w:tcPr>
            <w:tcW w:w="662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4240" w:type="dxa"/>
            <w:vAlign w:val="bottom"/>
            <w:tcBorders>
              <w:bottom w:val="single" w:sz="8" w:color="0000EE"/>
            </w:tcBorders>
            <w:gridSpan w:val="9"/>
          </w:tcPr>
          <w:p>
            <w:pPr>
              <w:spacing w:after="0" w:line="202"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Statements of Consolidated Comprehensive Income (Loss)</w:t>
              </w:r>
            </w:hyperlink>
          </w:p>
        </w:tc>
        <w:tc>
          <w:tcPr>
            <w:tcW w:w="600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240" w:type="dxa"/>
            <w:vAlign w:val="bottom"/>
            <w:gridSpan w:val="1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Consolidated Balance Sheets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25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Statements of Consolidated Equity</w:t>
              </w:r>
            </w:hyperlink>
          </w:p>
        </w:tc>
        <w:tc>
          <w:tcPr>
            <w:tcW w:w="7740" w:type="dxa"/>
            <w:vAlign w:val="bottom"/>
            <w:gridSpan w:val="6"/>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0240" w:type="dxa"/>
            <w:vAlign w:val="bottom"/>
            <w:gridSpan w:val="1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Statements of Consolidated Cash Flows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10240" w:type="dxa"/>
            <w:vAlign w:val="bottom"/>
            <w:gridSpan w:val="10"/>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Notes to Consolidated 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740" w:type="dxa"/>
            <w:vAlign w:val="bottom"/>
            <w:gridSpan w:val="11"/>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Quarterly financial information</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F-68</w:t>
            </w:r>
          </w:p>
        </w:tc>
        <w:tc>
          <w:tcPr>
            <w:tcW w:w="0" w:type="dxa"/>
            <w:vAlign w:val="bottom"/>
          </w:tcPr>
          <w:p>
            <w:pPr>
              <w:spacing w:after="0"/>
              <w:rPr>
                <w:sz w:val="1"/>
                <w:szCs w:val="1"/>
                <w:color w:val="auto"/>
              </w:rPr>
            </w:pPr>
          </w:p>
        </w:tc>
      </w:tr>
      <w:tr>
        <w:trPr>
          <w:trHeight w:val="20"/>
        </w:trPr>
        <w:tc>
          <w:tcPr>
            <w:tcW w:w="22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40" w:type="dxa"/>
            <w:vAlign w:val="bottom"/>
            <w:gridSpan w:val="7"/>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47">
              <w:r>
                <w:rPr>
                  <w:rFonts w:ascii="Arial" w:cs="Arial" w:eastAsia="Arial" w:hAnsi="Arial"/>
                  <w:sz w:val="18"/>
                  <w:szCs w:val="18"/>
                  <w:color w:val="0000EE"/>
                  <w:w w:val="92"/>
                </w:rPr>
                <w:t>Five-year selected financial information</w:t>
              </w:r>
            </w:hyperlink>
          </w:p>
        </w:tc>
        <w:tc>
          <w:tcPr>
            <w:tcW w:w="7840" w:type="dxa"/>
            <w:vAlign w:val="bottom"/>
            <w:gridSpan w:val="7"/>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F-69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Management is responsible for the preparation and integrity of the Consolidated Financial Statements and other financial information included in this annual report on Form 10-K. Such financial statements are prepared in accordance with accounting principles generally accepted in the United States. Accounting principles are selected and information is reported which, using management’s best judgment and estimates, present fairly Ashland’s consolidated financial position, results of operations and cash flows. The other financial information in this annual report on Form 10-K is consistent with the Consolidated Financial Statements.</w:t>
      </w:r>
    </w:p>
    <w:p>
      <w:pPr>
        <w:spacing w:after="0" w:line="80"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8"/>
          <w:szCs w:val="18"/>
          <w:color w:val="auto"/>
        </w:rPr>
        <w:t>Ashland’s management is responsible for establishing and maintaining adequate internal control over financial reporting, as such term is defined in Exchange Act Rules 13a-15(f) and 15d-15(f). Ashland’s internal control over financial reporting is designed to provide reasonable assurance regarding the reliability of financial reporting and the preparation of Ashland’s Consolidated Financial Statements. Ashland’s internal control over financial reporting is supported by a code of business conduct which summarizes our guiding values such as obeying the law, adhering to high ethical standards and acting as responsible members of the communities where we operate. Compliance with that Code forms the foundation of our internal control systems, which are designed to provide reasonable assurance that Ashland’s assets are safeguarded and its records reflect, in all material respects, transactions in accordance with management’s authorization. The concept of reasonable assurance is based on the recognition that the cost of a system of internal control should not exceed the related benefits. Management believes that adequate internal controls are maintained by the selection and training of qualified personnel, by an appropriate division of responsibility in all organizational arrangements, by the establishment and communication of accounting and business policies, and by internal audits.</w:t>
      </w:r>
    </w:p>
    <w:p>
      <w:pPr>
        <w:spacing w:after="0" w:line="8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79"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Board, subject to stockholder ratification, selects and engages the independent auditors based on the recommendation of the Audit Committee. The Audit Committee, composed of directors who are not members of management, reviews the adequacy of Ashland’s policies, procedures, controls and risk management strategies, the scope of auditing and other services performed by the independent auditors, and the scope of the internal audit function. The Committee holds meetings with Ashland’s internal auditor and independent auditors, with and without management present, to discuss the findings of their audits, the overall quality of Ashland’s financial reporting and their evaluation of Ashland’s internal controls. The report of Ashland’s Audit Committee can be found in Ashland’s Proxy for its 2020 Annual Meeting.</w:t>
      </w:r>
    </w:p>
    <w:p>
      <w:pPr>
        <w:spacing w:after="0" w:line="8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 xml:space="preserve">Management assessed the effectiveness of Ashland’s internal control over financial reporting as of September 30, 2019. Management conducted its assessment utilizing the framework described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(2013 framework). Based on this assessment, management believes that Ashland maintained effective internal control over financial reporting as of September 30, 2019.</w:t>
      </w:r>
    </w:p>
    <w:p>
      <w:pPr>
        <w:spacing w:after="0" w:line="7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Ernst &amp; Young LLP, an independent registered public accounting firm, has audited and reported on the Consolidated Financial Statements of Ashland Global Holdings Inc. and Consolidated Subsidiaries as of and for the year ended September 30, 2019 and the effectiveness of Ashland’s internal control over financial reporting as of September 30, 2019. The reports of the independent registered public accounting firm are contained in this Annual Report on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 William A. Wulfsohn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A. Wulfsohn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J. Kevin Willis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 Kevin Willis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November 25, 2019</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ind w:right="2620" w:firstLine="2624"/>
        <w:spacing w:after="0" w:line="38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Ashland Global Holdings Inc. and Consolidated Subsidiaries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Ashland Global Holdings Inc. and Consolidated Subsidiaries’ internal control over financial reporting as of September 30, 2019, based on criteria established in Internal Control—Integrated Framework issued by the Committee of Sponsoring Organizations of the Treadway Commission (2013 framework), (the COSO criteria). In our opinion, Ashland Global Holdings Inc. and Consolidated Subsidiaries (the Company) maintained, in all material respects, effective internal control over financial reporting as of September 30, 2019, based on the COSO criteria.</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September 30, 2019 and 2018, the related consolidated statements of comprehensive income (loss), equity and cash flows for each of the three years in the period ended September 30, 2019, and the related notes and our report dated November 25, 2019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25, 2019</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ind w:right="3380"/>
        <w:spacing w:after="0" w:line="375" w:lineRule="auto"/>
        <w:rPr>
          <w:sz w:val="20"/>
          <w:szCs w:val="20"/>
          <w:color w:val="auto"/>
        </w:rPr>
      </w:pPr>
      <w:r>
        <w:rPr>
          <w:rFonts w:ascii="Arial" w:cs="Arial" w:eastAsia="Arial" w:hAnsi="Arial"/>
          <w:sz w:val="18"/>
          <w:szCs w:val="18"/>
          <w:color w:val="auto"/>
        </w:rPr>
        <w:t xml:space="preserve">To the Stockholders and the Board of Directors of Ashland Global Holdings Inc. and Consolidated Subsidiaries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Ashland Global Holdings Inc. and Consolidated Subsidiaries (the Company) as of September 30, 2019 and 2018, the related consolidated statements of comprehensive income (loss), equity and cash flows for each of the three years in the period ended September 30, 2019, and the related notes (collectively referred to as the “consolidated financial statements”). In our opinion, the consolidated financial statements present fairly, in all material respects, the financial position of the Company at September 30, 2019 and 2018, and the results of its operations and its cash flows for each of the three years in the period ended September 30, 2019, in conformity with U.S. generally accepted accounting principles.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September 30, 2019, based on criteria established in Internal Control-Integrated Framework issued by the Committee of Sponsoring Organizations of the Treadway Commission (2013 framework), and our report dated November 25, 2019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912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Valuation of Environmental Remediation Reserves</w:t>
            </w:r>
          </w:p>
        </w:tc>
      </w:tr>
      <w:tr>
        <w:trPr>
          <w:trHeight w:val="310"/>
        </w:trPr>
        <w:tc>
          <w:tcPr>
            <w:tcW w:w="2300" w:type="dxa"/>
            <w:vAlign w:val="bottom"/>
          </w:tcPr>
          <w:p>
            <w:pPr>
              <w:spacing w:after="0"/>
              <w:rPr>
                <w:sz w:val="20"/>
                <w:szCs w:val="20"/>
                <w:color w:val="auto"/>
              </w:rPr>
            </w:pPr>
            <w:r>
              <w:rPr>
                <w:rFonts w:ascii="Arial" w:cs="Arial" w:eastAsia="Arial" w:hAnsi="Arial"/>
                <w:sz w:val="18"/>
                <w:szCs w:val="18"/>
                <w:i w:val="1"/>
                <w:iCs w:val="1"/>
                <w:color w:val="auto"/>
              </w:rPr>
              <w:t>Description of the Matter</w:t>
            </w:r>
          </w:p>
        </w:tc>
        <w:tc>
          <w:tcPr>
            <w:tcW w:w="9120" w:type="dxa"/>
            <w:vAlign w:val="bottom"/>
          </w:tcPr>
          <w:p>
            <w:pPr>
              <w:ind w:left="120"/>
              <w:spacing w:after="0"/>
              <w:rPr>
                <w:sz w:val="20"/>
                <w:szCs w:val="20"/>
                <w:color w:val="auto"/>
              </w:rPr>
            </w:pPr>
            <w:r>
              <w:rPr>
                <w:rFonts w:ascii="Arial" w:cs="Arial" w:eastAsia="Arial" w:hAnsi="Arial"/>
                <w:sz w:val="18"/>
                <w:szCs w:val="18"/>
                <w:color w:val="auto"/>
                <w:w w:val="92"/>
              </w:rPr>
              <w:t>At September 30, 2019, the reserves for environmental remediation amounted to $186 million. As discussed within Note O</w:t>
            </w:r>
          </w:p>
        </w:tc>
      </w:tr>
      <w:tr>
        <w:trPr>
          <w:trHeight w:val="216"/>
        </w:trPr>
        <w:tc>
          <w:tcPr>
            <w:tcW w:w="2300" w:type="dxa"/>
            <w:vAlign w:val="bottom"/>
          </w:tcPr>
          <w:p>
            <w:pPr>
              <w:spacing w:after="0"/>
              <w:rPr>
                <w:sz w:val="18"/>
                <w:szCs w:val="18"/>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1"/>
              </w:rPr>
              <w:t>of the consolidated financial statements, the reserves for environmental remediation reflect Ashland’s estimates of the most</w:t>
            </w:r>
          </w:p>
        </w:tc>
      </w:tr>
      <w:tr>
        <w:trPr>
          <w:trHeight w:val="216"/>
        </w:trPr>
        <w:tc>
          <w:tcPr>
            <w:tcW w:w="2300" w:type="dxa"/>
            <w:vAlign w:val="bottom"/>
          </w:tcPr>
          <w:p>
            <w:pPr>
              <w:spacing w:after="0"/>
              <w:rPr>
                <w:sz w:val="18"/>
                <w:szCs w:val="18"/>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9"/>
              </w:rPr>
              <w:t>likely costs that will be incurred over an extended period to remediate identified conditions for which the costs are</w:t>
            </w:r>
          </w:p>
        </w:tc>
      </w:tr>
      <w:tr>
        <w:trPr>
          <w:trHeight w:val="216"/>
        </w:trPr>
        <w:tc>
          <w:tcPr>
            <w:tcW w:w="2300" w:type="dxa"/>
            <w:vAlign w:val="bottom"/>
          </w:tcPr>
          <w:p>
            <w:pPr>
              <w:spacing w:after="0"/>
              <w:rPr>
                <w:sz w:val="18"/>
                <w:szCs w:val="18"/>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5"/>
              </w:rPr>
              <w:t>reasonably estimable and probable of being incurred, without regard to any third-party recoveries. The Company uses</w:t>
            </w:r>
          </w:p>
        </w:tc>
      </w:tr>
      <w:tr>
        <w:trPr>
          <w:trHeight w:val="216"/>
        </w:trPr>
        <w:tc>
          <w:tcPr>
            <w:tcW w:w="2300" w:type="dxa"/>
            <w:vAlign w:val="bottom"/>
          </w:tcPr>
          <w:p>
            <w:pPr>
              <w:spacing w:after="0"/>
              <w:rPr>
                <w:sz w:val="18"/>
                <w:szCs w:val="18"/>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0"/>
              </w:rPr>
              <w:t>engineering studies, historical experience and other factors to identify and evaluate remediation alternatives and their related</w:t>
            </w:r>
          </w:p>
        </w:tc>
      </w:tr>
      <w:tr>
        <w:trPr>
          <w:trHeight w:val="216"/>
        </w:trPr>
        <w:tc>
          <w:tcPr>
            <w:tcW w:w="2300" w:type="dxa"/>
            <w:vAlign w:val="bottom"/>
          </w:tcPr>
          <w:p>
            <w:pPr>
              <w:spacing w:after="0"/>
              <w:rPr>
                <w:sz w:val="18"/>
                <w:szCs w:val="18"/>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7"/>
              </w:rPr>
              <w:t>costs in determining the estimated reserves for environmental remediation. Ashland regularly adjusts its reserves as</w:t>
            </w:r>
          </w:p>
        </w:tc>
      </w:tr>
      <w:tr>
        <w:trPr>
          <w:trHeight w:val="230"/>
        </w:trPr>
        <w:tc>
          <w:tcPr>
            <w:tcW w:w="2300" w:type="dxa"/>
            <w:vAlign w:val="bottom"/>
          </w:tcPr>
          <w:p>
            <w:pPr>
              <w:spacing w:after="0"/>
              <w:rPr>
                <w:sz w:val="20"/>
                <w:szCs w:val="20"/>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rPr>
              <w:t>environmental remediation continues.</w:t>
            </w:r>
          </w:p>
        </w:tc>
      </w:tr>
      <w:tr>
        <w:trPr>
          <w:trHeight w:val="310"/>
        </w:trPr>
        <w:tc>
          <w:tcPr>
            <w:tcW w:w="2300" w:type="dxa"/>
            <w:vAlign w:val="bottom"/>
          </w:tcPr>
          <w:p>
            <w:pPr>
              <w:spacing w:after="0"/>
              <w:rPr>
                <w:sz w:val="24"/>
                <w:szCs w:val="24"/>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3"/>
              </w:rPr>
              <w:t>Auditing the environmental remediation reserve was complex due to inherent uncertainties that affect Ashland’s ability to</w:t>
            </w:r>
          </w:p>
        </w:tc>
      </w:tr>
      <w:tr>
        <w:trPr>
          <w:trHeight w:val="216"/>
        </w:trPr>
        <w:tc>
          <w:tcPr>
            <w:tcW w:w="2300" w:type="dxa"/>
            <w:vAlign w:val="bottom"/>
          </w:tcPr>
          <w:p>
            <w:pPr>
              <w:spacing w:after="0"/>
              <w:rPr>
                <w:sz w:val="18"/>
                <w:szCs w:val="18"/>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8"/>
              </w:rPr>
              <w:t>estimate its share of the probable costs. Such uncertainties involve assumptions regarding the nature and extent of</w:t>
            </w:r>
          </w:p>
        </w:tc>
      </w:tr>
      <w:tr>
        <w:trPr>
          <w:trHeight w:val="216"/>
        </w:trPr>
        <w:tc>
          <w:tcPr>
            <w:tcW w:w="2300" w:type="dxa"/>
            <w:vAlign w:val="bottom"/>
          </w:tcPr>
          <w:p>
            <w:pPr>
              <w:spacing w:after="0"/>
              <w:rPr>
                <w:sz w:val="18"/>
                <w:szCs w:val="18"/>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2"/>
              </w:rPr>
              <w:t>contamination at each site, the nature and extent of required cleanup efforts under existing environmental regulations, the</w:t>
            </w:r>
          </w:p>
        </w:tc>
      </w:tr>
      <w:tr>
        <w:trPr>
          <w:trHeight w:val="230"/>
        </w:trPr>
        <w:tc>
          <w:tcPr>
            <w:tcW w:w="2300" w:type="dxa"/>
            <w:vAlign w:val="bottom"/>
          </w:tcPr>
          <w:p>
            <w:pPr>
              <w:spacing w:after="0"/>
              <w:rPr>
                <w:sz w:val="20"/>
                <w:szCs w:val="20"/>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rPr>
              <w:t>duration and effectiveness of the chosen remedial strategy, and changes in environmental regulations.</w:t>
            </w:r>
          </w:p>
        </w:tc>
      </w:tr>
      <w:tr>
        <w:trPr>
          <w:trHeight w:val="310"/>
        </w:trPr>
        <w:tc>
          <w:tcPr>
            <w:tcW w:w="2300" w:type="dxa"/>
            <w:vAlign w:val="bottom"/>
          </w:tcPr>
          <w:p>
            <w:pPr>
              <w:spacing w:after="0"/>
              <w:rPr>
                <w:sz w:val="20"/>
                <w:szCs w:val="20"/>
                <w:color w:val="auto"/>
              </w:rPr>
            </w:pPr>
            <w:r>
              <w:rPr>
                <w:rFonts w:ascii="Arial" w:cs="Arial" w:eastAsia="Arial" w:hAnsi="Arial"/>
                <w:sz w:val="18"/>
                <w:szCs w:val="18"/>
                <w:i w:val="1"/>
                <w:iCs w:val="1"/>
                <w:color w:val="auto"/>
                <w:w w:val="93"/>
              </w:rPr>
              <w:t>How We Addressed the Matter</w:t>
            </w:r>
          </w:p>
        </w:tc>
        <w:tc>
          <w:tcPr>
            <w:tcW w:w="9120" w:type="dxa"/>
            <w:vAlign w:val="bottom"/>
          </w:tcPr>
          <w:p>
            <w:pPr>
              <w:ind w:left="120"/>
              <w:spacing w:after="0"/>
              <w:rPr>
                <w:sz w:val="20"/>
                <w:szCs w:val="20"/>
                <w:color w:val="auto"/>
              </w:rPr>
            </w:pPr>
            <w:r>
              <w:rPr>
                <w:rFonts w:ascii="Arial" w:cs="Arial" w:eastAsia="Arial" w:hAnsi="Arial"/>
                <w:sz w:val="18"/>
                <w:szCs w:val="18"/>
                <w:color w:val="auto"/>
                <w:w w:val="96"/>
              </w:rPr>
              <w:t>We obtained an understanding, evaluated the design and tested the operating effectiveness of relevant controls over</w:t>
            </w:r>
          </w:p>
        </w:tc>
      </w:tr>
      <w:tr>
        <w:trPr>
          <w:trHeight w:val="216"/>
        </w:trPr>
        <w:tc>
          <w:tcPr>
            <w:tcW w:w="2300" w:type="dxa"/>
            <w:vAlign w:val="bottom"/>
          </w:tcPr>
          <w:p>
            <w:pPr>
              <w:spacing w:after="0"/>
              <w:rPr>
                <w:sz w:val="20"/>
                <w:szCs w:val="20"/>
                <w:color w:val="auto"/>
              </w:rPr>
            </w:pPr>
            <w:r>
              <w:rPr>
                <w:rFonts w:ascii="Arial" w:cs="Arial" w:eastAsia="Arial" w:hAnsi="Arial"/>
                <w:sz w:val="18"/>
                <w:szCs w:val="18"/>
                <w:i w:val="1"/>
                <w:iCs w:val="1"/>
                <w:color w:val="auto"/>
              </w:rPr>
              <w:t>in Our Audit</w:t>
            </w:r>
          </w:p>
        </w:tc>
        <w:tc>
          <w:tcPr>
            <w:tcW w:w="9120" w:type="dxa"/>
            <w:vAlign w:val="bottom"/>
          </w:tcPr>
          <w:p>
            <w:pPr>
              <w:ind w:left="120"/>
              <w:spacing w:after="0"/>
              <w:rPr>
                <w:sz w:val="20"/>
                <w:szCs w:val="20"/>
                <w:color w:val="auto"/>
              </w:rPr>
            </w:pPr>
            <w:r>
              <w:rPr>
                <w:rFonts w:ascii="Arial" w:cs="Arial" w:eastAsia="Arial" w:hAnsi="Arial"/>
                <w:sz w:val="18"/>
                <w:szCs w:val="18"/>
                <w:color w:val="auto"/>
                <w:w w:val="91"/>
              </w:rPr>
              <w:t>Ashland’s environmental remediation process. For example, we tested controls over the Company’s annual training process</w:t>
            </w:r>
          </w:p>
        </w:tc>
      </w:tr>
      <w:tr>
        <w:trPr>
          <w:trHeight w:val="216"/>
        </w:trPr>
        <w:tc>
          <w:tcPr>
            <w:tcW w:w="2300" w:type="dxa"/>
            <w:vAlign w:val="bottom"/>
          </w:tcPr>
          <w:p>
            <w:pPr>
              <w:spacing w:after="0"/>
              <w:rPr>
                <w:sz w:val="18"/>
                <w:szCs w:val="18"/>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0"/>
              </w:rPr>
              <w:t>for the setting of reserves, management’s review of the assumptions used in determining the probability and the development</w:t>
            </w:r>
          </w:p>
        </w:tc>
      </w:tr>
      <w:tr>
        <w:trPr>
          <w:trHeight w:val="216"/>
        </w:trPr>
        <w:tc>
          <w:tcPr>
            <w:tcW w:w="2300" w:type="dxa"/>
            <w:vAlign w:val="bottom"/>
          </w:tcPr>
          <w:p>
            <w:pPr>
              <w:spacing w:after="0"/>
              <w:rPr>
                <w:sz w:val="18"/>
                <w:szCs w:val="18"/>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1"/>
              </w:rPr>
              <w:t>of the environmental reserve estimates. We also tested management’s controls over the completeness and accuracy of the</w:t>
            </w:r>
          </w:p>
        </w:tc>
      </w:tr>
      <w:tr>
        <w:trPr>
          <w:trHeight w:val="230"/>
        </w:trPr>
        <w:tc>
          <w:tcPr>
            <w:tcW w:w="2300" w:type="dxa"/>
            <w:vAlign w:val="bottom"/>
          </w:tcPr>
          <w:p>
            <w:pPr>
              <w:spacing w:after="0"/>
              <w:rPr>
                <w:sz w:val="20"/>
                <w:szCs w:val="20"/>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rPr>
              <w:t>underlying data used in the reserve estimates.</w:t>
            </w:r>
          </w:p>
        </w:tc>
      </w:tr>
      <w:tr>
        <w:trPr>
          <w:trHeight w:val="310"/>
        </w:trPr>
        <w:tc>
          <w:tcPr>
            <w:tcW w:w="2300" w:type="dxa"/>
            <w:vAlign w:val="bottom"/>
          </w:tcPr>
          <w:p>
            <w:pPr>
              <w:spacing w:after="0"/>
              <w:rPr>
                <w:sz w:val="24"/>
                <w:szCs w:val="24"/>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4"/>
              </w:rPr>
              <w:t>To  test  the  environmental  reserves,  we  performed  audit  procedures  that  included,  among  others:  assessing  the</w:t>
            </w:r>
          </w:p>
        </w:tc>
      </w:tr>
      <w:tr>
        <w:trPr>
          <w:trHeight w:val="216"/>
        </w:trPr>
        <w:tc>
          <w:tcPr>
            <w:tcW w:w="2300" w:type="dxa"/>
            <w:vAlign w:val="bottom"/>
          </w:tcPr>
          <w:p>
            <w:pPr>
              <w:spacing w:after="0"/>
              <w:rPr>
                <w:sz w:val="18"/>
                <w:szCs w:val="18"/>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4"/>
              </w:rPr>
              <w:t>appropriateness of Ashland’s policies and procedures and testing the significant assumptions discussed above and the</w:t>
            </w:r>
          </w:p>
        </w:tc>
      </w:tr>
      <w:tr>
        <w:trPr>
          <w:trHeight w:val="216"/>
        </w:trPr>
        <w:tc>
          <w:tcPr>
            <w:tcW w:w="2300" w:type="dxa"/>
            <w:vAlign w:val="bottom"/>
          </w:tcPr>
          <w:p>
            <w:pPr>
              <w:spacing w:after="0"/>
              <w:rPr>
                <w:sz w:val="18"/>
                <w:szCs w:val="18"/>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1"/>
              </w:rPr>
              <w:t>underlying data used by Ashland in its analysis.  We obtained an understanding of the assumptions underlying the reserves</w:t>
            </w:r>
          </w:p>
        </w:tc>
      </w:tr>
      <w:tr>
        <w:trPr>
          <w:trHeight w:val="216"/>
        </w:trPr>
        <w:tc>
          <w:tcPr>
            <w:tcW w:w="2300" w:type="dxa"/>
            <w:vAlign w:val="bottom"/>
          </w:tcPr>
          <w:p>
            <w:pPr>
              <w:spacing w:after="0"/>
              <w:rPr>
                <w:sz w:val="18"/>
                <w:szCs w:val="18"/>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5"/>
              </w:rPr>
              <w:t>through discussions with Ashland’s remediation project managers. We also involved our environmental reserve subject</w:t>
            </w:r>
          </w:p>
        </w:tc>
      </w:tr>
      <w:tr>
        <w:trPr>
          <w:trHeight w:val="216"/>
        </w:trPr>
        <w:tc>
          <w:tcPr>
            <w:tcW w:w="2300" w:type="dxa"/>
            <w:vAlign w:val="bottom"/>
          </w:tcPr>
          <w:p>
            <w:pPr>
              <w:spacing w:after="0"/>
              <w:rPr>
                <w:sz w:val="18"/>
                <w:szCs w:val="18"/>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6"/>
              </w:rPr>
              <w:t>matter specialists to evaluate the reasonableness of management’s estimates, including consideration of information</w:t>
            </w:r>
          </w:p>
        </w:tc>
      </w:tr>
      <w:tr>
        <w:trPr>
          <w:trHeight w:val="216"/>
        </w:trPr>
        <w:tc>
          <w:tcPr>
            <w:tcW w:w="2300" w:type="dxa"/>
            <w:vAlign w:val="bottom"/>
          </w:tcPr>
          <w:p>
            <w:pPr>
              <w:spacing w:after="0"/>
              <w:rPr>
                <w:sz w:val="18"/>
                <w:szCs w:val="18"/>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0"/>
              </w:rPr>
              <w:t>available on regulatory databases in the public domain that was assessed for possible contrary evidence. With the support of</w:t>
            </w:r>
          </w:p>
        </w:tc>
      </w:tr>
      <w:tr>
        <w:trPr>
          <w:trHeight w:val="216"/>
        </w:trPr>
        <w:tc>
          <w:tcPr>
            <w:tcW w:w="2300" w:type="dxa"/>
            <w:vAlign w:val="bottom"/>
          </w:tcPr>
          <w:p>
            <w:pPr>
              <w:spacing w:after="0"/>
              <w:rPr>
                <w:sz w:val="18"/>
                <w:szCs w:val="18"/>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1"/>
              </w:rPr>
              <w:t>our environmental reserve subject matter specialists, we evaluated whether the method, models and assumptions utilized in</w:t>
            </w:r>
          </w:p>
        </w:tc>
      </w:tr>
      <w:tr>
        <w:trPr>
          <w:trHeight w:val="230"/>
        </w:trPr>
        <w:tc>
          <w:tcPr>
            <w:tcW w:w="2300" w:type="dxa"/>
            <w:vAlign w:val="bottom"/>
          </w:tcPr>
          <w:p>
            <w:pPr>
              <w:spacing w:after="0"/>
              <w:rPr>
                <w:sz w:val="20"/>
                <w:szCs w:val="20"/>
                <w:color w:val="auto"/>
              </w:rPr>
            </w:pPr>
          </w:p>
        </w:tc>
        <w:tc>
          <w:tcPr>
            <w:tcW w:w="9120" w:type="dxa"/>
            <w:vAlign w:val="bottom"/>
          </w:tcPr>
          <w:p>
            <w:pPr>
              <w:ind w:left="120"/>
              <w:spacing w:after="0"/>
              <w:rPr>
                <w:sz w:val="20"/>
                <w:szCs w:val="20"/>
                <w:color w:val="auto"/>
              </w:rPr>
            </w:pPr>
            <w:r>
              <w:rPr>
                <w:rFonts w:ascii="Arial" w:cs="Arial" w:eastAsia="Arial" w:hAnsi="Arial"/>
                <w:sz w:val="18"/>
                <w:szCs w:val="18"/>
                <w:color w:val="auto"/>
                <w:w w:val="97"/>
              </w:rPr>
              <w:t>estimating the reserve balances were appropriate based on testing of engineering studies and historical experience.</w:t>
            </w:r>
          </w:p>
        </w:tc>
      </w:tr>
      <w:tr>
        <w:trPr>
          <w:trHeight w:val="432"/>
        </w:trPr>
        <w:tc>
          <w:tcPr>
            <w:tcW w:w="2300" w:type="dxa"/>
            <w:vAlign w:val="bottom"/>
          </w:tcPr>
          <w:p>
            <w:pPr>
              <w:spacing w:after="0"/>
              <w:rPr>
                <w:sz w:val="24"/>
                <w:szCs w:val="24"/>
                <w:color w:val="auto"/>
              </w:rPr>
            </w:pPr>
          </w:p>
        </w:tc>
        <w:tc>
          <w:tcPr>
            <w:tcW w:w="9120" w:type="dxa"/>
            <w:vAlign w:val="bottom"/>
          </w:tcPr>
          <w:p>
            <w:pPr>
              <w:ind w:left="3280"/>
              <w:spacing w:after="0"/>
              <w:rPr>
                <w:sz w:val="20"/>
                <w:szCs w:val="20"/>
                <w:color w:val="auto"/>
              </w:rPr>
            </w:pPr>
            <w:r>
              <w:rPr>
                <w:rFonts w:ascii="Arial" w:cs="Arial" w:eastAsia="Arial" w:hAnsi="Arial"/>
                <w:sz w:val="18"/>
                <w:szCs w:val="18"/>
                <w:color w:val="auto"/>
              </w:rPr>
              <w:t>F-5</w:t>
            </w:r>
          </w:p>
        </w:tc>
      </w:tr>
      <w:tr>
        <w:trPr>
          <w:trHeight w:val="115"/>
        </w:trPr>
        <w:tc>
          <w:tcPr>
            <w:tcW w:w="2300" w:type="dxa"/>
            <w:vAlign w:val="bottom"/>
            <w:tcBorders>
              <w:bottom w:val="single" w:sz="8" w:color="9A9A9A"/>
            </w:tcBorders>
          </w:tcPr>
          <w:p>
            <w:pPr>
              <w:spacing w:after="0"/>
              <w:rPr>
                <w:sz w:val="10"/>
                <w:szCs w:val="10"/>
                <w:color w:val="auto"/>
              </w:rPr>
            </w:pPr>
          </w:p>
        </w:tc>
        <w:tc>
          <w:tcPr>
            <w:tcW w:w="9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ind w:left="2420"/>
        <w:spacing w:after="0"/>
        <w:rPr>
          <w:sz w:val="20"/>
          <w:szCs w:val="20"/>
          <w:color w:val="auto"/>
        </w:rPr>
      </w:pPr>
      <w:r>
        <w:rPr>
          <w:rFonts w:ascii="Arial" w:cs="Arial" w:eastAsia="Arial" w:hAnsi="Arial"/>
          <w:sz w:val="15"/>
          <w:szCs w:val="15"/>
          <w:b w:val="1"/>
          <w:bCs w:val="1"/>
          <w:i w:val="1"/>
          <w:iCs w:val="1"/>
          <w:color w:val="auto"/>
        </w:rPr>
        <w:t>Valuation of Asbestos Litigation Reserve</w:t>
      </w:r>
    </w:p>
    <w:p>
      <w:pPr>
        <w:sectPr>
          <w:pgSz w:w="11900" w:h="16838" w:orient="portrait"/>
          <w:cols w:equalWidth="0" w:num="1">
            <w:col w:w="11420"/>
          </w:cols>
          <w:pgMar w:left="240" w:top="449" w:right="23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September 30, 2019, the reserves for asbestos litigation amounted to $604 million. As discussed within Note O of the consolidated financial statements, Ashland has liabilities from claims alleging personal injury caused by exposure to asbestos. Ashland retained third party actuarial experts to assist in developing and annually updating independent reserve estimates for future asbestos claims and related costs given various assumptions. The methodology used by the actuarial experts to project future asbestos costs is based largely on recent experience, including claim-filing and settlement rates, disease mix, enacted legislation, open claims and litigation defense. Further, the claim experience identified is compared to the results of previously conducted third party epidemiological studies estimating the number of people likely to develop asbestos-related diseases. Using that information, the Company estimates a range of the number of future claims that may be filed, as well as the related costs that may be incurred in resolving those claims. 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the Company’s third party actuarial experts.</w:t>
      </w:r>
    </w:p>
    <w:p>
      <w:pPr>
        <w:spacing w:after="0" w:line="67" w:lineRule="exact"/>
        <w:rPr>
          <w:sz w:val="20"/>
          <w:szCs w:val="20"/>
          <w:color w:val="auto"/>
        </w:rPr>
      </w:pPr>
    </w:p>
    <w:p>
      <w:pPr>
        <w:sectPr>
          <w:pgSz w:w="11900" w:h="16838" w:orient="portrait"/>
          <w:cols w:equalWidth="0" w:num="2">
            <w:col w:w="1840" w:space="580"/>
            <w:col w:w="9000"/>
          </w:cols>
          <w:pgMar w:left="240" w:top="449" w:right="239" w:bottom="1440" w:gutter="0" w:footer="0" w:header="0"/>
          <w:type w:val="continuous"/>
        </w:sectPr>
      </w:pPr>
    </w:p>
    <w:p>
      <w:pPr>
        <w:jc w:val="both"/>
        <w:ind w:left="2420"/>
        <w:spacing w:after="0" w:line="276" w:lineRule="auto"/>
        <w:rPr>
          <w:sz w:val="20"/>
          <w:szCs w:val="20"/>
          <w:color w:val="auto"/>
        </w:rPr>
      </w:pPr>
      <w:r>
        <w:rPr>
          <w:rFonts w:ascii="Arial" w:cs="Arial" w:eastAsia="Arial" w:hAnsi="Arial"/>
          <w:sz w:val="17"/>
          <w:szCs w:val="17"/>
          <w:color w:val="auto"/>
        </w:rPr>
        <w:t>Auditing the Company’s asbestos litigation reserve is complex and highly judgmental due to uncertainty associated with the estimate of projected future asbestos costs. The methodology employed by management to develop the estimate of projected future asbestos costs is subject to assumptions such as the number of claims that may be received in the future, the type and severity of disease alleged by claimant, the related costs incurred in resolving those claims, the mortality rates, and the dismissal rates. These assumptions have a significant effect on the asbestos litigation reserve.</w:t>
      </w:r>
    </w:p>
    <w:p>
      <w:pPr>
        <w:sectPr>
          <w:pgSz w:w="11900" w:h="16838" w:orient="portrait"/>
          <w:cols w:equalWidth="0" w:num="1">
            <w:col w:w="11420"/>
          </w:cols>
          <w:pgMar w:left="240" w:top="449" w:right="239" w:bottom="1440" w:gutter="0" w:footer="0" w:header="0"/>
          <w:type w:val="continuous"/>
        </w:sectPr>
      </w:pPr>
    </w:p>
    <w:p>
      <w:pPr>
        <w:spacing w:after="0" w:line="6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internal controls over the asbestos litigation reserves process. These include controls over management's assessment of the assumptions utilized within the estimate, management’s oversight of asbestos trends including claims movement and costs incurred, and the completeness and accuracy of the underlying data utilized to project future costs.</w:t>
      </w:r>
    </w:p>
    <w:p>
      <w:pPr>
        <w:spacing w:after="0" w:line="79" w:lineRule="exact"/>
        <w:rPr>
          <w:sz w:val="20"/>
          <w:szCs w:val="20"/>
          <w:color w:val="auto"/>
        </w:rPr>
      </w:pPr>
    </w:p>
    <w:p>
      <w:pPr>
        <w:sectPr>
          <w:pgSz w:w="11900" w:h="16838" w:orient="portrait"/>
          <w:cols w:equalWidth="0" w:num="2">
            <w:col w:w="2200" w:space="220"/>
            <w:col w:w="9000"/>
          </w:cols>
          <w:pgMar w:left="240" w:top="449" w:right="239" w:bottom="1440" w:gutter="0" w:footer="0" w:header="0"/>
          <w:type w:val="continuous"/>
        </w:sectPr>
      </w:pPr>
    </w:p>
    <w:p>
      <w:pPr>
        <w:jc w:val="both"/>
        <w:ind w:left="2420"/>
        <w:spacing w:after="0" w:line="272" w:lineRule="auto"/>
        <w:rPr>
          <w:sz w:val="20"/>
          <w:szCs w:val="20"/>
          <w:color w:val="auto"/>
        </w:rPr>
      </w:pPr>
      <w:r>
        <w:rPr>
          <w:rFonts w:ascii="Arial" w:cs="Arial" w:eastAsia="Arial" w:hAnsi="Arial"/>
          <w:sz w:val="17"/>
          <w:szCs w:val="17"/>
          <w:color w:val="auto"/>
        </w:rPr>
        <w:t>To evaluate the reasonableness of the reserve for asbestos litigation, our audit procedures included testing the completeness and accuracy of the underlying claims data provided to management's actuarial specialist utilized to project future costs. Additionally, we evaluated the claims and spend activity from legal letters obtained from internal and external legal counsel. Furthermore, we involved our actuarial subject matter specialists to assist in the evaluation of the methodologies and assumptions applied by management's experts as described above to determine the appropriateness of the asbestos litigation reserve, to independently prepare an estimated range of the liability. We then assessed the reasonableness of the Company's recorded reserve against our independently calculated range.</w:t>
      </w:r>
    </w:p>
    <w:p>
      <w:pPr>
        <w:spacing w:after="0" w:line="83"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/s/ Ernst &amp; Young LLP</w:t>
      </w:r>
    </w:p>
    <w:p>
      <w:pPr>
        <w:sectPr>
          <w:pgSz w:w="11900" w:h="16838" w:orient="portrait"/>
          <w:cols w:equalWidth="0" w:num="1">
            <w:col w:w="11420"/>
          </w:cols>
          <w:pgMar w:left="240" w:top="449" w:right="2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25,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Consolidated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Years Ended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share data)</w:t>
            </w:r>
          </w:p>
        </w:tc>
        <w:tc>
          <w:tcPr>
            <w:tcW w:w="5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500" w:type="dxa"/>
            <w:vAlign w:val="bottom"/>
            <w:tcBorders>
              <w:top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2,493</w:t>
            </w:r>
          </w:p>
        </w:tc>
        <w:tc>
          <w:tcPr>
            <w:tcW w:w="640" w:type="dxa"/>
            <w:vAlign w:val="bottom"/>
            <w:tcBorders>
              <w:top w:val="single" w:sz="8" w:color="auto"/>
            </w:tcBorders>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2,589</w:t>
            </w:r>
          </w:p>
        </w:tc>
        <w:tc>
          <w:tcPr>
            <w:tcW w:w="640" w:type="dxa"/>
            <w:vAlign w:val="bottom"/>
            <w:tcBorders>
              <w:top w:val="single" w:sz="8" w:color="auto"/>
            </w:tcBorders>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1,726</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1,726</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767</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539</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income</w:t>
            </w: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interest and other expense - Note J</w:t>
            </w: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Other net periodic benefit income (costs) - Note N</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on acquisitions and divestitures - Notes C and 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 (benefit) - Note M</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 (net of tax) - Note E</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481</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Net income attributable to noncontrolling interest </w:t>
            </w:r>
            <w:r>
              <w:rPr>
                <w:rFonts w:ascii="Arial" w:cs="Arial" w:eastAsia="Arial" w:hAnsi="Arial"/>
                <w:sz w:val="14"/>
                <w:szCs w:val="14"/>
                <w:color w:val="auto"/>
              </w:rPr>
              <w:t>(a)</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Ashland</w:t>
            </w: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505</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 - NOTE A</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0.39</w:t>
            </w:r>
          </w:p>
        </w:tc>
        <w:tc>
          <w:tcPr>
            <w:tcW w:w="64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0.30</w:t>
            </w:r>
          </w:p>
        </w:tc>
        <w:tc>
          <w:tcPr>
            <w:tcW w:w="64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from discontinued operations attributable to Ashland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7.76</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attributable to Ashland</w:t>
            </w: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8.15</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6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0.29</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 attributable to Ashland</w:t>
            </w: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7.64</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attributable to Ashland</w:t>
            </w: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8.03</w:t>
            </w: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505</w:t>
            </w:r>
          </w:p>
        </w:tc>
        <w:tc>
          <w:tcPr>
            <w:tcW w:w="64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c>
          <w:tcPr>
            <w:tcW w:w="64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 (loss)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Pension and postretirement obligation adjustment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investment securities</w:t>
            </w: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comprehensive income (loss)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attributable to Ashland</w:t>
            </w: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420</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Represents the income attributable to the previous noncontrolling interest in Valvoline Inc., whose results are now included within discontinued operations. See Note B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(In millions)</w:t>
            </w:r>
          </w:p>
        </w:tc>
        <w:tc>
          <w:tcPr>
            <w:tcW w:w="13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tcBorders>
              <w:top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36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48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232</w:t>
            </w:r>
          </w:p>
        </w:tc>
        <w:tc>
          <w:tcPr>
            <w:tcW w:w="800" w:type="dxa"/>
            <w:vAlign w:val="bottom"/>
            <w:gridSpan w:val="2"/>
            <w:shd w:val="clear" w:color="auto" w:fill="CFF0FC"/>
          </w:tcPr>
          <w:p>
            <w:pPr>
              <w:jc w:val="right"/>
              <w:ind w:right="48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(a)</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Inventories - Note A</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597</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assets held for sale - Note D</w:t>
            </w:r>
          </w:p>
        </w:tc>
        <w:tc>
          <w:tcPr>
            <w:tcW w:w="13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Total current assets</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1,433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assets</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Property, plant and equipment - Note H</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Cost</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3,165</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Accumulated depreciation</w:t>
            </w:r>
          </w:p>
        </w:tc>
        <w:tc>
          <w:tcPr>
            <w:tcW w:w="13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1,588</w:t>
            </w:r>
          </w:p>
        </w:tc>
        <w:tc>
          <w:tcPr>
            <w:tcW w:w="1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Net property, plant and equipment</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1,577</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Goodwill - Note I</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2,253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Intangibles - Note I</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Restricted investments - Note G</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Asbestos insurance receivable - Note O</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Deferred income taxes - Note M</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assets - Note K</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Noncurrent assets held for sale - Note D</w:t>
            </w:r>
          </w:p>
        </w:tc>
        <w:tc>
          <w:tcPr>
            <w:tcW w:w="13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noncurrent assets</w:t>
            </w:r>
          </w:p>
        </w:tc>
        <w:tc>
          <w:tcPr>
            <w:tcW w:w="13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5,818</w:t>
            </w:r>
          </w:p>
        </w:tc>
        <w:tc>
          <w:tcPr>
            <w:tcW w:w="1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63"/>
        </w:trPr>
        <w:tc>
          <w:tcPr>
            <w:tcW w:w="650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tcPr>
          <w:p>
            <w:pPr>
              <w:spacing w:after="0"/>
              <w:rPr>
                <w:sz w:val="22"/>
                <w:szCs w:val="22"/>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7,251</w:t>
            </w:r>
          </w:p>
        </w:tc>
        <w:tc>
          <w:tcPr>
            <w:tcW w:w="160" w:type="dxa"/>
            <w:vAlign w:val="bottom"/>
          </w:tcPr>
          <w:p>
            <w:pPr>
              <w:spacing w:after="0"/>
              <w:rPr>
                <w:sz w:val="22"/>
                <w:szCs w:val="22"/>
                <w:color w:val="auto"/>
              </w:rPr>
            </w:pP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48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Short-term debt - Note J</w:t>
            </w:r>
          </w:p>
        </w:tc>
        <w:tc>
          <w:tcPr>
            <w:tcW w:w="20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80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Trade and other payables</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Accrued expenses and other liabilities</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liabilities held for sale - Note D</w:t>
            </w:r>
          </w:p>
        </w:tc>
        <w:tc>
          <w:tcPr>
            <w:tcW w:w="13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Total current liabilities</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liabilities</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Long-term debt - Note J</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1,501</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Asbestos litigation reserve - Note O</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555</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Deferred income taxes - Note M</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Employee benefit obligations - Note N</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Other liabilities - Note K</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Noncurrent liabilities held for sale - Note D</w:t>
            </w:r>
          </w:p>
        </w:tc>
        <w:tc>
          <w:tcPr>
            <w:tcW w:w="13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Total noncurrent liabilities</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2,923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Commitments and contingencies - Notes L and O</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Equity </w:t>
            </w:r>
            <w:r>
              <w:rPr>
                <w:rFonts w:ascii="Arial" w:cs="Arial" w:eastAsia="Arial" w:hAnsi="Arial"/>
                <w:sz w:val="18"/>
                <w:szCs w:val="18"/>
                <w:color w:val="auto"/>
              </w:rPr>
              <w:t>- Notes P and Q</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Common stock, par value $.01 per share, 200 million shares authorized</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240"/>
              <w:spacing w:after="0"/>
              <w:rPr>
                <w:sz w:val="20"/>
                <w:szCs w:val="20"/>
                <w:color w:val="auto"/>
              </w:rPr>
            </w:pPr>
            <w:r>
              <w:rPr>
                <w:rFonts w:ascii="Arial" w:cs="Arial" w:eastAsia="Arial" w:hAnsi="Arial"/>
                <w:sz w:val="18"/>
                <w:szCs w:val="18"/>
                <w:color w:val="auto"/>
              </w:rPr>
              <w:t>Issued 60 million and 62 million shares in 2019 and 2018</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Paid-in capital</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756</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3,224</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3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Total equity</w:t>
            </w:r>
          </w:p>
        </w:tc>
        <w:tc>
          <w:tcPr>
            <w:tcW w:w="13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3,571</w:t>
            </w:r>
          </w:p>
        </w:tc>
        <w:tc>
          <w:tcPr>
            <w:tcW w:w="1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equity</w:t>
            </w:r>
          </w:p>
        </w:tc>
        <w:tc>
          <w:tcPr>
            <w:tcW w:w="13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7,251</w:t>
            </w:r>
          </w:p>
        </w:tc>
        <w:tc>
          <w:tcPr>
            <w:tcW w:w="1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Accounts receivable includes an allowance for doubtful accounts of $3 million at both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Consolidated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w w:val="92"/>
              </w:rPr>
              <w:t>Accumulated</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3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Common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Paid-in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Retained</w:t>
            </w:r>
          </w:p>
        </w:tc>
        <w:tc>
          <w:tcPr>
            <w:tcW w:w="1380" w:type="dxa"/>
            <w:vAlign w:val="bottom"/>
            <w:gridSpan w:val="4"/>
          </w:tcPr>
          <w:p>
            <w:pPr>
              <w:ind w:left="120"/>
              <w:spacing w:after="0"/>
              <w:rPr>
                <w:sz w:val="20"/>
                <w:szCs w:val="20"/>
                <w:color w:val="auto"/>
              </w:rPr>
            </w:pPr>
            <w:r>
              <w:rPr>
                <w:rFonts w:ascii="Arial" w:cs="Arial" w:eastAsia="Arial" w:hAnsi="Arial"/>
                <w:sz w:val="16"/>
                <w:szCs w:val="16"/>
                <w:color w:val="auto"/>
              </w:rPr>
              <w:t>comprehensive</w:t>
            </w:r>
          </w:p>
        </w:tc>
        <w:tc>
          <w:tcPr>
            <w:tcW w:w="1080" w:type="dxa"/>
            <w:vAlign w:val="bottom"/>
            <w:gridSpan w:val="2"/>
          </w:tcPr>
          <w:p>
            <w:pPr>
              <w:spacing w:after="0"/>
              <w:rPr>
                <w:sz w:val="20"/>
                <w:szCs w:val="20"/>
                <w:color w:val="auto"/>
              </w:rPr>
            </w:pPr>
            <w:r>
              <w:rPr>
                <w:rFonts w:ascii="Arial" w:cs="Arial" w:eastAsia="Arial" w:hAnsi="Arial"/>
                <w:sz w:val="16"/>
                <w:szCs w:val="16"/>
                <w:color w:val="auto"/>
              </w:rPr>
              <w:t>Noncontrolling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3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stock</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capital</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earnings</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spacing w:after="0" w:line="222" w:lineRule="exact"/>
              <w:rPr>
                <w:sz w:val="20"/>
                <w:szCs w:val="20"/>
                <w:color w:val="auto"/>
              </w:rPr>
            </w:pPr>
            <w:r>
              <w:rPr>
                <w:rFonts w:ascii="Arial" w:cs="Arial" w:eastAsia="Arial" w:hAnsi="Arial"/>
                <w:sz w:val="15"/>
                <w:szCs w:val="15"/>
                <w:color w:val="auto"/>
                <w:w w:val="98"/>
              </w:rPr>
              <w:t xml:space="preserve">income (loss)  </w:t>
            </w:r>
            <w:r>
              <w:rPr>
                <w:rFonts w:ascii="Arial" w:cs="Arial" w:eastAsia="Arial" w:hAnsi="Arial"/>
                <w:sz w:val="25"/>
                <w:szCs w:val="25"/>
                <w:color w:val="auto"/>
                <w:w w:val="98"/>
                <w:vertAlign w:val="subscript"/>
              </w:rPr>
              <w:t>(a)</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interest</w:t>
            </w:r>
          </w:p>
        </w:tc>
        <w:tc>
          <w:tcPr>
            <w:tcW w:w="5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color w:val="auto"/>
              </w:rPr>
              <w:t>(b)</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w:t>
            </w:r>
          </w:p>
        </w:tc>
      </w:tr>
      <w:tr>
        <w:trPr>
          <w:trHeight w:val="210"/>
        </w:trPr>
        <w:tc>
          <w:tcPr>
            <w:tcW w:w="3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2016</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923</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2,704</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5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3,165</w:t>
            </w: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rPr>
              <w:t>Total comprehensive income (loss)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3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3880" w:type="dxa"/>
            <w:vAlign w:val="bottom"/>
          </w:tcPr>
          <w:p>
            <w:pPr>
              <w:ind w:left="260"/>
              <w:spacing w:after="0"/>
              <w:rPr>
                <w:sz w:val="20"/>
                <w:szCs w:val="20"/>
                <w:color w:val="auto"/>
              </w:rPr>
            </w:pPr>
            <w:r>
              <w:rPr>
                <w:rFonts w:ascii="Arial" w:cs="Arial" w:eastAsia="Arial" w:hAnsi="Arial"/>
                <w:sz w:val="16"/>
                <w:szCs w:val="16"/>
                <w:color w:val="auto"/>
              </w:rPr>
              <w:t>Other comprehensive income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Dividends, $1.23 per common share</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rPr>
              <w:t>Common shares issued under stock incentive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3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 xml:space="preserve">and other plans </w:t>
            </w:r>
            <w:r>
              <w:rPr>
                <w:rFonts w:ascii="Arial" w:cs="Arial" w:eastAsia="Arial" w:hAnsi="Arial"/>
                <w:sz w:val="14"/>
                <w:szCs w:val="14"/>
                <w:color w:val="auto"/>
              </w:rPr>
              <w:t>(c) (d)</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rPr>
              <w:t xml:space="preserve">Distribution of Valvoline Inc. </w:t>
            </w:r>
            <w:r>
              <w:rPr>
                <w:rFonts w:ascii="Arial" w:cs="Arial" w:eastAsia="Arial" w:hAnsi="Arial"/>
                <w:sz w:val="14"/>
                <w:szCs w:val="14"/>
                <w:color w:val="auto"/>
              </w:rPr>
              <w:t>(b)</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Distributions to noncontrolling interest</w:t>
            </w:r>
          </w:p>
        </w:tc>
        <w:tc>
          <w:tcPr>
            <w:tcW w:w="7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3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2017</w:t>
            </w: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2,696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3,406</w:t>
            </w: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rPr>
              <w:t>Total comprehensive income (loss)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3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w:t>
            </w:r>
          </w:p>
        </w:tc>
      </w:tr>
      <w:tr>
        <w:trPr>
          <w:trHeight w:val="213"/>
        </w:trPr>
        <w:tc>
          <w:tcPr>
            <w:tcW w:w="388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Dividends, $.95 per common share</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rPr>
              <w:t>Common shares issued under stock incentive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3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 xml:space="preserve">and other plans </w:t>
            </w:r>
            <w:r>
              <w:rPr>
                <w:rFonts w:ascii="Arial" w:cs="Arial" w:eastAsia="Arial" w:hAnsi="Arial"/>
                <w:sz w:val="14"/>
                <w:szCs w:val="14"/>
                <w:color w:val="auto"/>
              </w:rPr>
              <w:t>(c) (d)</w:t>
            </w:r>
          </w:p>
        </w:tc>
        <w:tc>
          <w:tcPr>
            <w:tcW w:w="7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3880" w:type="dxa"/>
            <w:vAlign w:val="bottom"/>
          </w:tcPr>
          <w:p>
            <w:pPr>
              <w:spacing w:after="0"/>
              <w:rPr>
                <w:sz w:val="20"/>
                <w:szCs w:val="20"/>
                <w:color w:val="auto"/>
              </w:rPr>
            </w:pPr>
            <w:r>
              <w:rPr>
                <w:rFonts w:ascii="Arial" w:cs="Arial" w:eastAsia="Arial" w:hAnsi="Arial"/>
                <w:sz w:val="16"/>
                <w:szCs w:val="16"/>
                <w:b w:val="1"/>
                <w:bCs w:val="1"/>
                <w:color w:val="auto"/>
              </w:rPr>
              <w:t>Balance at September 30, 2018</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2,750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3,406</w:t>
            </w:r>
          </w:p>
        </w:tc>
      </w:tr>
      <w:tr>
        <w:trPr>
          <w:trHeight w:val="21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Adoption of new accounting pronouncements </w:t>
            </w:r>
            <w:r>
              <w:rPr>
                <w:rFonts w:ascii="Arial" w:cs="Arial" w:eastAsia="Arial" w:hAnsi="Arial"/>
                <w:sz w:val="14"/>
                <w:szCs w:val="14"/>
                <w:color w:val="auto"/>
              </w:rPr>
              <w:t>(e)</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rPr>
              <w:t>Total comprehensive income (loss)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w:t>
            </w:r>
          </w:p>
        </w:tc>
      </w:tr>
      <w:tr>
        <w:trPr>
          <w:trHeight w:val="213"/>
        </w:trPr>
        <w:tc>
          <w:tcPr>
            <w:tcW w:w="388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Dividends, $1.05 per common share</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3880" w:type="dxa"/>
            <w:vAlign w:val="bottom"/>
          </w:tcPr>
          <w:p>
            <w:pPr>
              <w:spacing w:after="0"/>
              <w:rPr>
                <w:sz w:val="20"/>
                <w:szCs w:val="20"/>
                <w:color w:val="auto"/>
              </w:rPr>
            </w:pPr>
            <w:r>
              <w:rPr>
                <w:rFonts w:ascii="Arial" w:cs="Arial" w:eastAsia="Arial" w:hAnsi="Arial"/>
                <w:sz w:val="16"/>
                <w:szCs w:val="16"/>
                <w:color w:val="auto"/>
              </w:rPr>
              <w:t>Common shares issued under stock incentive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 xml:space="preserve">and other plans </w:t>
            </w:r>
            <w:r>
              <w:rPr>
                <w:rFonts w:ascii="Arial" w:cs="Arial" w:eastAsia="Arial" w:hAnsi="Arial"/>
                <w:sz w:val="14"/>
                <w:szCs w:val="14"/>
                <w:color w:val="auto"/>
              </w:rPr>
              <w:t>(c) (d)</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3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 xml:space="preserve">Repurchase of common stock </w:t>
            </w:r>
            <w:r>
              <w:rPr>
                <w:rFonts w:ascii="Arial" w:cs="Arial" w:eastAsia="Arial" w:hAnsi="Arial"/>
                <w:sz w:val="14"/>
                <w:szCs w:val="14"/>
                <w:color w:val="auto"/>
              </w:rPr>
              <w:t>(f)</w:t>
            </w:r>
          </w:p>
        </w:tc>
        <w:tc>
          <w:tcPr>
            <w:tcW w:w="7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10"/>
        </w:trPr>
        <w:tc>
          <w:tcPr>
            <w:tcW w:w="3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2019</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756</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3,224</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3,571</w:t>
            </w: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left="300" w:hanging="292"/>
        <w:spacing w:after="0" w:line="227" w:lineRule="auto"/>
        <w:tabs>
          <w:tab w:leader="none" w:pos="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At September 30, 2019 and 2018, the accumulated other comprehensive loss of $410 million and $291 million, respectively, was comprised of net unrealized translation losses of $408 million and $328 million, respectively, net unrealized gains on investment securities of zero and $34 million, respectively, and unrecognized prior service costs as a result of certain employee benefit plan amendments of $2 million and unrecognized prior service credits of $3 million, respectively.</w:t>
      </w:r>
    </w:p>
    <w:p>
      <w:pPr>
        <w:ind w:left="300" w:hanging="292"/>
        <w:spacing w:after="0" w:line="221" w:lineRule="auto"/>
        <w:tabs>
          <w:tab w:leader="none" w:pos="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See Note B for discussion of the noncontrolling interest and the initial public offering and distribution of Valvoline Inc.</w:t>
      </w:r>
    </w:p>
    <w:p>
      <w:pPr>
        <w:ind w:left="300" w:hanging="292"/>
        <w:spacing w:after="0" w:line="221" w:lineRule="auto"/>
        <w:tabs>
          <w:tab w:leader="none" w:pos="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income tax expense resulting from the exercise of stock options of $1 million in 2019 and 2018, respectively, and income tax benefit of $4 million in 2017.</w:t>
      </w:r>
    </w:p>
    <w:p>
      <w:pPr>
        <w:ind w:left="300" w:hanging="292"/>
        <w:spacing w:after="0" w:line="221" w:lineRule="auto"/>
        <w:tabs>
          <w:tab w:leader="none" w:pos="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Common shares issued were 336,188, 360,468 and 42,861 for 2019, 2018 and 2017, respectively.</w:t>
      </w:r>
    </w:p>
    <w:p>
      <w:pPr>
        <w:ind w:left="300" w:right="20" w:hanging="292"/>
        <w:spacing w:after="0" w:line="221" w:lineRule="auto"/>
        <w:tabs>
          <w:tab w:leader="none" w:pos="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cumulative-effect adjustment related to the adoption of the new guidance related to the accounting for equity securities and the tax effects of intercompany transfers during fiscal 2019. See note A for more information</w:t>
      </w:r>
    </w:p>
    <w:p>
      <w:pPr>
        <w:ind w:left="300" w:hanging="292"/>
        <w:spacing w:after="0" w:line="233" w:lineRule="auto"/>
        <w:tabs>
          <w:tab w:leader="none" w:pos="3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Common shares repurchased were 2,637,054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-857885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See Notes to Consolidated Financial Statements.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187" w:lineRule="auto"/>
        <w:rPr>
          <w:sz w:val="20"/>
          <w:szCs w:val="20"/>
          <w:color w:val="auto"/>
        </w:rPr>
      </w:pPr>
      <w:r>
        <w:rPr>
          <w:rFonts w:ascii="Arial" w:cs="Arial" w:eastAsia="Arial" w:hAnsi="Arial"/>
          <w:sz w:val="18"/>
          <w:szCs w:val="18"/>
          <w:b w:val="1"/>
          <w:bCs w:val="1"/>
          <w:color w:val="auto"/>
        </w:rPr>
        <w:t>Statements of Consolidated 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Years Ended September 30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(In millions)</w:t>
            </w:r>
          </w:p>
        </w:tc>
        <w:tc>
          <w:tcPr>
            <w:tcW w:w="5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2019</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2018</w:t>
            </w: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2017</w:t>
            </w:r>
          </w:p>
        </w:tc>
      </w:tr>
      <w:tr>
        <w:trPr>
          <w:trHeight w:val="142"/>
        </w:trPr>
        <w:tc>
          <w:tcPr>
            <w:tcW w:w="678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Cash flows provided (used) by operating activities from continuing operations</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r>
      <w:tr>
        <w:trPr>
          <w:trHeight w:val="149"/>
        </w:trPr>
        <w:tc>
          <w:tcPr>
            <w:tcW w:w="6780" w:type="dxa"/>
            <w:vAlign w:val="bottom"/>
          </w:tcPr>
          <w:p>
            <w:pPr>
              <w:spacing w:after="0"/>
              <w:rPr>
                <w:sz w:val="20"/>
                <w:szCs w:val="20"/>
                <w:color w:val="auto"/>
              </w:rPr>
            </w:pPr>
            <w:r>
              <w:rPr>
                <w:rFonts w:ascii="Arial" w:cs="Arial" w:eastAsia="Arial" w:hAnsi="Arial"/>
                <w:sz w:val="13"/>
                <w:szCs w:val="13"/>
                <w:color w:val="auto"/>
              </w:rPr>
              <w:t>Net income</w:t>
            </w:r>
          </w:p>
        </w:tc>
        <w:tc>
          <w:tcPr>
            <w:tcW w:w="520" w:type="dxa"/>
            <w:vAlign w:val="bottom"/>
          </w:tcPr>
          <w:p>
            <w:pPr>
              <w:jc w:val="right"/>
              <w:ind w:right="41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505</w:t>
            </w:r>
          </w:p>
        </w:tc>
        <w:tc>
          <w:tcPr>
            <w:tcW w:w="700" w:type="dxa"/>
            <w:vAlign w:val="bottom"/>
            <w:gridSpan w:val="2"/>
          </w:tcPr>
          <w:p>
            <w:pPr>
              <w:jc w:val="right"/>
              <w:ind w:right="45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114</w:t>
            </w:r>
          </w:p>
        </w:tc>
        <w:tc>
          <w:tcPr>
            <w:tcW w:w="680" w:type="dxa"/>
            <w:vAlign w:val="bottom"/>
            <w:gridSpan w:val="2"/>
          </w:tcPr>
          <w:p>
            <w:pPr>
              <w:jc w:val="right"/>
              <w:ind w:right="4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28</w:t>
            </w: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color w:val="auto"/>
              </w:rPr>
              <w:t>Income from discontinued operations (net of tax)</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(481)</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(95)</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(208)</w:t>
            </w:r>
          </w:p>
        </w:tc>
      </w:tr>
      <w:tr>
        <w:trPr>
          <w:trHeight w:val="149"/>
        </w:trPr>
        <w:tc>
          <w:tcPr>
            <w:tcW w:w="6780" w:type="dxa"/>
            <w:vAlign w:val="bottom"/>
          </w:tcPr>
          <w:p>
            <w:pPr>
              <w:spacing w:after="0"/>
              <w:rPr>
                <w:sz w:val="20"/>
                <w:szCs w:val="20"/>
                <w:color w:val="auto"/>
              </w:rPr>
            </w:pPr>
            <w:r>
              <w:rPr>
                <w:rFonts w:ascii="Arial" w:cs="Arial" w:eastAsia="Arial" w:hAnsi="Arial"/>
                <w:sz w:val="13"/>
                <w:szCs w:val="13"/>
                <w:color w:val="auto"/>
              </w:rPr>
              <w:t>Adjustments to reconcile income from continuing operations to cash flows from operating activities</w:t>
            </w: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6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Depreciation and amortization</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289</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277</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265</w:t>
            </w:r>
          </w:p>
        </w:tc>
      </w:tr>
      <w:tr>
        <w:trPr>
          <w:trHeight w:val="149"/>
        </w:trPr>
        <w:tc>
          <w:tcPr>
            <w:tcW w:w="6780" w:type="dxa"/>
            <w:vAlign w:val="bottom"/>
          </w:tcPr>
          <w:p>
            <w:pPr>
              <w:ind w:left="260"/>
              <w:spacing w:after="0"/>
              <w:rPr>
                <w:sz w:val="20"/>
                <w:szCs w:val="20"/>
                <w:color w:val="auto"/>
              </w:rPr>
            </w:pPr>
            <w:r>
              <w:rPr>
                <w:rFonts w:ascii="Arial" w:cs="Arial" w:eastAsia="Arial" w:hAnsi="Arial"/>
                <w:sz w:val="13"/>
                <w:szCs w:val="13"/>
                <w:color w:val="auto"/>
              </w:rPr>
              <w:t>Original issue discount and debt issuance cost amortization</w:t>
            </w:r>
          </w:p>
        </w:tc>
        <w:tc>
          <w:tcPr>
            <w:tcW w:w="520" w:type="dxa"/>
            <w:vAlign w:val="bottom"/>
          </w:tcPr>
          <w:p>
            <w:pPr>
              <w:spacing w:after="0"/>
              <w:rPr>
                <w:sz w:val="12"/>
                <w:szCs w:val="1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109</w:t>
            </w:r>
          </w:p>
        </w:tc>
      </w:tr>
      <w:tr>
        <w:trPr>
          <w:trHeight w:val="149"/>
        </w:trPr>
        <w:tc>
          <w:tcPr>
            <w:tcW w:w="6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income taxes</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20</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(26)</w:t>
            </w:r>
          </w:p>
        </w:tc>
      </w:tr>
      <w:tr>
        <w:trPr>
          <w:trHeight w:val="149"/>
        </w:trPr>
        <w:tc>
          <w:tcPr>
            <w:tcW w:w="6780" w:type="dxa"/>
            <w:vAlign w:val="bottom"/>
          </w:tcPr>
          <w:p>
            <w:pPr>
              <w:ind w:left="260"/>
              <w:spacing w:after="0"/>
              <w:rPr>
                <w:sz w:val="20"/>
                <w:szCs w:val="20"/>
                <w:color w:val="auto"/>
              </w:rPr>
            </w:pPr>
            <w:r>
              <w:rPr>
                <w:rFonts w:ascii="Arial" w:cs="Arial" w:eastAsia="Arial" w:hAnsi="Arial"/>
                <w:sz w:val="13"/>
                <w:szCs w:val="13"/>
                <w:color w:val="auto"/>
              </w:rPr>
              <w:t>Distributions from equity affiliates</w:t>
            </w:r>
          </w:p>
        </w:tc>
        <w:tc>
          <w:tcPr>
            <w:tcW w:w="520" w:type="dxa"/>
            <w:vAlign w:val="bottom"/>
          </w:tcPr>
          <w:p>
            <w:pPr>
              <w:spacing w:after="0"/>
              <w:rPr>
                <w:sz w:val="12"/>
                <w:szCs w:val="1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6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 based compensation expense - Note Q</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21</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20</w:t>
            </w:r>
          </w:p>
        </w:tc>
      </w:tr>
      <w:tr>
        <w:trPr>
          <w:trHeight w:val="149"/>
        </w:trPr>
        <w:tc>
          <w:tcPr>
            <w:tcW w:w="6780" w:type="dxa"/>
            <w:vAlign w:val="bottom"/>
          </w:tcPr>
          <w:p>
            <w:pPr>
              <w:ind w:left="260"/>
              <w:spacing w:after="0"/>
              <w:rPr>
                <w:sz w:val="20"/>
                <w:szCs w:val="20"/>
                <w:color w:val="auto"/>
              </w:rPr>
            </w:pPr>
            <w:r>
              <w:rPr>
                <w:rFonts w:ascii="Arial" w:cs="Arial" w:eastAsia="Arial" w:hAnsi="Arial"/>
                <w:sz w:val="13"/>
                <w:szCs w:val="13"/>
                <w:color w:val="auto"/>
              </w:rPr>
              <w:t>Excess tax benefits on stock based compensation</w:t>
            </w:r>
          </w:p>
        </w:tc>
        <w:tc>
          <w:tcPr>
            <w:tcW w:w="520" w:type="dxa"/>
            <w:vAlign w:val="bottom"/>
          </w:tcPr>
          <w:p>
            <w:pPr>
              <w:spacing w:after="0"/>
              <w:rPr>
                <w:sz w:val="12"/>
                <w:szCs w:val="1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3</w:t>
            </w:r>
          </w:p>
        </w:tc>
      </w:tr>
      <w:tr>
        <w:trPr>
          <w:trHeight w:val="149"/>
        </w:trPr>
        <w:tc>
          <w:tcPr>
            <w:tcW w:w="6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on early retirement of debt</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9</w:t>
            </w:r>
          </w:p>
        </w:tc>
      </w:tr>
      <w:tr>
        <w:trPr>
          <w:trHeight w:val="149"/>
        </w:trPr>
        <w:tc>
          <w:tcPr>
            <w:tcW w:w="6780" w:type="dxa"/>
            <w:vAlign w:val="bottom"/>
          </w:tcPr>
          <w:p>
            <w:pPr>
              <w:ind w:left="260"/>
              <w:spacing w:after="0"/>
              <w:rPr>
                <w:sz w:val="20"/>
                <w:szCs w:val="20"/>
                <w:color w:val="auto"/>
              </w:rPr>
            </w:pPr>
            <w:r>
              <w:rPr>
                <w:rFonts w:ascii="Arial" w:cs="Arial" w:eastAsia="Arial" w:hAnsi="Arial"/>
                <w:sz w:val="13"/>
                <w:szCs w:val="13"/>
                <w:color w:val="auto"/>
              </w:rPr>
              <w:t>Loss (income) from restricted investments</w:t>
            </w:r>
          </w:p>
        </w:tc>
        <w:tc>
          <w:tcPr>
            <w:tcW w:w="5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(11)</w:t>
            </w:r>
          </w:p>
        </w:tc>
      </w:tr>
      <w:tr>
        <w:trPr>
          <w:trHeight w:val="149"/>
        </w:trPr>
        <w:tc>
          <w:tcPr>
            <w:tcW w:w="6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(income) loss on acquisitions and divestitures - Notes C and D</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w:t>
            </w:r>
          </w:p>
        </w:tc>
      </w:tr>
      <w:tr>
        <w:trPr>
          <w:trHeight w:val="149"/>
        </w:trPr>
        <w:tc>
          <w:tcPr>
            <w:tcW w:w="6780" w:type="dxa"/>
            <w:vAlign w:val="bottom"/>
          </w:tcPr>
          <w:p>
            <w:pPr>
              <w:ind w:left="260"/>
              <w:spacing w:after="0"/>
              <w:rPr>
                <w:sz w:val="20"/>
                <w:szCs w:val="20"/>
                <w:color w:val="auto"/>
              </w:rPr>
            </w:pPr>
            <w:r>
              <w:rPr>
                <w:rFonts w:ascii="Arial" w:cs="Arial" w:eastAsia="Arial" w:hAnsi="Arial"/>
                <w:sz w:val="13"/>
                <w:szCs w:val="13"/>
                <w:color w:val="auto"/>
              </w:rPr>
              <w:t>Impairments</w:t>
            </w:r>
          </w:p>
        </w:tc>
        <w:tc>
          <w:tcPr>
            <w:tcW w:w="520" w:type="dxa"/>
            <w:vAlign w:val="bottom"/>
          </w:tcPr>
          <w:p>
            <w:pPr>
              <w:spacing w:after="0"/>
              <w:rPr>
                <w:sz w:val="12"/>
                <w:szCs w:val="1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6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Pension contributions</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(7)</w:t>
            </w:r>
          </w:p>
        </w:tc>
      </w:tr>
      <w:tr>
        <w:trPr>
          <w:trHeight w:val="149"/>
        </w:trPr>
        <w:tc>
          <w:tcPr>
            <w:tcW w:w="6780" w:type="dxa"/>
            <w:vAlign w:val="bottom"/>
          </w:tcPr>
          <w:p>
            <w:pPr>
              <w:ind w:left="260"/>
              <w:spacing w:after="0"/>
              <w:rPr>
                <w:sz w:val="20"/>
                <w:szCs w:val="20"/>
                <w:color w:val="auto"/>
              </w:rPr>
            </w:pPr>
            <w:r>
              <w:rPr>
                <w:rFonts w:ascii="Arial" w:cs="Arial" w:eastAsia="Arial" w:hAnsi="Arial"/>
                <w:sz w:val="13"/>
                <w:szCs w:val="13"/>
                <w:color w:val="auto"/>
              </w:rPr>
              <w:t>Loss (gain) on pension and other postretirement plan remeasurements</w:t>
            </w:r>
          </w:p>
        </w:tc>
        <w:tc>
          <w:tcPr>
            <w:tcW w:w="5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8</w:t>
            </w:r>
          </w:p>
        </w:tc>
      </w:tr>
      <w:tr>
        <w:trPr>
          <w:trHeight w:val="149"/>
        </w:trPr>
        <w:tc>
          <w:tcPr>
            <w:tcW w:w="6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 in operating assets and liabilities (a)</w:t>
            </w:r>
          </w:p>
        </w:tc>
        <w:tc>
          <w:tcPr>
            <w:tcW w:w="5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(129)</w:t>
            </w:r>
          </w:p>
        </w:tc>
        <w:tc>
          <w:tcPr>
            <w:tcW w:w="140" w:type="dxa"/>
            <w:vAlign w:val="bottom"/>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(20)</w:t>
            </w:r>
          </w:p>
        </w:tc>
      </w:tr>
      <w:tr>
        <w:trPr>
          <w:trHeight w:val="142"/>
        </w:trPr>
        <w:tc>
          <w:tcPr>
            <w:tcW w:w="6780" w:type="dxa"/>
            <w:vAlign w:val="bottom"/>
          </w:tcPr>
          <w:p>
            <w:pPr>
              <w:spacing w:after="0" w:line="143" w:lineRule="exact"/>
              <w:rPr>
                <w:sz w:val="20"/>
                <w:szCs w:val="20"/>
                <w:color w:val="auto"/>
              </w:rPr>
            </w:pPr>
            <w:r>
              <w:rPr>
                <w:rFonts w:ascii="Arial" w:cs="Arial" w:eastAsia="Arial" w:hAnsi="Arial"/>
                <w:sz w:val="13"/>
                <w:szCs w:val="13"/>
                <w:color w:val="auto"/>
              </w:rPr>
              <w:t>Total cash flows provided by operating activities from continuing operations</w:t>
            </w:r>
          </w:p>
        </w:tc>
        <w:tc>
          <w:tcPr>
            <w:tcW w:w="520" w:type="dxa"/>
            <w:vAlign w:val="bottom"/>
          </w:tcPr>
          <w:p>
            <w:pPr>
              <w:spacing w:after="0"/>
              <w:rPr>
                <w:sz w:val="12"/>
                <w:szCs w:val="12"/>
                <w:color w:val="auto"/>
              </w:rPr>
            </w:pPr>
          </w:p>
        </w:tc>
        <w:tc>
          <w:tcPr>
            <w:tcW w:w="920" w:type="dxa"/>
            <w:vAlign w:val="bottom"/>
          </w:tcPr>
          <w:p>
            <w:pPr>
              <w:jc w:val="right"/>
              <w:ind w:right="57"/>
              <w:spacing w:after="0" w:line="143" w:lineRule="exact"/>
              <w:rPr>
                <w:sz w:val="20"/>
                <w:szCs w:val="20"/>
                <w:color w:val="auto"/>
              </w:rPr>
            </w:pPr>
            <w:r>
              <w:rPr>
                <w:rFonts w:ascii="Arial" w:cs="Arial" w:eastAsia="Arial" w:hAnsi="Arial"/>
                <w:sz w:val="13"/>
                <w:szCs w:val="13"/>
                <w:color w:val="auto"/>
              </w:rPr>
              <w:t>228</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57"/>
              <w:spacing w:after="0" w:line="143" w:lineRule="exact"/>
              <w:rPr>
                <w:sz w:val="20"/>
                <w:szCs w:val="20"/>
                <w:color w:val="auto"/>
              </w:rPr>
            </w:pPr>
            <w:r>
              <w:rPr>
                <w:rFonts w:ascii="Arial" w:cs="Arial" w:eastAsia="Arial" w:hAnsi="Arial"/>
                <w:sz w:val="13"/>
                <w:szCs w:val="13"/>
                <w:color w:val="auto"/>
              </w:rPr>
              <w:t>241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77"/>
              <w:spacing w:after="0" w:line="143" w:lineRule="exact"/>
              <w:rPr>
                <w:sz w:val="20"/>
                <w:szCs w:val="20"/>
                <w:color w:val="auto"/>
              </w:rPr>
            </w:pPr>
            <w:r>
              <w:rPr>
                <w:rFonts w:ascii="Arial" w:cs="Arial" w:eastAsia="Arial" w:hAnsi="Arial"/>
                <w:sz w:val="13"/>
                <w:szCs w:val="13"/>
                <w:color w:val="auto"/>
              </w:rPr>
              <w:t>174</w:t>
            </w: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provided (used) by investing activities from continuing operations</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r>
      <w:tr>
        <w:trPr>
          <w:trHeight w:val="149"/>
        </w:trPr>
        <w:tc>
          <w:tcPr>
            <w:tcW w:w="6780" w:type="dxa"/>
            <w:vAlign w:val="bottom"/>
          </w:tcPr>
          <w:p>
            <w:pPr>
              <w:spacing w:after="0"/>
              <w:rPr>
                <w:sz w:val="20"/>
                <w:szCs w:val="20"/>
                <w:color w:val="auto"/>
              </w:rPr>
            </w:pPr>
            <w:r>
              <w:rPr>
                <w:rFonts w:ascii="Arial" w:cs="Arial" w:eastAsia="Arial" w:hAnsi="Arial"/>
                <w:sz w:val="13"/>
                <w:szCs w:val="13"/>
                <w:color w:val="auto"/>
              </w:rPr>
              <w:t>Additions to property, plant and equipment</w:t>
            </w:r>
          </w:p>
        </w:tc>
        <w:tc>
          <w:tcPr>
            <w:tcW w:w="5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(154)</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(168)</w:t>
            </w: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color w:val="auto"/>
              </w:rPr>
              <w:t>Proceeds from disposal of property, plant and equipment</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w:t>
            </w:r>
          </w:p>
        </w:tc>
      </w:tr>
      <w:tr>
        <w:trPr>
          <w:trHeight w:val="149"/>
        </w:trPr>
        <w:tc>
          <w:tcPr>
            <w:tcW w:w="6780" w:type="dxa"/>
            <w:vAlign w:val="bottom"/>
          </w:tcPr>
          <w:p>
            <w:pPr>
              <w:spacing w:after="0"/>
              <w:rPr>
                <w:sz w:val="20"/>
                <w:szCs w:val="20"/>
                <w:color w:val="auto"/>
              </w:rPr>
            </w:pPr>
            <w:r>
              <w:rPr>
                <w:rFonts w:ascii="Arial" w:cs="Arial" w:eastAsia="Arial" w:hAnsi="Arial"/>
                <w:sz w:val="13"/>
                <w:szCs w:val="13"/>
                <w:color w:val="auto"/>
              </w:rPr>
              <w:t>Purchase of operations - net of cash acquired</w:t>
            </w:r>
          </w:p>
        </w:tc>
        <w:tc>
          <w:tcPr>
            <w:tcW w:w="5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(680)</w:t>
            </w: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 or restructuring of operations</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18</w:t>
            </w:r>
          </w:p>
        </w:tc>
      </w:tr>
      <w:tr>
        <w:trPr>
          <w:trHeight w:val="149"/>
        </w:trPr>
        <w:tc>
          <w:tcPr>
            <w:tcW w:w="6780" w:type="dxa"/>
            <w:vAlign w:val="bottom"/>
          </w:tcPr>
          <w:p>
            <w:pPr>
              <w:spacing w:after="0"/>
              <w:rPr>
                <w:sz w:val="20"/>
                <w:szCs w:val="20"/>
                <w:color w:val="auto"/>
              </w:rPr>
            </w:pPr>
            <w:r>
              <w:rPr>
                <w:rFonts w:ascii="Arial" w:cs="Arial" w:eastAsia="Arial" w:hAnsi="Arial"/>
                <w:sz w:val="13"/>
                <w:szCs w:val="13"/>
                <w:color w:val="auto"/>
              </w:rPr>
              <w:t>Life insurance payments</w:t>
            </w:r>
          </w:p>
        </w:tc>
        <w:tc>
          <w:tcPr>
            <w:tcW w:w="520" w:type="dxa"/>
            <w:vAlign w:val="bottom"/>
          </w:tcPr>
          <w:p>
            <w:pPr>
              <w:spacing w:after="0"/>
              <w:rPr>
                <w:sz w:val="12"/>
                <w:szCs w:val="1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color w:val="auto"/>
              </w:rPr>
              <w:t>Net purchases of funds restricted for specific transactions</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w:t>
            </w:r>
          </w:p>
        </w:tc>
      </w:tr>
      <w:tr>
        <w:trPr>
          <w:trHeight w:val="149"/>
        </w:trPr>
        <w:tc>
          <w:tcPr>
            <w:tcW w:w="6780" w:type="dxa"/>
            <w:vAlign w:val="bottom"/>
          </w:tcPr>
          <w:p>
            <w:pPr>
              <w:spacing w:after="0"/>
              <w:rPr>
                <w:sz w:val="20"/>
                <w:szCs w:val="20"/>
                <w:color w:val="auto"/>
              </w:rPr>
            </w:pPr>
            <w:r>
              <w:rPr>
                <w:rFonts w:ascii="Arial" w:cs="Arial" w:eastAsia="Arial" w:hAnsi="Arial"/>
                <w:sz w:val="13"/>
                <w:szCs w:val="13"/>
                <w:color w:val="auto"/>
              </w:rPr>
              <w:t>Reimbursement from restricted investments</w:t>
            </w:r>
          </w:p>
        </w:tc>
        <w:tc>
          <w:tcPr>
            <w:tcW w:w="520" w:type="dxa"/>
            <w:vAlign w:val="bottom"/>
          </w:tcPr>
          <w:p>
            <w:pPr>
              <w:spacing w:after="0"/>
              <w:rPr>
                <w:sz w:val="12"/>
                <w:szCs w:val="1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32</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27</w:t>
            </w: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 of securities</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348</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19</w:t>
            </w:r>
          </w:p>
        </w:tc>
      </w:tr>
      <w:tr>
        <w:trPr>
          <w:trHeight w:val="149"/>
        </w:trPr>
        <w:tc>
          <w:tcPr>
            <w:tcW w:w="6780" w:type="dxa"/>
            <w:vAlign w:val="bottom"/>
          </w:tcPr>
          <w:p>
            <w:pPr>
              <w:spacing w:after="0"/>
              <w:rPr>
                <w:sz w:val="20"/>
                <w:szCs w:val="20"/>
                <w:color w:val="auto"/>
              </w:rPr>
            </w:pPr>
            <w:r>
              <w:rPr>
                <w:rFonts w:ascii="Arial" w:cs="Arial" w:eastAsia="Arial" w:hAnsi="Arial"/>
                <w:sz w:val="13"/>
                <w:szCs w:val="13"/>
                <w:color w:val="auto"/>
              </w:rPr>
              <w:t>Purchase of securities</w:t>
            </w:r>
          </w:p>
        </w:tc>
        <w:tc>
          <w:tcPr>
            <w:tcW w:w="5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(348)</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(19)</w:t>
            </w: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color w:val="auto"/>
              </w:rPr>
              <w:t>Proceeds from the settlement of derivative instruments</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w:t>
            </w:r>
          </w:p>
        </w:tc>
      </w:tr>
      <w:tr>
        <w:trPr>
          <w:trHeight w:val="149"/>
        </w:trPr>
        <w:tc>
          <w:tcPr>
            <w:tcW w:w="67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Payments for the settlement of derivative instruments</w:t>
            </w: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4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r>
      <w:tr>
        <w:trPr>
          <w:trHeight w:val="142"/>
        </w:trPr>
        <w:tc>
          <w:tcPr>
            <w:tcW w:w="67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Total cash flows used by investing activities from continuing operations</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(118)</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rPr>
              <w:t>(174)</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rPr>
              <w:t>(798)</w:t>
            </w:r>
          </w:p>
        </w:tc>
      </w:tr>
      <w:tr>
        <w:trPr>
          <w:trHeight w:val="149"/>
        </w:trPr>
        <w:tc>
          <w:tcPr>
            <w:tcW w:w="6780" w:type="dxa"/>
            <w:vAlign w:val="bottom"/>
          </w:tcPr>
          <w:p>
            <w:pPr>
              <w:spacing w:after="0"/>
              <w:rPr>
                <w:sz w:val="20"/>
                <w:szCs w:val="20"/>
                <w:color w:val="auto"/>
              </w:rPr>
            </w:pPr>
            <w:r>
              <w:rPr>
                <w:rFonts w:ascii="Arial" w:cs="Arial" w:eastAsia="Arial" w:hAnsi="Arial"/>
                <w:sz w:val="13"/>
                <w:szCs w:val="13"/>
                <w:b w:val="1"/>
                <w:bCs w:val="1"/>
                <w:color w:val="auto"/>
              </w:rPr>
              <w:t>Cash flows provided (used) by financing activities from continuing operations</w:t>
            </w: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color w:val="auto"/>
              </w:rPr>
              <w:t>Proceeds from issuance of long-term debt</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1,100</w:t>
            </w:r>
          </w:p>
        </w:tc>
      </w:tr>
      <w:tr>
        <w:trPr>
          <w:trHeight w:val="149"/>
        </w:trPr>
        <w:tc>
          <w:tcPr>
            <w:tcW w:w="6780" w:type="dxa"/>
            <w:vAlign w:val="bottom"/>
          </w:tcPr>
          <w:p>
            <w:pPr>
              <w:spacing w:after="0"/>
              <w:rPr>
                <w:sz w:val="20"/>
                <w:szCs w:val="20"/>
                <w:color w:val="auto"/>
              </w:rPr>
            </w:pPr>
            <w:r>
              <w:rPr>
                <w:rFonts w:ascii="Arial" w:cs="Arial" w:eastAsia="Arial" w:hAnsi="Arial"/>
                <w:sz w:val="13"/>
                <w:szCs w:val="13"/>
                <w:color w:val="auto"/>
              </w:rPr>
              <w:t>Repayment of long-term debt</w:t>
            </w:r>
          </w:p>
        </w:tc>
        <w:tc>
          <w:tcPr>
            <w:tcW w:w="5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(797)</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(311)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(915)</w:t>
            </w: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color w:val="auto"/>
              </w:rPr>
              <w:t>Premium on long-term debt repayment</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(17)</w:t>
            </w:r>
          </w:p>
        </w:tc>
      </w:tr>
      <w:tr>
        <w:trPr>
          <w:trHeight w:val="149"/>
        </w:trPr>
        <w:tc>
          <w:tcPr>
            <w:tcW w:w="6780" w:type="dxa"/>
            <w:vAlign w:val="bottom"/>
          </w:tcPr>
          <w:p>
            <w:pPr>
              <w:spacing w:after="0"/>
              <w:rPr>
                <w:sz w:val="20"/>
                <w:szCs w:val="20"/>
                <w:color w:val="auto"/>
              </w:rPr>
            </w:pPr>
            <w:r>
              <w:rPr>
                <w:rFonts w:ascii="Arial" w:cs="Arial" w:eastAsia="Arial" w:hAnsi="Arial"/>
                <w:sz w:val="13"/>
                <w:szCs w:val="13"/>
                <w:color w:val="auto"/>
              </w:rPr>
              <w:t>Proceeds from (repayment of) short-term debt</w:t>
            </w:r>
          </w:p>
        </w:tc>
        <w:tc>
          <w:tcPr>
            <w:tcW w:w="5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(78)</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75</w:t>
            </w: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color w:val="auto"/>
              </w:rPr>
              <w:t>Repurchase of common stock</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r>
      <w:tr>
        <w:trPr>
          <w:trHeight w:val="149"/>
        </w:trPr>
        <w:tc>
          <w:tcPr>
            <w:tcW w:w="6780" w:type="dxa"/>
            <w:vAlign w:val="bottom"/>
          </w:tcPr>
          <w:p>
            <w:pPr>
              <w:spacing w:after="0"/>
              <w:rPr>
                <w:sz w:val="20"/>
                <w:szCs w:val="20"/>
                <w:color w:val="auto"/>
              </w:rPr>
            </w:pPr>
            <w:r>
              <w:rPr>
                <w:rFonts w:ascii="Arial" w:cs="Arial" w:eastAsia="Arial" w:hAnsi="Arial"/>
                <w:sz w:val="13"/>
                <w:szCs w:val="13"/>
                <w:color w:val="auto"/>
              </w:rPr>
              <w:t>Debt issuance costs</w:t>
            </w:r>
          </w:p>
        </w:tc>
        <w:tc>
          <w:tcPr>
            <w:tcW w:w="520" w:type="dxa"/>
            <w:vAlign w:val="bottom"/>
          </w:tcPr>
          <w:p>
            <w:pPr>
              <w:spacing w:after="0"/>
              <w:rPr>
                <w:sz w:val="12"/>
                <w:szCs w:val="1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(15)</w:t>
            </w: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color w:val="auto"/>
              </w:rPr>
              <w:t>Cash dividends paid</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(77)</w:t>
            </w:r>
          </w:p>
        </w:tc>
      </w:tr>
      <w:tr>
        <w:trPr>
          <w:trHeight w:val="149"/>
        </w:trPr>
        <w:tc>
          <w:tcPr>
            <w:tcW w:w="67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Stock based compensation employee withholding taxes paid in cash</w:t>
            </w: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4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w:t>
            </w:r>
          </w:p>
        </w:tc>
      </w:tr>
      <w:tr>
        <w:trPr>
          <w:trHeight w:val="142"/>
        </w:trPr>
        <w:tc>
          <w:tcPr>
            <w:tcW w:w="67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Total cash flows provided (used) by financing activities from continuing operations</w:t>
            </w:r>
          </w:p>
        </w:tc>
        <w:tc>
          <w:tcPr>
            <w:tcW w:w="5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(1,149)</w:t>
            </w:r>
          </w:p>
        </w:tc>
        <w:tc>
          <w:tcPr>
            <w:tcW w:w="140" w:type="dxa"/>
            <w:vAlign w:val="bottom"/>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rPr>
              <w:t>(368)</w:t>
            </w:r>
          </w:p>
        </w:tc>
        <w:tc>
          <w:tcPr>
            <w:tcW w:w="120" w:type="dxa"/>
            <w:vAlign w:val="bottom"/>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77"/>
              <w:spacing w:after="0" w:line="143" w:lineRule="exact"/>
              <w:rPr>
                <w:sz w:val="20"/>
                <w:szCs w:val="20"/>
                <w:color w:val="auto"/>
              </w:rPr>
            </w:pPr>
            <w:r>
              <w:rPr>
                <w:rFonts w:ascii="Arial" w:cs="Arial" w:eastAsia="Arial" w:hAnsi="Arial"/>
                <w:sz w:val="13"/>
                <w:szCs w:val="13"/>
                <w:color w:val="auto"/>
              </w:rPr>
              <w:t>136</w:t>
            </w:r>
          </w:p>
        </w:tc>
      </w:tr>
      <w:tr>
        <w:trPr>
          <w:trHeight w:val="142"/>
        </w:trPr>
        <w:tc>
          <w:tcPr>
            <w:tcW w:w="6780" w:type="dxa"/>
            <w:vAlign w:val="bottom"/>
          </w:tcPr>
          <w:p>
            <w:pPr>
              <w:spacing w:after="0" w:line="143" w:lineRule="exact"/>
              <w:rPr>
                <w:sz w:val="20"/>
                <w:szCs w:val="20"/>
                <w:color w:val="auto"/>
              </w:rPr>
            </w:pPr>
            <w:r>
              <w:rPr>
                <w:rFonts w:ascii="Arial" w:cs="Arial" w:eastAsia="Arial" w:hAnsi="Arial"/>
                <w:sz w:val="13"/>
                <w:szCs w:val="13"/>
                <w:b w:val="1"/>
                <w:bCs w:val="1"/>
                <w:color w:val="auto"/>
              </w:rPr>
              <w:t>Cash used by continuing operations</w:t>
            </w:r>
          </w:p>
        </w:tc>
        <w:tc>
          <w:tcPr>
            <w:tcW w:w="520" w:type="dxa"/>
            <w:vAlign w:val="bottom"/>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Arial" w:cs="Arial" w:eastAsia="Arial" w:hAnsi="Arial"/>
                <w:sz w:val="13"/>
                <w:szCs w:val="13"/>
                <w:color w:val="auto"/>
              </w:rPr>
              <w:t>(1,039)</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17"/>
              <w:spacing w:after="0" w:line="143" w:lineRule="exact"/>
              <w:rPr>
                <w:sz w:val="20"/>
                <w:szCs w:val="20"/>
                <w:color w:val="auto"/>
              </w:rPr>
            </w:pPr>
            <w:r>
              <w:rPr>
                <w:rFonts w:ascii="Arial" w:cs="Arial" w:eastAsia="Arial" w:hAnsi="Arial"/>
                <w:sz w:val="13"/>
                <w:szCs w:val="13"/>
                <w:color w:val="auto"/>
              </w:rPr>
              <w:t>(301)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17"/>
              <w:spacing w:after="0" w:line="143" w:lineRule="exact"/>
              <w:rPr>
                <w:sz w:val="20"/>
                <w:szCs w:val="20"/>
                <w:color w:val="auto"/>
              </w:rPr>
            </w:pPr>
            <w:r>
              <w:rPr>
                <w:rFonts w:ascii="Arial" w:cs="Arial" w:eastAsia="Arial" w:hAnsi="Arial"/>
                <w:sz w:val="13"/>
                <w:szCs w:val="13"/>
                <w:color w:val="auto"/>
              </w:rPr>
              <w:t>(488)</w:t>
            </w: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color w:val="auto"/>
              </w:rPr>
              <w:t>Cash provided (used) by discontinued operations</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r>
      <w:tr>
        <w:trPr>
          <w:trHeight w:val="149"/>
        </w:trPr>
        <w:tc>
          <w:tcPr>
            <w:tcW w:w="6780" w:type="dxa"/>
            <w:vAlign w:val="bottom"/>
          </w:tcPr>
          <w:p>
            <w:pPr>
              <w:ind w:left="260"/>
              <w:spacing w:after="0"/>
              <w:rPr>
                <w:sz w:val="20"/>
                <w:szCs w:val="20"/>
                <w:color w:val="auto"/>
              </w:rPr>
            </w:pPr>
            <w:r>
              <w:rPr>
                <w:rFonts w:ascii="Arial" w:cs="Arial" w:eastAsia="Arial" w:hAnsi="Arial"/>
                <w:sz w:val="13"/>
                <w:szCs w:val="13"/>
                <w:color w:val="auto"/>
              </w:rPr>
              <w:t>Operating cash flows</w:t>
            </w:r>
          </w:p>
        </w:tc>
        <w:tc>
          <w:tcPr>
            <w:tcW w:w="520" w:type="dxa"/>
            <w:vAlign w:val="bottom"/>
          </w:tcPr>
          <w:p>
            <w:pPr>
              <w:spacing w:after="0"/>
              <w:rPr>
                <w:sz w:val="12"/>
                <w:szCs w:val="12"/>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209</w:t>
            </w:r>
          </w:p>
        </w:tc>
      </w:tr>
      <w:tr>
        <w:trPr>
          <w:trHeight w:val="149"/>
        </w:trPr>
        <w:tc>
          <w:tcPr>
            <w:tcW w:w="6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Investing cash flows</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967</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(321)</w:t>
            </w:r>
          </w:p>
        </w:tc>
      </w:tr>
      <w:tr>
        <w:trPr>
          <w:trHeight w:val="149"/>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Financing cash flows</w:t>
            </w: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w:t>
            </w:r>
          </w:p>
        </w:tc>
      </w:tr>
      <w:tr>
        <w:trPr>
          <w:trHeight w:val="142"/>
        </w:trPr>
        <w:tc>
          <w:tcPr>
            <w:tcW w:w="67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Total cash provided (used) by discontinued operations</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line="143" w:lineRule="exact"/>
              <w:rPr>
                <w:sz w:val="20"/>
                <w:szCs w:val="20"/>
                <w:color w:val="auto"/>
              </w:rPr>
            </w:pPr>
            <w:r>
              <w:rPr>
                <w:rFonts w:ascii="Arial" w:cs="Arial" w:eastAsia="Arial" w:hAnsi="Arial"/>
                <w:sz w:val="13"/>
                <w:szCs w:val="13"/>
                <w:color w:val="auto"/>
              </w:rPr>
              <w:t>980</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line="143" w:lineRule="exact"/>
              <w:rPr>
                <w:sz w:val="20"/>
                <w:szCs w:val="20"/>
                <w:color w:val="auto"/>
              </w:rPr>
            </w:pPr>
            <w:r>
              <w:rPr>
                <w:rFonts w:ascii="Arial" w:cs="Arial" w:eastAsia="Arial" w:hAnsi="Arial"/>
                <w:sz w:val="13"/>
                <w:szCs w:val="13"/>
                <w:color w:val="auto"/>
              </w:rPr>
              <w:t>28</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rPr>
              <w:t>(129)</w:t>
            </w:r>
          </w:p>
        </w:tc>
      </w:tr>
      <w:tr>
        <w:trPr>
          <w:trHeight w:val="149"/>
        </w:trPr>
        <w:tc>
          <w:tcPr>
            <w:tcW w:w="67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Effect of currency exchange rate changes on cash and cash equivalents</w:t>
            </w: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4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r>
      <w:tr>
        <w:trPr>
          <w:trHeight w:val="142"/>
        </w:trPr>
        <w:tc>
          <w:tcPr>
            <w:tcW w:w="678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Decrease in cash and cash equivalents</w:t>
            </w:r>
          </w:p>
        </w:tc>
        <w:tc>
          <w:tcPr>
            <w:tcW w:w="5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(62)</w:t>
            </w:r>
          </w:p>
        </w:tc>
        <w:tc>
          <w:tcPr>
            <w:tcW w:w="140" w:type="dxa"/>
            <w:vAlign w:val="bottom"/>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rPr>
              <w:t>(272)</w:t>
            </w:r>
          </w:p>
        </w:tc>
        <w:tc>
          <w:tcPr>
            <w:tcW w:w="120" w:type="dxa"/>
            <w:vAlign w:val="bottom"/>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rPr>
              <w:t>(622)</w:t>
            </w:r>
          </w:p>
        </w:tc>
      </w:tr>
      <w:tr>
        <w:trPr>
          <w:trHeight w:val="142"/>
        </w:trPr>
        <w:tc>
          <w:tcPr>
            <w:tcW w:w="6780" w:type="dxa"/>
            <w:vAlign w:val="bottom"/>
          </w:tcPr>
          <w:p>
            <w:pPr>
              <w:spacing w:after="0" w:line="143" w:lineRule="exact"/>
              <w:rPr>
                <w:sz w:val="20"/>
                <w:szCs w:val="20"/>
                <w:color w:val="auto"/>
              </w:rPr>
            </w:pPr>
            <w:r>
              <w:rPr>
                <w:rFonts w:ascii="Arial" w:cs="Arial" w:eastAsia="Arial" w:hAnsi="Arial"/>
                <w:sz w:val="13"/>
                <w:szCs w:val="13"/>
                <w:b w:val="1"/>
                <w:bCs w:val="1"/>
                <w:color w:val="auto"/>
              </w:rPr>
              <w:t>Cash and cash equivalents - beginning of year</w:t>
            </w:r>
          </w:p>
        </w:tc>
        <w:tc>
          <w:tcPr>
            <w:tcW w:w="520" w:type="dxa"/>
            <w:vAlign w:val="bottom"/>
          </w:tcPr>
          <w:p>
            <w:pPr>
              <w:spacing w:after="0"/>
              <w:rPr>
                <w:sz w:val="12"/>
                <w:szCs w:val="12"/>
                <w:color w:val="auto"/>
              </w:rPr>
            </w:pPr>
          </w:p>
        </w:tc>
        <w:tc>
          <w:tcPr>
            <w:tcW w:w="920" w:type="dxa"/>
            <w:vAlign w:val="bottom"/>
          </w:tcPr>
          <w:p>
            <w:pPr>
              <w:jc w:val="right"/>
              <w:ind w:right="57"/>
              <w:spacing w:after="0" w:line="143" w:lineRule="exact"/>
              <w:rPr>
                <w:sz w:val="20"/>
                <w:szCs w:val="20"/>
                <w:color w:val="auto"/>
              </w:rPr>
            </w:pPr>
            <w:r>
              <w:rPr>
                <w:rFonts w:ascii="Arial" w:cs="Arial" w:eastAsia="Arial" w:hAnsi="Arial"/>
                <w:sz w:val="13"/>
                <w:szCs w:val="13"/>
                <w:color w:val="auto"/>
              </w:rPr>
              <w:t>294</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57"/>
              <w:spacing w:after="0" w:line="143" w:lineRule="exact"/>
              <w:rPr>
                <w:sz w:val="20"/>
                <w:szCs w:val="20"/>
                <w:color w:val="auto"/>
              </w:rPr>
            </w:pPr>
            <w:r>
              <w:rPr>
                <w:rFonts w:ascii="Arial" w:cs="Arial" w:eastAsia="Arial" w:hAnsi="Arial"/>
                <w:sz w:val="13"/>
                <w:szCs w:val="13"/>
                <w:color w:val="auto"/>
              </w:rPr>
              <w:t>566</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77"/>
              <w:spacing w:after="0" w:line="143" w:lineRule="exact"/>
              <w:rPr>
                <w:sz w:val="20"/>
                <w:szCs w:val="20"/>
                <w:color w:val="auto"/>
              </w:rPr>
            </w:pPr>
            <w:r>
              <w:rPr>
                <w:rFonts w:ascii="Arial" w:cs="Arial" w:eastAsia="Arial" w:hAnsi="Arial"/>
                <w:sz w:val="13"/>
                <w:szCs w:val="13"/>
                <w:color w:val="auto"/>
              </w:rPr>
              <w:t>1,017</w:t>
            </w: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color w:val="auto"/>
              </w:rPr>
              <w:t>Change in cash and cash equivalents held by Valvoline</w:t>
            </w:r>
          </w:p>
        </w:tc>
        <w:tc>
          <w:tcPr>
            <w:tcW w:w="5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171</w:t>
            </w:r>
          </w:p>
        </w:tc>
      </w:tr>
      <w:tr>
        <w:trPr>
          <w:trHeight w:val="182"/>
        </w:trPr>
        <w:tc>
          <w:tcPr>
            <w:tcW w:w="678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b w:val="1"/>
                <w:bCs w:val="1"/>
                <w:color w:val="auto"/>
              </w:rPr>
              <w:t>Cash and cash equivalents - end of year</w:t>
            </w:r>
          </w:p>
        </w:tc>
        <w:tc>
          <w:tcPr>
            <w:tcW w:w="520" w:type="dxa"/>
            <w:vAlign w:val="bottom"/>
            <w:tcBorders>
              <w:bottom w:val="single" w:sz="8" w:color="auto"/>
            </w:tcBorders>
          </w:tcPr>
          <w:p>
            <w:pPr>
              <w:jc w:val="right"/>
              <w:ind w:right="413"/>
              <w:spacing w:after="0"/>
              <w:rPr>
                <w:sz w:val="20"/>
                <w:szCs w:val="20"/>
                <w:color w:val="auto"/>
              </w:rPr>
            </w:pPr>
            <w:r>
              <w:rPr>
                <w:rFonts w:ascii="Arial" w:cs="Arial" w:eastAsia="Arial" w:hAnsi="Arial"/>
                <w:sz w:val="9"/>
                <w:szCs w:val="9"/>
                <w:color w:val="auto"/>
                <w:w w:val="78"/>
              </w:rPr>
              <w:t>$</w:t>
            </w:r>
          </w:p>
        </w:tc>
        <w:tc>
          <w:tcPr>
            <w:tcW w:w="92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232</w:t>
            </w:r>
          </w:p>
        </w:tc>
        <w:tc>
          <w:tcPr>
            <w:tcW w:w="14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jc w:val="right"/>
              <w:ind w:right="453"/>
              <w:spacing w:after="0"/>
              <w:rPr>
                <w:sz w:val="20"/>
                <w:szCs w:val="20"/>
                <w:color w:val="auto"/>
              </w:rPr>
            </w:pPr>
            <w:r>
              <w:rPr>
                <w:rFonts w:ascii="Arial" w:cs="Arial" w:eastAsia="Arial" w:hAnsi="Arial"/>
                <w:sz w:val="9"/>
                <w:szCs w:val="9"/>
                <w:color w:val="auto"/>
                <w:w w:val="78"/>
              </w:rPr>
              <w:t>$</w:t>
            </w:r>
          </w:p>
        </w:tc>
        <w:tc>
          <w:tcPr>
            <w:tcW w:w="90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294</w:t>
            </w:r>
          </w:p>
        </w:tc>
        <w:tc>
          <w:tcPr>
            <w:tcW w:w="12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jc w:val="right"/>
              <w:ind w:right="417"/>
              <w:spacing w:after="0" w:line="143"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rPr>
              <w:t>566</w:t>
            </w:r>
          </w:p>
        </w:tc>
      </w:tr>
      <w:tr>
        <w:trPr>
          <w:trHeight w:val="129"/>
        </w:trPr>
        <w:tc>
          <w:tcPr>
            <w:tcW w:w="67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Changes in assets and liabilities (a)</w:t>
            </w:r>
          </w:p>
        </w:tc>
        <w:tc>
          <w:tcPr>
            <w:tcW w:w="5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r>
      <w:tr>
        <w:trPr>
          <w:trHeight w:val="149"/>
        </w:trPr>
        <w:tc>
          <w:tcPr>
            <w:tcW w:w="6780" w:type="dxa"/>
            <w:vAlign w:val="bottom"/>
          </w:tcPr>
          <w:p>
            <w:pPr>
              <w:spacing w:after="0"/>
              <w:rPr>
                <w:sz w:val="20"/>
                <w:szCs w:val="20"/>
                <w:color w:val="auto"/>
              </w:rPr>
            </w:pPr>
            <w:r>
              <w:rPr>
                <w:rFonts w:ascii="Arial" w:cs="Arial" w:eastAsia="Arial" w:hAnsi="Arial"/>
                <w:sz w:val="13"/>
                <w:szCs w:val="13"/>
                <w:color w:val="auto"/>
              </w:rPr>
              <w:t>Accounts receivable</w:t>
            </w:r>
          </w:p>
        </w:tc>
        <w:tc>
          <w:tcPr>
            <w:tcW w:w="520" w:type="dxa"/>
            <w:vAlign w:val="bottom"/>
          </w:tcPr>
          <w:p>
            <w:pPr>
              <w:jc w:val="right"/>
              <w:ind w:right="41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38</w:t>
            </w:r>
          </w:p>
        </w:tc>
        <w:tc>
          <w:tcPr>
            <w:tcW w:w="700" w:type="dxa"/>
            <w:vAlign w:val="bottom"/>
            <w:gridSpan w:val="2"/>
          </w:tcPr>
          <w:p>
            <w:pPr>
              <w:jc w:val="right"/>
              <w:ind w:right="45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(42)</w:t>
            </w:r>
          </w:p>
        </w:tc>
        <w:tc>
          <w:tcPr>
            <w:tcW w:w="680" w:type="dxa"/>
            <w:vAlign w:val="bottom"/>
            <w:gridSpan w:val="2"/>
          </w:tcPr>
          <w:p>
            <w:pPr>
              <w:jc w:val="right"/>
              <w:ind w:right="4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(29)</w:t>
            </w: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color w:val="auto"/>
              </w:rPr>
              <w:t>Inventories</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(12)</w:t>
            </w:r>
          </w:p>
        </w:tc>
      </w:tr>
      <w:tr>
        <w:trPr>
          <w:trHeight w:val="149"/>
        </w:trPr>
        <w:tc>
          <w:tcPr>
            <w:tcW w:w="6780" w:type="dxa"/>
            <w:vAlign w:val="bottom"/>
          </w:tcPr>
          <w:p>
            <w:pPr>
              <w:spacing w:after="0"/>
              <w:rPr>
                <w:sz w:val="20"/>
                <w:szCs w:val="20"/>
                <w:color w:val="auto"/>
              </w:rPr>
            </w:pPr>
            <w:r>
              <w:rPr>
                <w:rFonts w:ascii="Arial" w:cs="Arial" w:eastAsia="Arial" w:hAnsi="Arial"/>
                <w:sz w:val="13"/>
                <w:szCs w:val="13"/>
                <w:color w:val="auto"/>
              </w:rPr>
              <w:t>Trade and other payables</w:t>
            </w:r>
          </w:p>
        </w:tc>
        <w:tc>
          <w:tcPr>
            <w:tcW w:w="5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(79)</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33</w:t>
            </w: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color w:val="auto"/>
              </w:rPr>
              <w:t>Other assets and liabilities</w:t>
            </w:r>
          </w:p>
        </w:tc>
        <w:tc>
          <w:tcPr>
            <w:tcW w:w="5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w:t>
            </w:r>
          </w:p>
        </w:tc>
        <w:tc>
          <w:tcPr>
            <w:tcW w:w="140" w:type="dxa"/>
            <w:vAlign w:val="bottom"/>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(12)</w:t>
            </w:r>
          </w:p>
        </w:tc>
      </w:tr>
      <w:tr>
        <w:trPr>
          <w:trHeight w:val="182"/>
        </w:trPr>
        <w:tc>
          <w:tcPr>
            <w:tcW w:w="678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b w:val="1"/>
                <w:bCs w:val="1"/>
                <w:color w:val="auto"/>
              </w:rPr>
              <w:t>Change in operating assets and liabilities</w:t>
            </w:r>
          </w:p>
        </w:tc>
        <w:tc>
          <w:tcPr>
            <w:tcW w:w="520" w:type="dxa"/>
            <w:vAlign w:val="bottom"/>
            <w:tcBorders>
              <w:bottom w:val="single" w:sz="8" w:color="auto"/>
            </w:tcBorders>
          </w:tcPr>
          <w:p>
            <w:pPr>
              <w:jc w:val="right"/>
              <w:ind w:right="413"/>
              <w:spacing w:after="0"/>
              <w:rPr>
                <w:sz w:val="20"/>
                <w:szCs w:val="20"/>
                <w:color w:val="auto"/>
              </w:rPr>
            </w:pPr>
            <w:r>
              <w:rPr>
                <w:rFonts w:ascii="Arial" w:cs="Arial" w:eastAsia="Arial" w:hAnsi="Arial"/>
                <w:sz w:val="9"/>
                <w:szCs w:val="9"/>
                <w:color w:val="auto"/>
                <w:w w:val="78"/>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(129)</w:t>
            </w:r>
          </w:p>
        </w:tc>
        <w:tc>
          <w:tcPr>
            <w:tcW w:w="14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jc w:val="right"/>
              <w:ind w:right="453"/>
              <w:spacing w:after="0"/>
              <w:rPr>
                <w:sz w:val="20"/>
                <w:szCs w:val="20"/>
                <w:color w:val="auto"/>
              </w:rPr>
            </w:pPr>
            <w:r>
              <w:rPr>
                <w:rFonts w:ascii="Arial" w:cs="Arial" w:eastAsia="Arial" w:hAnsi="Arial"/>
                <w:sz w:val="9"/>
                <w:szCs w:val="9"/>
                <w:color w:val="auto"/>
                <w:w w:val="78"/>
              </w:rPr>
              <w:t>$</w:t>
            </w:r>
          </w:p>
        </w:tc>
        <w:tc>
          <w:tcPr>
            <w:tcW w:w="900" w:type="dxa"/>
            <w:vAlign w:val="bottom"/>
            <w:tcBorders>
              <w:bottom w:val="single" w:sz="8" w:color="auto"/>
            </w:tcBorders>
          </w:tcPr>
          <w:p>
            <w:pPr>
              <w:jc w:val="right"/>
              <w:ind w:right="57"/>
              <w:spacing w:after="0" w:line="143" w:lineRule="exact"/>
              <w:rPr>
                <w:sz w:val="20"/>
                <w:szCs w:val="20"/>
                <w:color w:val="auto"/>
              </w:rPr>
            </w:pPr>
            <w:r>
              <w:rPr>
                <w:rFonts w:ascii="Arial" w:cs="Arial" w:eastAsia="Arial" w:hAnsi="Arial"/>
                <w:sz w:val="13"/>
                <w:szCs w:val="13"/>
                <w:color w:val="auto"/>
              </w:rPr>
              <w:t>25</w:t>
            </w:r>
          </w:p>
        </w:tc>
        <w:tc>
          <w:tcPr>
            <w:tcW w:w="12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jc w:val="right"/>
              <w:ind w:right="417"/>
              <w:spacing w:after="0" w:line="143"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rPr>
              <w:t>(20)</w:t>
            </w:r>
          </w:p>
        </w:tc>
      </w:tr>
      <w:tr>
        <w:trPr>
          <w:trHeight w:val="129"/>
        </w:trPr>
        <w:tc>
          <w:tcPr>
            <w:tcW w:w="67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Supplemental disclosures</w:t>
            </w:r>
          </w:p>
        </w:tc>
        <w:tc>
          <w:tcPr>
            <w:tcW w:w="5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r>
      <w:tr>
        <w:trPr>
          <w:trHeight w:val="149"/>
        </w:trPr>
        <w:tc>
          <w:tcPr>
            <w:tcW w:w="6780" w:type="dxa"/>
            <w:vAlign w:val="bottom"/>
          </w:tcPr>
          <w:p>
            <w:pPr>
              <w:spacing w:after="0"/>
              <w:rPr>
                <w:sz w:val="20"/>
                <w:szCs w:val="20"/>
                <w:color w:val="auto"/>
              </w:rPr>
            </w:pPr>
            <w:r>
              <w:rPr>
                <w:rFonts w:ascii="Arial" w:cs="Arial" w:eastAsia="Arial" w:hAnsi="Arial"/>
                <w:sz w:val="13"/>
                <w:szCs w:val="13"/>
                <w:color w:val="auto"/>
              </w:rPr>
              <w:t>Interest paid</w:t>
            </w:r>
          </w:p>
        </w:tc>
        <w:tc>
          <w:tcPr>
            <w:tcW w:w="520" w:type="dxa"/>
            <w:vAlign w:val="bottom"/>
          </w:tcPr>
          <w:p>
            <w:pPr>
              <w:jc w:val="right"/>
              <w:ind w:right="413"/>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124</w:t>
            </w:r>
          </w:p>
        </w:tc>
        <w:tc>
          <w:tcPr>
            <w:tcW w:w="700" w:type="dxa"/>
            <w:vAlign w:val="bottom"/>
            <w:gridSpan w:val="2"/>
          </w:tcPr>
          <w:p>
            <w:pPr>
              <w:jc w:val="right"/>
              <w:ind w:right="45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126</w:t>
            </w:r>
          </w:p>
        </w:tc>
        <w:tc>
          <w:tcPr>
            <w:tcW w:w="680" w:type="dxa"/>
            <w:vAlign w:val="bottom"/>
            <w:gridSpan w:val="2"/>
          </w:tcPr>
          <w:p>
            <w:pPr>
              <w:jc w:val="right"/>
              <w:ind w:right="4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132</w:t>
            </w:r>
          </w:p>
        </w:tc>
      </w:tr>
      <w:tr>
        <w:trPr>
          <w:trHeight w:val="149"/>
        </w:trPr>
        <w:tc>
          <w:tcPr>
            <w:tcW w:w="6780" w:type="dxa"/>
            <w:vAlign w:val="bottom"/>
            <w:shd w:val="clear" w:color="auto" w:fill="CFF0FC"/>
          </w:tcPr>
          <w:p>
            <w:pPr>
              <w:spacing w:after="0"/>
              <w:rPr>
                <w:sz w:val="20"/>
                <w:szCs w:val="20"/>
                <w:color w:val="auto"/>
              </w:rPr>
            </w:pPr>
            <w:r>
              <w:rPr>
                <w:rFonts w:ascii="Arial" w:cs="Arial" w:eastAsia="Arial" w:hAnsi="Arial"/>
                <w:sz w:val="13"/>
                <w:szCs w:val="13"/>
                <w:color w:val="auto"/>
              </w:rPr>
              <w:t>Income taxes paid</w:t>
            </w:r>
          </w:p>
        </w:tc>
        <w:tc>
          <w:tcPr>
            <w:tcW w:w="5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67</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77</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79</w:t>
            </w:r>
          </w:p>
        </w:tc>
      </w:tr>
    </w:tbl>
    <w:p>
      <w:pPr>
        <w:spacing w:after="0" w:line="7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Excludes changes resulting from operations acquired or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8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121"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7"/>
          <w:szCs w:val="17"/>
          <w:color w:val="auto"/>
        </w:rPr>
        <w:t>On September 20, 2016, Ashland was reincorporated under the laws of the State of Delaware through a tax-free reorganization under a new holding company structure (the Reorganization). As a result of the Reorganization, Ashland Global Holdings Inc. replaced Ashland Inc. as the publicly held corporation and, through its subsidiaries, now conducts all of the operations that historically were conducted by Ashland Inc. Pursuant to the terms of the Reorganization, each outstanding share of Ashland common stock was automatically converted into one share of Ashland Global Holdings Inc. common stock. Following consummation of the Reorganization, (i) Ashland Inc. was converted into Ashland LLC, an indirect, wholly owned subsidiary of Ashland Global Holdings Inc., and (ii) Ashland Global Holdings Inc., as the new holding company, through its subsidiaries, conducts all of the operations conducted by Ashland Inc. immediately prior to the Reorganization. The Consolidated Financial Statements include the accounts of Ashland Global Holdings Inc. and its majority owned subsidiaries and, when applicable, entities for which Ashland has a controlling financial interest or is the primary beneficiary (Ashland). For entities for which Ashland has a controlling financial interest but owns less than 100%, the outside stockholders’ interests are shown as noncontrolling interests. Investments in joint ventures and 20% to 50% owned affiliates where Ashland has the ability to exert significant influence are accounted for under the equity method.</w:t>
      </w:r>
    </w:p>
    <w:p>
      <w:pPr>
        <w:spacing w:after="0" w:line="75"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(U.S. GAAP) and U.S. Securities and Exchange Commission (SEC) regulations. All intercompany transactions and balances have been eliminated. Additionally, certain prior period data, primarily related to discontinued operations, have been reclassified in the Consolidated Financial Statements and accompanying notes to conform to the current period presentation, as further described in this section.</w:t>
      </w:r>
    </w:p>
    <w:p>
      <w:pPr>
        <w:spacing w:after="0" w:line="63"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On May 12, 2017, Ashland completed the distribution of its remaining 170 million shares of common stock of Valvoline Inc. which represented approximately 83% of the total outstanding shares of Valvoline Inc.'s common stock. This distribution of Valvoline represented a strategic shift in Ashland's business and, in accordance with U.S. GAAP, qualified as a discontinued operation. Accordingly, Valvoline's assets, liabilities, operating results and cash flows for all periods presented have been classified as discontinued operations within the Consolidated Financial Statements. See Note B for additional information on the separation of Valvoline Inc. The term Valvoline as used herein, depending on context, refers to either Valvoline Inc. or Valvoline as a previous reportable segment of Ashland.</w:t>
      </w:r>
    </w:p>
    <w:p>
      <w:pPr>
        <w:spacing w:after="0" w:line="85"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On August 30, 2019, Ashland completed the sale of its Composites business (excluding Ashland’s maleic anhydride business (Maleic business)) and its butanediol facility in Marl, Germany (Marl facility). This disposal group represented a strategic shift in Ashland’s business and in accordance with U.S. GAAP, qualified as a discontinued operation. Accordingly, Composites (including the Maleic business) and the Marl facility assets, liabilities, operating results and cash flows for all periods presented have been classified as discontinued operations within the Consolidated Financial Statements. See Note D for additional information on the Composites business and Marl facility.</w:t>
      </w:r>
    </w:p>
    <w:p>
      <w:pPr>
        <w:spacing w:after="0" w:line="80"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Subsequent to completing the separation from Valvoline Inc. and the Composites business (including the Maleic business) and Marl facility sale, Ashland's operations are managed within the following two reportable segments: Specialty Ingredients and Intermediates and Solvents.</w:t>
      </w:r>
    </w:p>
    <w:p>
      <w:pPr>
        <w:spacing w:after="0" w:line="38"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the periods presented in the Consolidated Financial Statements, Ashland sold certain assets in its portfolio of businesses which, in accordance with U.S. GAAP, were not reflected as discontinued operations. See Notes D and S for additional information on these transactions as well as Ashland’s current reportable segment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risks and uncertainties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preparation of Ashland’s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environmental remediation, asbestos litigation, long-lived assets (including goodwill and other intangible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jc w:val="both"/>
        <w:spacing w:after="0" w:line="277" w:lineRule="auto"/>
        <w:rPr>
          <w:sz w:val="20"/>
          <w:szCs w:val="20"/>
          <w:color w:val="auto"/>
        </w:rPr>
      </w:pPr>
      <w:r>
        <w:rPr>
          <w:rFonts w:ascii="Arial" w:cs="Arial" w:eastAsia="Arial" w:hAnsi="Arial"/>
          <w:sz w:val="18"/>
          <w:szCs w:val="18"/>
          <w:color w:val="auto"/>
        </w:rPr>
        <w:t>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62"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Cash and cash equivalents include cash on hand and highly liquid investments maturing within three months after purchase.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Ashland records an allowance for doubtful accounts as a best estimate of the amount of probable credit losses for accounts receivable. Ashland reviews this allowance and considers factors such as customer credit, past transaction history with the customer and changes in customer payment terms when determining whether the collection of a receivable is reasonably assured. Past due balances over 90 days and over a specified amount are reviewed individually for collectibility. The allowance for doubtful accounts is adjusted when it becomes probable a receivable will not be recovered.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progression of activity in the allowance for doubtful accounts is presented in the following table.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50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 - beginning of year</w:t>
            </w:r>
          </w:p>
        </w:tc>
        <w:tc>
          <w:tcPr>
            <w:tcW w:w="204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68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Adjustments to net income</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Reserves utilized</w:t>
            </w:r>
          </w:p>
        </w:tc>
        <w:tc>
          <w:tcPr>
            <w:tcW w:w="15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changes</w:t>
            </w:r>
          </w:p>
        </w:tc>
        <w:tc>
          <w:tcPr>
            <w:tcW w:w="15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doubtful accounts - end of year</w:t>
            </w:r>
          </w:p>
        </w:tc>
        <w:tc>
          <w:tcPr>
            <w:tcW w:w="15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0"/>
        </w:trPr>
        <w:tc>
          <w:tcPr>
            <w:tcW w:w="5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Inventories are carried at the lower of cost or net realizable value. Inventories are primarily stated at cost using the weighted-average cost method. In addition, certain chemicals with a replacement cost of $66 million at September 30, 2019 and $70 million at September 30, 2018 are valued at cost using the last-in, first-out (LIFO) method.</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summarizes Ashland’s inventories as of the Consolidated Balance Sheet dates.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3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Finished products</w:t>
            </w:r>
          </w:p>
        </w:tc>
        <w:tc>
          <w:tcPr>
            <w:tcW w:w="296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51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381</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Raw materials, supplies and work in process</w:t>
            </w:r>
          </w:p>
        </w:tc>
        <w:tc>
          <w:tcPr>
            <w:tcW w:w="2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215</w:t>
            </w: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LIFO benefit (reserve)</w:t>
            </w:r>
          </w:p>
        </w:tc>
        <w:tc>
          <w:tcPr>
            <w:tcW w:w="23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5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1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596</w:t>
            </w:r>
          </w:p>
        </w:tc>
      </w:tr>
      <w:tr>
        <w:trPr>
          <w:trHeight w:val="20"/>
        </w:trPr>
        <w:tc>
          <w:tcPr>
            <w:tcW w:w="5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A progression of activity in the inventory reserves, which reduce the amounts of finished products and raw materials, supplies and work in process reported, is presented in the following table.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Inventory reserves - beginning of year</w:t>
            </w:r>
          </w:p>
        </w:tc>
        <w:tc>
          <w:tcPr>
            <w:tcW w:w="316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6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68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Adjustments to net income</w:t>
            </w:r>
          </w:p>
        </w:tc>
        <w:tc>
          <w:tcPr>
            <w:tcW w:w="2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Reserves utilized</w:t>
            </w:r>
          </w:p>
        </w:tc>
        <w:tc>
          <w:tcPr>
            <w:tcW w:w="26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Inventory reserves - end of year</w:t>
            </w:r>
          </w:p>
        </w:tc>
        <w:tc>
          <w:tcPr>
            <w:tcW w:w="26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r>
      <w:tr>
        <w:trPr>
          <w:trHeight w:val="20"/>
        </w:trPr>
        <w:tc>
          <w:tcPr>
            <w:tcW w:w="4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34"/>
        </w:trPr>
        <w:tc>
          <w:tcPr>
            <w:tcW w:w="4160" w:type="dxa"/>
            <w:vAlign w:val="bottom"/>
          </w:tcPr>
          <w:p>
            <w:pPr>
              <w:spacing w:after="0"/>
              <w:rPr>
                <w:sz w:val="24"/>
                <w:szCs w:val="24"/>
                <w:color w:val="auto"/>
              </w:rPr>
            </w:pPr>
          </w:p>
        </w:tc>
        <w:tc>
          <w:tcPr>
            <w:tcW w:w="3160" w:type="dxa"/>
            <w:vAlign w:val="bottom"/>
            <w:gridSpan w:val="2"/>
          </w:tcPr>
          <w:p>
            <w:pPr>
              <w:jc w:val="right"/>
              <w:ind w:right="1350"/>
              <w:spacing w:after="0"/>
              <w:rPr>
                <w:sz w:val="20"/>
                <w:szCs w:val="20"/>
                <w:color w:val="auto"/>
              </w:rPr>
            </w:pPr>
            <w:r>
              <w:rPr>
                <w:rFonts w:ascii="Arial" w:cs="Arial" w:eastAsia="Arial" w:hAnsi="Arial"/>
                <w:sz w:val="18"/>
                <w:szCs w:val="18"/>
                <w:color w:val="auto"/>
              </w:rPr>
              <w:t>F-12</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cost of property, plant and equipment is depreciated by the straight-line method over the estimated useful lives of the assets. Buildings are depreciated principally over 12 to 35 years and machinery and equipment principally over 2 to 25 years. Such costs are periodically reviewed for recoverability when impairment indicators are present. Such indicators include, among other factors, operating losses, unused capacity, market value declines and technological obsolescence. Recorded values of asset groups of property, plant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tests goodwill and other indefinite-lived intangible assets for impairment annually as of July 1 and when events and circumstances indicate an impairment may have occurred. Ashland reviews goodwill for impairment based on its identified reporting units, which are defined as operating segments or groupings of businesses one level below the operating segment level. Ashland tests goodwill for impairment by comparing the carrying value to the estimated fair value of its reporting units.</w:t>
      </w:r>
    </w:p>
    <w:p>
      <w:pPr>
        <w:spacing w:after="0" w:line="7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 the current year, Ashland performed a quantitative goodwill impairment test and determined the fair value of its reporting units using a combination of discounted cash flow models and valuations based on earnings multiples for guideline public companies in each reporting unit’s industry peer group, when externally quoted market prices are not readily available. If this comparison indicates that a reporting unit’s estimated fair value is less than its carrying value, it is adjusted to its calculated fair value and the adjustment represents the impairment charge.</w:t>
      </w:r>
    </w:p>
    <w:p>
      <w:pPr>
        <w:spacing w:after="0" w:line="79" w:lineRule="exact"/>
        <w:rPr>
          <w:sz w:val="20"/>
          <w:szCs w:val="20"/>
          <w:color w:val="auto"/>
        </w:rPr>
      </w:pPr>
    </w:p>
    <w:p>
      <w:pPr>
        <w:jc w:val="both"/>
        <w:ind w:firstLine="401"/>
        <w:spacing w:after="0" w:line="293" w:lineRule="auto"/>
        <w:rPr>
          <w:sz w:val="20"/>
          <w:szCs w:val="20"/>
          <w:color w:val="auto"/>
        </w:rPr>
      </w:pPr>
      <w:r>
        <w:rPr>
          <w:rFonts w:ascii="Arial" w:cs="Arial" w:eastAsia="Arial" w:hAnsi="Arial"/>
          <w:sz w:val="16"/>
          <w:szCs w:val="16"/>
          <w:color w:val="auto"/>
        </w:rPr>
        <w:t>In the prior year for its July 1, 2018 goodwill impairment test, Ashland performed an extensive qualitative analysis in order to determine whether it was necessary to perform a quantitative goodwill impairment test. In performing this analysis, Ashland considered relevant events and circumstances such as macroeconomic conditions, industry and market considerations, overall financial performance and changes in management and business strategy, changes in carrying value, among others. Ashland considered how these relevant events and circumstances have changed since its most recent quantitative goodwill impairment test performed in the prior year as of July 1, 2017. After weighting the significance of these factors, Ashland determined that it was more likely than not that the fair value of its reporting units exceeds the carrying value and that a quantitative impairment test was not necessary to perform.</w:t>
      </w:r>
    </w:p>
    <w:p>
      <w:pPr>
        <w:spacing w:after="0" w:line="57" w:lineRule="exact"/>
        <w:rPr>
          <w:sz w:val="20"/>
          <w:szCs w:val="20"/>
          <w:color w:val="auto"/>
        </w:rPr>
      </w:pPr>
    </w:p>
    <w:p>
      <w:pPr>
        <w:jc w:val="both"/>
        <w:ind w:firstLine="401"/>
        <w:spacing w:after="0" w:line="293" w:lineRule="auto"/>
        <w:rPr>
          <w:sz w:val="20"/>
          <w:szCs w:val="20"/>
          <w:color w:val="auto"/>
        </w:rPr>
      </w:pPr>
      <w:r>
        <w:rPr>
          <w:rFonts w:ascii="Arial" w:cs="Arial" w:eastAsia="Arial" w:hAnsi="Arial"/>
          <w:sz w:val="16"/>
          <w:szCs w:val="16"/>
          <w:color w:val="auto"/>
        </w:rPr>
        <w:t>Ashland tests at least annually its indefinite-lived intangible assets, principally trademarks and trade names. If the carrying value of an individual indefinite-lived intangible asset exceeds its fair value, such individual indefinite-lived intangible asset is written down by an amount equal to such excess. Similar to goodwill, Ashland first performs a qualitative analysis in order to determine whether it is necessary to perform a quantitative goodwill impairment test for the trademarks and trade names. If a quantitative analysis is deemed necessary, trademarks and trade names are valued using a “relief-from-royalty” valuation method compared to the carrying value. Significant assumptions inherent in the valuation methodologies include, but are not limited to, such estimates as future projected business results, growth rates, the weighted-average cost of capital for a market participant, and royalty and discount rates.</w:t>
      </w:r>
    </w:p>
    <w:p>
      <w:pPr>
        <w:spacing w:after="0" w:line="57"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Finite-lived intangible assets principally consist of certain trademarks and trade names, intellectual property, and customer lists. These intangible assets are amortized on a straight-line basis over their estimated useful lives. The cost of trademarks and trade names is amortized principally over 3 to 25 years, intellectual property over 5 to 25 years and customer and supplier relationships over 3 to 24 years. Ashland reviews finite-lived intangible assets for impairment whenever events or changes in circumstances indicate the carrying amount of an asset may not be recoverable. Ashland monitors these changes and events on at least a quarterly basis. For further information on goodwill and other intangible assets, see Note I.</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Derivative instruments</w:t>
      </w:r>
    </w:p>
    <w:p>
      <w:pPr>
        <w:spacing w:after="0" w:line="121"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Ashland regularly uses derivative instruments to manage its exposure to fluctuations in foreign currencies and certain commodities. All derivative instruments are recognized as either assets or liabilities on the balance sheet and are measured at fair value. Changes in the fair value of all derivatives are recognized immediately in the Statements of Consolidated Comprehensive Income (Loss) unless the derivative qualifies as a hedge of future cash flows or a hedge of a net investment in a foreign operation. Gains and losses related to an instrument that qualifies for hedge accounting are either recognized in the Statements of Consolidated Comprehensive Income (Loss) immediately to offset the gain or loss on the hedged item, or deferred and recorded in the stockholders’ equity section of the Consolidated Balance Sheets as a component of accumulated other comprehensive income and subsequently recognized in the Statements of Consolidated Comprehensive Income (Loss) when the hedged item affects net income. The ineffective portion of the change in fair value of a hedge is recognized in income immediately. For additional information on derivative instruments, see Note 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investments</w:t>
      </w:r>
    </w:p>
    <w:p>
      <w:pPr>
        <w:spacing w:after="0" w:line="121"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color w:val="auto"/>
        </w:rPr>
        <w:t>On January 13, 2015, Ashland and Hercules LLC (formerly Hercules Incorporated), an indirect wholly-owned subsidiary of Ashland that was acquired in 2009, entered into a comprehensive settlement agreement related to certain insurance coverage for asbestos bodily injury claims with Underwriters at Lloyd’s, certain London companies and Chartis (AIG) member companies, along with National Indemnity Company and Resolute Management, Inc., under which Ashland and Hercules received a total of $398 million (the January 2015 asbestos insurance settlement). During 2015, Ashland placed $335 million of the settlement funds into a renewable annual trust that Ashland determined is restricted for the purpose of paying ongoing and future litigation defense and claim settlement costs incurred in conjunction with asbestos claims. These funds are presented primarily as noncurrent assets, with $24 million and $30 million classified within other current assets in the Consolidated Balance Sheets as of September 30, 2019 and 2018, respectively.</w:t>
      </w:r>
    </w:p>
    <w:p>
      <w:pPr>
        <w:spacing w:after="0" w:line="59"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 of September 30, 2019 and 2018, the funds within the trust had a balance of $334 million and $342 million, respectively, and were primarily invested in equity, U.S. government bond and corporate bond investments with a portion maintained in demand deposits. The funds within the trust are classified as investment securities reported at fair value. Interest income and gains and losses on the investment securities are reported in the net interest and other expense caption in the Statements of Consolidated Comprehensive Income (Loss). See Note G for additional information regarding the fair value of these investments within the trust.</w:t>
      </w:r>
    </w:p>
    <w:p>
      <w:pPr>
        <w:spacing w:after="0" w:line="80"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In January 2016, the FASB issued accounting guidance related to the recognition and measurement as well as the presentation and disclosures for certain financial instruments. Most notably, the guidance requires entities to measure equity investments at fair value and to recognize any changes in fair value in net income rather than accumulated other comprehensive income (AOCI). The guidance became effective for Ashland on October 1, 2018 and resulted in Ashland recording a cumulative-effect adjustment to reclassify net after-tax unrealized gains of $34 million on its equity securities from AOCI to retained earnings.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7"/>
          <w:szCs w:val="17"/>
          <w:color w:val="auto"/>
        </w:rPr>
        <w:t>In May 2014, the FASB issued accounting guidance outlining a single comprehensive five step model for entities to use in accounting for revenue arising from contracts with customers (ASC 606 Revenue from Contracts with Customers). The new guidance and subsequent amendments to it superseded most current revenue recognition guidance, in an effort to converge the revenue recognition principles within U.S. GAAP. This new guidance required entities to disclose certain quantitative and qualitative information regarding the nature, amount, timing and uncertainty of qualifying revenue and cash flows arising from contracts with customers. Entities had the option of using a full retrospective or a modified retrospective approach to adopt the new guidance. This guidance became effective for Ashland on October 1, 2018. Ashland elected to adopt this standard using the modified retrospective approach and determined that the overall impact was not material to the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2" w:name="page93"/>
    <w:bookmarkEnd w:id="92"/>
    <w:p>
      <w:pPr>
        <w:jc w:val="both"/>
        <w:ind w:right="20" w:firstLine="401"/>
        <w:spacing w:after="0" w:line="286" w:lineRule="auto"/>
        <w:rPr>
          <w:sz w:val="20"/>
          <w:szCs w:val="20"/>
          <w:color w:val="auto"/>
        </w:rPr>
      </w:pPr>
      <w:r>
        <w:rPr>
          <w:rFonts w:ascii="Arial" w:cs="Arial" w:eastAsia="Arial" w:hAnsi="Arial"/>
          <w:sz w:val="17"/>
          <w:szCs w:val="17"/>
          <w:color w:val="auto"/>
        </w:rPr>
        <w:t>Ashland’s revenue is measured as the amount of consideration it expects to receive in exchange for transferring goods or providing services and is recognized when performance obligations are satisfied under the terms of contracts with customers. Ashland generally utilizes standardized language for the terms of contracts, unless a separate agreement has been entered into with a customer that supersedes the standard language.</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additional information on revenues see Note 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recognition</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Cost of sales include material and production costs, as well as the costs of inbound and outbound freight, purchasing and receiving, inspection, warehousing, internal transfers and all other distribution network costs. Selling, general and administrative expense includes sales and marketing costs, advertising, customer support, environmental remediation, corporate and divisional administrative and other costs. Advertising costs ($4 million in 2019, $4 million in 2018 and $5 million 2017) and research and development costs ($66 million in 2019, $73 million in 2018 and $73 million in 2017) are expensed as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01"/>
        <w:spacing w:after="0" w:line="287" w:lineRule="auto"/>
        <w:rPr>
          <w:sz w:val="20"/>
          <w:szCs w:val="20"/>
          <w:color w:val="auto"/>
        </w:rPr>
      </w:pPr>
      <w:r>
        <w:rPr>
          <w:rFonts w:ascii="Arial" w:cs="Arial" w:eastAsia="Arial" w:hAnsi="Arial"/>
          <w:sz w:val="16"/>
          <w:szCs w:val="16"/>
          <w:color w:val="auto"/>
        </w:rPr>
        <w:t>Ashland is subject to income taxes in the United States and numerous foreign jurisdictions. Significant judgment in the forecasting of taxable income using historical and projected future operating results is required in determining Ashland’s provision for income taxes and the related assets and liabilities. The provision for income taxes includes income taxes paid, currently payable or receivable, and deferred taxes. Ashland recognizes the income tax benefit from an uncertain tax position only if it is more likely than not that the tax position will be sustained on examination by taxing authorities, based on the technical merits of the position. Ashland evaluates and adjusts these accruals based on changing facts and circumstances.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Valuation allowances are established when necessary on a jurisdictional basis to reduce deferred tax assets to the amounts expected to be realized. In the event that the actual outcome of future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Statements of Consolidated Comprehensive Income (Loss) and Consolidated Balance Sheets. For additional information on income taxes, see Note M.</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progression of activity in the tax valuation allowances is presented in the following table.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7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Tax valuation allowances - beginning of year</w:t>
            </w:r>
          </w:p>
        </w:tc>
        <w:tc>
          <w:tcPr>
            <w:tcW w:w="230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w:t>
            </w:r>
          </w:p>
        </w:tc>
        <w:tc>
          <w:tcPr>
            <w:tcW w:w="6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9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Adjustments to income tax expense (benefit)</w:t>
            </w:r>
          </w:p>
        </w:tc>
        <w:tc>
          <w:tcPr>
            <w:tcW w:w="1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Reserves utilized</w:t>
            </w:r>
          </w:p>
        </w:tc>
        <w:tc>
          <w:tcPr>
            <w:tcW w:w="17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Tax valuation allowances - end of year</w:t>
            </w:r>
          </w:p>
        </w:tc>
        <w:tc>
          <w:tcPr>
            <w:tcW w:w="17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r>
      <w:tr>
        <w:trPr>
          <w:trHeight w:val="20"/>
        </w:trPr>
        <w:tc>
          <w:tcPr>
            <w:tcW w:w="5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Asbestos-related litigation</w:t>
      </w:r>
    </w:p>
    <w:p>
      <w:pPr>
        <w:spacing w:after="0" w:line="121"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8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Prior to 2018, Ashland retained Hamilton, Rabinovitz &amp; Associates, Inc. (HR&amp;A) to assist in developing and annually updating independent reserve estimates for future asbestos claims and related costs given various assumptions. During 2018, Ashland transitioned these responsibilities to Nathan Associates, Inc. (Nathan). The processes and methodologies used by Nathan are consistent with the ones historically employed by HR&amp;A. The methodology used to project future asbestos costs 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3" w:name="page94"/>
    <w:bookmarkEnd w:id="93"/>
    <w:p>
      <w:pPr>
        <w:jc w:val="both"/>
        <w:spacing w:after="0" w:line="273" w:lineRule="auto"/>
        <w:rPr>
          <w:sz w:val="20"/>
          <w:szCs w:val="20"/>
          <w:color w:val="auto"/>
        </w:rPr>
      </w:pPr>
      <w:r>
        <w:rPr>
          <w:rFonts w:ascii="Arial" w:cs="Arial" w:eastAsia="Arial" w:hAnsi="Arial"/>
          <w:sz w:val="17"/>
          <w:szCs w:val="17"/>
          <w:color w:val="auto"/>
        </w:rPr>
        <w:t>based largely on Ashland’s recent experience, including claim-filing and settlement rates, disease mix, enacted legislation, open claims, and litigation defense. Ashland’s claim experience is compared to the results of previously conducted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From the range of estimates, Ashland records the amount it believes to be the best estimate of future payments for litigation defense and claim settlement costs. For additional information on asbestos-related litigation, see Note 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Accruals for environmental remediation are recognized when it is probable a liability has been incurred and the amount of that liability can be reasonably estimated. Such costs are charged to expense if they relate to the remediation of conditions caused by past operations or are not expected to mitigate or prevent contamination from future operations. Liabilities are recorded at estimated cost values based on experience, assessments and current technology, without regard to any third-party recoveries and are regularly adjusted as environmental assessments and remediation efforts continue. For additional information on environmental remediation, see Note 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121" w:lineRule="exact"/>
        <w:rPr>
          <w:sz w:val="20"/>
          <w:szCs w:val="20"/>
          <w:color w:val="auto"/>
        </w:rPr>
      </w:pPr>
    </w:p>
    <w:p>
      <w:pPr>
        <w:jc w:val="both"/>
        <w:ind w:firstLine="401"/>
        <w:spacing w:after="0" w:line="288" w:lineRule="auto"/>
        <w:rPr>
          <w:sz w:val="20"/>
          <w:szCs w:val="20"/>
          <w:color w:val="auto"/>
        </w:rPr>
      </w:pPr>
      <w:r>
        <w:rPr>
          <w:rFonts w:ascii="Arial" w:cs="Arial" w:eastAsia="Arial" w:hAnsi="Arial"/>
          <w:sz w:val="16"/>
          <w:szCs w:val="16"/>
          <w:color w:val="auto"/>
        </w:rPr>
        <w:t>The funded status of Ashland’s pension and other postretirement benefit plans is recognized in the Consolidated Balance Sheets. The funded status is measured as the difference between the fair value of plan assets and the benefit obligation at September 30, the measurement date. For defined benefit pension plans, the benefit obligation is the projected benefit obligation (PBO) and for the other postretirement benefit plans, the benefit obligation is the accumulated postretirement benefit obligation (APBO). The PBO represents the actuarial present value of benefits expected to be paid upon retirement based on estimated future compensation levels. The APBO represents the actuarial present value of postretirement benefits attributed to employee services already rendered. The measurement of the benefit obligation is based on Ashland’s estimates and actuarial valuations. These valuations reflect the terms of the plans and use participant-specific information such as compensation, age and years of service, as well as certain key assumptions that require significant judgment, including, but not limited to, estimates of discount rates, expected return on plan assets, rate of compensation increases, interest rates and mortality rates. The fair value of plan assets represents the current market value of assets held by an irrevocable trust fund for the sole benefit of participants. For additional information regarding plan assumptions and the current financial position of the pension and other postretirement plans, see Note N.</w:t>
      </w:r>
    </w:p>
    <w:p>
      <w:pPr>
        <w:spacing w:after="0" w:line="61"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Ashland recognizes the change in the fair value of plan assets and net actuarial gains and losses annually in the fourth quarter of each fiscal year and whenever a plan is determined to qualify for a remeasurement. The remaining components of pension and other postretirement benefits expense are recorded ratably on a quarterly basis. Pension and other postretirement benefits adjustments charged directly to cost of sales that are applicable to inactive participants are excluded from inventoriable costs.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(costs) caption on the Statements of Consolidated Comprehensive Income (Loss).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color w:val="auto"/>
        </w:rPr>
        <w:t>Operations outside the United States are measured primarily using the local currency as the functional currency. Upon consolidation, the results of operations of the subsidiaries and affiliates whose functional currency is other than the U.S. dollar are translated into U.S. dollars at the average exchange rates for the year while assets and liabilities are translated at year-end exchange rates. Consistent with U.S. GAAP standards, adjustments to translate assets and liabilities into U.S. dollars are recorded in the stockholders’ equity section of the Consolidated Balance Sheets as a component of accumulated other comprehensive income and are included in net earnings only upon sale or substantial liquidation of the underlying foreign subsidiary or affiliated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Stock incentive plans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recognizes compensation expense for stock incentive plans awarded to key employees and directors, primarily in the form of stock appreciation rights (SARs), restricted stock and restricted stock units, performance shares and other non-vested stock awards, that are generally based upon the grant-date fair value over the appropriate vesting period. Ashland utilizes several industry accepted valuation models to determine the fair value. For further information concerning stock incentive plans, see Note 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The following is the computation of basic and diluted earnings per share (EPS) from continuing operations attributable to Ashland. Earnings per share are reported under the treasury stock method. Stock options and SARs for each reported year whose grant price was greater than the market price of Ashland Common Stock at the end of each fiscal year were not included in the computation of loss from continuing operations per diluted share because the effect of these instruments would be antidilutive. The total number of these shares outstanding was 1.0 million for 2019, 0.7 million for 2018 and 1.1 million for 2017.</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 except per share data)</w:t>
            </w:r>
          </w:p>
        </w:tc>
        <w:tc>
          <w:tcPr>
            <w:tcW w:w="8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Numerator for basic and diluted EPS -</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(loss) from continuing operations, net of tax</w:t>
            </w:r>
          </w:p>
        </w:tc>
        <w:tc>
          <w:tcPr>
            <w:tcW w:w="13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6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6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8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EPS - Weighted-average common shares</w:t>
            </w: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8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Share based awards convertible to common shares </w:t>
            </w:r>
            <w:r>
              <w:rPr>
                <w:rFonts w:ascii="Arial" w:cs="Arial" w:eastAsia="Arial" w:hAnsi="Arial"/>
                <w:sz w:val="14"/>
                <w:szCs w:val="14"/>
                <w:color w:val="auto"/>
              </w:rPr>
              <w:t>(a)</w:t>
            </w:r>
          </w:p>
        </w:tc>
        <w:tc>
          <w:tcPr>
            <w:tcW w:w="8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diluted EPS - Adjusted weighted - average shares and</w:t>
            </w: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assumed conversions</w:t>
            </w:r>
          </w:p>
        </w:tc>
        <w:tc>
          <w:tcPr>
            <w:tcW w:w="8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EPS from continuing operations</w:t>
            </w:r>
          </w:p>
        </w:tc>
        <w:tc>
          <w:tcPr>
            <w:tcW w:w="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3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0.39</w:t>
            </w:r>
          </w:p>
        </w:tc>
        <w:tc>
          <w:tcPr>
            <w:tcW w:w="6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0.30</w:t>
            </w:r>
          </w:p>
        </w:tc>
        <w:tc>
          <w:tcPr>
            <w:tcW w:w="6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0.29</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00" w:hanging="292"/>
        <w:spacing w:after="0" w:line="253" w:lineRule="auto"/>
        <w:tabs>
          <w:tab w:leader="none" w:pos="3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As a result of the loss from continuing operations for 2017, the effect of the share-based awards convertible to common shares would be antidilutive. In accordance with U.S. GAAP, they have been excluded from the diluted EPS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In May 2014, the FASB issued accounting guidance outlining a single comprehensive five step model for entities to use in accounting for revenue arising from contracts with customers (ASC 606 Revenue from Contracts with Customers). The new guidance and subsequent amendments to it supersedes most current revenue recognition guidance, in an effort to converge the revenue recognition principles within U.S. GAAP. This new guidance also requires entities to disclose certain quantitative and qualitative information regarding the nature, amount, timing and uncertainty of qualifying revenue and cash flows arising from contracts with customers. Entities have the option of using a full retrospective or a modified retrospective approach to adopt the new guidance. This guidance became effective for Ashland on October 1, 2018.</w:t>
      </w:r>
    </w:p>
    <w:p>
      <w:pPr>
        <w:spacing w:after="0" w:line="85"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color w:val="auto"/>
        </w:rPr>
        <w:t xml:space="preserve">Ashland formed an implementation team that evaluated the impact of the new standard on the Consolidated Financial Statements and the adoption method options available as well as the overall impact the new guidance will have on the organization. </w:t>
      </w:r>
      <w:r>
        <w:rPr>
          <w:rFonts w:ascii="Arial" w:cs="Arial" w:eastAsia="Arial" w:hAnsi="Arial"/>
          <w:sz w:val="18"/>
          <w:szCs w:val="18"/>
          <w:color w:val="1F497D"/>
        </w:rPr>
        <w:t>T</w:t>
      </w:r>
      <w:r>
        <w:rPr>
          <w:rFonts w:ascii="Arial" w:cs="Arial" w:eastAsia="Arial" w:hAnsi="Arial"/>
          <w:sz w:val="18"/>
          <w:szCs w:val="18"/>
          <w:color w:val="auto"/>
        </w:rPr>
        <w:t>he assessment process consisted of categorizing Ashland’s revenue streams and reviewing the current internal accounting policies and practices to determine potential differences that would result from applying the requirements of the new standard to revenue contracts. Additional discussions and meetings with each revenue stream team occurred to solicit input, identify potential impacts and appropriate changes to Ashland’s business processes, systems and controls to support the revenue recognition and disclosure requirements under the new standard. Based on various assessments conducted, Ashland identified agreements with customers that contained elements of material rights and/or variable consideration. Ashland determined that these elements do not result in a material change to how revenue would be recognized for these agreements.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5" w:name="page96"/>
    <w:bookmarkEnd w:id="95"/>
    <w:p>
      <w:pPr>
        <w:jc w:val="both"/>
        <w:ind w:firstLine="401"/>
        <w:spacing w:after="0" w:line="257" w:lineRule="auto"/>
        <w:rPr>
          <w:sz w:val="20"/>
          <w:szCs w:val="20"/>
          <w:color w:val="auto"/>
        </w:rPr>
      </w:pPr>
      <w:r>
        <w:rPr>
          <w:rFonts w:ascii="Arial" w:cs="Arial" w:eastAsia="Arial" w:hAnsi="Arial"/>
          <w:sz w:val="18"/>
          <w:szCs w:val="18"/>
          <w:color w:val="auto"/>
        </w:rPr>
        <w:t>Ashland has elected to adopt this standard using the modified retrospective approach. Ashland has finalized its assessment of the standard and determined that the overall impact was not material to the Consolidated Financial Statements. As a result, no cumulative-effect adjustment was made to retained earnings in the Consolidated Balance Sheet. Additionally, Ashland had no significant change to its internal controls or the manner and timing of recognizing revenue. However, there are significant additional disclosures within the Notes to Consolidated Financial Statements moving forward. For additional information on revenues see Note R.</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Upon adoption, Ashland utilized the following applicable practical expedients, as permitted by ASC 606, Revenue from Contracts with Customers:</w:t>
      </w:r>
    </w:p>
    <w:p>
      <w:pPr>
        <w:spacing w:after="0" w:line="129" w:lineRule="exact"/>
        <w:rPr>
          <w:sz w:val="20"/>
          <w:szCs w:val="20"/>
          <w:color w:val="auto"/>
        </w:rPr>
      </w:pPr>
    </w:p>
    <w:p>
      <w:pPr>
        <w:ind w:left="800" w:hanging="400"/>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and other similar taxes collected from customers on behalf of third parties are excluded from the contract price;</w:t>
      </w:r>
    </w:p>
    <w:p>
      <w:pPr>
        <w:spacing w:after="0" w:line="117" w:lineRule="exact"/>
        <w:rPr>
          <w:rFonts w:ascii="Arial" w:cs="Arial" w:eastAsia="Arial" w:hAnsi="Arial"/>
          <w:sz w:val="18"/>
          <w:szCs w:val="18"/>
          <w:color w:val="auto"/>
        </w:rPr>
      </w:pPr>
    </w:p>
    <w:p>
      <w:pPr>
        <w:ind w:left="800" w:right="20" w:hanging="400"/>
        <w:spacing w:after="0" w:line="277"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for shipping and handling activities, whether performed before or after the customer obtains control of the goods, are accounted for as fulfillment costs when not reimbursed; and</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incurred to obtain contracts with customers are expensed immediately when the amortization period is one year or less.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401"/>
        <w:spacing w:after="0" w:line="293" w:lineRule="auto"/>
        <w:rPr>
          <w:sz w:val="20"/>
          <w:szCs w:val="20"/>
          <w:color w:val="auto"/>
        </w:rPr>
      </w:pPr>
      <w:r>
        <w:rPr>
          <w:rFonts w:ascii="Arial" w:cs="Arial" w:eastAsia="Arial" w:hAnsi="Arial"/>
          <w:sz w:val="16"/>
          <w:szCs w:val="16"/>
          <w:color w:val="auto"/>
        </w:rPr>
        <w:t>In February 2016, the FASB issued new accounting guidance related to lease transactions. The main objective of this guidance is to increase transparency and comparability among organizations by requiring lessees to recognize assets and liabilities on the balance sheet for the right to use assets and obligations created by leases and to disclose key information about leasing arrangements. The presentation of the Statements of Consolidated Comprehensive Income (Loss) and the Statements of Consolidated Cash Flows is largely unchanged under this guidance. This guidance retains a distinction between finance leases and operating leases, and the classification criteria for distinguishing between finance leases and operating leases are substantially similar to the classification criteria for distinguishing between capital leases and operating leases in the current accounting literature.</w:t>
      </w:r>
    </w:p>
    <w:p>
      <w:pPr>
        <w:spacing w:after="0" w:line="5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In July 2018, the FASB amended this guidance to give entities the option to apply the standard at the adoption date and recognize a cumulative-effect adjustment to the opening balance of retained earnings in the period of adoption. Ashland will utilize this transition method upon adopting the guidance. Ashland will also elect the practical expedient package related to the identification, classification and accounting for initial direct costs whereby prior conclusions do not have to be reassessed for leases that commenced before the effective date. As Ashland will not reassess such conclusions, Ashland does not plan to adopt the practical expedient to use hindsight to determine the likelihood of whether a lease will be extended, terminated or whether a purchase option will be exercised.</w:t>
      </w:r>
    </w:p>
    <w:p>
      <w:pPr>
        <w:spacing w:after="0" w:line="85"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While Ashland is still finalizing the evaluation of the impact that this guidance will have within its Consolidated Financial Statements, Ashland expects the adoption of this guidance will result in the recognition of operating lease liabilities in the range of $140 million to $180 million based on the present value of the remaining minimum lease commitments. See Note L for additional information on lease commitments. Ashland anticipates recognizing a corresponding right-of-use asset based on the operating lease liabilities adjusted for prepaid and deferred rent and unamortized other accrued costs. Ashland does not currently believe that the guidance will have a material impact on the results from operations, liquidity or debt covenants compliance under Ashland’s current debt agreements. The majority of Ashland’s lease spend related to certain real estate with the remaining lease spend primarily related to equipment.</w:t>
      </w:r>
    </w:p>
    <w:p>
      <w:pPr>
        <w:spacing w:after="0" w:line="8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Ashland’s implementation team is continuing to finalize policy elections, implement changes to business processes and controls, and the impact that this guidance will have within its Consolidated Financial Statements.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guidance will become effective for Ashland on October 1,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Other pronouncements</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In February 2018, the FASB issued guidance which permits entities to reclassify tax effects stranded in accumulated other comprehensive income (AOCI) as a result of U.S. tax reform legislation to retained earnings. Additionally, this guidance requires entities to disclose whether they made an election to reclassify the tax effects and to disclose their accounting policy for releasing income tax effects from AOCI. This guidance becomes effective for Ashland on October 1, 2019. Ashland is currently evaluating the impact this guidance may have on Ashland’s Consolidated Financial Statements, however this is not anticipated to have a significant impact.</w:t>
      </w:r>
    </w:p>
    <w:p>
      <w:pPr>
        <w:spacing w:after="0" w:line="80"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 August 2017, the FASB issued accounting guidance amending the existing hedge accounting model to simplify various hedge documentation requirements while also expanding hedging abilities for certain nonfinancial and financial risk components. This guidance will become effective for Ashland on October 1, 2019. Ashland is currently evaluating the impact this guidance may have on Ashland's Consolidated Financial Statements, however this is not anticipated to have a significant impact.</w:t>
      </w:r>
    </w:p>
    <w:p>
      <w:pPr>
        <w:spacing w:after="0" w:line="79"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In March 2017, the FASB issued accounting guidance that changes how employers who sponsor defined benefit pension and/or postretirement benefit plans present the net periodic benefit cost in the Statement of Consolidated Comprehensive Income. This guidance requires employers to present the service cost component of net periodic benefit cost in the same caption within the Statement of Consolidated Comprehensive Income (Loss) as other employee compensation costs from services rendered during the period. All other components of the net periodic benefit cost will be presented separately outside of the operating income caption. This guidance must be applied retrospectively. Ashland elected to early adopt this guidance on October 1, 2017, which resulted in a reclassification of $4 million from the selling, general and administrative expense and cost of sales captions to the other net periodic benefit income (costs) caption in the Statement of Consolidated Comprehensive Income (Loss) for 2017. The components of net periodic benefit income (costs) reclassified primarily relate to interest cost, expected return on assets, curtailments, settlements and actuarial gains and losses. Ashland did not have to adjust the classification of service cost since it previously was recorded within the caption required by the new guidance. See Note K for additional information on net periodic benefit income (costs).</w:t>
      </w:r>
    </w:p>
    <w:p>
      <w:pPr>
        <w:spacing w:after="0" w:line="70"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In October 2016, the FASB issued new accounting guidance which requires entities to recognize income tax effects of intercompany transfers of assets other than inventory when the transfer occurs. This guidance eliminates the exception under previous U.S. GAAP that the income tax effects of all intercompany transfers of assets other than inventory be deferred until the assets are sold to a third party or otherwise recovered through use. This guidance became effective for Ashland on October 1, 2018 and was applied using a modified retrospective approach. Consequently, Ashland recorded a cumulative-effect adjustment to reclassify less than $1 million from other current assets and deferred taxes to retained earnings.</w:t>
      </w:r>
    </w:p>
    <w:p>
      <w:pPr>
        <w:spacing w:after="0" w:line="64"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In June 2016, the FASB issued amended accounting guidance related to the measurement of credit losses on financial instruments. The amended accounting guidance changes the impairment model for most financial assets to require measurement and recognition of expected credit losses for financial assets held. The amended accounting guidance is effective for fiscal years beginning after December 15, 2019, including interim periods within those fiscal years. Ashland is in the process of evaluating the effect this amended accounting guidance will have on our consolidated financial position and results of operations; however, we do not expect the amended accounting guidance to have a material impact on our ongoing financial reporting.</w:t>
      </w:r>
    </w:p>
    <w:p>
      <w:pPr>
        <w:spacing w:after="0" w:line="64" w:lineRule="exact"/>
        <w:rPr>
          <w:sz w:val="20"/>
          <w:szCs w:val="20"/>
          <w:color w:val="auto"/>
        </w:rPr>
      </w:pPr>
    </w:p>
    <w:p>
      <w:pPr>
        <w:jc w:val="both"/>
        <w:ind w:firstLine="401"/>
        <w:spacing w:after="0" w:line="289" w:lineRule="auto"/>
        <w:rPr>
          <w:sz w:val="20"/>
          <w:szCs w:val="20"/>
          <w:color w:val="auto"/>
        </w:rPr>
      </w:pPr>
      <w:r>
        <w:rPr>
          <w:rFonts w:ascii="Arial" w:cs="Arial" w:eastAsia="Arial" w:hAnsi="Arial"/>
          <w:sz w:val="16"/>
          <w:szCs w:val="16"/>
          <w:color w:val="auto"/>
        </w:rPr>
        <w:t>In March 2016, the FASB issued new accounting guidance for certain aspects of share-based payments to employees. This guidance requires all excess tax benefits and tax deficiencies related to share-based payments to be recognized as income tax expense in the Statements of Consolidated Comprehensive Income (Loss) instead of additional paid in capital and changes the classification of excess tax benefits from a financing activity to an operating activity within the statement of cash flows. This guidance also allows entities to make an accounting policy election to either estimate the number of awards that are expected to vest or account for forfeitures when they occur. In addition, this guidance increases the amount an employer can withhold to cover income taxes on awards and still qualify for equity classification and requires that cash paid by an employer when directly withholding shares for tax-withholding purposes be classified as a financing activity within Statements of Consolidated Cash Flows. The guidance became effective for Ashland and was adopted on October 1, 2017. The guidance specifically related to the Statements of Consolidated Comprehensive Income (Loss) was adopted prospectively while the guidance related to the Statements of Consolidated Cash Flows was adopted retrospectively, as required by the guidance. Additionally, Ashland made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7" w:name="page98"/>
    <w:bookmarkEnd w:id="97"/>
    <w:p>
      <w:pPr>
        <w:jc w:val="both"/>
        <w:spacing w:after="0" w:line="277" w:lineRule="auto"/>
        <w:rPr>
          <w:sz w:val="20"/>
          <w:szCs w:val="20"/>
          <w:color w:val="auto"/>
        </w:rPr>
      </w:pPr>
      <w:r>
        <w:rPr>
          <w:rFonts w:ascii="Arial" w:cs="Arial" w:eastAsia="Arial" w:hAnsi="Arial"/>
          <w:sz w:val="18"/>
          <w:szCs w:val="18"/>
          <w:color w:val="auto"/>
        </w:rPr>
        <w:t>policy election to account for forfeitures when they occur across all share-based awards. Upon adoption, the overall impact on Ashland's Consolidated Financial Statements was not significant.</w:t>
      </w:r>
    </w:p>
    <w:p>
      <w:pPr>
        <w:spacing w:after="0" w:line="62"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In January 2016, the FASB issued accounting guidance related to the recognition and measurement as well as the presentation and disclosures for certain financial instruments. Most notably, the guidance requires entities to measure equity investments as fair value and to recognize any changes in fair value in net income rather than accumulated other comprehensive income (AOCI). The guidance became effective for Ashland on October 1, 2018 and resulted in Ashland recording a cumulative-effect adjustment to reclassify net after-tax unrealized gains of $34 million on its equity securities from AOCI to retained earnings. In the current period, the adoption of this guidance resulted in a significant impact to net income as Ashland recognized investment gains of $7 million in 2019 within the net interest and other expense caption on the Statement of Consolidated Comprehensive Income (Loss). The impact of this guidance could continue to have a material impact on Ashland’s Statements of Consolidated Comprehensive Income (Loss) in prospective periods depending on the fluctuations of unrealized gains and losses within the investment securities portfolio. For current and future periods, the changes in fair value of the equity securities will no longer be classified within other comprehensive income under the new guidance. For further information on Ashland’s equity securities, see Note 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VALVOLINE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 Separation of Valvoline</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On September 22, 2015, Ashland announced that the Board of Directors approved proceeding with a plan to separate Ashland into two independent, publicly traded companies comprising of the new Ashland (now known as Ashland Global Holdings Inc.) and Valvoline Inc. The initial step of the separation, the initial public offering (IPO) of Valvoline Inc., closed on September 28, 2016. As discussed further within the Final Separation section of this Note B, Ashland completed the distribution of its remaining shares in Valvoline Inc. on May 12, 2017.</w:t>
      </w:r>
    </w:p>
    <w:p>
      <w:pPr>
        <w:spacing w:after="0" w:line="79"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After completing the IPO on September 28, 2016 and before the distribution of its remaining shares on May 12, 2017, Ashland owned 170 million shares of Valvoline Inc.’s common stock which represented approximately 83% of the total outstanding shares of Valvoline Inc.’s common stock. As a result, Ashland continued to consolidate Valvoline within the Consolidated Financial Statements up until the distribution of the remaining shares. The resulting outside stockholders’ interests in Valvoline Inc., which were approximately 17%, was presented separately as a noncontrolling interest within Ashland’s equity in the Consolidated Balance Sheets up until the distribution of the remaining shares. The amount of consolidated net income attributed to these previous minority holders is presented as a separate caption on the Statements of Consolidated Comprehensive Income (Loss) for 2017.</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i w:val="1"/>
          <w:iCs w:val="1"/>
          <w:color w:val="auto"/>
        </w:rPr>
        <w:t>Final Separation</w:t>
      </w:r>
    </w:p>
    <w:p>
      <w:pPr>
        <w:spacing w:after="0" w:line="117"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Ashland completed the distribution of its remaining 170 million shares of common stock of Valvoline Inc. as a pro rata dividend on shares of Ashland common stock outstanding at the close of business on the record date of May 5, 2017. Based on the shares of Ashland common stock outstanding as of May 5, 2017, the record date for the distribution, each share of Ashland common stock received 2.745338 shares of Valvoline common stock in the distribution. The distribution was recorded at the carrying amount of Valvoline Inc.'s net assets which was a deficit of $187 million as of May 12, 2017,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402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May 12,</w:t>
            </w:r>
          </w:p>
        </w:tc>
        <w:tc>
          <w:tcPr>
            <w:tcW w:w="0" w:type="dxa"/>
            <w:vAlign w:val="bottom"/>
          </w:tcPr>
          <w:p>
            <w:pPr>
              <w:spacing w:after="0"/>
              <w:rPr>
                <w:sz w:val="1"/>
                <w:szCs w:val="1"/>
                <w:color w:val="auto"/>
              </w:rPr>
            </w:pPr>
          </w:p>
        </w:tc>
      </w:tr>
      <w:tr>
        <w:trPr>
          <w:trHeight w:val="230"/>
        </w:trPr>
        <w:tc>
          <w:tcPr>
            <w:tcW w:w="6320" w:type="dxa"/>
            <w:vAlign w:val="bottom"/>
            <w:gridSpan w:val="4"/>
          </w:tcPr>
          <w:p>
            <w:pPr>
              <w:spacing w:after="0"/>
              <w:rPr>
                <w:sz w:val="20"/>
                <w:szCs w:val="20"/>
                <w:color w:val="auto"/>
              </w:rPr>
            </w:pPr>
            <w:r>
              <w:rPr>
                <w:rFonts w:ascii="Arial" w:cs="Arial" w:eastAsia="Arial" w:hAnsi="Arial"/>
                <w:sz w:val="18"/>
                <w:szCs w:val="18"/>
                <w:color w:val="auto"/>
              </w:rPr>
              <w:t>(In millions)</w:t>
            </w:r>
          </w:p>
        </w:tc>
        <w:tc>
          <w:tcPr>
            <w:tcW w:w="3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8"/>
              </w:rPr>
              <w:t>ASSETS</w:t>
            </w:r>
          </w:p>
        </w:tc>
        <w:tc>
          <w:tcPr>
            <w:tcW w:w="5640" w:type="dxa"/>
            <w:vAlign w:val="bottom"/>
            <w:tcBorders>
              <w:top w:val="single" w:sz="8" w:color="auto"/>
              <w:bottom w:val="single" w:sz="8" w:color="CFF0FC"/>
            </w:tcBorders>
            <w:gridSpan w:val="2"/>
            <w:shd w:val="clear" w:color="auto" w:fill="CFF0FC"/>
          </w:tcPr>
          <w:p>
            <w:pPr>
              <w:spacing w:after="0"/>
              <w:rPr>
                <w:sz w:val="17"/>
                <w:szCs w:val="17"/>
                <w:color w:val="auto"/>
              </w:rPr>
            </w:pPr>
          </w:p>
        </w:tc>
        <w:tc>
          <w:tcPr>
            <w:tcW w:w="3080" w:type="dxa"/>
            <w:vAlign w:val="bottom"/>
            <w:tcBorders>
              <w:top w:val="single" w:sz="8" w:color="auto"/>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3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w:t>
            </w:r>
          </w:p>
        </w:tc>
        <w:tc>
          <w:tcPr>
            <w:tcW w:w="30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Accounts receivable, net</w:t>
            </w:r>
          </w:p>
        </w:tc>
        <w:tc>
          <w:tcPr>
            <w:tcW w:w="3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Inventories</w:t>
            </w:r>
          </w:p>
        </w:tc>
        <w:tc>
          <w:tcPr>
            <w:tcW w:w="30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current assets</w:t>
            </w:r>
          </w:p>
        </w:tc>
        <w:tc>
          <w:tcPr>
            <w:tcW w:w="30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current assets</w:t>
            </w:r>
          </w:p>
        </w:tc>
        <w:tc>
          <w:tcPr>
            <w:tcW w:w="30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b w:val="1"/>
                <w:bCs w:val="1"/>
                <w:color w:val="auto"/>
              </w:rPr>
              <w:t>Noncurrent assets</w:t>
            </w:r>
          </w:p>
        </w:tc>
        <w:tc>
          <w:tcPr>
            <w:tcW w:w="3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property, plant and equipment</w:t>
            </w:r>
          </w:p>
        </w:tc>
        <w:tc>
          <w:tcPr>
            <w:tcW w:w="30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3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Equity and other unconsolidated investments</w:t>
            </w:r>
          </w:p>
        </w:tc>
        <w:tc>
          <w:tcPr>
            <w:tcW w:w="30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3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30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Total noncurrent assets</w:t>
            </w:r>
          </w:p>
        </w:tc>
        <w:tc>
          <w:tcPr>
            <w:tcW w:w="30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30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183"/>
        </w:trPr>
        <w:tc>
          <w:tcPr>
            <w:tcW w:w="632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LIABILITIES AND EQUITY</w:t>
            </w:r>
          </w:p>
        </w:tc>
        <w:tc>
          <w:tcPr>
            <w:tcW w:w="3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30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3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long-term debt</w:t>
            </w:r>
          </w:p>
        </w:tc>
        <w:tc>
          <w:tcPr>
            <w:tcW w:w="30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Trade and other payables</w:t>
            </w:r>
          </w:p>
        </w:tc>
        <w:tc>
          <w:tcPr>
            <w:tcW w:w="3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30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3"/>
          </w:tcPr>
          <w:p>
            <w:pPr>
              <w:ind w:left="240"/>
              <w:spacing w:after="0"/>
              <w:rPr>
                <w:sz w:val="20"/>
                <w:szCs w:val="20"/>
                <w:color w:val="auto"/>
              </w:rPr>
            </w:pPr>
            <w:r>
              <w:rPr>
                <w:rFonts w:ascii="Arial" w:cs="Arial" w:eastAsia="Arial" w:hAnsi="Arial"/>
                <w:sz w:val="18"/>
                <w:szCs w:val="18"/>
                <w:color w:val="auto"/>
              </w:rPr>
              <w:t>Total current liabilities</w:t>
            </w:r>
          </w:p>
        </w:tc>
        <w:tc>
          <w:tcPr>
            <w:tcW w:w="3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liabilities</w:t>
            </w:r>
          </w:p>
        </w:tc>
        <w:tc>
          <w:tcPr>
            <w:tcW w:w="30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3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Employee benefit obligations</w:t>
            </w:r>
          </w:p>
        </w:tc>
        <w:tc>
          <w:tcPr>
            <w:tcW w:w="30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long-term liabilities</w:t>
            </w:r>
          </w:p>
        </w:tc>
        <w:tc>
          <w:tcPr>
            <w:tcW w:w="30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noncurrent liabilities</w:t>
            </w:r>
          </w:p>
        </w:tc>
        <w:tc>
          <w:tcPr>
            <w:tcW w:w="30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23"/>
        </w:trPr>
        <w:tc>
          <w:tcPr>
            <w:tcW w:w="632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w:t>
            </w:r>
          </w:p>
        </w:tc>
        <w:tc>
          <w:tcPr>
            <w:tcW w:w="308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Net deficit</w:t>
            </w:r>
          </w:p>
        </w:tc>
        <w:tc>
          <w:tcPr>
            <w:tcW w:w="30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 Tax Matters Agreement between Ashland and Valvoline Inc. governs the rights and obligations after the separation regarding certain income taxes and other taxes, including certain tax liabilities and benefits, attributes, returns and contests.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Assessment</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Valvoline met the criteria to qualify as a discontinued operation and accordingly, its operating results and cash flows have been classified as discontinued operations within the Consolidated Financial Statements. See Note E for more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transaction</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recognized separation costs of $10 million and $95 million during 2018 and 2017, respectively, which were primarily related to transaction, consulting and legal fees. During 2017, $13 million of the separation costs directly related to Valvoline were included within the discontinued operations caption of the Statements of Consolidated Comprehensive Income (Loss). Otherwise, separation costs are primarily recorded within the selling, general and administrative expense caption of the Statements of Consolidated Comprehensive Income (Loss).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C –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Pharmachem</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On May 17, 2017, Ashland completed its acquisition of the stock of Pharmachem Laboratories, Inc. (Pharmachem), a leading provider of quality ingredients to the global health and wellness industries and high-value differentiated products to fragrance and flavor houses. At the acquisition date, Pharmachem had approximately $300 million in annual revenues and 14 manufacturing facilities located in the United States and Mexico. New Jersey-based Pharmachem develops, manufactures and supplies custom and branded nutritional and fragrance products. Ashland has included Pharmachem within the Specialty Ingredients reporting segment.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117"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The acquisition was recorded by Ashland using the purchase method of accounting in accordance with U.S. GAAP whereby the total purchase price was allocated to tangible and intangible assets and liabilities acquired based on respective fair values.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based on strategic benefits that are expected to be realized from the acquisition. None of the goodwill is expected to be deductible for income tax purposes.</w:t>
      </w:r>
    </w:p>
    <w:p>
      <w:pPr>
        <w:spacing w:after="0" w:line="64"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all-cash purchase price of Pharmachem was $680 million which included working capital adjustments of approximately $20 million. Ashland incurred $5 million of transaction costs during 2017 related to the acquisition, which was recorded within the net loss on acquisitions and divestitures caption in the Statement of Consolidated Comprehensive Income (Loss). The purchase price allocation was finalized during 2018 and the following table summarizes the values of the assets acquired and liabilities assumed at the date of acquisition.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4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At</w:t>
            </w:r>
          </w:p>
        </w:tc>
      </w:tr>
      <w:tr>
        <w:trPr>
          <w:trHeight w:val="230"/>
        </w:trPr>
        <w:tc>
          <w:tcPr>
            <w:tcW w:w="9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May 17, 2017</w:t>
            </w:r>
          </w:p>
        </w:tc>
      </w:tr>
      <w:tr>
        <w:trPr>
          <w:trHeight w:val="230"/>
        </w:trPr>
        <w:tc>
          <w:tcPr>
            <w:tcW w:w="9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price allocation (in millions)</w:t>
            </w:r>
          </w:p>
        </w:tc>
        <w:tc>
          <w:tcPr>
            <w:tcW w:w="5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As Adjusted</w:t>
            </w:r>
          </w:p>
        </w:tc>
      </w:tr>
      <w:tr>
        <w:trPr>
          <w:trHeight w:val="223"/>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5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30"/>
        </w:trPr>
        <w:tc>
          <w:tcPr>
            <w:tcW w:w="94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230"/>
        </w:trPr>
        <w:tc>
          <w:tcPr>
            <w:tcW w:w="9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5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w:t>
            </w:r>
          </w:p>
        </w:tc>
      </w:tr>
      <w:tr>
        <w:trPr>
          <w:trHeight w:val="230"/>
        </w:trPr>
        <w:tc>
          <w:tcPr>
            <w:tcW w:w="940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5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9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w:t>
            </w:r>
          </w:p>
        </w:tc>
        <w:tc>
          <w:tcPr>
            <w:tcW w:w="5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330</w:t>
            </w:r>
          </w:p>
        </w:tc>
      </w:tr>
      <w:tr>
        <w:trPr>
          <w:trHeight w:val="230"/>
        </w:trPr>
        <w:tc>
          <w:tcPr>
            <w:tcW w:w="9400" w:type="dxa"/>
            <w:vAlign w:val="bottom"/>
          </w:tcPr>
          <w:p>
            <w:pPr>
              <w:ind w:left="26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288</w:t>
            </w:r>
          </w:p>
        </w:tc>
      </w:tr>
      <w:tr>
        <w:trPr>
          <w:trHeight w:val="230"/>
        </w:trPr>
        <w:tc>
          <w:tcPr>
            <w:tcW w:w="9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plant and equipment</w:t>
            </w:r>
          </w:p>
        </w:tc>
        <w:tc>
          <w:tcPr>
            <w:tcW w:w="5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w:t>
            </w:r>
          </w:p>
        </w:tc>
      </w:tr>
      <w:tr>
        <w:trPr>
          <w:trHeight w:val="230"/>
        </w:trPr>
        <w:tc>
          <w:tcPr>
            <w:tcW w:w="9400" w:type="dxa"/>
            <w:vAlign w:val="bottom"/>
          </w:tcPr>
          <w:p>
            <w:pPr>
              <w:ind w:left="260"/>
              <w:spacing w:after="0"/>
              <w:rPr>
                <w:sz w:val="20"/>
                <w:szCs w:val="20"/>
                <w:color w:val="auto"/>
              </w:rPr>
            </w:pPr>
            <w:r>
              <w:rPr>
                <w:rFonts w:ascii="Arial" w:cs="Arial" w:eastAsia="Arial" w:hAnsi="Arial"/>
                <w:sz w:val="18"/>
                <w:szCs w:val="18"/>
                <w:color w:val="auto"/>
              </w:rPr>
              <w:t>Other noncurrent assets</w:t>
            </w:r>
          </w:p>
        </w:tc>
        <w:tc>
          <w:tcPr>
            <w:tcW w:w="5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5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30"/>
        </w:trPr>
        <w:tc>
          <w:tcPr>
            <w:tcW w:w="94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 net</w:t>
            </w:r>
          </w:p>
        </w:tc>
        <w:tc>
          <w:tcPr>
            <w:tcW w:w="5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9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noncurrent liabilities</w:t>
            </w: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9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680</w:t>
            </w:r>
          </w:p>
        </w:tc>
      </w:tr>
      <w:tr>
        <w:trPr>
          <w:trHeight w:val="20"/>
        </w:trPr>
        <w:tc>
          <w:tcPr>
            <w:tcW w:w="9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adjustments to initial purchase price allocation</w:t>
      </w:r>
    </w:p>
    <w:p>
      <w:pPr>
        <w:spacing w:after="0" w:line="117"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During the September 2017 quarter, Ashland updated certain valuations and reserve estimates as part of the purchase accounting process and procedures. As a result of these updates, Ashland increased the intangible assets associated with the purchase by $18 million. The remaining updates to the Consolidated Balance Sheet during the September 2017 quarter related to certain liabilities that in total, along with the intangible assets impact, increased goodwill by $11 million. These adjustments did not have a significant effect on the Statement of Consolidated Comprehensive Income (Loss) during 2017.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0" w:name="page101"/>
    <w:bookmarkEnd w:id="100"/>
    <w:p>
      <w:pPr>
        <w:jc w:val="both"/>
        <w:ind w:firstLine="401"/>
        <w:spacing w:after="0" w:line="286" w:lineRule="auto"/>
        <w:rPr>
          <w:sz w:val="20"/>
          <w:szCs w:val="20"/>
          <w:color w:val="auto"/>
        </w:rPr>
      </w:pPr>
      <w:r>
        <w:rPr>
          <w:rFonts w:ascii="Arial" w:cs="Arial" w:eastAsia="Arial" w:hAnsi="Arial"/>
          <w:sz w:val="17"/>
          <w:szCs w:val="17"/>
          <w:color w:val="auto"/>
        </w:rPr>
        <w:t>During 2018, there were subsequent adjustments of $6 million to deferred tax liabilities, $3 million to property, plant and equipment, $3 million to other noncurrent assets and $1 million to accounts payable. The combined impact of these adjustments resulted in an increase to goodwill of $1 million. These adjustments did not have a significant effect on the Statement of Consolidated Comprehensive Income (Loss) during 2018.</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identified</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purchase price allocation included $330 million of certain definite-lived intangible assets which are being amortized over the estimated useful life in proportion to the economic benefits consumed. The determination of the useful lives is based upon various industry studies, historical acquisition experience, economic factors, and future cash flows of the combined company. In addition, Ashland reviewed certain technological trends and also considered the current Pharmachem customer base.</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details the total intangible assets identified as of May 17, 2017.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8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Weighted-average</w:t>
            </w:r>
          </w:p>
        </w:tc>
      </w:tr>
      <w:tr>
        <w:trPr>
          <w:trHeight w:val="230"/>
        </w:trPr>
        <w:tc>
          <w:tcPr>
            <w:tcW w:w="7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amortization period</w:t>
            </w:r>
          </w:p>
        </w:tc>
      </w:tr>
      <w:tr>
        <w:trPr>
          <w:trHeight w:val="230"/>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Intangible asset type (in millions)</w:t>
            </w: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Value</w:t>
            </w: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(years)</w:t>
            </w: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Trademarks and trade names</w:t>
            </w:r>
          </w:p>
        </w:tc>
        <w:tc>
          <w:tcPr>
            <w:tcW w:w="62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Intellectual property</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22</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Customer and supplier relationships</w:t>
            </w: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236</w:t>
            </w: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w:t>
            </w:r>
          </w:p>
        </w:tc>
        <w:tc>
          <w:tcPr>
            <w:tcW w:w="188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operating results</w:t>
      </w:r>
    </w:p>
    <w:p>
      <w:pPr>
        <w:spacing w:after="0" w:line="117"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The results of Pharmachem’s operations have been included in Ashland’s Consolidated Financial Statements since the May 17, 2017 closing date. The following table provides sales and operating income from the acquired Pharmachem operations included in Ashland’s 2017 results.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Pharmachem results of operations</w:t>
            </w:r>
          </w:p>
        </w:tc>
        <w:tc>
          <w:tcPr>
            <w:tcW w:w="4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r>
      <w:tr>
        <w:trPr>
          <w:trHeight w:val="230"/>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xml:space="preserve">2017 </w:t>
            </w:r>
            <w:r>
              <w:rPr>
                <w:rFonts w:ascii="Arial" w:cs="Arial" w:eastAsia="Arial" w:hAnsi="Arial"/>
                <w:sz w:val="14"/>
                <w:szCs w:val="14"/>
                <w:color w:val="auto"/>
              </w:rPr>
              <w:t>(a)</w:t>
            </w: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418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Operating income</w:t>
            </w:r>
          </w:p>
        </w:tc>
        <w:tc>
          <w:tcPr>
            <w:tcW w:w="418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w:t>
            </w:r>
          </w:p>
        </w:tc>
      </w:tr>
    </w:tbl>
    <w:p>
      <w:pPr>
        <w:spacing w:after="0" w:line="12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Amounts represent the sales and results of operations for the period May 17, 2017 through September 30, 2017, the period for which Pharmachem was owned during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unaudited pro forma information for 2017 assumes the acquisition of Pharmachem occurred at the beginning of the respective periods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Unaudited pro forma information</w:t>
            </w:r>
          </w:p>
        </w:tc>
        <w:tc>
          <w:tcPr>
            <w:tcW w:w="4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30"/>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428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2,483</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Net income</w:t>
            </w:r>
          </w:p>
        </w:tc>
        <w:tc>
          <w:tcPr>
            <w:tcW w:w="42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w:t>
            </w:r>
          </w:p>
        </w:tc>
      </w:tr>
    </w:tbl>
    <w:p>
      <w:pPr>
        <w:spacing w:after="0" w:line="214"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These amounts have been calculated after applying Ashland’s accounting policies and adjusting the results of Pharmachem to reflect the additional depreciation, amortization and interest expense that would have been charged assuming the fair value adjustments to tangible and intangible assets, and the related debt incurred had been applied on October 1, 2015, together with an estimate of the various tax effects.</w:t>
      </w:r>
    </w:p>
    <w:p>
      <w:pPr>
        <w:spacing w:after="0" w:line="73"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The unaudited pro forma information presented above is for illustrative purposes only and does not purport to be indicative of the results of future operations of Ashland or the results that would have been attained had the operations been combined during the periods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Vornia Limited</w:t>
      </w:r>
    </w:p>
    <w:p>
      <w:pPr>
        <w:spacing w:after="0" w:line="121"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In January 2018, Ashland completed the acquisition of Vornia Limited for $12 million, of which $1 million was paid in 2019. Vornia Limited’s principal activity is the design, development and fabrication of customized biomaterial solutions. The purchase price allocation primarily included $8 million of intellectual property and $4 million of goodwill and has been included within the Specialty Ingredients reportable segment.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DIVESTITURES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Composites and Marl facility</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On November 15, 2018, Ashland announced that it had signed a definitive agreement to sell its Composites segment and Intermediates and Solvents Marl facility to INEOS Enterprises (INEOS) in a transaction valued at $1.1 billion. Ashland was to retain the remaining Intermediates and Solvents facility in Lima, Ohio primarily for its own internal business use.</w:t>
      </w:r>
    </w:p>
    <w:p>
      <w:pPr>
        <w:spacing w:after="0" w:line="73"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In late July of 2019, Ashland and INEOS agreed to certain additional changes to the sale agreement. As part of the proposed changes, the purchase price was adjusted to $1.015 billion while Ashland retained the right to the Maleic business, including the retention of any subsequent sale proceeds.</w:t>
      </w:r>
    </w:p>
    <w:p>
      <w:pPr>
        <w:spacing w:after="0" w:line="16"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On August 30, 2019 Ashland completed the previously announced sale of its Composites business (excluding the Maleic business) and butanediol manufacturing facility in Marl, Germany to INEOS. Net proceeds from the sale were approximately $1 billion and were used primarily for debt reductions. Approximately $0.9 billion of debt has been retired by September 30, 2019.</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 a result of the sale, Ashland recognized a $372 million after-tax gain within the Statement of Consolidated Comprehensive Income (Loss) within the income from discontinued operations caption.</w:t>
      </w:r>
    </w:p>
    <w:p>
      <w:pPr>
        <w:spacing w:after="0" w:line="62"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Since this disposal group signifies a strategic shift in Ashland’s business and had a major effect on Ashland’s operations and financial results, the operating results and cash flows related to Composites and the Marl facility, including the Maleic business, have been reflected as discontinued operations in the Statements of Consolidated Comprehensive Income (Loss) and Statements of Consolidated Cash Flows. See Note E of the Notes to Condensed Consolidated Financial Statements for the results of operations for Composites and the Marl facility, including the Maleic business, for all periods presented.</w:t>
      </w:r>
    </w:p>
    <w:p>
      <w:pPr>
        <w:spacing w:after="0" w:line="46"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Certain indirect corporate costs included within the selling, general and administrative expense caption of the Statements of Consolidated Comprehensive Income (Loss) that were previously allocated to the Composites segment and Marl facility do not qualify for classification within discontinued operations and are now reported as selling, general and administrative expense within continuing operations on a consolidated basis and within the Unallocated and other segment. These costs were $41 million, $46 million and $36 million during the twelve months ended September 30, 2019, 2018, and 2017, respectively. Ashland is currently implementing plans to eliminate these costs as part of the global restructuring program.</w:t>
      </w:r>
    </w:p>
    <w:p>
      <w:pPr>
        <w:spacing w:after="0" w:line="64"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Subsequent to the completion of the sale, Ashland is providing certain transition services to INEOS for a fee. While the transition services are expected to vary in duration depending upon the type of service provided, Ashland expects to reduce costs as the transition services are completed. Ashland recognized transition service fees of $1 million during 2019 for the one month period since the completion of the divestiture.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Ingredients Facility</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2017, Ashland committed to a plan to reorganize certain operations within the Specialty Ingredients reportable segment resulting in the closure of a manufacturing facility that was previously operational. As a result of this closure, Ashland recorded accelerated depreciation of $13 million for the remaining value of the machinery and equipment related to this facility, as well as an additional $1 million reserve for employee costs associated with the facility closure during 2017.</w:t>
      </w:r>
    </w:p>
    <w:p>
      <w:pPr>
        <w:spacing w:after="0" w:line="79"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During 2018, Ashland entered into a definitive sale agreement to sell the facility and recognized a loss of $2 million before tax. The loss was reported within the net loss on acquisitions and divestitures caption within the Statement of Consolidated Comprehensive Income (Loss) for 2018.</w:t>
      </w:r>
    </w:p>
    <w:p>
      <w:pPr>
        <w:spacing w:after="0" w:line="38"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determined this transaction did not qualify for discontinued operations treatment since it did not represent a strategic shift that had or will have a major effect on Ashland’s operations and financial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Specialty Ingredients Joint Venture</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September 2016, Ashland entered into a definitive sale agreement to sell its ownership interest in a Specialty Ingredients consolidated joint venture. Ashland recognized a loss of $12 million before tax in 2016 to recognize the assets at fair value less cost to sell, using Level 2 nonrecurring fair value measurements.</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During 2017, Ashland completed the transfer of its ownership interest in the joint venture and recognized an additional loss of $4 million primarily related to a license fee and tax adjustments.</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loss in 2017 was reported within the net loss on acquisitions and divestitures caption within the Statements of Consolidated Comprehensive Income (Loss).</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determined this transaction did not qualify for discontinued operations treatment since it did not represent a strategic shift that had or will have a major effect on Ashland’s operations and financial results.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corporate assets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is currently in the process of pursuing options to divest several corporate assets, primarily related to land and buildings, that are expected to close within the next 12 months. The net property, plant and equipment value related to these sites was $6 million at September 30, 2019 and $9 million at September 30, 2018. During 2019, a $5 million impairment charge was recorded within the selling, general and administrative expense caption of the Statement of Consolidated Comprehensive Income (Loss) for one of these corporate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color w:val="auto"/>
        </w:rPr>
        <w:t>Held for sale classification</w:t>
      </w:r>
    </w:p>
    <w:p>
      <w:pPr>
        <w:spacing w:after="0" w:line="23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assets and liabilities of Composites and the Marl facility, including the Maleic business, along with other corporate asset divestitures for current and prior periods have been reflected as assets and liabilities held for sale. As a result, in accordance with U.S. GAAP standards, depreciation and amortization were not being recorded within the Statements of Consolidated Comprehensive Income (Loss) and the Consolidated Balance Sheets. These assets and liabilities are comprised of the following components: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7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Accounts receivable, net </w:t>
            </w:r>
            <w:r>
              <w:rPr>
                <w:rFonts w:ascii="Arial" w:cs="Arial" w:eastAsia="Arial" w:hAnsi="Arial"/>
                <w:sz w:val="14"/>
                <w:szCs w:val="14"/>
                <w:color w:val="auto"/>
              </w:rPr>
              <w:t>(a)</w:t>
            </w: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940" w:type="dxa"/>
            <w:vAlign w:val="bottom"/>
            <w:tcBorders>
              <w:top w:val="single" w:sz="8" w:color="auto"/>
            </w:tcBorders>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Inventories</w:t>
            </w:r>
          </w:p>
        </w:tc>
        <w:tc>
          <w:tcPr>
            <w:tcW w:w="7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Net property, plant and equipment</w:t>
            </w: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Intangibles</w:t>
            </w: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assets held for sale</w:t>
            </w: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Intangibles</w:t>
            </w:r>
          </w:p>
        </w:tc>
        <w:tc>
          <w:tcPr>
            <w:tcW w:w="7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Noncurrent assets held for sale</w:t>
            </w: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Trade and other payables</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94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Employee benefit obligations</w:t>
            </w:r>
          </w:p>
        </w:tc>
        <w:tc>
          <w:tcPr>
            <w:tcW w:w="7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Current liabilities held for sale</w:t>
            </w: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Employee benefit obligations</w:t>
            </w: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Noncurrent liabilities held for sale</w:t>
            </w: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Accounts receivable included an allowance for doubtful accounts of $3 million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DISCONTINUED OPERATIONS</w:t>
      </w:r>
    </w:p>
    <w:p>
      <w:pPr>
        <w:spacing w:after="0" w:line="121"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Ashland has divested certain businesses that have qualified as discontinued operations. The operating results from these divested businesses and subsequent adjustments related to ongoing assessments and activities of certain retained liabilities and tax items have been recorded within the discontinued operations caption in the Statements of Consolidated Comprehensive Income (Loss) for all periods presented and are discussed further within this note.</w:t>
      </w:r>
    </w:p>
    <w:p>
      <w:pPr>
        <w:spacing w:after="0" w:line="39"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 previously described in Note D, Ashland has completed the previously announced sale of its Composites business (excluding the Maleic business) and butanediol manufacturing facility in Marl, Germany to INEOS. Ashland determined that this disposal group qualified as a discontinued operation, in accordance with U.S. GAAP, since it represented a strategic shift for Ashland and had a major effect on Ashland's operations and financial results. Accordingly, the operating results and cash flows for the Composites business (including the Maleic business) and the Marl facility have been classified as discontinued operations within the Consolidated Financial Statements for all periods presented.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4" w:name="page105"/>
    <w:bookmarkEnd w:id="104"/>
    <w:p>
      <w:pPr>
        <w:jc w:val="both"/>
        <w:ind w:firstLine="401"/>
        <w:spacing w:after="0" w:line="276" w:lineRule="auto"/>
        <w:rPr>
          <w:sz w:val="20"/>
          <w:szCs w:val="20"/>
          <w:color w:val="auto"/>
        </w:rPr>
      </w:pPr>
      <w:r>
        <w:rPr>
          <w:rFonts w:ascii="Arial" w:cs="Arial" w:eastAsia="Arial" w:hAnsi="Arial"/>
          <w:sz w:val="17"/>
          <w:szCs w:val="17"/>
          <w:color w:val="auto"/>
        </w:rPr>
        <w:t>As previously discussed in Notes A and B, Ashland completed the distribution of its remaining 170 million shares of common stock of Valvoline Inc. on May 12, 2017. Ashland determined that the Valvoline separation qualified as a discontinued operation, in accordance with U.S. GAAP, since it represents a strategic shift for Ashland and has a major effect on Ashland's operations and financial results. Accordingly, Valvoline's operating results and cash flows for all periods presented have been classified as discontinued operations within the Consolidated Financial Statements. The activity during 2019 and 2018 generally represents subsequent adjustments that were made in conjunction with the Tax Matters Agreement.</w:t>
      </w:r>
    </w:p>
    <w:p>
      <w:pPr>
        <w:spacing w:after="0" w:line="64"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which qualified as a discontinued operation and from the acquisition during 2009 of Hercules LLC (formerly Hercules Incorporated), an indirect wholly-owned subsidiary of Ashland. Adjustments to the recorded litigation reserves and related insurance receivables are recorded within the discontinued operations caption. See Note O for more information related to the adjustments on asbestos liabilities and receivables.</w:t>
      </w:r>
    </w:p>
    <w:p>
      <w:pPr>
        <w:spacing w:after="0" w:line="8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2014, Ashland completed the sale of the Ashland Water Technologies (Water Technologies) business. Ashland determined that this sale qualified as a discontinued operation, in accordance with U.S. GAAP, since Ashland does not have significant continuing involvement in the Water Technologies business. Ashland has made subsequent adjustments to the discontinued operations caption related to the sale.</w:t>
      </w:r>
    </w:p>
    <w:p>
      <w:pPr>
        <w:spacing w:after="0" w:line="73"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2011, Ashland completed the sale of substantially all of the assets and certain liabilities of its global distribution business, which previously comprised the Ashland Distribution (Distribution) reportable segment. Ashland determined that this sale qualified as a discontinued operation, in accordance with U.S. GAAP, since Ashland does not have significant continuing involvement in the Distribution business. Ashland has made subsequent adjustments to the discontinued operations caption related to the sale.</w:t>
      </w:r>
    </w:p>
    <w:p>
      <w:pPr>
        <w:spacing w:after="0" w:line="7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Due to the ongoing assessment of certain matters associated with previous divestitures, subsequent adjustments to these divestitures may continue in future periods in the discontinued operations caption in the Statements of Consolidated Comprehensive Income (Loss). Components of amounts reflected in the Statements of Consolidated Comprehensive Income (Loss) related to discontinued operations are presented in the following table for each of the years ended September 30.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discontinued operations</w:t>
            </w:r>
          </w:p>
        </w:tc>
        <w:tc>
          <w:tcPr>
            <w:tcW w:w="1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Composites/Marl facility</w:t>
            </w:r>
          </w:p>
        </w:tc>
        <w:tc>
          <w:tcPr>
            <w:tcW w:w="1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98</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Valvoline</w:t>
            </w:r>
          </w:p>
        </w:tc>
        <w:tc>
          <w:tcPr>
            <w:tcW w:w="1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240</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Asbestos-related litigation</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Water Technologies</w:t>
            </w:r>
          </w:p>
        </w:tc>
        <w:tc>
          <w:tcPr>
            <w:tcW w:w="1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Distribution</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Gain on disposal of discontinued operations</w:t>
            </w:r>
          </w:p>
        </w:tc>
        <w:tc>
          <w:tcPr>
            <w:tcW w:w="1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Composites/Marl facility</w:t>
            </w:r>
          </w:p>
        </w:tc>
        <w:tc>
          <w:tcPr>
            <w:tcW w:w="14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before taxes</w:t>
            </w:r>
          </w:p>
        </w:tc>
        <w:tc>
          <w:tcPr>
            <w:tcW w:w="1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303</w:t>
            </w:r>
          </w:p>
        </w:tc>
      </w:tr>
      <w:tr>
        <w:trPr>
          <w:trHeight w:val="230"/>
        </w:trPr>
        <w:tc>
          <w:tcPr>
            <w:tcW w:w="5360" w:type="dxa"/>
            <w:vAlign w:val="bottom"/>
          </w:tcPr>
          <w:p>
            <w:pPr>
              <w:spacing w:after="0"/>
              <w:rPr>
                <w:sz w:val="20"/>
                <w:szCs w:val="20"/>
                <w:color w:val="auto"/>
              </w:rPr>
            </w:pPr>
            <w:r>
              <w:rPr>
                <w:rFonts w:ascii="Arial" w:cs="Arial" w:eastAsia="Arial" w:hAnsi="Arial"/>
                <w:sz w:val="18"/>
                <w:szCs w:val="18"/>
                <w:b w:val="1"/>
                <w:bCs w:val="1"/>
                <w:color w:val="auto"/>
              </w:rPr>
              <w:t>Income tax benefit (expense)</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w w:val="93"/>
              </w:rPr>
              <w:t>Benefit (expense) related to income (loss) from discontinued operations</w:t>
            </w:r>
          </w:p>
        </w:tc>
        <w:tc>
          <w:tcPr>
            <w:tcW w:w="1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Composites/Marl facility</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Valvoline</w:t>
            </w:r>
          </w:p>
        </w:tc>
        <w:tc>
          <w:tcPr>
            <w:tcW w:w="1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Asbestos-related litigation</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Water Technologies</w:t>
            </w:r>
          </w:p>
        </w:tc>
        <w:tc>
          <w:tcPr>
            <w:tcW w:w="1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5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Distribution</w:t>
            </w:r>
          </w:p>
        </w:tc>
        <w:tc>
          <w:tcPr>
            <w:tcW w:w="14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Expense related to gain on disposal of discontinued operations</w:t>
            </w:r>
          </w:p>
        </w:tc>
        <w:tc>
          <w:tcPr>
            <w:tcW w:w="1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Composites/Marl facility</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discontinued operations (net of taxes)</w:t>
            </w:r>
          </w:p>
        </w:tc>
        <w:tc>
          <w:tcPr>
            <w:tcW w:w="19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481</w:t>
            </w:r>
          </w:p>
        </w:tc>
        <w:tc>
          <w:tcPr>
            <w:tcW w:w="6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c>
          <w:tcPr>
            <w:tcW w:w="6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5360" w:type="dxa"/>
            <w:vAlign w:val="bottom"/>
          </w:tcPr>
          <w:p>
            <w:pPr>
              <w:spacing w:after="0"/>
              <w:rPr>
                <w:sz w:val="24"/>
                <w:szCs w:val="24"/>
                <w:color w:val="auto"/>
              </w:rPr>
            </w:pPr>
          </w:p>
        </w:tc>
        <w:tc>
          <w:tcPr>
            <w:tcW w:w="1960" w:type="dxa"/>
            <w:vAlign w:val="bottom"/>
            <w:gridSpan w:val="2"/>
          </w:tcPr>
          <w:p>
            <w:pPr>
              <w:jc w:val="right"/>
              <w:ind w:right="1440"/>
              <w:spacing w:after="0"/>
              <w:rPr>
                <w:sz w:val="20"/>
                <w:szCs w:val="20"/>
                <w:color w:val="auto"/>
              </w:rPr>
            </w:pPr>
            <w:r>
              <w:rPr>
                <w:rFonts w:ascii="Arial" w:cs="Arial" w:eastAsia="Arial" w:hAnsi="Arial"/>
                <w:sz w:val="18"/>
                <w:szCs w:val="18"/>
                <w:color w:val="auto"/>
              </w:rPr>
              <w:t>F-27</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i w:val="1"/>
          <w:iCs w:val="1"/>
          <w:color w:val="auto"/>
        </w:rPr>
        <w:t>Composites and Marl divestiture</w:t>
      </w:r>
    </w:p>
    <w:p>
      <w:pPr>
        <w:spacing w:after="0" w:line="117"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The following table presents a reconciliation of the captions within Ashland's Statements of Consolidated Income (Loss) for the income (loss) from discontinued operations attributable to the Composites business and the Marl facility disposal group for each of the years ended September 30. Interest expense was allocated to discontinued operations based on Ashland’s mandatory debt prepayments upon the disposition of the Composites business and the Marl facility. Although the Maleic business was not sold to INEOS, this business was operated under the Composites business and Marl facility disposal group and will continue to be reported in discontinued operations along with the Composites business and Marl facility.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05"/>
        </w:trPr>
        <w:tc>
          <w:tcPr>
            <w:tcW w:w="67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Income(loss) from discontinued operations attributable to</w:t>
            </w: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34"/>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Composites/Marl facility disposal group</w:t>
            </w:r>
          </w:p>
        </w:tc>
        <w:tc>
          <w:tcPr>
            <w:tcW w:w="5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Sales</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1,012</w:t>
            </w:r>
          </w:p>
        </w:tc>
        <w:tc>
          <w:tcPr>
            <w:tcW w:w="6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1,154</w:t>
            </w: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951</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sales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Selling, general and administrative expense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expense</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Equity and other income</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r>
      <w:tr>
        <w:trPr>
          <w:trHeight w:val="223"/>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Pretax operating income of discontinued operations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Net interest and other financing expense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 periodic benefit income (costs)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r>
      <w:tr>
        <w:trPr>
          <w:trHeight w:val="230"/>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gain on acquisitions and divestitures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r>
      <w:tr>
        <w:trPr>
          <w:trHeight w:val="223"/>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Pretax income of discontinued operations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98</w:t>
            </w:r>
          </w:p>
        </w:tc>
      </w:tr>
      <w:tr>
        <w:trPr>
          <w:trHeight w:val="230"/>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from discontinued operations</w:t>
            </w: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75</w:t>
            </w:r>
          </w:p>
        </w:tc>
      </w:tr>
      <w:tr>
        <w:trPr>
          <w:trHeight w:val="20"/>
        </w:trPr>
        <w:tc>
          <w:tcPr>
            <w:tcW w:w="6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Valvoline Separation</w:t>
      </w:r>
    </w:p>
    <w:p>
      <w:pPr>
        <w:spacing w:after="0" w:line="13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presents a reconciliation of the captions within Ashland’s Statements of Consolidated Income for the income from discontinued operations attributable to Valvoline for the year ended September 30,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 xml:space="preserve">2017 </w:t>
            </w:r>
            <w:r>
              <w:rPr>
                <w:rFonts w:ascii="Arial" w:cs="Arial" w:eastAsia="Arial" w:hAnsi="Arial"/>
                <w:sz w:val="14"/>
                <w:szCs w:val="14"/>
                <w:color w:val="auto"/>
              </w:rPr>
              <w:t>(a)</w:t>
            </w:r>
          </w:p>
        </w:tc>
      </w:tr>
      <w:tr>
        <w:trPr>
          <w:trHeight w:val="223"/>
        </w:trPr>
        <w:tc>
          <w:tcPr>
            <w:tcW w:w="9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discontinued operations attributable to Valvoline</w:t>
            </w: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Sales</w:t>
            </w: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1,237</w:t>
            </w: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income</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r>
      <w:tr>
        <w:trPr>
          <w:trHeight w:val="223"/>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of discontinued operations</w:t>
            </w: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262</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Net loss on acquisitions and divestitures</w:t>
            </w:r>
          </w:p>
        </w:tc>
        <w:tc>
          <w:tcPr>
            <w:tcW w:w="7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Net interest and other financing expense</w:t>
            </w:r>
          </w:p>
        </w:tc>
        <w:tc>
          <w:tcPr>
            <w:tcW w:w="7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9400" w:type="dxa"/>
            <w:vAlign w:val="bottom"/>
          </w:tcPr>
          <w:p>
            <w:pPr>
              <w:spacing w:after="0"/>
              <w:rPr>
                <w:sz w:val="20"/>
                <w:szCs w:val="20"/>
                <w:color w:val="auto"/>
              </w:rPr>
            </w:pPr>
            <w:r>
              <w:rPr>
                <w:rFonts w:ascii="Arial" w:cs="Arial" w:eastAsia="Arial" w:hAnsi="Arial"/>
                <w:sz w:val="18"/>
                <w:szCs w:val="18"/>
                <w:color w:val="auto"/>
              </w:rPr>
              <w:t>Pretax income of discontinued operations</w:t>
            </w:r>
          </w:p>
        </w:tc>
        <w:tc>
          <w:tcPr>
            <w:tcW w:w="7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240</w:t>
            </w: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7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94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159</w:t>
            </w:r>
          </w:p>
        </w:tc>
      </w:tr>
      <w:tr>
        <w:trPr>
          <w:trHeight w:val="20"/>
        </w:trPr>
        <w:tc>
          <w:tcPr>
            <w:tcW w:w="9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Results in 2017 reflect activity through May 12, 2017 when Valvoline was fully separated, as previously discussed.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NOTE F – RESTRUCTURING ACTIVITIES</w:t>
      </w:r>
    </w:p>
    <w:p>
      <w:pPr>
        <w:spacing w:after="0" w:line="121"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costs</w:t>
      </w:r>
    </w:p>
    <w:p>
      <w:pPr>
        <w:spacing w:after="0" w:line="117"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During 2018, Ashland announced and initiated a company-wide restructuring program as a result of ongoing strategic asset plans and activities. As part of this restructuring program, Ashland announced a voluntary severance offer (VSO) to certain qualifying employees that were formally approved during 2018. Additionally, during 2018, an involuntary program for employees was also initiated as part of the restructuring program. The VSO and involuntary programs resulted in expense of $6 million and $36 million being recognized during 2019 and 2018, respectively, which were primarily recorded within the selling, general and administrative expense caption of the Statements of Consolidated Comprehensive Income (Loss). As of September 30, 2019, the severance reserve for the company-wide restructuring program was $7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costs</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incurred $7 million and $9 million of lease abandonment charges during 2019 and 2018, respectively due to the exit from certain office facilities in conjunction with the company-wide restructuring program. The costs related to this reserve were recorded within the selling, general and administrative expense caption of the Statements of Consolidated Comprehensive Income (Loss) and will be paid over the remaining lease terms. As of September 30, 2019, the remaining restructuring reserve for all qualifying facility costs totaled $7 million.</w:t>
      </w:r>
    </w:p>
    <w:p>
      <w:pPr>
        <w:spacing w:after="0" w:line="7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following table details at September 30, 2019, the amount of restructuring reserves related to the programs discussed above, and the related activity in these reserves during 2019. The severance reserves and facility cost reserves were primarily included in accrued expenses and other liabilities in the Consolidated Balance Sheet as of September 30,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6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color w:val="auto"/>
              </w:rPr>
              <w:t>Severance costs</w:t>
            </w:r>
          </w:p>
        </w:tc>
        <w:tc>
          <w:tcPr>
            <w:tcW w:w="56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8"/>
                <w:szCs w:val="18"/>
                <w:color w:val="auto"/>
              </w:rPr>
              <w:t>Facility costs</w:t>
            </w:r>
          </w:p>
        </w:tc>
        <w:tc>
          <w:tcPr>
            <w:tcW w:w="8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Total</w:t>
            </w: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2018</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Restructuring reserve</w:t>
            </w:r>
          </w:p>
        </w:tc>
        <w:tc>
          <w:tcPr>
            <w:tcW w:w="46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4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4640" w:type="dxa"/>
            <w:vAlign w:val="bottom"/>
          </w:tcPr>
          <w:p>
            <w:pPr>
              <w:spacing w:after="0"/>
              <w:rPr>
                <w:sz w:val="20"/>
                <w:szCs w:val="20"/>
                <w:color w:val="auto"/>
              </w:rPr>
            </w:pPr>
            <w:r>
              <w:rPr>
                <w:rFonts w:ascii="Arial" w:cs="Arial" w:eastAsia="Arial" w:hAnsi="Arial"/>
                <w:sz w:val="18"/>
                <w:szCs w:val="18"/>
                <w:b w:val="1"/>
                <w:bCs w:val="1"/>
                <w:color w:val="auto"/>
              </w:rPr>
              <w:t>Balance as of September 30, 2019</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r>
      <w:tr>
        <w:trPr>
          <w:trHeight w:val="20"/>
        </w:trPr>
        <w:tc>
          <w:tcPr>
            <w:tcW w:w="4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Impairments</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2018, Ashland incurred $16 million of asset impairment charges primarily related to restructuring activities which were recorded within the selling, general and administrative expense caption of the Statements of Consolidated Comprehensive Income (Loss). Of these impairment charges, $12 million was related to the sale of an office facility. Consistent with historical policies and U.S. GAAP provisions, Ashland recognized the building at fair value using Level 2 nonrecurring fair value measurements.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Plant restructuring</w:t>
      </w:r>
    </w:p>
    <w:p>
      <w:pPr>
        <w:spacing w:after="0" w:line="117"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During 2019, Specialty Ingredients committed to a cost reduction plan within an existing manufacturing facility. As a result, Ashland incurred restructuring charges of $47 million as of September 30, 2019. These charges were recorded primarily within the cost of sales caption of the Statements of Consolidated Comprehensive Income (Loss) consisting of $38 million of accelerated depreciation and amortization, $5 million of severance and $4 million of plant closure costs during 2019. As of September 30, 2019, there was a restructuring reserve of $2 million related to the $4 million of plant closure costs.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G – FAIR VALUE MEASUREMENTS</w:t>
      </w:r>
    </w:p>
    <w:p>
      <w:pPr>
        <w:spacing w:after="0" w:line="121"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Level 1 – Observable inputs such as unadjusted quoted prices in active markets for identical assets or liabilities.</w:t>
      </w:r>
    </w:p>
    <w:p>
      <w:pPr>
        <w:spacing w:after="0" w:line="117"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6"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63"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through the use of fair value models, such as a discounted cash flow model or other standard pricing models that Ashland deems reasonable.</w:t>
      </w:r>
    </w:p>
    <w:p>
      <w:pPr>
        <w:spacing w:after="0" w:line="80"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summarizes financial instruments subject to recurring fair value measurements as of September 30, 2019. For additional information on fair value hierarchy measurements of pension plan asset holdings, see Note 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2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Quoted prices</w:t>
            </w: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in active</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Significant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markets for</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identical</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observable</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unobservable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Carrying</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Total fair</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inputs</w:t>
            </w: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inputs</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 xml:space="preserve">Investments of captive insurance company </w:t>
            </w:r>
            <w:r>
              <w:rPr>
                <w:rFonts w:ascii="Arial" w:cs="Arial" w:eastAsia="Arial" w:hAnsi="Arial"/>
                <w:sz w:val="14"/>
                <w:szCs w:val="14"/>
                <w:color w:val="auto"/>
              </w:rPr>
              <w:t>(b)</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280" w:type="dxa"/>
            <w:vAlign w:val="bottom"/>
            <w:gridSpan w:val="2"/>
          </w:tcPr>
          <w:p>
            <w:pPr>
              <w:spacing w:after="0"/>
              <w:rPr>
                <w:sz w:val="20"/>
                <w:szCs w:val="20"/>
                <w:color w:val="auto"/>
              </w:rPr>
            </w:pPr>
            <w:r>
              <w:rPr>
                <w:rFonts w:ascii="Arial" w:cs="Arial" w:eastAsia="Arial" w:hAnsi="Arial"/>
                <w:sz w:val="18"/>
                <w:szCs w:val="18"/>
                <w:color w:val="auto"/>
              </w:rPr>
              <w:t>Total assets at fair value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Included in restricted investments and $24 million within other current assets in the Consolidated Balance Sheets.</w:t>
      </w:r>
    </w:p>
    <w:p>
      <w:pPr>
        <w:ind w:left="300" w:hanging="292"/>
        <w:spacing w:after="0"/>
        <w:tabs>
          <w:tab w:leader="none" w:pos="3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Included in other noncurrent assets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8" w:name="page109"/>
    <w:bookmarkEnd w:id="108"/>
    <w:p>
      <w:pPr>
        <w:ind w:left="400"/>
        <w:spacing w:after="0"/>
        <w:rPr>
          <w:sz w:val="20"/>
          <w:szCs w:val="20"/>
          <w:color w:val="auto"/>
        </w:rPr>
      </w:pPr>
      <w:r>
        <w:rPr>
          <w:rFonts w:ascii="Arial" w:cs="Arial" w:eastAsia="Arial" w:hAnsi="Arial"/>
          <w:sz w:val="18"/>
          <w:szCs w:val="18"/>
          <w:color w:val="auto"/>
        </w:rPr>
        <w:t>The following table summarizes financial instruments subject to recurring fair value measurements as of September 30,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2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Quoted prices</w:t>
            </w: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in active</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Significant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markets for</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identical</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observable</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unobservable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Carrying</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Total fair</w:t>
            </w: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inputs</w:t>
            </w: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inputs</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Level 1</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294</w:t>
            </w:r>
          </w:p>
        </w:tc>
        <w:tc>
          <w:tcPr>
            <w:tcW w:w="3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Investments of captive insurance company </w:t>
            </w:r>
            <w:r>
              <w:rPr>
                <w:rFonts w:ascii="Arial" w:cs="Arial" w:eastAsia="Arial" w:hAnsi="Arial"/>
                <w:sz w:val="14"/>
                <w:szCs w:val="14"/>
                <w:color w:val="auto"/>
              </w:rPr>
              <w:t>(b)</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Included in restricted investments and $30 million within other current assets in the Consolidated Balance Sheets.</w:t>
      </w:r>
    </w:p>
    <w:p>
      <w:pPr>
        <w:ind w:left="300" w:hanging="292"/>
        <w:spacing w:after="0"/>
        <w:tabs>
          <w:tab w:leader="none" w:pos="3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Included in other noncurrent assets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investments</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As discussed in Note A, Ashland maintains certain investments in a company restricted renewable annual trust for the purpose of paying future asbestos indemnity and defense costs. The investments are designated as available-for-sale securities, classified as Level 1 measurements within the fair value hierarchy. These securities were classified primarily as noncurrent restricted investment assets, with $24 million classified within other current assets, in the Consolidated Balance Sheets. The current year included a portfolio rebalancing between equity and bond funds held within the portfolio resulting in significant purchases and sales of investment securities totaling $348 million each. The following table provides a summary of the activity within the available-for-sale securities portfolio as of September 30, 2019 and 2018: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Original cost</w:t>
            </w:r>
          </w:p>
        </w:tc>
        <w:tc>
          <w:tcPr>
            <w:tcW w:w="328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c>
          <w:tcPr>
            <w:tcW w:w="820" w:type="dxa"/>
            <w:vAlign w:val="bottom"/>
            <w:gridSpan w:val="2"/>
            <w:shd w:val="clear" w:color="auto" w:fill="CFF0FC"/>
          </w:tcPr>
          <w:p>
            <w:pPr>
              <w:jc w:val="right"/>
              <w:ind w:right="48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335</w:t>
            </w: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adjustments, net</w:t>
            </w:r>
          </w:p>
        </w:tc>
        <w:tc>
          <w:tcPr>
            <w:tcW w:w="26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cost, beginning of year </w:t>
            </w:r>
            <w:r>
              <w:rPr>
                <w:rFonts w:ascii="Arial" w:cs="Arial" w:eastAsia="Arial" w:hAnsi="Arial"/>
                <w:sz w:val="14"/>
                <w:szCs w:val="14"/>
                <w:color w:val="auto"/>
              </w:rPr>
              <w:t>(a)</w:t>
            </w:r>
          </w:p>
        </w:tc>
        <w:tc>
          <w:tcPr>
            <w:tcW w:w="26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297</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(b)</w:t>
            </w:r>
          </w:p>
        </w:tc>
        <w:tc>
          <w:tcPr>
            <w:tcW w:w="2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w:t>
            </w: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unrealized gain </w:t>
            </w:r>
            <w:r>
              <w:rPr>
                <w:rFonts w:ascii="Arial" w:cs="Arial" w:eastAsia="Arial" w:hAnsi="Arial"/>
                <w:sz w:val="14"/>
                <w:szCs w:val="14"/>
                <w:color w:val="auto"/>
              </w:rPr>
              <w:t>(c)</w:t>
            </w:r>
          </w:p>
        </w:tc>
        <w:tc>
          <w:tcPr>
            <w:tcW w:w="26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 xml:space="preserve">Realized gain </w:t>
            </w:r>
            <w:r>
              <w:rPr>
                <w:rFonts w:ascii="Arial" w:cs="Arial" w:eastAsia="Arial" w:hAnsi="Arial"/>
                <w:sz w:val="14"/>
                <w:szCs w:val="14"/>
                <w:color w:val="auto"/>
              </w:rPr>
              <w:t>(c)</w:t>
            </w:r>
          </w:p>
        </w:tc>
        <w:tc>
          <w:tcPr>
            <w:tcW w:w="2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w:t>
            </w: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Settlement funds</w:t>
            </w:r>
          </w:p>
        </w:tc>
        <w:tc>
          <w:tcPr>
            <w:tcW w:w="26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Disbursements</w:t>
            </w:r>
          </w:p>
        </w:tc>
        <w:tc>
          <w:tcPr>
            <w:tcW w:w="26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26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334</w:t>
            </w: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342</w:t>
            </w:r>
          </w:p>
        </w:tc>
      </w:tr>
      <w:tr>
        <w:trPr>
          <w:trHeight w:val="20"/>
        </w:trPr>
        <w:tc>
          <w:tcPr>
            <w:tcW w:w="5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adjusted cost of the demand deposit includes accumulated investment income, realized gains, disbursements and settlements recorded in previous periods.</w:t>
      </w:r>
    </w:p>
    <w:p>
      <w:pPr>
        <w:ind w:left="300" w:hanging="292"/>
        <w:spacing w:after="0" w:line="221" w:lineRule="auto"/>
        <w:tabs>
          <w:tab w:leader="none" w:pos="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Investment income relates to the demand deposit and includes interest income as well as dividend income transferred from the equity and corporate bond mutual funds.</w:t>
      </w:r>
    </w:p>
    <w:p>
      <w:pPr>
        <w:ind w:left="300" w:hanging="292"/>
        <w:spacing w:after="0"/>
        <w:tabs>
          <w:tab w:leader="none" w:pos="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Presented under the original cost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9" w:name="page110"/>
    <w:bookmarkEnd w:id="109"/>
    <w:p>
      <w:pPr>
        <w:ind w:left="400"/>
        <w:spacing w:after="0"/>
        <w:rPr>
          <w:sz w:val="20"/>
          <w:szCs w:val="20"/>
          <w:color w:val="auto"/>
        </w:rPr>
      </w:pPr>
      <w:r>
        <w:rPr>
          <w:rFonts w:ascii="Arial" w:cs="Arial" w:eastAsia="Arial" w:hAnsi="Arial"/>
          <w:sz w:val="18"/>
          <w:szCs w:val="18"/>
          <w:color w:val="auto"/>
        </w:rPr>
        <w:t>The following table presents gross unrealized gains and losses for the available-for-sale securities as of September 30, 2019 and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92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Gross</w:t>
            </w:r>
          </w:p>
        </w:tc>
        <w:tc>
          <w:tcPr>
            <w:tcW w:w="1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Gross</w:t>
            </w:r>
          </w:p>
        </w:tc>
        <w:tc>
          <w:tcPr>
            <w:tcW w:w="1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w w:val="90"/>
              </w:rPr>
              <w:t>Adjusted Cost</w:t>
            </w:r>
          </w:p>
        </w:tc>
        <w:tc>
          <w:tcPr>
            <w:tcW w:w="1440" w:type="dxa"/>
            <w:vAlign w:val="bottom"/>
            <w:gridSpan w:val="3"/>
          </w:tcPr>
          <w:p>
            <w:pPr>
              <w:ind w:left="140"/>
              <w:spacing w:after="0"/>
              <w:rPr>
                <w:sz w:val="20"/>
                <w:szCs w:val="20"/>
                <w:color w:val="auto"/>
              </w:rPr>
            </w:pPr>
            <w:r>
              <w:rPr>
                <w:rFonts w:ascii="Arial" w:cs="Arial" w:eastAsia="Arial" w:hAnsi="Arial"/>
                <w:sz w:val="18"/>
                <w:szCs w:val="18"/>
                <w:color w:val="auto"/>
                <w:w w:val="99"/>
              </w:rPr>
              <w:t>Unrealized Gain</w:t>
            </w:r>
          </w:p>
        </w:tc>
        <w:tc>
          <w:tcPr>
            <w:tcW w:w="1420" w:type="dxa"/>
            <w:vAlign w:val="bottom"/>
            <w:gridSpan w:val="3"/>
          </w:tcPr>
          <w:p>
            <w:pPr>
              <w:jc w:val="right"/>
              <w:ind w:right="30"/>
              <w:spacing w:after="0"/>
              <w:rPr>
                <w:sz w:val="20"/>
                <w:szCs w:val="20"/>
                <w:color w:val="auto"/>
              </w:rPr>
            </w:pPr>
            <w:r>
              <w:rPr>
                <w:rFonts w:ascii="Arial" w:cs="Arial" w:eastAsia="Arial" w:hAnsi="Arial"/>
                <w:sz w:val="18"/>
                <w:szCs w:val="18"/>
                <w:color w:val="auto"/>
                <w:w w:val="99"/>
              </w:rPr>
              <w:t>Unrealized Loss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 of September 30, 2019</w:t>
            </w:r>
          </w:p>
        </w:tc>
        <w:tc>
          <w:tcPr>
            <w:tcW w:w="1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Demand Deposit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Bond Mutual Fund</w:t>
            </w:r>
          </w:p>
        </w:tc>
        <w:tc>
          <w:tcPr>
            <w:tcW w:w="19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19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305</w:t>
            </w: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September 30, 2018</w:t>
            </w:r>
          </w:p>
        </w:tc>
        <w:tc>
          <w:tcPr>
            <w:tcW w:w="1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Demand Deposit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Bond Mutual Fund</w:t>
            </w:r>
          </w:p>
        </w:tc>
        <w:tc>
          <w:tcPr>
            <w:tcW w:w="19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19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288</w:t>
            </w: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The unrealized gains and losses of $54 million, net of the related deferred income taxes of $20 million, as of September 30, 2018, were reclassified from AOCI to retained earnings within the Consolidated Balance Sheets due to the new accounting guidance adopted in the first quarter of fiscal year 2019.</w:t>
      </w:r>
    </w:p>
    <w:p>
      <w:pPr>
        <w:spacing w:after="0" w:line="16"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presents the investment income, net unrealized gains and losses, realized gains and disbursements related to the investments within the portfolio during 2019, 2018 and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7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6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6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78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w:t>
            </w:r>
          </w:p>
        </w:tc>
        <w:tc>
          <w:tcPr>
            <w:tcW w:w="6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 xml:space="preserve">Net unrealized gains (losses) </w:t>
            </w:r>
            <w:r>
              <w:rPr>
                <w:rFonts w:ascii="Arial" w:cs="Arial" w:eastAsia="Arial" w:hAnsi="Arial"/>
                <w:sz w:val="14"/>
                <w:szCs w:val="14"/>
                <w:color w:val="auto"/>
              </w:rPr>
              <w:t>(a)</w:t>
            </w:r>
          </w:p>
        </w:tc>
        <w:tc>
          <w:tcPr>
            <w:tcW w:w="278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Realized gains </w:t>
            </w:r>
            <w:r>
              <w:rPr>
                <w:rFonts w:ascii="Arial" w:cs="Arial" w:eastAsia="Arial" w:hAnsi="Arial"/>
                <w:sz w:val="14"/>
                <w:szCs w:val="14"/>
                <w:color w:val="auto"/>
              </w:rPr>
              <w:t>(b)</w:t>
            </w:r>
          </w:p>
        </w:tc>
        <w:tc>
          <w:tcPr>
            <w:tcW w:w="27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Disbursements</w:t>
            </w:r>
          </w:p>
        </w:tc>
        <w:tc>
          <w:tcPr>
            <w:tcW w:w="27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29" w:lineRule="exact"/>
        <w:rPr>
          <w:sz w:val="20"/>
          <w:szCs w:val="20"/>
          <w:color w:val="auto"/>
        </w:rPr>
      </w:pPr>
    </w:p>
    <w:p>
      <w:pPr>
        <w:jc w:val="both"/>
        <w:ind w:left="300" w:hanging="292"/>
        <w:spacing w:after="0" w:line="227" w:lineRule="auto"/>
        <w:tabs>
          <w:tab w:leader="none" w:pos="3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Ashland determined that all unrealized gains and losses were related to equity securities with readily determinable fair values. Due to the new accounting guidance adopted in the first quarter of fiscal year 2019, the net unrealized losses during the year ended September 30, 2019 were recorded within the net interest and other expense (income) caption in the Statements of Consolidated Income (Loss). In 2018 and 2017 these net unrealized gains (losses) were in AOCI.</w:t>
      </w:r>
    </w:p>
    <w:p>
      <w:pPr>
        <w:ind w:left="300" w:hanging="292"/>
        <w:spacing w:after="0"/>
        <w:tabs>
          <w:tab w:leader="none" w:pos="3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Relates only to the years ended September 30, 2018 and 2017 prior to adoption of the new accounting guidance for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pacing w:after="0" w:line="121"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 The following table summarizes the gains and losses recognized during 2019, 2018 and 2017 within the Statements of Consolidated Comprehensive Income (Loss).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6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6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gain (loss)</w:t>
            </w:r>
          </w:p>
        </w:tc>
        <w:tc>
          <w:tcPr>
            <w:tcW w:w="31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66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w:t>
            </w:r>
          </w:p>
        </w:tc>
        <w:tc>
          <w:tcPr>
            <w:tcW w:w="6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567"/>
        </w:trPr>
        <w:tc>
          <w:tcPr>
            <w:tcW w:w="4180" w:type="dxa"/>
            <w:vAlign w:val="bottom"/>
          </w:tcPr>
          <w:p>
            <w:pPr>
              <w:spacing w:after="0"/>
              <w:rPr>
                <w:sz w:val="24"/>
                <w:szCs w:val="24"/>
                <w:color w:val="auto"/>
              </w:rPr>
            </w:pPr>
          </w:p>
        </w:tc>
        <w:tc>
          <w:tcPr>
            <w:tcW w:w="3140" w:type="dxa"/>
            <w:vAlign w:val="bottom"/>
          </w:tcPr>
          <w:p>
            <w:pPr>
              <w:jc w:val="right"/>
              <w:ind w:right="1350"/>
              <w:spacing w:after="0"/>
              <w:rPr>
                <w:sz w:val="20"/>
                <w:szCs w:val="20"/>
                <w:color w:val="auto"/>
              </w:rPr>
            </w:pPr>
            <w:r>
              <w:rPr>
                <w:rFonts w:ascii="Arial" w:cs="Arial" w:eastAsia="Arial" w:hAnsi="Arial"/>
                <w:sz w:val="18"/>
                <w:szCs w:val="18"/>
                <w:color w:val="auto"/>
              </w:rPr>
              <w:t>F-32</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0" w:name="page111"/>
    <w:bookmarkEnd w:id="110"/>
    <w:p>
      <w:pPr>
        <w:jc w:val="both"/>
        <w:ind w:firstLine="401"/>
        <w:spacing w:after="0" w:line="277" w:lineRule="auto"/>
        <w:rPr>
          <w:sz w:val="20"/>
          <w:szCs w:val="20"/>
          <w:color w:val="auto"/>
        </w:rPr>
      </w:pPr>
      <w:r>
        <w:rPr>
          <w:rFonts w:ascii="Arial" w:cs="Arial" w:eastAsia="Arial" w:hAnsi="Arial"/>
          <w:sz w:val="18"/>
          <w:szCs w:val="18"/>
          <w:color w:val="auto"/>
        </w:rPr>
        <w:t>The following table summarizes the fair values of the outstanding foreign currency derivatives as of September 30, 2019 and 2018 included in accounts receivable and accrued expenses and other liabilities of the 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7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Foreign currency derivative assets</w:t>
            </w:r>
          </w:p>
        </w:tc>
        <w:tc>
          <w:tcPr>
            <w:tcW w:w="320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78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Notional contract values</w:t>
            </w:r>
          </w:p>
        </w:tc>
        <w:tc>
          <w:tcPr>
            <w:tcW w:w="32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271</w:t>
            </w:r>
          </w:p>
        </w:tc>
        <w:tc>
          <w:tcPr>
            <w:tcW w:w="7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8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Foreign currency derivative liabilities</w:t>
            </w:r>
          </w:p>
        </w:tc>
        <w:tc>
          <w:tcPr>
            <w:tcW w:w="32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7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Notional contract values</w:t>
            </w:r>
          </w:p>
        </w:tc>
        <w:tc>
          <w:tcPr>
            <w:tcW w:w="3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168</w:t>
            </w:r>
          </w:p>
        </w:tc>
        <w:tc>
          <w:tcPr>
            <w:tcW w:w="7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At September 30, 2019 and 2018, Ashland’s long-term debt (including the current portion and excluding debt issuance cost discounts) had a carrying values of $1,513 million and $2,307 million, respectively, compared to a fair value of $1,680 million and $2,372 million, respectively. The fair values of long-term debt are based on quoted market prices or, if market prices are not available, the present values of the underlying cash flows discounted at Ashland’s incremental borrowing rates, which are deemed to be Level 2 measurements within the fair value hierarchy.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PROPERTY, PLANT AND EQUIPMENT</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describes the various components of property, plant and equipment within the 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4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284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76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Buildings</w:t>
            </w:r>
          </w:p>
        </w:tc>
        <w:tc>
          <w:tcPr>
            <w:tcW w:w="2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496</w:t>
            </w: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2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2,361</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2,353</w:t>
            </w:r>
          </w:p>
        </w:tc>
      </w:tr>
      <w:tr>
        <w:trPr>
          <w:trHeight w:val="230"/>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22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w:t>
            </w:r>
          </w:p>
        </w:tc>
        <w:tc>
          <w:tcPr>
            <w:tcW w:w="1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r>
      <w:tr>
        <w:trPr>
          <w:trHeight w:val="223"/>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plant and equipment (gross)</w:t>
            </w:r>
          </w:p>
        </w:tc>
        <w:tc>
          <w:tcPr>
            <w:tcW w:w="2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3,165</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3,172</w:t>
            </w:r>
          </w:p>
        </w:tc>
      </w:tr>
      <w:tr>
        <w:trPr>
          <w:trHeight w:val="230"/>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depreciation</w:t>
            </w:r>
          </w:p>
        </w:tc>
        <w:tc>
          <w:tcPr>
            <w:tcW w:w="22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r>
      <w:tr>
        <w:trPr>
          <w:trHeight w:val="223"/>
        </w:trPr>
        <w:tc>
          <w:tcPr>
            <w:tcW w:w="5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property, plant and equipment (net)</w:t>
            </w:r>
          </w:p>
        </w:tc>
        <w:tc>
          <w:tcPr>
            <w:tcW w:w="22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1,577</w:t>
            </w:r>
          </w:p>
        </w:tc>
        <w:tc>
          <w:tcPr>
            <w:tcW w:w="1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1,646</w:t>
            </w:r>
          </w:p>
        </w:tc>
      </w:tr>
      <w:tr>
        <w:trPr>
          <w:trHeight w:val="20"/>
        </w:trPr>
        <w:tc>
          <w:tcPr>
            <w:tcW w:w="5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various property, plant and equipment charges included within the Statements of Consolidated Comprehensive Income.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6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6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32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203</w:t>
            </w:r>
          </w:p>
        </w:tc>
        <w:tc>
          <w:tcPr>
            <w:tcW w:w="6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184</w:t>
            </w:r>
          </w:p>
        </w:tc>
        <w:tc>
          <w:tcPr>
            <w:tcW w:w="6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185</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Capitalized interest</w:t>
            </w:r>
          </w:p>
        </w:tc>
        <w:tc>
          <w:tcPr>
            <w:tcW w:w="3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Depreciation</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2019, Ashland committed to a cost reduction plan within an existing manufacturing facility. As a result, depreciation included $38 million of accelerated depreciation for the remaining value of this facility primarily related to machinery and equipment. See Note F for additional information related to this facility. This charge related to the Specialty Ingredients reportable segment and was recorded primarily within the cost of sales caption of the Statement of Consolidated Comprehensive Income (Loss) for 2019.</w:t>
      </w:r>
    </w:p>
    <w:p>
      <w:pPr>
        <w:spacing w:after="0" w:line="79"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During 2018 and 2017, the termination of a contract at a manufacturing facility resulted in $6 million and $1 million, respectively, of accelerated depreciation for the remaining value of the related machinery and equipment. These charges related to the Specialty Ingredients reportable segment and were recorded within the equity and other income (loss) caption of the Statements of Consolidated Comprehensive Income (Loss).</w:t>
      </w:r>
    </w:p>
    <w:p>
      <w:pPr>
        <w:spacing w:after="0" w:line="5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2017, Ashland committed to a plan to reorganize certain operations which resulted in the closure of a manufacturing facility that was previously operational. Due to this closure, depreciation included $13 million of accelerated depreciation for the remaining value of this facility primarily related to machinery and equipment. See Note D for additional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1" w:name="page112"/>
    <w:bookmarkEnd w:id="111"/>
    <w:p>
      <w:pPr>
        <w:jc w:val="both"/>
        <w:spacing w:after="0" w:line="277" w:lineRule="auto"/>
        <w:rPr>
          <w:sz w:val="20"/>
          <w:szCs w:val="20"/>
          <w:color w:val="auto"/>
        </w:rPr>
      </w:pPr>
      <w:r>
        <w:rPr>
          <w:rFonts w:ascii="Arial" w:cs="Arial" w:eastAsia="Arial" w:hAnsi="Arial"/>
          <w:sz w:val="18"/>
          <w:szCs w:val="18"/>
          <w:color w:val="auto"/>
        </w:rPr>
        <w:t>information related to this facility. This charge related to the Specialty Ingredients reportable segment and was recorded within the cost of sales caption of the Statement of Consolidated Comprehensive Income (Loss) for 2017.</w:t>
      </w:r>
    </w:p>
    <w:p>
      <w:pPr>
        <w:spacing w:after="0" w:line="62"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2019, 2018 and 2017, depreciation also included $1 million, $8 million and $5 million, respectively, of accelerated depreciation within Unallocated and other and was recorded within the selling, general and administrative expense caption of the Statements of Consolidated Comprehensive Income.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GOODWILL AND OTHER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progression of goodwill by reportable segment for the years ended September 30, 2019 and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9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Specialty</w:t>
            </w:r>
          </w:p>
        </w:tc>
        <w:tc>
          <w:tcPr>
            <w:tcW w:w="3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Intermediates</w:t>
            </w:r>
          </w:p>
        </w:tc>
        <w:tc>
          <w:tcPr>
            <w:tcW w:w="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30"/>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Ingredients</w:t>
            </w: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 xml:space="preserve">and Solvents </w:t>
            </w:r>
            <w:r>
              <w:rPr>
                <w:rFonts w:ascii="Arial" w:cs="Arial" w:eastAsia="Arial" w:hAnsi="Arial"/>
                <w:sz w:val="14"/>
                <w:szCs w:val="14"/>
                <w:color w:val="auto"/>
              </w:rPr>
              <w:t>(a)</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Total</w:t>
            </w: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2017</w:t>
            </w:r>
          </w:p>
        </w:tc>
        <w:tc>
          <w:tcPr>
            <w:tcW w:w="210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2,315</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525"/>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2,315</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 xml:space="preserve">Acquisition </w:t>
            </w:r>
            <w:r>
              <w:rPr>
                <w:rFonts w:ascii="Arial" w:cs="Arial" w:eastAsia="Arial" w:hAnsi="Arial"/>
                <w:sz w:val="14"/>
                <w:szCs w:val="14"/>
                <w:color w:val="auto"/>
              </w:rPr>
              <w:t>(b)</w:t>
            </w:r>
          </w:p>
        </w:tc>
        <w:tc>
          <w:tcPr>
            <w:tcW w:w="1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w:t>
            </w:r>
          </w:p>
        </w:tc>
        <w:tc>
          <w:tcPr>
            <w:tcW w:w="16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3960" w:type="dxa"/>
            <w:vAlign w:val="bottom"/>
          </w:tcPr>
          <w:p>
            <w:pPr>
              <w:spacing w:after="0"/>
              <w:rPr>
                <w:sz w:val="20"/>
                <w:szCs w:val="20"/>
                <w:color w:val="auto"/>
              </w:rPr>
            </w:pPr>
            <w:r>
              <w:rPr>
                <w:rFonts w:ascii="Arial" w:cs="Arial" w:eastAsia="Arial" w:hAnsi="Arial"/>
                <w:sz w:val="18"/>
                <w:szCs w:val="18"/>
                <w:b w:val="1"/>
                <w:bCs w:val="1"/>
                <w:color w:val="auto"/>
              </w:rPr>
              <w:t>Balance at September 30, 2018</w:t>
            </w:r>
          </w:p>
        </w:tc>
        <w:tc>
          <w:tcPr>
            <w:tcW w:w="16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2,304</w:t>
            </w: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2,304</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w:t>
            </w:r>
          </w:p>
        </w:tc>
        <w:tc>
          <w:tcPr>
            <w:tcW w:w="16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3960" w:type="dxa"/>
            <w:vAlign w:val="bottom"/>
          </w:tcPr>
          <w:p>
            <w:pPr>
              <w:spacing w:after="0"/>
              <w:rPr>
                <w:sz w:val="20"/>
                <w:szCs w:val="20"/>
                <w:color w:val="auto"/>
              </w:rPr>
            </w:pPr>
            <w:r>
              <w:rPr>
                <w:rFonts w:ascii="Arial" w:cs="Arial" w:eastAsia="Arial" w:hAnsi="Arial"/>
                <w:sz w:val="18"/>
                <w:szCs w:val="18"/>
                <w:b w:val="1"/>
                <w:bCs w:val="1"/>
                <w:color w:val="auto"/>
              </w:rPr>
              <w:t>Balance at September 30, 2019</w:t>
            </w:r>
          </w:p>
        </w:tc>
        <w:tc>
          <w:tcPr>
            <w:tcW w:w="16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2,253</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2,253</w:t>
            </w:r>
          </w:p>
        </w:tc>
      </w:tr>
      <w:tr>
        <w:trPr>
          <w:trHeight w:val="20"/>
        </w:trPr>
        <w:tc>
          <w:tcPr>
            <w:tcW w:w="3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of September 30, 2019 and 2018, there was accumulated impairment of $90 million related to the Intermediates and Solvents reportable segment.</w:t>
      </w:r>
    </w:p>
    <w:p>
      <w:pPr>
        <w:ind w:left="300" w:hanging="292"/>
        <w:spacing w:after="0"/>
        <w:tabs>
          <w:tab w:leader="none" w:pos="3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Relates to the acquisition of Pharmachem during 2017 and Vornia Limited during 2018. See Note C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intangible assets were comprised of the following as of September 30, 2019 and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7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Gross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Gross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carrying</w:t>
            </w:r>
          </w:p>
        </w:tc>
        <w:tc>
          <w:tcPr>
            <w:tcW w:w="1080" w:type="dxa"/>
            <w:vAlign w:val="bottom"/>
            <w:gridSpan w:val="2"/>
          </w:tcPr>
          <w:p>
            <w:pPr>
              <w:spacing w:after="0"/>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carrying</w:t>
            </w:r>
          </w:p>
        </w:tc>
        <w:tc>
          <w:tcPr>
            <w:tcW w:w="118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1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carrying</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amount</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amortization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amount</w:t>
            </w:r>
          </w:p>
        </w:tc>
        <w:tc>
          <w:tcPr>
            <w:tcW w:w="118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Definite-lived intangible assets</w:t>
            </w: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Trademarks and trade names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Intellectual property</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Customer and supplier relationships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 assets</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1,546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Trademarks and trade names</w:t>
            </w:r>
          </w:p>
        </w:tc>
        <w:tc>
          <w:tcPr>
            <w:tcW w:w="1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Intangible assets classified as definite-lived are amortized on a straight-line basis over their estimated useful lives. Useful lives range from 3 to 25 years for trademarks and trade names; 5 to 25 years for intellectual property; and 3 to 24 years for customer and supplier relationships.</w:t>
      </w:r>
    </w:p>
    <w:p>
      <w:pPr>
        <w:spacing w:after="0" w:line="62"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Amortization expense recognized on intangible assets was $86 million for 2019, $93 million for 2018 and $80 million for 2017, and is primarily included in the selling, general and administrative expense caption of the Statements of Consolidated Comprehensive Income. As of September 30, 2019, all of Ashland’s intangible assets that had a carrying value were being amortized except for certain trademarks and trade names that have been determined to have indefinite lives. Estimated amortization expense for future periods is $86 million in 2020, $85 million in 2021, $85 million in 2022, $85 million in 2023 and $71 million in 2024. The amortization expense for future periods is an estimate. Actual amounts may change from such estimated amounts due to fluctuations in foreign currency exchange rates, additional intangible asset acquisitions and divestitures, potential impairment, accelerated amortization, or other events.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i w:val="1"/>
          <w:iCs w:val="1"/>
          <w:color w:val="auto"/>
        </w:rPr>
        <w:t>Impairment of long-lived (indefinite-lived) assets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Ashland reviews goodwill for impairment annually or when events and circumstances indicate an impairment may have occurred. This annual assessment is performed as of July 1 and consists of Ashland determining each reporting unit’s current fair value compared to its current carrying value. Ashland tests goodwill either quantitatively or qualitatively for impairment.</w:t>
      </w:r>
    </w:p>
    <w:p>
      <w:pPr>
        <w:spacing w:after="0" w:line="73"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For the qualitative approach, Ashland considers relevant events and circumstances such as macroeconomic conditions, industry and market considerations, overall financial performance and changes in management and business strategy, changes in carrying value, among others. Ashland considers how these relevant events and circumstances change between quantitative goodwill impairment tests. Ashland decides whether it is more likely than not that the fair value of its reporting units exceeds the carrying values. If not, a quantitative assessment must be performed.</w:t>
      </w:r>
    </w:p>
    <w:p>
      <w:pPr>
        <w:spacing w:after="0" w:line="63"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For the quantitative approach, Ashland makes various estimates and assumptions in determining the estimated fair value of each reporting unit using a combination of discounted cash flow models and valuations based on earnings multiples for guideline public companies in each reporting unit’s industry peer group, when externally quoted market prices are not readily available. Discounted cash flow models are highly reliant on various assumptions, including projected business results and future industry direction, long-term growth factors and weighted-average cost of capital. Significant management judgement is involved in estimating these variables, and they include inherent uncertainties since they are forecasting future events. Ashland performs sensitivity analyses by using a range of inputs to confirm reasonableness of these estimates. Additionally, Ashland compares the indicated equity value to Ashland’s market capitalization, and implied control premium/discount, to determine if the estimated enterprise value is reasonable compared to external market indicators. If this comparison indicates that a reporting unit’s estimated fair value is less than its carrying value, it is adjusted to its calculated fair value and the adjustment represents the impairment charge.</w:t>
      </w:r>
    </w:p>
    <w:p>
      <w:pPr>
        <w:spacing w:after="0" w:line="74"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performed its annual goodwill impairment test using the quantitative approach as of July 1, 2019 and concluded that the reporting unit fair values far exceeded their carrying values. No impairment existed as of that date.</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indefinite-lived intangible assets</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reviews these intangible assets for possible impairment annually or whenever events or changes in circumstances indicate that carrying amounts may not be recoverable. If the carrying value of an individual indefinite-lived intangible asset exceeds its fair value, the asset is written down to its fair value and the amount of the write-down is the impairment charge. Similar to its annual assessment for goodwill, Ashland performs either a qualitative or quantitative test for impairment.</w:t>
      </w:r>
    </w:p>
    <w:p>
      <w:pPr>
        <w:spacing w:after="0" w:line="79"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If a quantitative analysis is performed, Ashland tests these assets using a “relief-from-royalty” valuation method to determine the fair value. Significant assumptions inherent in the valuation methodologies include, but are not limited to, future projected business results, growth rates, the weighted-average cost of capital for a market participant, and royalty and discount rates. In conjunction with the July 1 annual assessment of indefinite-lived intangible assets, Ashland’s models did not indicate any impairment, as each indefinite-lived intangible asset’s fair value exceeded their carrying values.</w:t>
      </w:r>
    </w:p>
    <w:p>
      <w:pPr>
        <w:spacing w:after="0" w:line="46"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performed its annual other intangibles impairment test using the quantitative approach as of July 1, 2019 and concluded that the assets fair values far exceeded their carrying values. No impairment existed as of that date.</w:t>
      </w:r>
    </w:p>
    <w:p>
      <w:pPr>
        <w:spacing w:after="0" w:line="62"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such as: a significant change in projected business result, a divestiture decision, increase in Ashland’s weighted-average cost of capital rates, decrease in growth rates or assumptions, economic deterioration that is more severe or of a longer duration than anticipated, or another significant economic event.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J – DEBT</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Ashland’s current and long-term debt at September 30, 2019 and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3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4.750% notes, due 2022</w:t>
            </w:r>
          </w:p>
        </w:tc>
        <w:tc>
          <w:tcPr>
            <w:tcW w:w="198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1,080</w:t>
            </w: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51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1,083</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Term loan B, due 2024</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593</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6.875% notes, due 2043</w:t>
            </w:r>
          </w:p>
        </w:tc>
        <w:tc>
          <w:tcPr>
            <w:tcW w:w="1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376</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Term loan A, due 2022</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195</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securitizations</w:t>
            </w:r>
          </w:p>
        </w:tc>
        <w:tc>
          <w:tcPr>
            <w:tcW w:w="1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195</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6.50% junior subordinated notes, due 2029</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Medium-term notes, due 2019, interest of 9.35% at September 30, 2019</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13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debt</w:t>
            </w: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1,667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2,529</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13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Long-term debt (less current portion and debt issuance costs)</w:t>
            </w:r>
          </w:p>
        </w:tc>
        <w:tc>
          <w:tcPr>
            <w:tcW w:w="134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1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2,275</w:t>
            </w:r>
          </w:p>
        </w:tc>
      </w:tr>
      <w:tr>
        <w:trPr>
          <w:trHeight w:val="20"/>
        </w:trPr>
        <w:tc>
          <w:tcPr>
            <w:tcW w:w="6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00" w:hanging="292"/>
        <w:spacing w:after="0" w:line="253" w:lineRule="auto"/>
        <w:tabs>
          <w:tab w:leader="none" w:pos="3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Other includes $12 million and $21 million of debt issuance costs as of September 30, 2019 and 2018, respectively. Additionally, as of September 30, 2019 and 2018, Other included a European short-term loan facility with an outstanding balances of $22 million and $23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At September 30, 2019, Ashland’s total debt had an outstanding principal balance of $1,726 million, discounts of $47 million and debt issuance costs of $12 million. The scheduled aggregate maturities of long-term debt for the next five fiscal years (including the current portion and excluding debt issuance costs) are as follows: zero in 2020, zero in 2021, $1,083 million in 2022, zero in 2023 and zero in 2024.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Agreements and Refinancing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Credit Agreement</w:t>
      </w:r>
    </w:p>
    <w:p>
      <w:pPr>
        <w:spacing w:after="0" w:line="117"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color w:val="auto"/>
        </w:rPr>
        <w:t>On May 17, 2017, in conjunction with the closing of the Pharmachem acquisition, Ashland entered into a secured credit agreement (the 2017 Credit Agreement) with a group of lenders. The 2017 Credit Agreement provided for (i) a $250 million three-year term loan A facility (the Three-Year TLA Facility), (ii) a $250 million five-year term loan A facility (the Five-Year TLA Facility and together with the Three-Year TLA Facility, the TLA Facilities) and (iii) a $680 million five-year revolving credit facility (including a $125 million letter of credit sublimit) (the 2017 Revolving Credit Facility). Proceeds of borrowings under the TLA Facilities were used solely to finance the acquisition of Pharmachem, while the proceeds of the 2017 Revolving Credit Facility were used to finance, in part, the acquisition of Pharmachem, to refinance the 2015 Senior Credit Agreement and for general corporate purposes. On May 19, 2017, Ashland entered into Amendment No. 1 to the 2017 Credit Agreement, which increased the aggregate commitments under the 2017 Revolving Credit Facility from $680 million to $800 million.</w:t>
      </w:r>
    </w:p>
    <w:p>
      <w:pPr>
        <w:spacing w:after="0" w:line="84" w:lineRule="exact"/>
        <w:rPr>
          <w:sz w:val="20"/>
          <w:szCs w:val="20"/>
          <w:color w:val="auto"/>
        </w:rPr>
      </w:pPr>
    </w:p>
    <w:p>
      <w:pPr>
        <w:jc w:val="both"/>
        <w:ind w:firstLine="401"/>
        <w:spacing w:after="0" w:line="287" w:lineRule="auto"/>
        <w:rPr>
          <w:sz w:val="20"/>
          <w:szCs w:val="20"/>
          <w:color w:val="auto"/>
        </w:rPr>
      </w:pPr>
      <w:r>
        <w:rPr>
          <w:rFonts w:ascii="Arial" w:cs="Arial" w:eastAsia="Arial" w:hAnsi="Arial"/>
          <w:sz w:val="16"/>
          <w:szCs w:val="16"/>
          <w:color w:val="auto"/>
        </w:rPr>
        <w:t>At Ashland’s option, loans issued under the 2017 Credit Agreement bear interest at either LIBOR or an alternate base rate, in each case plus the applicable interest rate margin. Loans bear interest at LIBOR plus 1.75% per annum, in the case of LIBOR borrowings, or at the alternate base rate plus 0.75%, in the alternative, through and including the date of delivery of a quarterly compliance certificate and thereafter the interest rate will fluctuate between LIBOR plus 1.375% per annum and LIBOR plus 2.500% per annum (or between the alternate base rate plus 0.375% per annum and the alternate base rate plus 1.500% per annum), based upon Ashland’s secured facilities ratings or the consolidated net leverage ratio (as defined in the 2017 Credit Agreement) (whichever yields a lower applicable interest rate margin) at such time. In addition, Ashland was required to pay fees of 0.25% per annum on the daily unused amount of the 2017 Revolving Credit Facility through and including the date of delivery of a compliance certificate, and thereafter the fee fluctuates between 0.175% and 0.40% per annum, based upon Ashland’s secured facilities rating or the consolidated net leverage ratio (whichever yields a lower applicable rate). The TLA Facilities may be prepaid at any time without premium. The Three-Year TLA Facility will not amortize and had a due date of May 17, 2020. The Five-Year TLA Facility will not amortize in each of the first, second and third years and will amortize at a rate of 20% per annum in each of the fourth and fifth years (payable in equal quarterly installments), with the outstanding balance of the Five-Year TLA Facility to be paid on May 17, 2022.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4" w:name="page115"/>
    <w:bookmarkEnd w:id="114"/>
    <w:p>
      <w:pPr>
        <w:jc w:val="both"/>
        <w:ind w:firstLine="401"/>
        <w:spacing w:after="0" w:line="279" w:lineRule="auto"/>
        <w:rPr>
          <w:sz w:val="20"/>
          <w:szCs w:val="20"/>
          <w:color w:val="auto"/>
        </w:rPr>
      </w:pPr>
      <w:r>
        <w:rPr>
          <w:rFonts w:ascii="Arial" w:cs="Arial" w:eastAsia="Arial" w:hAnsi="Arial"/>
          <w:sz w:val="17"/>
          <w:szCs w:val="17"/>
          <w:color w:val="auto"/>
        </w:rPr>
        <w:t>On June 14, 2017, Ashland entered into Amendment No. 2 to the 2017 Credit Agreement, which provided for a new $600 million seven-year senior secured term loan B facility (the 2017 TLB Facility). At Ashland’s option, loans issued under the 2017 TLB Facility bear interest at either (x) LIBOR plus 2.00% per annum or (y) an alternate base rate plus 1.00% per annum. The 2017 TLB Facility may be prepaid at any time. The 2017 TLB Facility amortizes at a rate of 1.00% per annum (payable in equal quarterly installments) with the outstanding balance to be paid on May 17, 2024.</w:t>
      </w:r>
    </w:p>
    <w:p>
      <w:pPr>
        <w:spacing w:after="0" w:line="63"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Ashland incurred $15 million of new debt issuance costs in connection with the 2017 Credit Agreement, of which $2 million was expensed immediately during 2017 within the net interest and other financing expense caption of the Statements of Consolidated Comprehensive Income (Loss). The remaining balance is amortized using the effective interest method. Additionally, as a result of the termination of the 2015 Senior Credit Agreement, Ashland recognized a $5 million charge for the accelerated amortization of previously capitalized debt issuance costs during 2017, which is included in the net interest and other expense caption of the Statements of Consolidated Comprehensive Income (Loss).</w:t>
      </w:r>
    </w:p>
    <w:p>
      <w:pPr>
        <w:spacing w:after="0" w:line="80"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The credit facilities under the 2017 Credit Agreement are guaranteed by Ashland Global Holdings Inc., Ashland Chemco Inc. and Ashland LLC's existing and future subsidiaries (other than certain immaterial subsidiaries, joint ventures, special purpose financing subsidiaries, regulated subsidiaries, foreign subsidiaries and certain other subsidiaries) and are secured by a first-priority security interest in substantially all of the personal property assets of Ashland and the guarantors, including all or a portion of the equity interests of certain of Ashland’s domestic subsidiaries and first-tier foreign subsidiaries and, in certain cases, a portion of the equity interests of other foreign subsidiaries. The guarantees by Ashland’s subsidiaries and pledge of security interests by such guarantors may, at Ashland’s option, be released upon and during the occurrence of a Collateral Release Event (as defined in the 2017 Credit Agreement).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financing activity related to the 2017 Credit Agreement</w:t>
      </w:r>
    </w:p>
    <w:p>
      <w:pPr>
        <w:spacing w:after="0" w:line="117"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On May 22, 2018, Ashland entered into Amendment No. 3 to the 2017 Credit Agreement which provided for the re-pricing of the 2017 TLB Facility. Due to this amendment, loans issued under the 2017 TLB Facility bear interest at LIBOR plus 1.75% per annum (previously LIBOR plus 2.00% per annum). All other significant terms of the agreement remained unchanged. Ashland incurred $1 million of new debt issuance costs in connection with the re-pricing, which was expensed during 2018 within the net interest and other expense caption of the Statements of Consolidated Comprehensive Income (Loss).</w:t>
      </w:r>
    </w:p>
    <w:p>
      <w:pPr>
        <w:spacing w:after="0" w:line="46"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2018, Ashland utilized cash primarily from repatriations and borrowings from the accounts receivable securitization facilities to fully repay the $250 million outstanding balance of the Three-Year TLA Facility and to repay $55 million of the Five-Year TLA Facility. As a result of these repayments, Ashland recognized accelerated amortization of previously capitalized debt issuance costs of less than $1 million during 2018, which was included in the net interest and other expense caption of the Statements of Consolidated Comprehensive Income (Loss).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financing activity related to the 2017 Credit Agreement</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2019, Ashland utilized proceeds from the sale of its Composites business (excluding the Maleic business) and the Marl facility to repay the remaining principal balance of the TLA Facility and the TLB Facility. As a result of these repayments, Ashland recognized accelerated amortization of previously capitalized debt issuance costs of $6 million during 2019, which was included in the net interest and other expense caption of the Statements of Consolidated Comprehensive Income (Loss).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 and repurchases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repatriation</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2019 and 2018, Ashland repatriated approximately $900 million and $590 million, respectively, in cash that was primarily used to repay existing debt, principally the TLA Facility and TLB Facility in 2019 and the 2017 Revolving Credit Facility and the outstanding balance of the Three-Year TLA Facility (as previously discussed).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the Term loan A due 2022</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2019, Ashland repaid all of the outstanding principal balance of its term loan A for a total of $195 million. As a result of these repayments, Ashland recognized accelerated amortization of previously capitalized debt issuance costs of $1 million during 2019, which was included in the net interest and other expense caption of the Statements of Consolidated Comprehensive Income (Loss).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i w:val="1"/>
          <w:iCs w:val="1"/>
          <w:color w:val="auto"/>
        </w:rPr>
        <w:t>Repayment of the Term loan B due 2024</w:t>
      </w:r>
    </w:p>
    <w:p>
      <w:pPr>
        <w:spacing w:after="0" w:line="117"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color w:val="auto"/>
        </w:rPr>
        <w:t>During 2019, Ashland repaid all of the outstanding principal balance of its term loan B for a total of $593 million. As a result of these repayments, Ashland recognized accelerated amortization of previously capitalized debt issuance costs of $5 million during 2019, which was included in the net interest and other expense caption of the Statements of Consolidated Comprehensive Income (Loss).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9.35% notes due 2019</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During 2019, Ashland redeemed all of its outstanding 9.35% medium term notes due 2019, of which approximately $5 million were outstanding. Cash on hand was used to pay for the redemption.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3.875% notes due 2018</w:t>
      </w:r>
    </w:p>
    <w:p>
      <w:pPr>
        <w:spacing w:after="0" w:line="117"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During 2017, Ashland redeemed all of its outstanding 3.875% senior notes due 2018 (2018 Senior Notes), of which approximately $659 million were outstanding. Proceeds of borrowings under the 2017 TLB Facility, together with cash on hand, were used to pay for the redemption. Ashland recognized a $13 million charge related to premiums paid and accelerated amortization of previously capitalized debt issuance costs during 2017, which is included in the net interest and other expense caption of the Statement of Consolidated Comprehensive Income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repurchases of 4.750% notes due 2022, 3.875% notes due 2018 and 6.875% notes due 2043</w:t>
      </w:r>
    </w:p>
    <w:p>
      <w:pPr>
        <w:spacing w:after="0" w:line="117"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During 2017, Ashland executed open market repurchases of its 4.750% notes due 2022 (2022 Senior Notes) and its 3.875% notes due 2018 (2018 Senior Notes). As a result of these repurchases, the carrying values of the 2022 and 2018 Senior Notes were reduced by $39 million and $41 million, respectively. Ashland recognized a $3 million charge related to premiums paid in the open market repurchases and accelerated amortization of previously capitalized debt issuance costs during 2017, which is included in the net interest and other expense caption of the Statement of Consolidated Comprehensive Income (Loss). As previously discussed, the remaining outstanding amount of the 2018 Senior Notes was redeemed during 2017.</w:t>
      </w:r>
    </w:p>
    <w:p>
      <w:pPr>
        <w:spacing w:after="0" w:line="64"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During 2019, Ashland executed open market repurchases of its 4.750% notes due 2022 (2022 Senior Notes) and its 6.875% notes due 2043 (2043 Senior Notes). As a result of these repurchases, the carrying values of the 2022 and 2043 Senior Notes were reduced by $3 million and $1 million,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6.50% junior subordinated notes due 2029</w:t>
      </w:r>
    </w:p>
    <w:p>
      <w:pPr>
        <w:spacing w:after="0" w:line="117"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7"/>
          <w:szCs w:val="17"/>
          <w:color w:val="auto"/>
        </w:rPr>
        <w:t>In December 2016, Hercules, an indirect wholly-owned subsidiary of Ashland, repurchased, through a cash tender offer, $182 million of the aggregate principal par value amount of its 6.50% junior subordinated notes due 2029 (2029 Notes) for an aggregate purchase price of $177 million. As a result, the carrying value of the 2029 Notes was reduced by $90 million and Ashland recognized a $92 million charge related to accelerated accretion of the recorded debt discount (compared to the total par value) and $5 million of a net gain related to the repayment of the debt during 2017. The charge and net gain are included in the net interest and other expense caption of the Statement of Consolidated Comprehensive Income (Loss).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securitizations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accounts receivable securitization</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During July 2018, Ashland entered into a €115 million accounts receivable securitization facility (the Program) for the transfer by certain subsidiaries of Ashland (the Sellers) directly or indirectly to Ester Finance Titrisation (the Purchaser), a wholly-owned subsidiary of Crédit Agricole Corporate and Investment Bank (the Arranger), of certain receivables and/or collections originated by the Sellers towards certain corporate debtors located in multiple European jurisdictions and denominated in multiple currencies. The Program originally had a term of two years, but was extended to August 2021 in September 2019.</w:t>
      </w:r>
    </w:p>
    <w:p>
      <w:pPr>
        <w:spacing w:after="0" w:line="80"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Under the Program, each Seller will assign, on an ongoing basis, certain of its accounts receivable and the right to the collections on those accounts receivable to the Purchaser. Under the terms of the Program, the Sellers could, from time to time, obtain up to €115 million from the Purchaser through the sale of an undivided interest in such accounts receivable and collections. Ashland accounts for the securitization facility as secured borrowings, and the receivables sold pursuant to the facility are included in the Consolidated Balance Sheets as accounts receivable. Fundings under the Program will be repaid as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6" w:name="page117"/>
    <w:bookmarkEnd w:id="116"/>
    <w:p>
      <w:pPr>
        <w:jc w:val="both"/>
        <w:spacing w:after="0" w:line="279" w:lineRule="auto"/>
        <w:rPr>
          <w:sz w:val="20"/>
          <w:szCs w:val="20"/>
          <w:color w:val="auto"/>
        </w:rPr>
      </w:pPr>
      <w:r>
        <w:rPr>
          <w:rFonts w:ascii="Arial" w:cs="Arial" w:eastAsia="Arial" w:hAnsi="Arial"/>
          <w:sz w:val="17"/>
          <w:szCs w:val="17"/>
          <w:color w:val="auto"/>
        </w:rPr>
        <w:t>accounts receivable are collected, with new fundings being advanced (through daily advanced purchase price) as new accounts receivable are originated by the Sellers and assigned to the Purchaser, with settlement occurring monthly. Ashland classifies any borrowings under this facility as a short-term debt instrument within the Consolidated Balance Sheets. Once sold to the Purchaser, the accounts receivable and rights to collection described above are separate and distinct from each Sellers’ own assets and are not available to its creditors should such Sellers become insolvent.</w:t>
      </w:r>
    </w:p>
    <w:p>
      <w:pPr>
        <w:spacing w:after="0" w:line="6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At September 30, 2019 and 2018, the outstanding amount of accounts receivable transferred by Ashland to the Purchaser was $133 million and $153 million, respectively, and there were $94 million and $109 million, respectively, of borrowings (denominated in multiple currencies) under the facility. The weighted-average interest rate for this instrument was 1.2% for 2019 and 1.8% for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accounts receivable securitization</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On August 31, 2012, Ashland entered into a $350 million accounts receivable securitization facility pursuant to (i) a Sale Agreement, among Ashland and certain of its direct and indirect subsidiaries (each an Originator and collectively, the Originators) and CVG Capital III LLC, a wholly-owned “bankruptcy remote” special purpose subsidiary of the Originators (CVG) and (ii) a Transfer and Administration Agreement, among CVG, each Originator, Ashland, as Master Servicer, certain Conduit Investors, Uncommitted Investors, Letter of Credit Issuers, Managing Agents, Administrators and Committed Investors, and The Bank of Nova Scotia, as agent for various secured parties (the Agent). The Transfer and Administration Agreement had a term of three years, but was extendable at the discretion of Ashland and the Investors.</w:t>
      </w:r>
    </w:p>
    <w:p>
      <w:pPr>
        <w:spacing w:after="0" w:line="85"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Under the Sale Agreement, each Originator transfers, on an ongoing basis, certain of its accounts receivable, certain related assets and the right to the collections on those accounts receivable to CVG. Ashland accounts for the securitization facility as secured borrowings, and the receivables sold pursuant to the facility are included in the Consolidated Balance Sheets as accounts receivable. Fundings under the Transfer and Administration Agreement will be repaid as accounts receivable are collected, with new fundings being advanced (through daily reinvestments) as new accounts receivable are originated by the Originators and transferred to CVG, with settlement generally occurring monthly. Ashland continues to classify any borrowings under this facility as a short-term debt instrument within the Consolidated Balance Sheets. Once sold to CVG, the accounts receivable, related assets and rights to collection described above are separate and distinct from each Originator’s own assets and are not available to its creditors should such Originator become insolvent. Substantially all of CVG’s assets have been pledged to the Agent in support of its obligations under the Transfer and Administration Agreement.</w:t>
      </w:r>
    </w:p>
    <w:p>
      <w:pPr>
        <w:spacing w:after="0" w:line="58"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During 2016, the termination date of the commitments under the Transfer and Administration Agreement was extended from December 31, 2015, the previous termination extension date, to March 22, 2017. During March 2017, this facility was extended for an additional year with similar terms as the previous facility agreement. During March 2018, the termination date of the accounts receivable securitization facility was extended from March 2018 to March 2020. The available funding for qualified receivables under the accounts receivable securitization facility increased from $100 million to $115 million, however this was decreased back to $100 million on August 30, 2019 in conjunction with the Composites and Marl facility divestiture. No other changes to the agreement are expected to have a significant impact to Ashland's results of operations and financial position.</w:t>
      </w:r>
    </w:p>
    <w:p>
      <w:pPr>
        <w:spacing w:after="0" w:line="70"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At September 30, 2019 and 2018, the outstanding amount of accounts receivable transferred by Ashland to CVG was $147 million and $166 million, respectively. There were $50 million of borrowings under the facility as of September 30, 2019, while Ashland had $86 million of borrowings under the facility as of September 30, 2018. The weighted-average interest rate for this instrument was 3.3% for 2019 and 2.7% for 2018.</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At September 30, 2019 and 2018, Ashland held other debt totaling $81 million and $83 million, respectively, comprised primarily of a European short-term loan facility, the 6.50% notes due 2029 and other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Available borrowing capacity</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borrowing capacity remaining under the Revolving Credit Facility was $752 million due to an outstanding balance of zero, as well as a reduction of $48 million for letters of credit outstanding at September 30, 2019. Ashland's total borrowing capacity at September 30, 2019 was $800 million, which included $48 million of available capacity under the two accounts receivable securitization facilities.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related to current Ashland debt agreements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2019, Ashland was in compliance with all debt agreement covenant restrictions.</w:t>
      </w:r>
    </w:p>
    <w:p>
      <w:pPr>
        <w:spacing w:after="0" w:line="79"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The maximum consolidated net leverage ratio permitted under Ashland’s most recent credit agreement (the 2017 Credit Agreement) is 4.5. The 2017 Credit Agreement defines the consolidated net leverage ratio as the ratio of consolidated indebtedness minus unrestricted cash and cash equivalents to consolidated EBITDA (Covenant Adjusted EBITDA) for any measurement period. In general, the 2017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on page M-8. In general, consolidated indebtedness includes debt plus all purchase money indebtedness, banker’s acceptances and bank guaranties, deferred purchase price of property or services, attributable indebtedness and guarantees. At September 30, 2019, Ashland’s calculation of the consolidated net leverage ratio was 2.6.</w:t>
      </w:r>
    </w:p>
    <w:p>
      <w:pPr>
        <w:spacing w:after="0" w:line="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minimum required consolidated interest coverage ratio under the 2017 Credit Agreement is 3.0. The 2017 Credit Agreement defines the consolidated interest coverage ratio as the ratio of Covenant Adjusted EBITDA to consolidated interest charges for any measurement period. At September 30, 2019, Ashland’s calculation of the consolidated interest coverage ratio was 6.1.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of senior notes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Global Holdings Inc. fully and unconditionally guaranteed the 3.875% notes due 2018 (which were fully repaid during 2017), 4.750% notes due 2022 and 6.875% notes due 2043 and has no significant independent assets or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and other expense (income)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4"/>
                <w:szCs w:val="14"/>
                <w:color w:val="auto"/>
              </w:rPr>
              <w:t>(a)</w:t>
            </w: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c>
          <w:tcPr>
            <w:tcW w:w="66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w:t>
            </w:r>
          </w:p>
        </w:tc>
        <w:tc>
          <w:tcPr>
            <w:tcW w:w="66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227</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Investment securities income </w:t>
            </w:r>
            <w:r>
              <w:rPr>
                <w:rFonts w:ascii="Arial" w:cs="Arial" w:eastAsia="Arial" w:hAnsi="Arial"/>
                <w:sz w:val="14"/>
                <w:szCs w:val="14"/>
                <w:color w:val="auto"/>
              </w:rPr>
              <w:t>(b)</w:t>
            </w: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financing costs </w:t>
            </w:r>
            <w:r>
              <w:rPr>
                <w:rFonts w:ascii="Arial" w:cs="Arial" w:eastAsia="Arial" w:hAnsi="Arial"/>
                <w:sz w:val="14"/>
                <w:szCs w:val="14"/>
                <w:color w:val="auto"/>
              </w:rPr>
              <w:t>(c)</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r>
      <w:tr>
        <w:trPr>
          <w:trHeight w:val="223"/>
        </w:trPr>
        <w:tc>
          <w:tcPr>
            <w:tcW w:w="67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229</w:t>
            </w:r>
          </w:p>
        </w:tc>
      </w:tr>
      <w:tr>
        <w:trPr>
          <w:trHeight w:val="20"/>
        </w:trPr>
        <w:tc>
          <w:tcPr>
            <w:tcW w:w="6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300" w:hanging="292"/>
        <w:spacing w:after="0"/>
        <w:tabs>
          <w:tab w:leader="none" w:pos="300" w:val="left"/>
        </w:tabs>
        <w:numPr>
          <w:ilvl w:val="0"/>
          <w:numId w:val="47"/>
        </w:numPr>
        <w:rPr>
          <w:rFonts w:ascii="Arial" w:cs="Arial" w:eastAsia="Arial" w:hAnsi="Arial"/>
          <w:sz w:val="26"/>
          <w:szCs w:val="26"/>
          <w:color w:val="auto"/>
          <w:vertAlign w:val="superscript"/>
        </w:rPr>
      </w:pPr>
      <w:r>
        <w:rPr>
          <w:rFonts w:ascii="Arial" w:cs="Arial" w:eastAsia="Arial" w:hAnsi="Arial"/>
          <w:sz w:val="13"/>
          <w:szCs w:val="13"/>
          <w:color w:val="auto"/>
        </w:rPr>
        <w:t>Includes $6 million</w:t>
      </w:r>
      <w:r>
        <w:rPr>
          <w:rFonts w:ascii="Arial" w:cs="Arial" w:eastAsia="Arial" w:hAnsi="Arial"/>
          <w:sz w:val="16"/>
          <w:szCs w:val="16"/>
          <w:color w:val="auto"/>
        </w:rPr>
        <w:t>,</w:t>
      </w:r>
      <w:r>
        <w:rPr>
          <w:rFonts w:ascii="Arial" w:cs="Arial" w:eastAsia="Arial" w:hAnsi="Arial"/>
          <w:sz w:val="13"/>
          <w:szCs w:val="13"/>
          <w:color w:val="auto"/>
        </w:rPr>
        <w:t xml:space="preserve"> $1 million and $101 million of accelerated accretion and/or amortization for original issue discounts and debt issuance costs during 2019, 2018 and 2017, respectively.</w:t>
      </w:r>
    </w:p>
    <w:p>
      <w:pPr>
        <w:ind w:left="300" w:hanging="292"/>
        <w:spacing w:after="0" w:line="221" w:lineRule="auto"/>
        <w:tabs>
          <w:tab w:leader="none" w:pos="3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investment income related to the restricted investments discussed in Note G.</w:t>
      </w:r>
    </w:p>
    <w:p>
      <w:pPr>
        <w:ind w:left="300" w:hanging="292"/>
        <w:spacing w:after="0" w:line="237" w:lineRule="auto"/>
        <w:tabs>
          <w:tab w:leader="none" w:pos="3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costs of $16 million related to early redemption premium payments and bondholder consent fees for the 2022 and 2018 Senior Notes and a net gain of $5 million related to the repayment of the 2029 Notes during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7"/>
          <w:szCs w:val="17"/>
          <w:color w:val="auto"/>
        </w:rPr>
        <w:t>The following table details the debt issuance cost and original issue discount amortization included in interest expense during 2019, 2018 and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3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Normal amortization</w:t>
            </w:r>
          </w:p>
        </w:tc>
        <w:tc>
          <w:tcPr>
            <w:tcW w:w="288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Accelerated amortization </w:t>
            </w:r>
            <w:r>
              <w:rPr>
                <w:rFonts w:ascii="Arial" w:cs="Arial" w:eastAsia="Arial" w:hAnsi="Arial"/>
                <w:sz w:val="14"/>
                <w:szCs w:val="14"/>
                <w:color w:val="auto"/>
              </w:rPr>
              <w:t>(a)</w:t>
            </w:r>
          </w:p>
        </w:tc>
        <w:tc>
          <w:tcPr>
            <w:tcW w:w="23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r>
      <w:tr>
        <w:trPr>
          <w:trHeight w:val="223"/>
        </w:trPr>
        <w:tc>
          <w:tcPr>
            <w:tcW w:w="4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r>
      <w:tr>
        <w:trPr>
          <w:trHeight w:val="20"/>
        </w:trPr>
        <w:tc>
          <w:tcPr>
            <w:tcW w:w="4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00" w:hanging="292"/>
        <w:spacing w:after="0" w:line="253" w:lineRule="auto"/>
        <w:tabs>
          <w:tab w:leader="none" w:pos="3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Fiscal year 2017 includes $92 million of accelerated accretion of the recorded debt discount for the 2029 Notes, while the remaining amounts in each year related to the accelerated 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OTHER NONCURRENT ASSETS AND LIABILITIES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the components of other noncurrent assets in the Consolidated Balance Sheets as of September 30.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 investments</w:t>
            </w: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170</w:t>
            </w:r>
          </w:p>
        </w:tc>
        <w:tc>
          <w:tcPr>
            <w:tcW w:w="820" w:type="dxa"/>
            <w:vAlign w:val="bottom"/>
            <w:gridSpan w:val="2"/>
            <w:shd w:val="clear" w:color="auto" w:fill="CFF0FC"/>
          </w:tcPr>
          <w:p>
            <w:pPr>
              <w:jc w:val="right"/>
              <w:ind w:right="50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165</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Tax and tax indemnity receivables</w:t>
            </w: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74</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Life insurance policies</w:t>
            </w: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Manufacturing catalyst supplies</w:t>
            </w: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Defined benefit plan assets</w:t>
            </w: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Equity and other unconsolidated investments</w:t>
            </w: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Land use rights</w:t>
            </w: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Environmental insurance receivables</w:t>
            </w:r>
          </w:p>
        </w:tc>
        <w:tc>
          <w:tcPr>
            <w:tcW w:w="6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r>
      <w:tr>
        <w:trPr>
          <w:trHeight w:val="223"/>
        </w:trPr>
        <w:tc>
          <w:tcPr>
            <w:tcW w:w="78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410</w:t>
            </w:r>
          </w:p>
        </w:tc>
        <w:tc>
          <w:tcPr>
            <w:tcW w:w="1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416</w:t>
            </w:r>
          </w:p>
        </w:tc>
      </w:tr>
      <w:tr>
        <w:trPr>
          <w:trHeight w:val="20"/>
        </w:trPr>
        <w:tc>
          <w:tcPr>
            <w:tcW w:w="7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6"/>
        </w:trPr>
        <w:tc>
          <w:tcPr>
            <w:tcW w:w="78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investments</w:t>
      </w:r>
    </w:p>
    <w:p>
      <w:pPr>
        <w:spacing w:after="0" w:line="117"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Deferred compensation investments consist of insurance policies valued at cash surrender value. Gains and losses related to deferred compensation investments are immediately recognized within the selling, general and administrative expense caption on the Statements of Consolidated Comprehensive Income (Loss). The gains on these investments were $7 million, $10 million and $11 million during 2019, 2018 and 2017, respectively.</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the components of other noncurrent liabilities in the Consolidated Balance Sheets as of September 30.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7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Tax liabilities</w:t>
            </w:r>
          </w:p>
        </w:tc>
        <w:tc>
          <w:tcPr>
            <w:tcW w:w="444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220</w:t>
            </w:r>
          </w:p>
        </w:tc>
        <w:tc>
          <w:tcPr>
            <w:tcW w:w="820" w:type="dxa"/>
            <w:vAlign w:val="bottom"/>
            <w:gridSpan w:val="2"/>
            <w:shd w:val="clear" w:color="auto" w:fill="CFF0FC"/>
          </w:tcPr>
          <w:p>
            <w:pPr>
              <w:jc w:val="right"/>
              <w:ind w:right="50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176</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Environmental remediation reserves</w:t>
            </w:r>
          </w:p>
        </w:tc>
        <w:tc>
          <w:tcPr>
            <w:tcW w:w="3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147</w:t>
            </w: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w:t>
            </w:r>
          </w:p>
        </w:tc>
        <w:tc>
          <w:tcPr>
            <w:tcW w:w="37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7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37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453</w:t>
            </w:r>
          </w:p>
        </w:tc>
        <w:tc>
          <w:tcPr>
            <w:tcW w:w="1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422</w:t>
            </w:r>
          </w:p>
        </w:tc>
      </w:tr>
      <w:tr>
        <w:trPr>
          <w:trHeight w:val="20"/>
        </w:trPr>
        <w:tc>
          <w:tcPr>
            <w:tcW w:w="4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34"/>
        </w:trPr>
        <w:tc>
          <w:tcPr>
            <w:tcW w:w="4080" w:type="dxa"/>
            <w:vAlign w:val="bottom"/>
          </w:tcPr>
          <w:p>
            <w:pPr>
              <w:spacing w:after="0"/>
              <w:rPr>
                <w:sz w:val="24"/>
                <w:szCs w:val="24"/>
                <w:color w:val="auto"/>
              </w:rPr>
            </w:pPr>
          </w:p>
        </w:tc>
        <w:tc>
          <w:tcPr>
            <w:tcW w:w="4440" w:type="dxa"/>
            <w:vAlign w:val="bottom"/>
            <w:gridSpan w:val="2"/>
          </w:tcPr>
          <w:p>
            <w:pPr>
              <w:jc w:val="right"/>
              <w:ind w:right="2550"/>
              <w:spacing w:after="0"/>
              <w:rPr>
                <w:sz w:val="20"/>
                <w:szCs w:val="20"/>
                <w:color w:val="auto"/>
              </w:rPr>
            </w:pPr>
            <w:r>
              <w:rPr>
                <w:rFonts w:ascii="Arial" w:cs="Arial" w:eastAsia="Arial" w:hAnsi="Arial"/>
                <w:sz w:val="18"/>
                <w:szCs w:val="18"/>
                <w:color w:val="auto"/>
              </w:rPr>
              <w:t>F-41</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NOTE L – LEASE COMMITMENTS</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Ashland and its subsidiaries are lessees of office buildings, transportation equipment, warehouses and storage facilities, other equipment, facilities and properties under leasing agreements that expire at various dates. Capitalized lease obligations are not significant and are included in long-term debt while capital lease assets are included in property, plant and equipment. Future minimum rental payments at September 30, 2019 were $28 million in 2020, $25 million in 2021, $33 million in 2022, $13 million in 2023, $11 million in 2024 and $103 million in 2025 and later years. Rental expense under operating leases for continuing operations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2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Minimum rentals (including rentals under short-term leases)</w:t>
            </w:r>
          </w:p>
        </w:tc>
        <w:tc>
          <w:tcPr>
            <w:tcW w:w="176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6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68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w:t>
            </w: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Sublease rental income</w:t>
            </w:r>
          </w:p>
        </w:tc>
        <w:tc>
          <w:tcPr>
            <w:tcW w:w="1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5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r>
      <w:tr>
        <w:trPr>
          <w:trHeight w:val="20"/>
        </w:trPr>
        <w:tc>
          <w:tcPr>
            <w:tcW w:w="5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Law Changes</w:t>
      </w:r>
    </w:p>
    <w:p>
      <w:pPr>
        <w:spacing w:after="0" w:line="121"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The Tax Cuts and Jobs Act (Tax Act) was enacted on December 22, 2017. The Tax Act reduces the U.S. federal corporate tax rate from 35% to 21%, requires companies to pay a one-time transition tax on earnings of certain foreign subsidiaries that were previously tax deferred and creates new taxes on certain foreign sourced earnings. At September 30, 2018, Ashland had not completed the internal accounting assessment for the tax effects of enactment of the Tax Act; however, Ashland determined a reasonable estimate of the effects on Ashland’s existing deferred tax balances and the one-time transition tax. Due to the Tax Act, Ashland recognized a provisional amount during 2018, which is included as a component of income tax expense from continuing operations. Ashland recorded net unfavorable tax adjustments of $2 million during 2018 primarily related to deferred tax rate changes and a one-time transition tax assessed on foreign cash and unremitted earnings. This adjustment included an expense of $128 million related to the one-time transition tax, a benefit of $139 million related to the tax deferred rate change and other tax expense of $13 million. The one-time transition tax and deferred rate change associated with the Tax Act are discussed in greater detail below.</w:t>
      </w:r>
    </w:p>
    <w:p>
      <w:pPr>
        <w:spacing w:after="0" w:line="74"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During 2019, Ashland completed its internal accounting assessment for the tax effects of enactment of the Tax Act and recorded adjustments to provisional amounts previously recorded. Ashland’s final assessment resulted in net unfavorable tax adjustments of $29 million during the twelve months ended September 30, 2019. These adjustments primarily related to the one-time transition tax assessed on foreign cash and unremitted earnings. There could be additional guidance issued subsequent to September 30, 2019 that could impact Ashland’s interpretation of the Tax Act and such changes could affect the amounts recorded. The impact, if any, of further transitional tax guidance that may be issued by the U.S. Treasury would be reflected in the Company’s provision for income tax in the period such guidance is effective.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Provisional amounts - Deferred tax assets and liabilities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Ashland remeasured certain deferred tax assets and liabilities based on the rates at which they are expected to reverse in the future, which is generally</w:t>
      </w:r>
    </w:p>
    <w:p>
      <w:pPr>
        <w:spacing w:after="0" w:line="46" w:lineRule="exact"/>
        <w:rPr>
          <w:sz w:val="20"/>
          <w:szCs w:val="20"/>
          <w:color w:val="auto"/>
        </w:rPr>
      </w:pPr>
    </w:p>
    <w:p>
      <w:pPr>
        <w:ind w:right="100"/>
        <w:spacing w:after="0" w:line="367" w:lineRule="auto"/>
        <w:rPr>
          <w:sz w:val="20"/>
          <w:szCs w:val="20"/>
          <w:color w:val="auto"/>
        </w:rPr>
      </w:pPr>
      <w:r>
        <w:rPr>
          <w:rFonts w:ascii="Arial" w:cs="Arial" w:eastAsia="Arial" w:hAnsi="Arial"/>
          <w:sz w:val="18"/>
          <w:szCs w:val="18"/>
          <w:color w:val="auto"/>
        </w:rPr>
        <w:t xml:space="preserve">21%. The provisional amount recorded related to the remeasurement of the deferred tax balance was a favorable tax adjustment of $139 million during 2018. </w:t>
      </w:r>
      <w:r>
        <w:rPr>
          <w:rFonts w:ascii="Arial" w:cs="Arial" w:eastAsia="Arial" w:hAnsi="Arial"/>
          <w:sz w:val="18"/>
          <w:szCs w:val="18"/>
          <w:i w:val="1"/>
          <w:iCs w:val="1"/>
          <w:color w:val="auto"/>
        </w:rPr>
        <w:t>Provisional amounts - Foreign tax effects</w:t>
      </w:r>
    </w:p>
    <w:p>
      <w:pPr>
        <w:spacing w:after="0" w:line="1" w:lineRule="exact"/>
        <w:rPr>
          <w:sz w:val="20"/>
          <w:szCs w:val="20"/>
          <w:color w:val="auto"/>
        </w:rPr>
      </w:pPr>
    </w:p>
    <w:p>
      <w:pPr>
        <w:jc w:val="both"/>
        <w:ind w:firstLine="401"/>
        <w:spacing w:after="0" w:line="254" w:lineRule="auto"/>
        <w:rPr>
          <w:sz w:val="20"/>
          <w:szCs w:val="20"/>
          <w:color w:val="auto"/>
        </w:rPr>
      </w:pPr>
      <w:r>
        <w:rPr>
          <w:rFonts w:ascii="Arial" w:cs="Arial" w:eastAsia="Arial" w:hAnsi="Arial"/>
          <w:sz w:val="18"/>
          <w:szCs w:val="18"/>
          <w:color w:val="auto"/>
        </w:rPr>
        <w:t>The one-time transition tax is based on Ashland's total post-1986 earnings and profits (E&amp;P) of foreign subsidiaries that were previously deferred from U.S. income taxes. Ashland recorded a provisional amount for this one-time transition tax of $128 million during 2018, which includes the one-time transition tax expense of $187 million, a foreign tax credit benefit of $46 million, a reversal of uncertain tax position benefits of $9 million, state tax expense of $2 million and a benefit for other miscellaneous items of $6 million. Ashland completed its calculation of the total post-1986 E&amp;P for these foreign subsidiaries and recorded an additional unfavorable $29 million adjustment in 2019. No additional income taxes have been provided for any remaining undistributed foreign earnings not subject to the transition tax, or any additional outside basis difference inherent in these entities, as management intends to indefinitely reinvest all foreign earnings. Ashland determined that estimating the amount of unrecognized deferred tax liability related to any remaining undistributed foreign earnings not subject to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0" w:name="page121"/>
    <w:bookmarkEnd w:id="120"/>
    <w:p>
      <w:pPr>
        <w:jc w:val="both"/>
        <w:spacing w:after="0" w:line="277" w:lineRule="auto"/>
        <w:rPr>
          <w:sz w:val="20"/>
          <w:szCs w:val="20"/>
          <w:color w:val="auto"/>
        </w:rPr>
      </w:pPr>
      <w:r>
        <w:rPr>
          <w:rFonts w:ascii="Arial" w:cs="Arial" w:eastAsia="Arial" w:hAnsi="Arial"/>
          <w:sz w:val="18"/>
          <w:szCs w:val="18"/>
          <w:color w:val="auto"/>
        </w:rPr>
        <w:t>transition tax and additional outside basis difference in these entities (i.e., basis difference in excess of that subject to the one-time transition tax) is not practicable at this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Intangible Low-Taxed Income</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Regarding new Global Intangible Low-Taxed Income (GILTI) tax rules, Ashland has made an accounting policy election to treat taxes due on future GILTI exclusions in U.S. taxable income as a current period expense when incurred.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the provision for income taxes related to continuing operations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3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Federal</w:t>
            </w:r>
          </w:p>
        </w:tc>
        <w:tc>
          <w:tcPr>
            <w:tcW w:w="28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68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w:t>
            </w:r>
          </w:p>
        </w:tc>
        <w:tc>
          <w:tcPr>
            <w:tcW w:w="23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r>
      <w:tr>
        <w:trPr>
          <w:trHeight w:val="223"/>
        </w:trPr>
        <w:tc>
          <w:tcPr>
            <w:tcW w:w="444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w:t>
            </w:r>
          </w:p>
        </w:tc>
        <w:tc>
          <w:tcPr>
            <w:tcW w:w="23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3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color w:val="auto"/>
        </w:rPr>
        <w:t>Foreign net operating loss carryforwards primarily relate to certain European and Asian Pacific operations and generally may be carried forward. U.S. state net operating loss carryforwards relate to losses within certain states and generally may be carried forward. Temporary differences that give rise to significant deferred tax assets and liabilities as of September 30 are presented in the following table.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2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1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 xml:space="preserve">Foreign net operating loss carryforwards </w:t>
            </w:r>
            <w:r>
              <w:rPr>
                <w:rFonts w:ascii="Arial" w:cs="Arial" w:eastAsia="Arial" w:hAnsi="Arial"/>
                <w:sz w:val="14"/>
                <w:szCs w:val="14"/>
                <w:color w:val="auto"/>
              </w:rPr>
              <w:t>(a)</w:t>
            </w:r>
          </w:p>
        </w:tc>
        <w:tc>
          <w:tcPr>
            <w:tcW w:w="186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640" w:type="dxa"/>
            <w:vAlign w:val="bottom"/>
            <w:gridSpan w:val="2"/>
          </w:tcPr>
          <w:p>
            <w:pPr>
              <w:jc w:val="right"/>
              <w:ind w:right="51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39</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Employee benefit obligations</w:t>
            </w:r>
          </w:p>
        </w:tc>
        <w:tc>
          <w:tcPr>
            <w:tcW w:w="1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Environmental, self-insurance and litigation reserves (net of receivables)</w:t>
            </w: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119</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State net operating loss carryforwards (net of unrecognized tax benefits) </w:t>
            </w:r>
            <w:r>
              <w:rPr>
                <w:rFonts w:ascii="Arial" w:cs="Arial" w:eastAsia="Arial" w:hAnsi="Arial"/>
                <w:sz w:val="14"/>
                <w:szCs w:val="14"/>
                <w:color w:val="auto"/>
              </w:rPr>
              <w:t>(b)</w:t>
            </w:r>
          </w:p>
        </w:tc>
        <w:tc>
          <w:tcPr>
            <w:tcW w:w="1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Compensation accruals</w:t>
            </w: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31</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Credit carryforwards (net of unrecognized tax benefits) </w:t>
            </w:r>
            <w:r>
              <w:rPr>
                <w:rFonts w:ascii="Arial" w:cs="Arial" w:eastAsia="Arial" w:hAnsi="Arial"/>
                <w:sz w:val="14"/>
                <w:szCs w:val="14"/>
                <w:color w:val="auto"/>
              </w:rPr>
              <w:t>(c)</w:t>
            </w:r>
          </w:p>
        </w:tc>
        <w:tc>
          <w:tcPr>
            <w:tcW w:w="1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Other items</w:t>
            </w: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32</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Valuation allowances </w:t>
            </w:r>
            <w:r>
              <w:rPr>
                <w:rFonts w:ascii="Arial" w:cs="Arial" w:eastAsia="Arial" w:hAnsi="Arial"/>
                <w:sz w:val="14"/>
                <w:szCs w:val="14"/>
                <w:color w:val="auto"/>
              </w:rPr>
              <w:t>(d)</w:t>
            </w:r>
          </w:p>
        </w:tc>
        <w:tc>
          <w:tcPr>
            <w:tcW w:w="12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assets</w:t>
            </w:r>
          </w:p>
        </w:tc>
        <w:tc>
          <w:tcPr>
            <w:tcW w:w="12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228</w:t>
            </w: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liabilities</w:t>
            </w:r>
          </w:p>
        </w:tc>
        <w:tc>
          <w:tcPr>
            <w:tcW w:w="1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 xml:space="preserve">Goodwill and other intangibles </w:t>
            </w:r>
            <w:r>
              <w:rPr>
                <w:rFonts w:ascii="Arial" w:cs="Arial" w:eastAsia="Arial" w:hAnsi="Arial"/>
                <w:sz w:val="14"/>
                <w:szCs w:val="14"/>
                <w:color w:val="auto"/>
              </w:rPr>
              <w:t>(e)</w:t>
            </w: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269</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1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217</w:t>
            </w:r>
          </w:p>
        </w:tc>
      </w:tr>
      <w:tr>
        <w:trPr>
          <w:trHeight w:val="230"/>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Unremitted earnings</w:t>
            </w:r>
          </w:p>
        </w:tc>
        <w:tc>
          <w:tcPr>
            <w:tcW w:w="12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12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486</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12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1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0"/>
        </w:trPr>
        <w:tc>
          <w:tcPr>
            <w:tcW w:w="6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Gross net operating loss carryforwards of $133 million will expire in future years beyond 2021 or have no expiration.</w:t>
      </w:r>
    </w:p>
    <w:p>
      <w:pPr>
        <w:ind w:left="300" w:hanging="292"/>
        <w:spacing w:after="0" w:line="221" w:lineRule="auto"/>
        <w:tabs>
          <w:tab w:leader="none" w:pos="3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Apportioned net operating loss carryforwards generated of $0.9 billion will expire in future years as follows: $48 million in 2020, $57 million in 2021 and the remaining balance in other future years.</w:t>
      </w:r>
    </w:p>
    <w:p>
      <w:pPr>
        <w:ind w:left="300" w:hanging="292"/>
        <w:spacing w:after="0"/>
        <w:tabs>
          <w:tab w:leader="none" w:pos="3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Credit carryforwards consist primarily of foreign tax credits of $4 million expiring in future years beyond 2020, and miscellaneous tax credits that will expire in 2024 or other future years.</w:t>
      </w:r>
    </w:p>
    <w:p>
      <w:pPr>
        <w:ind w:left="300" w:hanging="292"/>
        <w:spacing w:after="0" w:line="221" w:lineRule="auto"/>
        <w:tabs>
          <w:tab w:leader="none" w:pos="3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Valuation allowances primarily relate to certain state and foreign net operating loss carryforwards.</w:t>
      </w:r>
    </w:p>
    <w:p>
      <w:pPr>
        <w:ind w:left="300" w:hanging="292"/>
        <w:spacing w:after="0"/>
        <w:tabs>
          <w:tab w:leader="none" w:pos="3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total gross amount of goodwill as of September 30, 2019 expected to be deductible for tax purposes is $8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1" w:name="page122"/>
    <w:bookmarkEnd w:id="121"/>
    <w:p>
      <w:pPr>
        <w:jc w:val="both"/>
        <w:ind w:firstLine="401"/>
        <w:spacing w:after="0" w:line="264" w:lineRule="auto"/>
        <w:rPr>
          <w:sz w:val="20"/>
          <w:szCs w:val="20"/>
          <w:color w:val="auto"/>
        </w:rPr>
      </w:pPr>
      <w:r>
        <w:rPr>
          <w:rFonts w:ascii="Arial" w:cs="Arial" w:eastAsia="Arial" w:hAnsi="Arial"/>
          <w:sz w:val="18"/>
          <w:szCs w:val="18"/>
          <w:color w:val="auto"/>
        </w:rPr>
        <w:t>The U.S. and foreign components of income from continuing operations before income taxes and a reconciliation of the statutory federal income tax with the provision for income taxes follow. The foreign components of income from continuing operations disclosed in the following table exclude any allocations of certain corporate expenses incurred in the 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9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9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4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68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9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63"/>
        </w:trPr>
        <w:tc>
          <w:tcPr>
            <w:tcW w:w="58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940" w:type="dxa"/>
            <w:vAlign w:val="bottom"/>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2"/>
                <w:szCs w:val="22"/>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 xml:space="preserve">Income taxes computed at U.S. statutory rate </w:t>
            </w:r>
            <w:r>
              <w:rPr>
                <w:rFonts w:ascii="Arial" w:cs="Arial" w:eastAsia="Arial" w:hAnsi="Arial"/>
                <w:sz w:val="14"/>
                <w:szCs w:val="14"/>
                <w:color w:val="auto"/>
              </w:rPr>
              <w:t>(a)</w:t>
            </w:r>
          </w:p>
        </w:tc>
        <w:tc>
          <w:tcPr>
            <w:tcW w:w="14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68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amount computed resulting from</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 xml:space="preserve">Tax reform </w:t>
            </w:r>
            <w:r>
              <w:rPr>
                <w:rFonts w:ascii="Arial" w:cs="Arial" w:eastAsia="Arial" w:hAnsi="Arial"/>
                <w:sz w:val="14"/>
                <w:szCs w:val="14"/>
                <w:color w:val="auto"/>
              </w:rPr>
              <w:t>(b)</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Uncertain tax positions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 xml:space="preserve">Foreign dividends, deemed inclusions and other restructuring </w:t>
            </w:r>
            <w:r>
              <w:rPr>
                <w:rFonts w:ascii="Arial" w:cs="Arial" w:eastAsia="Arial" w:hAnsi="Arial"/>
                <w:sz w:val="14"/>
                <w:szCs w:val="14"/>
                <w:color w:val="auto"/>
              </w:rPr>
              <w:t>(c)</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tax credits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 xml:space="preserve">Valuation allowance changes </w:t>
            </w:r>
            <w:r>
              <w:rPr>
                <w:rFonts w:ascii="Arial" w:cs="Arial" w:eastAsia="Arial" w:hAnsi="Arial"/>
                <w:sz w:val="14"/>
                <w:szCs w:val="14"/>
                <w:color w:val="auto"/>
              </w:rPr>
              <w:t>(d)</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240"/>
              <w:spacing w:after="0"/>
              <w:rPr>
                <w:sz w:val="20"/>
                <w:szCs w:val="20"/>
                <w:color w:val="auto"/>
              </w:rPr>
            </w:pPr>
            <w:r>
              <w:rPr>
                <w:rFonts w:ascii="Arial" w:cs="Arial" w:eastAsia="Arial" w:hAnsi="Arial"/>
                <w:sz w:val="18"/>
                <w:szCs w:val="18"/>
                <w:color w:val="auto"/>
              </w:rPr>
              <w:t xml:space="preserve">State taxes </w:t>
            </w:r>
            <w:r>
              <w:rPr>
                <w:rFonts w:ascii="Arial" w:cs="Arial" w:eastAsia="Arial" w:hAnsi="Arial"/>
                <w:sz w:val="14"/>
                <w:szCs w:val="14"/>
                <w:color w:val="auto"/>
              </w:rPr>
              <w:t>(e)</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 rate differential</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 xml:space="preserve">Other items </w:t>
            </w:r>
            <w:r>
              <w:rPr>
                <w:rFonts w:ascii="Arial" w:cs="Arial" w:eastAsia="Arial" w:hAnsi="Arial"/>
                <w:sz w:val="14"/>
                <w:szCs w:val="14"/>
                <w:color w:val="auto"/>
              </w:rPr>
              <w:t>(f)</w:t>
            </w:r>
          </w:p>
        </w:tc>
        <w:tc>
          <w:tcPr>
            <w:tcW w:w="9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domestic tax rates are 35% for 2017 and 24.5% for 2018. For 2019 and forward, the domestic tax rate is expected to be 21%.</w:t>
      </w:r>
    </w:p>
    <w:p>
      <w:pPr>
        <w:jc w:val="both"/>
        <w:ind w:left="300" w:hanging="292"/>
        <w:spacing w:after="0" w:line="221" w:lineRule="auto"/>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2019 includes an expense of $29 million related to a return to provision adjustment for transition tax. 2018 includes expense of $187 million related to the one-time transition tax, a benefit of $139 million related to the deferred rate change and a benefit of $4 million related to tax reform in a foreign jurisdiction. Foreign tax credits of $46 million related to the transition tax were included within the foreign tax credits caption. Other items related to the transition tax or other U.S. tax reform offset to immaterial amounts within the state taxes, uncertain tax positions and other captions and net to zero in the aggregate. In summary, total U.S. tax reform expense was $2 million related to transition tax expense of $187 million, a deferred rate change benefit of $139 million and a foreign tax credit benefit of $46 million. Ashland completed its calculation of the total post-1986 E&amp;P for these foreign subsidiaries and recorded an additional unfavorable $29 million adjustment in 2019.</w:t>
      </w:r>
    </w:p>
    <w:p>
      <w:pPr>
        <w:spacing w:after="0" w:line="1" w:lineRule="exact"/>
        <w:rPr>
          <w:rFonts w:ascii="Arial" w:cs="Arial" w:eastAsia="Arial" w:hAnsi="Arial"/>
          <w:sz w:val="14"/>
          <w:szCs w:val="14"/>
          <w:color w:val="auto"/>
        </w:rPr>
      </w:pPr>
    </w:p>
    <w:p>
      <w:pPr>
        <w:ind w:left="300" w:hanging="292"/>
        <w:spacing w:after="0" w:line="221" w:lineRule="auto"/>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2018 includes a gain recognition of $6 million, deemed inclusions of $13 million and tax restructuring costs of $23 million.</w:t>
      </w:r>
    </w:p>
    <w:p>
      <w:pPr>
        <w:jc w:val="both"/>
        <w:ind w:left="300" w:hanging="292"/>
        <w:spacing w:after="0" w:line="221" w:lineRule="auto"/>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2019 includes $5 million related to state tax NOL’s and $9 million related to a foreign jurisdiction. 2018 includes a $5 million benefit for the release of a foreign tax credit valuation allowance; 2017 includes $25 million of benefit for the release of a foreign tax credit valuation allowance and $22 million of expense for state, foreign and domestic federal deferred tax asset valuation allowances net of a NOL write-off offset.</w:t>
      </w:r>
    </w:p>
    <w:p>
      <w:pPr>
        <w:ind w:left="300" w:hanging="292"/>
        <w:spacing w:after="0" w:line="237" w:lineRule="auto"/>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2018 includes a $27 million tax benefit for a valuation reserve release against state net operating losses and $26 million of tax expense for state tax rate changes; 2017 includes $6 million of benefit for state tax rate changes primarily related to the final distribution of Valvoline.</w:t>
      </w:r>
    </w:p>
    <w:p>
      <w:pPr>
        <w:spacing w:after="0" w:line="7" w:lineRule="exact"/>
        <w:rPr>
          <w:rFonts w:ascii="Arial" w:cs="Arial" w:eastAsia="Arial" w:hAnsi="Arial"/>
          <w:sz w:val="14"/>
          <w:szCs w:val="14"/>
          <w:color w:val="auto"/>
        </w:rPr>
      </w:pPr>
    </w:p>
    <w:p>
      <w:pPr>
        <w:jc w:val="both"/>
        <w:ind w:left="300" w:hanging="292"/>
        <w:spacing w:after="0" w:line="185" w:lineRule="auto"/>
        <w:tabs>
          <w:tab w:leader="none" w:pos="300" w:val="left"/>
        </w:tabs>
        <w:numPr>
          <w:ilvl w:val="0"/>
          <w:numId w:val="50"/>
        </w:numPr>
        <w:rPr>
          <w:rFonts w:ascii="Arial" w:cs="Arial" w:eastAsia="Arial" w:hAnsi="Arial"/>
          <w:sz w:val="29"/>
          <w:szCs w:val="29"/>
          <w:color w:val="auto"/>
          <w:vertAlign w:val="superscript"/>
        </w:rPr>
      </w:pPr>
      <w:r>
        <w:rPr>
          <w:rFonts w:ascii="Arial" w:cs="Arial" w:eastAsia="Arial" w:hAnsi="Arial"/>
          <w:sz w:val="14"/>
          <w:szCs w:val="14"/>
          <w:color w:val="auto"/>
        </w:rPr>
        <w:t>2019 includes $19 million primarily related to GILTI permanent adjustments. 2018 includes $22 million related to foreign withholding taxes; 2017 includes $7 million of expense related to foreign withholding taxes, $5 million of expense for the write-off of a prepaid asset related to an intercompany transaction with a Valvoline legal entity, $4 million of expense for non-deductible transaction costs primarily related to the Valvoline spin-off and $6 million of benefit for certain other domestic permanent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-1569085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2019 effective tax rate was impacted by jurisdictional income mix, restructuring activities, and the impact of U.S. tax reform.</w:t>
      </w:r>
    </w:p>
    <w:p>
      <w:pPr>
        <w:spacing w:after="0" w:line="117"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The 2018 effective tax rate was impacted by jurisdictional income mix and restructuring activities, while U.S. tax reform and other items netted together to have an insignificant tax impact.</w:t>
      </w:r>
    </w:p>
    <w:p>
      <w:pPr>
        <w:spacing w:after="0" w:line="62" w:lineRule="exact"/>
        <w:rPr>
          <w:sz w:val="20"/>
          <w:szCs w:val="20"/>
          <w:color w:val="auto"/>
        </w:rPr>
      </w:pPr>
    </w:p>
    <w:p>
      <w:pPr>
        <w:ind w:right="20" w:firstLine="401"/>
        <w:spacing w:after="0" w:line="277" w:lineRule="auto"/>
        <w:rPr>
          <w:sz w:val="20"/>
          <w:szCs w:val="20"/>
          <w:color w:val="auto"/>
        </w:rPr>
      </w:pPr>
      <w:r>
        <w:rPr>
          <w:rFonts w:ascii="Arial" w:cs="Arial" w:eastAsia="Arial" w:hAnsi="Arial"/>
          <w:sz w:val="18"/>
          <w:szCs w:val="18"/>
          <w:color w:val="auto"/>
        </w:rPr>
        <w:t>The 2017 effective tax rate was impacted by jurisdictional income mix, tax expense related to deemed dividend inclusions and a tax benefit for the reversal of a valuation allowance related to the utilization of foreign tax credits.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Unrecognized tax benefits</w:t>
      </w:r>
    </w:p>
    <w:p>
      <w:pPr>
        <w:spacing w:after="0" w:line="121" w:lineRule="exact"/>
        <w:rPr>
          <w:sz w:val="20"/>
          <w:szCs w:val="20"/>
          <w:color w:val="auto"/>
        </w:rPr>
      </w:pPr>
    </w:p>
    <w:p>
      <w:pPr>
        <w:jc w:val="both"/>
        <w:ind w:firstLine="401"/>
        <w:spacing w:after="0" w:line="290" w:lineRule="auto"/>
        <w:rPr>
          <w:sz w:val="20"/>
          <w:szCs w:val="20"/>
          <w:color w:val="auto"/>
        </w:rPr>
      </w:pPr>
      <w:r>
        <w:rPr>
          <w:rFonts w:ascii="Arial" w:cs="Arial" w:eastAsia="Arial" w:hAnsi="Arial"/>
          <w:sz w:val="16"/>
          <w:szCs w:val="16"/>
          <w:color w:val="auto"/>
        </w:rPr>
        <w:t>U.S. GAAP prescribes a recognition threshold and measurement attribute for the accounting and financial statement disclosure of tax positions taken or expected to be taken in a tax return. The evaluation of a tax position is a two-step process. The first step requires Ashland to determine whether it is more likely than not that a tax position will be sustained upon examination based on the technical merits of the position. The second step requires Ashland to recognize in the financial statements each tax position that meets the more likely than not criteria, measured at the amount of benefit that has a greater than 50% likelihood of being realized. Ashland had $165 million and $164 million of unrecognized tax benefits at September 30, 2019 and 2018, respectively. As of September 30, 2019, the total amount of unrecognized tax benefits that, if recognized, would affect the tax rate for continuing and discontinued operations was $155 million. The remaining unrecognized tax benefits relate to tax positions for which ultimate deductibility is highly certain but for which there is uncertainty as to the timing of such deductibility. Recognition of these tax benefits would not have an impact on the effective tax rate.</w:t>
      </w:r>
    </w:p>
    <w:p>
      <w:pPr>
        <w:spacing w:after="0" w:line="58"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recognizes interest and penalties related to uncertain tax positions as a component of income tax expense (benefit) in the Statements of Consolidated Comprehensive Income. Such interest and penalties totaled a $5 million expense in 2019, $1 million benefit in 2018 and $3 million expense in 2017. Ashland had $26 million and $25 million in interest and penalties related to unrecognized tax benefits accrued as of September 30, 2019 and 2018, respectively.</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unrecognized tax benefits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xml:space="preserve">Balance at September 30, 2017 </w:t>
            </w:r>
            <w:r>
              <w:rPr>
                <w:rFonts w:ascii="Arial" w:cs="Arial" w:eastAsia="Arial" w:hAnsi="Arial"/>
                <w:sz w:val="14"/>
                <w:szCs w:val="14"/>
                <w:b w:val="1"/>
                <w:bCs w:val="1"/>
                <w:color w:val="auto"/>
              </w:rPr>
              <w:t>(a)</w:t>
            </w:r>
          </w:p>
        </w:tc>
        <w:tc>
          <w:tcPr>
            <w:tcW w:w="860" w:type="dxa"/>
            <w:vAlign w:val="bottom"/>
            <w:tcBorders>
              <w:top w:val="single" w:sz="8" w:color="auto"/>
            </w:tcBorders>
            <w:gridSpan w:val="2"/>
          </w:tcPr>
          <w:p>
            <w:pPr>
              <w:jc w:val="right"/>
              <w:ind w:right="685"/>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w:t>
            </w: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positions taken on items from prior years</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Decreases related to positions taken on items from prior years</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positions taken in the current year</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Settlement of uncertain tax positions with tax authorities</w:t>
            </w: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4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Balance at September 30, 2018 </w:t>
            </w:r>
            <w:r>
              <w:rPr>
                <w:rFonts w:ascii="Arial" w:cs="Arial" w:eastAsia="Arial" w:hAnsi="Arial"/>
                <w:sz w:val="14"/>
                <w:szCs w:val="14"/>
                <w:b w:val="1"/>
                <w:bCs w:val="1"/>
                <w:color w:val="auto"/>
              </w:rPr>
              <w:t>(a)</w:t>
            </w:r>
          </w:p>
        </w:tc>
        <w:tc>
          <w:tcPr>
            <w:tcW w:w="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w:t>
            </w:r>
          </w:p>
        </w:tc>
      </w:tr>
      <w:tr>
        <w:trPr>
          <w:trHeight w:val="223"/>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positions taken on items from prior years</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Decreases related to positions taken on items from prior years</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positions taken in the current year</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Disposition of Composites and Marl facility</w:t>
            </w: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9400" w:type="dxa"/>
            <w:vAlign w:val="bottom"/>
          </w:tcPr>
          <w:p>
            <w:pPr>
              <w:spacing w:after="0"/>
              <w:rPr>
                <w:sz w:val="20"/>
                <w:szCs w:val="20"/>
                <w:color w:val="auto"/>
              </w:rPr>
            </w:pPr>
            <w:r>
              <w:rPr>
                <w:rFonts w:ascii="Arial" w:cs="Arial" w:eastAsia="Arial" w:hAnsi="Arial"/>
                <w:sz w:val="18"/>
                <w:szCs w:val="18"/>
                <w:b w:val="1"/>
                <w:bCs w:val="1"/>
                <w:color w:val="auto"/>
              </w:rPr>
              <w:t>Balance at September 30, 2019</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w:t>
            </w: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Ashland has indemnity receivables from Valvoline and Pharmachem for $32 million and $39 million of the gross unrecognized tax benefits at September 30,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From a combination of statute expirations and audit settlements in the next twelve months, Ashland expects a decrease in the amount of accrual for uncertain tax positions of between $1 million and $2 million for continuing operations. For the remaining balance as of September 30, 2019, it is reasonably possible that there could be material changes to the amount of uncertain tax positions due to activities of the taxing authorities, settlement of audit issues, reassessment of existing uncertain tax positions or the expiration of applicable statute of limitations; however, Ashland is not able to estimate the impact of these items at this time.</w:t>
      </w:r>
    </w:p>
    <w:p>
      <w:pPr>
        <w:spacing w:after="0" w:line="80"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Ashland or one of its subsidiaries files income tax returns in the U.S. federal jurisdiction and various state and foreign jurisdictions. Foreign taxing jurisdictions significant to Ashland include Brazil, Canada, China, Germany, Mexico, Netherlands, Spain, Switzerland and United Kingdom. Ashland is subject to U.S. federal income tax examinations by tax authorities for periods after September 30, 2013 and U.S. state income tax examinations by tax authorities for periods after September 30, 2010. With respect to countries outside of the United States, with certain exceptions, Ashland’s foreign subsidiaries are subject to income tax audits for years after 2008.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NOTE N – EMPLOYEE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21"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Ashland and its subsidiaries have several contributory and noncontributory qualified defined benefit pension plans that generally cover international employees and a small portion of certain U.S. manufacturing union employees. Pension obligations for applicable employees of non-U.S. consolidated subsidiaries are provided for in accordance with local practices and regulations of the respective countries. The majority of these foreign pension plans are closed to new participants while those that remain open relate to areas where jurisdictions require plans to operate within the applicable country.</w:t>
      </w:r>
    </w:p>
    <w:p>
      <w:pPr>
        <w:spacing w:after="0" w:line="46"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Benefits for those eligible for Ashland’s U.S. pension plans generally are based on employees’ years of service and compensation during the years immediately preceding their retirement. The remaining U.S. plans are still open for enrollment for qualifying union employees within certain manufacturing sites.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 plans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and its subsidiaries maintain limited health care for certain eligible employees in the U.S. who are retired or disabled. Ashland shares the costs of providing health care coverage with certain eligible retired employees through premiums, deductibles and coinsurance provisions. Ashland funds its share of the costs of the postretirement benefit plans as the benefits are paid. This benefit obligation was significantly reduced due to the transfer of a substantial portion to Valvoline.</w:t>
      </w:r>
    </w:p>
    <w:p>
      <w:pPr>
        <w:spacing w:after="0" w:line="7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Postretirement health care plans include a limit on Ashland’s share of costs for recent and future retirees. The assumed pre-65 health care cost increase trend rate as of September 30, 2019 was 6.6% and continues to be reduced to 4.5% in 2037 and thereafter. The assumptions used to project the liability anticipate future cost-sharing changes to the written plans that are consistent with the increase in health care costs.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Amendments and Remeasurements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During 2019, Ashland settled a non-U.S. plan, which required the plan to be remeasured. This remeasurement resulted in a curtailment gain of $18 million recorded within the other net periodic benefit (costs) caption of the Statements of Consolidated Comprehensive Income.</w:t>
      </w:r>
    </w:p>
    <w:p>
      <w:pPr>
        <w:spacing w:after="0" w:line="62"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During 2017, Ashland discontinued certain post-employment health and life insurance benefits which resulted in a remeasurement gain of $2 million within the Statements of Consolidated Comprehensive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Transfers</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During August 2019, Ashland transferred a substantial portion of its non-qualified non-U.S. pension plans to INEOS as part of the sale of its Composites business (excluding the Maleic business) and the Marl facility. As of September 30, 2019, the net pension and other postretirement plan liabilities that transferred to INEOS totaled $27 million.</w:t>
      </w:r>
    </w:p>
    <w:p>
      <w:pPr>
        <w:spacing w:after="0" w:line="73"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disclosures within this footnote exclude these amounts that were transferred and only relate to plans Ashland currently records within continuing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costs (income) allocation</w:t>
      </w:r>
    </w:p>
    <w:p>
      <w:pPr>
        <w:spacing w:after="0" w:line="121"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Consistent with Ashland’s historical accounting policies, service cost for continuing operations is proportionately allocated to each reportable segment, excluding the Unallocated and other segment, while all other costs for continuing operations are recorded within the Unallocated and other segment.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4" w:name="page125"/>
    <w:bookmarkEnd w:id="124"/>
    <w:p>
      <w:pPr>
        <w:ind w:right="20" w:firstLine="401"/>
        <w:spacing w:after="0" w:line="277" w:lineRule="auto"/>
        <w:rPr>
          <w:sz w:val="20"/>
          <w:szCs w:val="20"/>
          <w:color w:val="auto"/>
        </w:rPr>
      </w:pPr>
      <w:r>
        <w:rPr>
          <w:rFonts w:ascii="Arial" w:cs="Arial" w:eastAsia="Arial" w:hAnsi="Arial"/>
          <w:sz w:val="18"/>
          <w:szCs w:val="18"/>
          <w:color w:val="auto"/>
        </w:rPr>
        <w:t>The following table summarizes the components of pension and other postretirement benefit costs for continuing operations and the assumptions used to determine net periodic benefit costs (income) for the plans.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90"/>
              </w:rPr>
              <w:t>Pension benefits</w:t>
            </w:r>
          </w:p>
        </w:tc>
        <w:tc>
          <w:tcPr>
            <w:tcW w:w="10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500" w:type="dxa"/>
            <w:vAlign w:val="bottom"/>
            <w:tcBorders>
              <w:top w:val="single" w:sz="8" w:color="auto"/>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Other postretirement benefits</w:t>
            </w:r>
          </w:p>
        </w:tc>
        <w:tc>
          <w:tcPr>
            <w:tcW w:w="680" w:type="dxa"/>
            <w:vAlign w:val="bottom"/>
            <w:tcBorders>
              <w:top w:val="single" w:sz="8" w:color="auto"/>
              <w:bottom w:val="single" w:sz="8" w:color="auto"/>
            </w:tcBorders>
          </w:tcPr>
          <w:p>
            <w:pPr>
              <w:spacing w:after="0"/>
              <w:rPr>
                <w:sz w:val="21"/>
                <w:szCs w:val="21"/>
                <w:color w:val="auto"/>
              </w:rPr>
            </w:pPr>
          </w:p>
        </w:tc>
      </w:tr>
      <w:tr>
        <w:trPr>
          <w:trHeight w:val="22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r>
      <w:tr>
        <w:trPr>
          <w:trHeight w:val="223"/>
        </w:trPr>
        <w:tc>
          <w:tcPr>
            <w:tcW w:w="3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periodic benefit costs (income)</w:t>
            </w: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(a)</w:t>
            </w:r>
          </w:p>
        </w:tc>
        <w:tc>
          <w:tcPr>
            <w:tcW w:w="8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(b)</w:t>
            </w: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 xml:space="preserve">Curtailment, settlement and other </w:t>
            </w:r>
            <w:r>
              <w:rPr>
                <w:rFonts w:ascii="Arial" w:cs="Arial" w:eastAsia="Arial" w:hAnsi="Arial"/>
                <w:sz w:val="14"/>
                <w:szCs w:val="14"/>
                <w:color w:val="auto"/>
              </w:rPr>
              <w:t>(b)</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(b)</w:t>
            </w: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 xml:space="preserve">Amortization of prior service credit </w:t>
            </w:r>
            <w:r>
              <w:rPr>
                <w:rFonts w:ascii="Arial" w:cs="Arial" w:eastAsia="Arial" w:hAnsi="Arial"/>
                <w:sz w:val="14"/>
                <w:szCs w:val="14"/>
                <w:color w:val="auto"/>
              </w:rPr>
              <w:t>(b)</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Actuarial (gain) loss </w:t>
            </w:r>
            <w:r>
              <w:rPr>
                <w:rFonts w:ascii="Arial" w:cs="Arial" w:eastAsia="Arial" w:hAnsi="Arial"/>
                <w:sz w:val="14"/>
                <w:szCs w:val="14"/>
                <w:color w:val="auto"/>
              </w:rPr>
              <w:t>(b)</w:t>
            </w:r>
          </w:p>
        </w:tc>
        <w:tc>
          <w:tcPr>
            <w:tcW w:w="4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w:t>
            </w:r>
          </w:p>
        </w:tc>
      </w:tr>
      <w:tr>
        <w:trPr>
          <w:trHeight w:val="263"/>
        </w:trPr>
        <w:tc>
          <w:tcPr>
            <w:tcW w:w="3440" w:type="dxa"/>
            <w:vAlign w:val="bottom"/>
            <w:tcBorders>
              <w:bottom w:val="single" w:sz="8" w:color="CFF0FC"/>
            </w:tcBorders>
          </w:tcPr>
          <w:p>
            <w:pPr>
              <w:spacing w:after="0"/>
              <w:rPr>
                <w:sz w:val="22"/>
                <w:szCs w:val="22"/>
                <w:color w:val="auto"/>
              </w:rPr>
            </w:pPr>
          </w:p>
        </w:tc>
        <w:tc>
          <w:tcPr>
            <w:tcW w:w="44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w:t>
            </w:r>
          </w:p>
        </w:tc>
      </w:tr>
      <w:tr>
        <w:trPr>
          <w:trHeight w:val="210"/>
        </w:trPr>
        <w:tc>
          <w:tcPr>
            <w:tcW w:w="3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Weighted-average plan assumptions </w:t>
            </w:r>
            <w:r>
              <w:rPr>
                <w:rFonts w:ascii="Arial" w:cs="Arial" w:eastAsia="Arial" w:hAnsi="Arial"/>
                <w:sz w:val="14"/>
                <w:szCs w:val="14"/>
                <w:b w:val="1"/>
                <w:bCs w:val="1"/>
                <w:color w:val="auto"/>
              </w:rPr>
              <w:t>(c)</w:t>
            </w:r>
          </w:p>
        </w:tc>
        <w:tc>
          <w:tcPr>
            <w:tcW w:w="4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Discount rate for service cost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Discount rate for interest cost</w:t>
            </w:r>
          </w:p>
        </w:tc>
        <w:tc>
          <w:tcPr>
            <w:tcW w:w="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5"/>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Expected long-term rate of return</w:t>
            </w:r>
          </w:p>
        </w:tc>
        <w:tc>
          <w:tcPr>
            <w:tcW w:w="4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30"/>
        </w:trPr>
        <w:tc>
          <w:tcPr>
            <w:tcW w:w="3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on plan assets</w:t>
            </w:r>
          </w:p>
        </w:tc>
        <w:tc>
          <w:tcPr>
            <w:tcW w:w="4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ind w:left="300" w:hanging="292"/>
        <w:spacing w:after="0" w:line="230" w:lineRule="auto"/>
        <w:tabs>
          <w:tab w:leader="none" w:pos="3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Service cost was not impacted by new accounting guidance adopted in 2018 and is therefore still classified within the selling, general and administrative expense and cost of sales captions on the Statements of Consolidated Comprehensive Income (Loss). See Note A for additional information.</w:t>
      </w:r>
    </w:p>
    <w:p>
      <w:pPr>
        <w:ind w:left="300" w:hanging="292"/>
        <w:spacing w:after="0" w:line="221" w:lineRule="auto"/>
        <w:tabs>
          <w:tab w:leader="none" w:pos="3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These components are now classified within the other net periodic benefit income (costs) caption on the Statements of Consolidated Comprehensive Income (Loss) due to the adoption of new accounting guidance in 2018. See Note A for additional information.</w:t>
      </w:r>
    </w:p>
    <w:p>
      <w:pPr>
        <w:ind w:left="300" w:hanging="292"/>
        <w:spacing w:after="0"/>
        <w:tabs>
          <w:tab w:leader="none" w:pos="3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plan assumptions discussed are a blended weighted-average rate for Ashland’s U.S. and non-U.S. plans.</w:t>
      </w:r>
    </w:p>
    <w:p>
      <w:pPr>
        <w:spacing w:after="0" w:line="88"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There were no changes in prior service credit recognized in accumulated other comprehensive income during both 2019 and 2018. At September 30, 2019, Ashland expects to recognize less than $1 million of the prior service credit in accumulated other comprehensive income as net periodic benefit cost (income) during the next fiscal year.</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 September 30, 2019 and 2018, the amounts included in accumulated other comprehensive income are shown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Pension</w:t>
            </w:r>
          </w:p>
        </w:tc>
        <w:tc>
          <w:tcPr>
            <w:tcW w:w="9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Postretirement</w:t>
            </w:r>
          </w:p>
        </w:tc>
        <w:tc>
          <w:tcPr>
            <w:tcW w:w="780" w:type="dxa"/>
            <w:vAlign w:val="bottom"/>
            <w:tcBorders>
              <w:top w:val="single" w:sz="8" w:color="auto"/>
              <w:bottom w:val="single" w:sz="8" w:color="auto"/>
            </w:tcBorders>
          </w:tcPr>
          <w:p>
            <w:pPr>
              <w:spacing w:after="0"/>
              <w:rPr>
                <w:sz w:val="21"/>
                <w:szCs w:val="21"/>
                <w:color w:val="auto"/>
              </w:rPr>
            </w:pPr>
          </w:p>
        </w:tc>
      </w:tr>
      <w:tr>
        <w:trPr>
          <w:trHeight w:val="223"/>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Prior service credit</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554"/>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590"/>
              <w:spacing w:after="0"/>
              <w:rPr>
                <w:sz w:val="20"/>
                <w:szCs w:val="20"/>
                <w:color w:val="auto"/>
              </w:rPr>
            </w:pPr>
            <w:r>
              <w:rPr>
                <w:rFonts w:ascii="Arial" w:cs="Arial" w:eastAsia="Arial" w:hAnsi="Arial"/>
                <w:sz w:val="18"/>
                <w:szCs w:val="18"/>
                <w:color w:val="auto"/>
              </w:rPr>
              <w:t>F-47</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Actuarial valuations are performed for the pension and other postretirement benefit plans to determine Ashland’s obligation for each plan. In accordance with U.S. GAAP, Ashland recognizes the unfunded status of the plans as a liability in the Consolidated Balance Sheets. Summaries of the change in benefit obligations, plan assets, funded status of the plans, amounts recognized in the balance sheet, and assumptions used to determine the benefit obligations for 2019 and 2018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40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3"/>
          </w:tcPr>
          <w:p>
            <w:pPr>
              <w:jc w:val="right"/>
              <w:ind w:right="125"/>
              <w:spacing w:after="0"/>
              <w:rPr>
                <w:sz w:val="20"/>
                <w:szCs w:val="20"/>
                <w:color w:val="auto"/>
              </w:rPr>
            </w:pPr>
            <w:r>
              <w:rPr>
                <w:rFonts w:ascii="Arial" w:cs="Arial" w:eastAsia="Arial" w:hAnsi="Arial"/>
                <w:sz w:val="18"/>
                <w:szCs w:val="18"/>
                <w:color w:val="auto"/>
              </w:rPr>
              <w:t>Other postretirement</w:t>
            </w: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45"/>
              <w:spacing w:after="0"/>
              <w:rPr>
                <w:sz w:val="20"/>
                <w:szCs w:val="20"/>
                <w:color w:val="auto"/>
              </w:rPr>
            </w:pPr>
            <w:r>
              <w:rPr>
                <w:rFonts w:ascii="Arial" w:cs="Arial" w:eastAsia="Arial" w:hAnsi="Arial"/>
                <w:sz w:val="18"/>
                <w:szCs w:val="18"/>
                <w:color w:val="auto"/>
              </w:rPr>
              <w:t>Pension plans</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8"/>
                <w:szCs w:val="18"/>
                <w:color w:val="auto"/>
              </w:rPr>
              <w:t>benefit plans</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Change in benefit obligations</w:t>
            </w:r>
          </w:p>
        </w:tc>
        <w:tc>
          <w:tcPr>
            <w:tcW w:w="9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Benefit obligations at October 1</w:t>
            </w:r>
          </w:p>
        </w:tc>
        <w:tc>
          <w:tcPr>
            <w:tcW w:w="142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9"/>
                <w:szCs w:val="19"/>
                <w:color w:val="auto"/>
              </w:rPr>
            </w:pP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9"/>
                <w:szCs w:val="19"/>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92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Participant contributions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Benefits paid</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Actuarial (gain) loss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Curtailments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exchange rate changes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9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rPr>
                <w:sz w:val="20"/>
                <w:szCs w:val="20"/>
                <w:color w:val="auto"/>
              </w:rPr>
            </w:pPr>
            <w:r>
              <w:rPr>
                <w:rFonts w:ascii="Arial" w:cs="Arial" w:eastAsia="Arial" w:hAnsi="Arial"/>
                <w:sz w:val="18"/>
                <w:szCs w:val="18"/>
                <w:color w:val="auto"/>
              </w:rPr>
              <w:t>Benefit obligations at September 30</w:t>
            </w:r>
          </w:p>
        </w:tc>
        <w:tc>
          <w:tcPr>
            <w:tcW w:w="900" w:type="dxa"/>
            <w:vAlign w:val="bottom"/>
          </w:tcPr>
          <w:p>
            <w:pPr>
              <w:spacing w:after="0"/>
              <w:rPr>
                <w:sz w:val="22"/>
                <w:szCs w:val="22"/>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22"/>
                <w:szCs w:val="22"/>
                <w:color w:val="auto"/>
              </w:rPr>
            </w:pP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22"/>
                <w:szCs w:val="22"/>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2"/>
                <w:szCs w:val="22"/>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Change in plan assets</w:t>
            </w:r>
          </w:p>
        </w:tc>
        <w:tc>
          <w:tcPr>
            <w:tcW w:w="90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Value of plan assets at October 1</w:t>
            </w:r>
          </w:p>
        </w:tc>
        <w:tc>
          <w:tcPr>
            <w:tcW w:w="142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9"/>
                <w:szCs w:val="19"/>
                <w:color w:val="auto"/>
              </w:rPr>
            </w:pP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19"/>
                <w:szCs w:val="19"/>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Actual return on plan assets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Employer contributions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Participant contributions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Benefits paid</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exchange rate changes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Settlements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rPr>
                <w:sz w:val="20"/>
                <w:szCs w:val="20"/>
                <w:color w:val="auto"/>
              </w:rPr>
            </w:pPr>
            <w:r>
              <w:rPr>
                <w:rFonts w:ascii="Arial" w:cs="Arial" w:eastAsia="Arial" w:hAnsi="Arial"/>
                <w:sz w:val="18"/>
                <w:szCs w:val="18"/>
                <w:color w:val="auto"/>
              </w:rPr>
              <w:t>Value of plan assets at September 30</w:t>
            </w:r>
          </w:p>
        </w:tc>
        <w:tc>
          <w:tcPr>
            <w:tcW w:w="9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Unfunded status of the plans</w:t>
            </w:r>
          </w:p>
        </w:tc>
        <w:tc>
          <w:tcPr>
            <w:tcW w:w="142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3"/>
                <w:szCs w:val="23"/>
                <w:color w:val="auto"/>
              </w:rPr>
            </w:pP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3"/>
                <w:szCs w:val="23"/>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92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Amounts recognized in the balance sheet</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Noncurrent benefit assets</w:t>
            </w:r>
          </w:p>
        </w:tc>
        <w:tc>
          <w:tcPr>
            <w:tcW w:w="142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Current benefit liabilities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Noncurrent benefit liabilities</w:t>
            </w:r>
          </w:p>
        </w:tc>
        <w:tc>
          <w:tcPr>
            <w:tcW w:w="9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rPr>
                <w:sz w:val="20"/>
                <w:szCs w:val="20"/>
                <w:color w:val="auto"/>
              </w:rPr>
            </w:pPr>
            <w:r>
              <w:rPr>
                <w:rFonts w:ascii="Arial" w:cs="Arial" w:eastAsia="Arial" w:hAnsi="Arial"/>
                <w:sz w:val="18"/>
                <w:szCs w:val="18"/>
                <w:color w:val="auto"/>
              </w:rPr>
              <w:t>Net amount recognized</w:t>
            </w:r>
          </w:p>
        </w:tc>
        <w:tc>
          <w:tcPr>
            <w:tcW w:w="900" w:type="dxa"/>
            <w:vAlign w:val="bottom"/>
          </w:tcPr>
          <w:p>
            <w:pPr>
              <w:spacing w:after="0"/>
              <w:rPr>
                <w:sz w:val="22"/>
                <w:szCs w:val="22"/>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2"/>
                <w:szCs w:val="22"/>
                <w:color w:val="auto"/>
              </w:rPr>
            </w:pP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2"/>
                <w:szCs w:val="22"/>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2"/>
                <w:szCs w:val="22"/>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Weighted-average plan assumptions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accumulated benefit obligation for all pension plans was $400 million at September 30, 2019 and $394 million at September 30, 2018. All Ashland pension plans are either qualified U.S. or non-US plans. Information for pension plans with an accumulated benefit obligation in excess of plan assets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96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10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39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207</w:t>
            </w:r>
          </w:p>
        </w:tc>
        <w:tc>
          <w:tcPr>
            <w:tcW w:w="100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227</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396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202</w:t>
            </w:r>
          </w:p>
        </w:tc>
        <w:tc>
          <w:tcPr>
            <w:tcW w:w="100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217</w:t>
            </w: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plan assets</w:t>
            </w:r>
          </w:p>
        </w:tc>
        <w:tc>
          <w:tcPr>
            <w:tcW w:w="39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106</w:t>
            </w:r>
          </w:p>
        </w:tc>
        <w:tc>
          <w:tcPr>
            <w:tcW w:w="10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129</w:t>
            </w:r>
          </w:p>
        </w:tc>
      </w:tr>
      <w:tr>
        <w:trPr>
          <w:trHeight w:val="554"/>
        </w:trPr>
        <w:tc>
          <w:tcPr>
            <w:tcW w:w="3920" w:type="dxa"/>
            <w:vAlign w:val="bottom"/>
          </w:tcPr>
          <w:p>
            <w:pPr>
              <w:spacing w:after="0"/>
              <w:rPr>
                <w:sz w:val="24"/>
                <w:szCs w:val="24"/>
                <w:color w:val="auto"/>
              </w:rPr>
            </w:pPr>
          </w:p>
        </w:tc>
        <w:tc>
          <w:tcPr>
            <w:tcW w:w="3960" w:type="dxa"/>
            <w:vAlign w:val="bottom"/>
          </w:tcPr>
          <w:p>
            <w:pPr>
              <w:jc w:val="right"/>
              <w:ind w:right="1910"/>
              <w:spacing w:after="0"/>
              <w:rPr>
                <w:sz w:val="20"/>
                <w:szCs w:val="20"/>
                <w:color w:val="auto"/>
              </w:rPr>
            </w:pPr>
            <w:r>
              <w:rPr>
                <w:rFonts w:ascii="Arial" w:cs="Arial" w:eastAsia="Arial" w:hAnsi="Arial"/>
                <w:sz w:val="18"/>
                <w:szCs w:val="18"/>
                <w:color w:val="auto"/>
              </w:rPr>
              <w:t>F-48</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Plan assets</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expected long-term rate of return on pension plan assets was 3.44% and 3.36% for 2019 and 2018, respectively. The basis for determining the expected long-term rate of return is a combination of future return assumptions for various asset classes in Ashland’s investment portfolio, historical analysis of previous returns, market indices and a projection of inflation.</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following table summarizes the various investment categories that the pension plan assets are invested in and the applicable fair value hierarchy that the financial instruments are classified within these investment categories as of September 30, 2019. For additional information and a detailed description of each level within the fair value hierarchy, see Note 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0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Quoted prices</w:t>
            </w:r>
          </w:p>
        </w:tc>
        <w:tc>
          <w:tcPr>
            <w:tcW w:w="1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30"/>
        </w:trPr>
        <w:tc>
          <w:tcPr>
            <w:tcW w:w="5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in active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markets for</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r>
      <w:tr>
        <w:trPr>
          <w:trHeight w:val="230"/>
        </w:trPr>
        <w:tc>
          <w:tcPr>
            <w:tcW w:w="5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identical</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observable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unobservable</w:t>
            </w:r>
          </w:p>
        </w:tc>
      </w:tr>
      <w:tr>
        <w:trPr>
          <w:trHeight w:val="230"/>
        </w:trPr>
        <w:tc>
          <w:tcPr>
            <w:tcW w:w="5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Total fair</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inputs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inputs</w:t>
            </w:r>
          </w:p>
        </w:tc>
      </w:tr>
      <w:tr>
        <w:trPr>
          <w:trHeight w:val="230"/>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1</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2</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3</w:t>
            </w: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3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Non-U.S. Government securities</w:t>
            </w: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Corporate debt instruments</w:t>
            </w: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Listed real assets</w:t>
            </w: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Corporate stocks</w:t>
            </w: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Insurance contracts</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337</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332</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5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summarizes the various investment categories that the pension plan assets are invested in and the applicable fair value hierarchy that the financial instruments are classified within these investment categories as of September 30,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0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Quoted prices</w:t>
            </w:r>
          </w:p>
        </w:tc>
        <w:tc>
          <w:tcPr>
            <w:tcW w:w="1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30"/>
        </w:trPr>
        <w:tc>
          <w:tcPr>
            <w:tcW w:w="5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in active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markets for</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r>
      <w:tr>
        <w:trPr>
          <w:trHeight w:val="230"/>
        </w:trPr>
        <w:tc>
          <w:tcPr>
            <w:tcW w:w="5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identical</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observable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unobservable</w:t>
            </w:r>
          </w:p>
        </w:tc>
      </w:tr>
      <w:tr>
        <w:trPr>
          <w:trHeight w:val="230"/>
        </w:trPr>
        <w:tc>
          <w:tcPr>
            <w:tcW w:w="5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Total fair</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inputs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inputs</w:t>
            </w:r>
          </w:p>
        </w:tc>
      </w:tr>
      <w:tr>
        <w:trPr>
          <w:trHeight w:val="230"/>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value</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1</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2</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3</w:t>
            </w: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3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4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Non-U.S. Government securities</w:t>
            </w: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Corporate debt instruments</w:t>
            </w: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Listed real assets</w:t>
            </w: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Corporate stocks</w:t>
            </w: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Insurance contracts</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at fair value</w:t>
            </w: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341</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5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pension plan holds a variety of investments designed to diversify risk. Investments classified as a Level 1 fair value measure principally represent marketable securities priced in active markets. Cash and cash equivalents and public equity and debt securities are well diversified and invested in U.S. and international small-to-large companies across various asset managers and styles. Investments classified as a Level 2 fair value measure principally represents fixed-income securities and other investment grade corporate bonds and debt obligations.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i w:val="1"/>
          <w:iCs w:val="1"/>
          <w:color w:val="auto"/>
        </w:rPr>
        <w:t>Investments and Strategy</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In developing an investment strategy for its defined benefit plans, Ashland has considered the following factors: the nature of the plans’ liabilities, the allocation of liabilities between active, deferred and retired members, the funded status of the plans, the applicable investment horizon, the respective size of the plans and historical and expected capital market returns. Ashland’s U.S. pension plan assets are managed by outside investment managers, which are monitored against investment return benchmarks and Ashland’s established investment strategy. Investment managers are selected based on an analysis of, among other things, their investment process, historical investment results, frequency of management turnover, cost structure and assets under management. Assets are periodically reallocated between investment managers to maintain an appropriate asset mix and diversification of investments and to optimize returns.</w:t>
      </w:r>
    </w:p>
    <w:p>
      <w:pPr>
        <w:spacing w:after="0" w:line="8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current target asset allocation for the U.S. plans is 49% fixed income securities, 38% equity securities and 13% other securities. Fixed income securities primarily includes cash and cash equivalents, long duration corporate debt obligations and U.S. government debt obligations. In addition, Ashland’s non-U.S. plan fixed income securities include insurance contracts. Equity securities are comprised solely of traditional public equity investments. Investment managers may employ a limited use of derivatives to gain efficient exposure to markets.</w:t>
      </w:r>
    </w:p>
    <w:p>
      <w:pPr>
        <w:spacing w:after="0" w:line="7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investment strategy and management practices relative to plan assets of non-U.S. plans generally are consistent with those for U.S. plans, except in those countries where investment of plan assets is dictated by applicable regulations. Although the investment allocation may vary based on funding percentages and whether plans are still accruing additional liabilities, the weighted-average asset allocations for Ashland’s U.S. and non-U.S. plans at September 30, 2019 and 2018 by asset category follow.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8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900" w:type="dxa"/>
            <w:vAlign w:val="bottom"/>
            <w:tcBorders>
              <w:top w:val="single" w:sz="8" w:color="auto"/>
              <w:bottom w:val="single" w:sz="8" w:color="auto"/>
            </w:tcBorders>
            <w:gridSpan w:val="3"/>
          </w:tcPr>
          <w:p>
            <w:pPr>
              <w:ind w:left="920"/>
              <w:spacing w:after="0"/>
              <w:rPr>
                <w:sz w:val="20"/>
                <w:szCs w:val="20"/>
                <w:color w:val="auto"/>
              </w:rPr>
            </w:pPr>
            <w:r>
              <w:rPr>
                <w:rFonts w:ascii="Arial" w:cs="Arial" w:eastAsia="Arial" w:hAnsi="Arial"/>
                <w:sz w:val="18"/>
                <w:szCs w:val="18"/>
                <w:color w:val="auto"/>
              </w:rPr>
              <w:t>Actual at September 30</w:t>
            </w:r>
          </w:p>
        </w:tc>
        <w:tc>
          <w:tcPr>
            <w:tcW w:w="840" w:type="dxa"/>
            <w:vAlign w:val="bottom"/>
            <w:tcBorders>
              <w:top w:val="single" w:sz="8" w:color="auto"/>
              <w:bottom w:val="single" w:sz="8" w:color="auto"/>
            </w:tcBorders>
          </w:tcPr>
          <w:p>
            <w:pPr>
              <w:spacing w:after="0"/>
              <w:rPr>
                <w:sz w:val="21"/>
                <w:szCs w:val="21"/>
                <w:color w:val="auto"/>
              </w:rPr>
            </w:pPr>
          </w:p>
        </w:tc>
      </w:tr>
      <w:tr>
        <w:trPr>
          <w:trHeight w:val="223"/>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8"/>
              </w:rPr>
              <w:t>Target</w:t>
            </w:r>
          </w:p>
        </w:tc>
        <w:tc>
          <w:tcPr>
            <w:tcW w:w="1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Plan assets allocation</w:t>
            </w:r>
          </w:p>
        </w:tc>
        <w:tc>
          <w:tcPr>
            <w:tcW w:w="27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Equity securities</w:t>
            </w:r>
          </w:p>
        </w:tc>
        <w:tc>
          <w:tcPr>
            <w:tcW w:w="2760" w:type="dxa"/>
            <w:vAlign w:val="bottom"/>
          </w:tcPr>
          <w:p>
            <w:pPr>
              <w:jc w:val="right"/>
              <w:spacing w:after="0"/>
              <w:rPr>
                <w:sz w:val="20"/>
                <w:szCs w:val="20"/>
                <w:color w:val="auto"/>
              </w:rPr>
            </w:pPr>
            <w:r>
              <w:rPr>
                <w:rFonts w:ascii="Arial" w:cs="Arial" w:eastAsia="Arial" w:hAnsi="Arial"/>
                <w:sz w:val="18"/>
                <w:szCs w:val="18"/>
                <w:color w:val="auto"/>
              </w:rPr>
              <w:t>5</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w w:val="97"/>
              </w:rPr>
              <w:t>- 45%</w:t>
            </w:r>
          </w:p>
        </w:tc>
        <w:tc>
          <w:tcPr>
            <w:tcW w:w="18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Fixed income securities</w:t>
            </w: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7"/>
              </w:rPr>
              <w:t>- 95%</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jc w:val="right"/>
              <w:ind w:right="70"/>
              <w:spacing w:after="0"/>
              <w:rPr>
                <w:sz w:val="20"/>
                <w:szCs w:val="20"/>
                <w:color w:val="auto"/>
              </w:rPr>
            </w:pPr>
            <w:r>
              <w:rPr>
                <w:rFonts w:ascii="Arial" w:cs="Arial" w:eastAsia="Arial" w:hAnsi="Arial"/>
                <w:sz w:val="18"/>
                <w:szCs w:val="18"/>
                <w:color w:val="auto"/>
                <w:w w:val="88"/>
              </w:rPr>
              <w:t>0 - 5%</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280" w:type="dxa"/>
            <w:vAlign w:val="bottom"/>
            <w:tcBorders>
              <w:bottom w:val="single" w:sz="8" w:color="CFF0FC"/>
            </w:tcBorders>
            <w:shd w:val="clear" w:color="auto" w:fill="CFF0FC"/>
          </w:tcPr>
          <w:p>
            <w:pPr>
              <w:spacing w:after="0"/>
              <w:rPr>
                <w:sz w:val="19"/>
                <w:szCs w:val="19"/>
                <w:color w:val="auto"/>
              </w:rPr>
            </w:pPr>
          </w:p>
        </w:tc>
        <w:tc>
          <w:tcPr>
            <w:tcW w:w="27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2019 and 2018, Ashland contributed $1 million to its U.S. pension plans each year and $4 million and $8 million, respectively, to its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pension plans. Ashland expects to contribute approximately $1 million to its U.S. pension plans and $5 million to its non-U.S. pension plans during 2020.</w:t>
      </w:r>
    </w:p>
    <w:p>
      <w:pPr>
        <w:spacing w:after="0" w:line="126"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benefit payments, which reflect future service expectations, are projected to be paid from plan assets in each of the next five years and in aggregate for five years thereafter.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220" w:type="dxa"/>
            <w:vAlign w:val="bottom"/>
            <w:tcBorders>
              <w:top w:val="single" w:sz="8" w:color="auto"/>
            </w:tcBorders>
          </w:tcPr>
          <w:p>
            <w:pPr>
              <w:spacing w:after="0"/>
              <w:rPr>
                <w:sz w:val="21"/>
                <w:szCs w:val="21"/>
                <w:color w:val="auto"/>
              </w:rPr>
            </w:pPr>
          </w:p>
        </w:tc>
        <w:tc>
          <w:tcPr>
            <w:tcW w:w="45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Other</w:t>
            </w:r>
          </w:p>
        </w:tc>
      </w:tr>
      <w:tr>
        <w:trPr>
          <w:trHeight w:val="230"/>
        </w:trPr>
        <w:tc>
          <w:tcPr>
            <w:tcW w:w="32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Pension</w:t>
            </w:r>
          </w:p>
        </w:tc>
        <w:tc>
          <w:tcPr>
            <w:tcW w:w="66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postretirement</w:t>
            </w:r>
          </w:p>
        </w:tc>
      </w:tr>
      <w:tr>
        <w:trPr>
          <w:trHeight w:val="230"/>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5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benefits</w:t>
            </w:r>
          </w:p>
        </w:tc>
        <w:tc>
          <w:tcPr>
            <w:tcW w:w="6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benefits</w:t>
            </w: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5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2021</w:t>
            </w:r>
          </w:p>
        </w:tc>
        <w:tc>
          <w:tcPr>
            <w:tcW w:w="456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5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2023</w:t>
            </w:r>
          </w:p>
        </w:tc>
        <w:tc>
          <w:tcPr>
            <w:tcW w:w="456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4</w:t>
            </w: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5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19</w:t>
            </w:r>
          </w:p>
        </w:tc>
        <w:tc>
          <w:tcPr>
            <w:tcW w:w="6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2025 - 2029</w:t>
            </w:r>
          </w:p>
        </w:tc>
        <w:tc>
          <w:tcPr>
            <w:tcW w:w="456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99</w:t>
            </w:r>
          </w:p>
        </w:tc>
        <w:tc>
          <w:tcPr>
            <w:tcW w:w="66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18</w:t>
            </w:r>
          </w:p>
        </w:tc>
      </w:tr>
      <w:tr>
        <w:trPr>
          <w:trHeight w:val="553"/>
        </w:trPr>
        <w:tc>
          <w:tcPr>
            <w:tcW w:w="3220" w:type="dxa"/>
            <w:vAlign w:val="bottom"/>
          </w:tcPr>
          <w:p>
            <w:pPr>
              <w:spacing w:after="0"/>
              <w:rPr>
                <w:sz w:val="24"/>
                <w:szCs w:val="24"/>
                <w:color w:val="auto"/>
              </w:rPr>
            </w:pPr>
          </w:p>
        </w:tc>
        <w:tc>
          <w:tcPr>
            <w:tcW w:w="4560" w:type="dxa"/>
            <w:vAlign w:val="bottom"/>
          </w:tcPr>
          <w:p>
            <w:pPr>
              <w:jc w:val="right"/>
              <w:ind w:right="1810"/>
              <w:spacing w:after="0"/>
              <w:rPr>
                <w:sz w:val="20"/>
                <w:szCs w:val="20"/>
                <w:color w:val="auto"/>
              </w:rPr>
            </w:pPr>
            <w:r>
              <w:rPr>
                <w:rFonts w:ascii="Arial" w:cs="Arial" w:eastAsia="Arial" w:hAnsi="Arial"/>
                <w:sz w:val="18"/>
                <w:szCs w:val="18"/>
                <w:color w:val="auto"/>
              </w:rPr>
              <w:t>F-50</w:t>
            </w: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Other plans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sponsors savings plans to assist eligible employees in providing for retirement or other future needs. Under such plans, company contributions amounted to $26 million in 2019, $25 million in 2018 and $26 million in 2017. Ashland also sponsors various other employee benefit plans, some of which are required by different countries. The total noncurrent liabilities associated with these plans were $3 million and $7 million as of September 30, 2019 and 2018,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LITIGATION, CLAIMS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21" w:lineRule="exact"/>
        <w:rPr>
          <w:sz w:val="20"/>
          <w:szCs w:val="20"/>
          <w:color w:val="auto"/>
        </w:rPr>
      </w:pPr>
    </w:p>
    <w:p>
      <w:pPr>
        <w:jc w:val="both"/>
        <w:ind w:firstLine="401"/>
        <w:spacing w:after="0" w:line="288" w:lineRule="auto"/>
        <w:rPr>
          <w:sz w:val="20"/>
          <w:szCs w:val="20"/>
          <w:color w:val="auto"/>
        </w:rPr>
      </w:pPr>
      <w:r>
        <w:rPr>
          <w:rFonts w:ascii="Arial" w:cs="Arial" w:eastAsia="Arial" w:hAnsi="Arial"/>
          <w:sz w:val="16"/>
          <w:szCs w:val="16"/>
          <w:color w:val="auto"/>
        </w:rPr>
        <w:t>Ashland and Hercules have liabilities from claims alleging personal injury caused by exposure to asbestos. To assist in developing and annually updating independent reserve estimates for future asbestos claims and related costs given various assumptions, Ashland retained third party actuarial experts. Prior to 2018, Ashland retained Hamilton, Rabinovitz &amp; Associates, Inc. (HR&amp;A). During 2018, Ashland transitioned these responsibilities to Nathan Associates, Inc. (Nathan). The processes and methodologies used by Nathan are consistent with the ones historically employed by HR&amp;A.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litigation</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 A summary of Ashland asbestos claims activity, excluding Hercules claims,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New claims filed</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Claims settled</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Claims dismissed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Open claims - end of year</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liability</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79" w:lineRule="exact"/>
        <w:rPr>
          <w:sz w:val="20"/>
          <w:szCs w:val="20"/>
          <w:color w:val="auto"/>
        </w:rPr>
      </w:pPr>
    </w:p>
    <w:p>
      <w:pPr>
        <w:jc w:val="both"/>
        <w:ind w:right="20" w:firstLine="401"/>
        <w:spacing w:after="0" w:line="308" w:lineRule="auto"/>
        <w:rPr>
          <w:sz w:val="20"/>
          <w:szCs w:val="20"/>
          <w:color w:val="auto"/>
        </w:rPr>
      </w:pPr>
      <w:r>
        <w:rPr>
          <w:rFonts w:ascii="Arial" w:cs="Arial" w:eastAsia="Arial" w:hAnsi="Arial"/>
          <w:sz w:val="17"/>
          <w:szCs w:val="17"/>
          <w:color w:val="auto"/>
        </w:rPr>
        <w:t>During the most recent update completed during 2019, it was determined that the liability for Ashland asbestos-related claims should be increased by $1 million. Total reserves for asbestos claims were $352 million at September 30, 2019 compared to $380 million at September 30, 2018.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9" w:name="page130"/>
    <w:bookmarkEnd w:id="129"/>
    <w:p>
      <w:pPr>
        <w:ind w:left="400"/>
        <w:spacing w:after="0"/>
        <w:rPr>
          <w:sz w:val="20"/>
          <w:szCs w:val="20"/>
          <w:color w:val="auto"/>
        </w:rPr>
      </w:pPr>
      <w:r>
        <w:rPr>
          <w:rFonts w:ascii="Arial" w:cs="Arial" w:eastAsia="Arial" w:hAnsi="Arial"/>
          <w:sz w:val="18"/>
          <w:szCs w:val="18"/>
          <w:color w:val="auto"/>
        </w:rPr>
        <w:t>A progression of activity in the asbestos reserve is presented in the following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2280" w:type="dxa"/>
            <w:vAlign w:val="bottom"/>
            <w:gridSpan w:val="2"/>
            <w:shd w:val="clear" w:color="auto" w:fill="CFF0FC"/>
          </w:tcPr>
          <w:p>
            <w:pPr>
              <w:jc w:val="right"/>
              <w:ind w:right="5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415</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Reserve adjustment</w:t>
            </w: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16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 xml:space="preserve">Asbestos reserve - end of year </w:t>
            </w:r>
            <w:r>
              <w:rPr>
                <w:rFonts w:ascii="Arial" w:cs="Arial" w:eastAsia="Arial" w:hAnsi="Arial"/>
                <w:sz w:val="14"/>
                <w:szCs w:val="14"/>
                <w:color w:val="auto"/>
              </w:rPr>
              <w:t>(a)</w:t>
            </w:r>
          </w:p>
        </w:tc>
        <w:tc>
          <w:tcPr>
            <w:tcW w:w="1600" w:type="dxa"/>
            <w:vAlign w:val="bottom"/>
          </w:tcPr>
          <w:p>
            <w:pPr>
              <w:spacing w:after="0"/>
              <w:rPr>
                <w:sz w:val="19"/>
                <w:szCs w:val="19"/>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419</w:t>
            </w:r>
          </w:p>
        </w:tc>
      </w:tr>
      <w:tr>
        <w:trPr>
          <w:trHeight w:val="20"/>
        </w:trPr>
        <w:tc>
          <w:tcPr>
            <w:tcW w:w="4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Included $28 million and $30 million classified in accrued expenses and other liabilities on the Consolidated Balance Sheets as of September 30,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receivables</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62"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79"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At September 30, 2019, Ashland’s receivable for recoveries of litigation defense and claim settlement costs from insurers amounted to $123 million (excluding the Hercules receivable for asbestos claims). Receivables from insurers amounted to $140 million at September 30, 2018. During 2019, the annual update of the model used for purposes of valuing the asbestos reserve and its impact on valuation of future recoveries from insurers, was completed. This model update resulted in a $5 million decrease in the receivable for probable insurance recoveries.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progression of activity in the Ashland insurance receivable is presented in the following table.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2140" w:type="dxa"/>
            <w:vAlign w:val="bottom"/>
            <w:gridSpan w:val="2"/>
            <w:shd w:val="clear" w:color="auto" w:fill="CFF0FC"/>
          </w:tcPr>
          <w:p>
            <w:pPr>
              <w:jc w:val="right"/>
              <w:ind w:right="5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151</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Receivable adjustment</w:t>
            </w:r>
          </w:p>
        </w:tc>
        <w:tc>
          <w:tcPr>
            <w:tcW w:w="1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Insurance settlement</w:t>
            </w:r>
          </w:p>
        </w:tc>
        <w:tc>
          <w:tcPr>
            <w:tcW w:w="1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Amounts collected</w:t>
            </w:r>
          </w:p>
        </w:tc>
        <w:tc>
          <w:tcPr>
            <w:tcW w:w="146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Insurance receivable - end of year </w:t>
            </w:r>
            <w:r>
              <w:rPr>
                <w:rFonts w:ascii="Arial" w:cs="Arial" w:eastAsia="Arial" w:hAnsi="Arial"/>
                <w:sz w:val="14"/>
                <w:szCs w:val="14"/>
                <w:color w:val="auto"/>
              </w:rPr>
              <w:t>(a)</w:t>
            </w:r>
          </w:p>
        </w:tc>
        <w:tc>
          <w:tcPr>
            <w:tcW w:w="14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1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155</w:t>
            </w:r>
          </w:p>
        </w:tc>
      </w:tr>
      <w:tr>
        <w:trPr>
          <w:trHeight w:val="20"/>
        </w:trPr>
        <w:tc>
          <w:tcPr>
            <w:tcW w:w="4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Included $15 million classified in accounts receivable on the Consolidated Balance Sheets as of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asbestos-related litigation</w:t>
      </w:r>
    </w:p>
    <w:p>
      <w:pPr>
        <w:spacing w:after="0" w:line="117"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6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36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New claims filed</w:t>
            </w:r>
          </w:p>
        </w:tc>
        <w:tc>
          <w:tcPr>
            <w:tcW w:w="362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Claims dismissed</w:t>
            </w:r>
          </w:p>
        </w:tc>
        <w:tc>
          <w:tcPr>
            <w:tcW w:w="3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Open claims - end of year</w:t>
            </w:r>
          </w:p>
        </w:tc>
        <w:tc>
          <w:tcPr>
            <w:tcW w:w="188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r>
      <w:tr>
        <w:trPr>
          <w:trHeight w:val="20"/>
        </w:trPr>
        <w:tc>
          <w:tcPr>
            <w:tcW w:w="3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534"/>
        </w:trPr>
        <w:tc>
          <w:tcPr>
            <w:tcW w:w="3940" w:type="dxa"/>
            <w:vAlign w:val="bottom"/>
          </w:tcPr>
          <w:p>
            <w:pPr>
              <w:spacing w:after="0"/>
              <w:rPr>
                <w:sz w:val="24"/>
                <w:szCs w:val="24"/>
                <w:color w:val="auto"/>
              </w:rPr>
            </w:pPr>
          </w:p>
        </w:tc>
        <w:tc>
          <w:tcPr>
            <w:tcW w:w="3800" w:type="dxa"/>
            <w:vAlign w:val="bottom"/>
            <w:gridSpan w:val="3"/>
          </w:tcPr>
          <w:p>
            <w:pPr>
              <w:ind w:left="1600"/>
              <w:spacing w:after="0"/>
              <w:rPr>
                <w:sz w:val="20"/>
                <w:szCs w:val="20"/>
                <w:color w:val="auto"/>
              </w:rPr>
            </w:pPr>
            <w:r>
              <w:rPr>
                <w:rFonts w:ascii="Arial" w:cs="Arial" w:eastAsia="Arial" w:hAnsi="Arial"/>
                <w:sz w:val="18"/>
                <w:szCs w:val="18"/>
                <w:color w:val="auto"/>
              </w:rPr>
              <w:t>F-52</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i w:val="1"/>
          <w:iCs w:val="1"/>
          <w:color w:val="auto"/>
        </w:rPr>
        <w:t>Hercules asbestos-related liability</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2019, it was determined that the liability for Hercules asbestos-related claims should be decreased by $10 million. Total reserves for asbestos claims were $252 million at September 30, 2019 compared to $282 million at September 30, 2018.</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progression of activity in the asbestos reserve is presented in the following table.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2280" w:type="dxa"/>
            <w:vAlign w:val="bottom"/>
            <w:gridSpan w:val="2"/>
            <w:shd w:val="clear" w:color="auto" w:fill="CFF0FC"/>
          </w:tcPr>
          <w:p>
            <w:pPr>
              <w:jc w:val="right"/>
              <w:ind w:right="5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321</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Reserve adjustments</w:t>
            </w: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16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 xml:space="preserve">Asbestos reserve - end of year </w:t>
            </w:r>
            <w:r>
              <w:rPr>
                <w:rFonts w:ascii="Arial" w:cs="Arial" w:eastAsia="Arial" w:hAnsi="Arial"/>
                <w:sz w:val="14"/>
                <w:szCs w:val="14"/>
                <w:color w:val="auto"/>
              </w:rPr>
              <w:t>(a)</w:t>
            </w:r>
          </w:p>
        </w:tc>
        <w:tc>
          <w:tcPr>
            <w:tcW w:w="1600" w:type="dxa"/>
            <w:vAlign w:val="bottom"/>
          </w:tcPr>
          <w:p>
            <w:pPr>
              <w:spacing w:after="0"/>
              <w:rPr>
                <w:sz w:val="19"/>
                <w:szCs w:val="19"/>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w:t>
            </w:r>
          </w:p>
        </w:tc>
      </w:tr>
      <w:tr>
        <w:trPr>
          <w:trHeight w:val="20"/>
        </w:trPr>
        <w:tc>
          <w:tcPr>
            <w:tcW w:w="4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Included $21 million and $20 million classified in accrued expenses and other liabilities on the Consolidated Balance Sheets as of September 30,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asbestos-related receivables</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8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 of September 30, 2019 and 2018, the receivables from insurers amounted to $49 million and $54 million, respectively. During 2019, the annual update of the model used for purposes of valuing the asbestos reserve and its impact on valuation of future recoveries from insurers was completed. This model update resulted in a $5 million decrease in the receivable for probable insurance recoveries.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progression of activity in the Hercules insurance receivable is presented in the following table.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2140" w:type="dxa"/>
            <w:vAlign w:val="bottom"/>
            <w:gridSpan w:val="2"/>
            <w:shd w:val="clear" w:color="auto" w:fill="CFF0FC"/>
          </w:tcPr>
          <w:p>
            <w:pPr>
              <w:jc w:val="right"/>
              <w:ind w:right="5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Receivable adjustment</w:t>
            </w:r>
          </w:p>
        </w:tc>
        <w:tc>
          <w:tcPr>
            <w:tcW w:w="146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23"/>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Insurance receivable - end of year</w:t>
            </w:r>
          </w:p>
        </w:tc>
        <w:tc>
          <w:tcPr>
            <w:tcW w:w="14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r>
      <w:tr>
        <w:trPr>
          <w:trHeight w:val="20"/>
        </w:trPr>
        <w:tc>
          <w:tcPr>
            <w:tcW w:w="4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litigation cost projection</w:t>
      </w:r>
    </w:p>
    <w:p>
      <w:pPr>
        <w:spacing w:after="0" w:line="117"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7"/>
          <w:szCs w:val="17"/>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1" w:name="page132"/>
    <w:bookmarkEnd w:id="131"/>
    <w:p>
      <w:pPr>
        <w:jc w:val="both"/>
        <w:spacing w:after="0" w:line="276" w:lineRule="auto"/>
        <w:rPr>
          <w:sz w:val="20"/>
          <w:szCs w:val="20"/>
          <w:color w:val="auto"/>
        </w:rPr>
      </w:pPr>
      <w:r>
        <w:rPr>
          <w:rFonts w:ascii="Arial" w:cs="Arial" w:eastAsia="Arial" w:hAnsi="Arial"/>
          <w:sz w:val="17"/>
          <w:szCs w:val="17"/>
          <w:color w:val="auto"/>
        </w:rPr>
        <w:t>could range as high as approximately $550 million for the Ashland asbestos-related litigation (current reserve of $352 million) and approximately $390 million for the Hercules asbestos-related litigation (current reserve of $252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and asset retirement obligations</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 is subject to various federal, state and local environmental laws and regulations that require environmental assessment or remediation efforts (collectively environmental remediation) at multiple locations. At September 30, 2019, such locations included 80 waste treatment or disposal sites where Ashland has been identified as a potentially responsible party under Superfund or similar state laws, 113 current and former operating facilities and about 1,225 service station properties, of which 29 are being actively remediated.</w:t>
      </w:r>
    </w:p>
    <w:p>
      <w:pPr>
        <w:spacing w:after="0" w:line="7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Ashland’s reserves for environmental remediation and related environmental litigation amounted to $186 million at September 30, 2019 compared to $187 million at September 30, 2018, of which $143 million at September 30, 2019 and $147 million at September 30, 2018 were classified in other noncurrent liabilities on the Consolidated Balance Sheets. The remaining reserves were classified in accrued expenses and other liabilities on the Consolidated Balance Sheets.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a reconciliation of the changes in the environmental remediation reserves during 2019 and 2018.</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8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Environmental remediation reserve - beginning of year</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8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Disbursements</w:t>
            </w: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Revised obligation estimates and accretion</w:t>
            </w:r>
          </w:p>
        </w:tc>
        <w:tc>
          <w:tcPr>
            <w:tcW w:w="8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Environmental remediation reserve - end of year</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w:t>
            </w:r>
          </w:p>
        </w:tc>
      </w:tr>
      <w:tr>
        <w:trPr>
          <w:trHeight w:val="20"/>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September 30, 2019 and 2018, Ashland’s recorded receivable for these probable insurance recoveries was $13 million and $12 million, respectively, of which $12 million and $11 million, respectively, were classified in other noncurrent assets in the Consolidated Balance Sheets.</w:t>
      </w:r>
    </w:p>
    <w:p>
      <w:pPr>
        <w:spacing w:after="0" w:line="7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During 2019, Ashland recognized $30 million of expense for certain environmental liabilities related to normal ongoing remediation cost estimate updates for sites, which is consistent with Ashland’s historical environmental accounting policy.</w:t>
      </w:r>
    </w:p>
    <w:p>
      <w:pPr>
        <w:spacing w:after="0" w:line="62"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During 2018, Ashland recognized $60 million of expense for certain environmental liabilities. Of that amount, $18 million related to one site where, after significant research and analysis as part of Ashland’s normal process and protocol for these matters, the estimated cost for the ongoing remediation was finalized. As such, Ashland recorded the expense for this remediation project during 2018 since a reasonable estimate that is in accordance with U.S. GAAP provisions could be determined. The remaining charges in 2018 related to normal ongoing remediation cost estimate updates for sites, which is consistent with Ashland’s historical environmental accounting policy.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2" w:name="page133"/>
    <w:bookmarkEnd w:id="132"/>
    <w:p>
      <w:pPr>
        <w:ind w:firstLine="401"/>
        <w:spacing w:after="0" w:line="308" w:lineRule="auto"/>
        <w:rPr>
          <w:sz w:val="20"/>
          <w:szCs w:val="20"/>
          <w:color w:val="auto"/>
        </w:rPr>
      </w:pPr>
      <w:r>
        <w:rPr>
          <w:rFonts w:ascii="Arial" w:cs="Arial" w:eastAsia="Arial" w:hAnsi="Arial"/>
          <w:sz w:val="17"/>
          <w:szCs w:val="17"/>
          <w:color w:val="auto"/>
        </w:rPr>
        <w:t>Components of environmental remediation expense included within the selling, general and administrative expense caption of the Statements of Consolidated Comprehensive Income (Loss) are presented in the following table for the years ended September 30, 2019, 2018 and 2017.</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2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Environmental expense</w:t>
            </w:r>
          </w:p>
        </w:tc>
        <w:tc>
          <w:tcPr>
            <w:tcW w:w="1920" w:type="dxa"/>
            <w:vAlign w:val="bottom"/>
            <w:tcBorders>
              <w:top w:val="single" w:sz="8" w:color="auto"/>
            </w:tcBorders>
            <w:gridSpan w:val="2"/>
            <w:shd w:val="clear" w:color="auto" w:fill="CFF0FC"/>
          </w:tcPr>
          <w:p>
            <w:pPr>
              <w:jc w:val="right"/>
              <w:ind w:right="525"/>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Accretion</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Legal expense</w:t>
            </w:r>
          </w:p>
        </w:tc>
        <w:tc>
          <w:tcPr>
            <w:tcW w:w="124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Total expense</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Insurance receivable</w:t>
            </w:r>
          </w:p>
        </w:tc>
        <w:tc>
          <w:tcPr>
            <w:tcW w:w="1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Total expense, net of receivable activity </w:t>
            </w:r>
            <w:r>
              <w:rPr>
                <w:rFonts w:ascii="Arial" w:cs="Arial" w:eastAsia="Arial" w:hAnsi="Arial"/>
                <w:sz w:val="14"/>
                <w:szCs w:val="14"/>
                <w:color w:val="auto"/>
              </w:rPr>
              <w:t>(a)</w:t>
            </w:r>
          </w:p>
        </w:tc>
        <w:tc>
          <w:tcPr>
            <w:tcW w:w="1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300" w:hanging="292"/>
        <w:spacing w:after="0" w:line="238" w:lineRule="auto"/>
        <w:tabs>
          <w:tab w:leader="none" w:pos="3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Net expense of $7 million, $5 million and $3 million for the fiscal years ended September 30, 2019, 2018 and 2017, respectively, related to divested businesses which qualified for treatment as discontinued operations and for which certain environmental liabilities were retained by Ashland. These amounts are classified within the income from discontinued operations caption of the Statements of Consolidated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$440 million. The largest reserve for any site is 14% of the remediation reserve.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legal proceedings and claims</w:t>
      </w:r>
    </w:p>
    <w:p>
      <w:pPr>
        <w:spacing w:after="0" w:line="121"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September 30, 2019 and 2018. There is a reasonable possibility that a loss exceeding amounts already recognized may be incurred related to these actions; however, Ashland believes that such potential losses were immaterial as of September 30, 2019 and 2018.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EQUITY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programs</w:t>
      </w:r>
    </w:p>
    <w:p>
      <w:pPr>
        <w:spacing w:after="0" w:line="121"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During March 2018, Ashland’s Board of Directors approved a new $1 billion stock repurchase program. Under the new program, Ashland’s common shares may be repurchased in open market transactions, privately negotiated transactions or pursuant to one or more accelerated stock repurchase programs or Rule 10b5-1 plans. As of September 30, 2019, $800 million remained available for repurchase under the 2018 stock repurchase program.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agreements</w:t>
      </w:r>
    </w:p>
    <w:p>
      <w:pPr>
        <w:spacing w:after="0" w:line="121"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In May 2019, under the 2018 stock repurchase program, Ashland announced that it entered into an accelerated share repurchase agreement (2019 ASR Agreement). Under the 2019 ASR Agreement, Ashland paid an initial purchase price of $200 million and received an initial delivery of 2.2 million shares of common stock during May 2019. The bank exercised its early termination option under the 2019 ASR Agreement in August 2019, and an additional 400 thousand shares were repurchased, bringing the total shares repurchased upon settlement to 2.6 million. This was the first stock repurchase under the 2018 stock repurchase program.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dividends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Ashland paid dividends per common share of $1.05, $0.95 and $1.23 during 2019, 2018 and 2017,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3" w:name="page134"/>
    <w:bookmarkEnd w:id="133"/>
    <w:p>
      <w:pPr>
        <w:jc w:val="both"/>
        <w:ind w:firstLine="401"/>
        <w:spacing w:after="0" w:line="264" w:lineRule="auto"/>
        <w:rPr>
          <w:sz w:val="20"/>
          <w:szCs w:val="20"/>
          <w:color w:val="auto"/>
        </w:rPr>
      </w:pPr>
      <w:r>
        <w:rPr>
          <w:rFonts w:ascii="Arial" w:cs="Arial" w:eastAsia="Arial" w:hAnsi="Arial"/>
          <w:sz w:val="18"/>
          <w:szCs w:val="18"/>
          <w:color w:val="auto"/>
        </w:rPr>
        <w:t>In May 2019, the Board of Directors of Ashland announced a quarterly cash dividend of 27.5 cents per share to eligible stockholders at record, which represented an increase from the previous quarterly cash dividend of 25.0 cents per share. This dividend was paid in the third and fourth quarters of fiscal 2019.</w:t>
      </w:r>
    </w:p>
    <w:p>
      <w:pPr>
        <w:spacing w:after="0" w:line="7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In May 2018, the Board of Directors of Ashland announced a quarterly cash dividend of 25 cents per share to eligible stockholders at record, which represented an increase from the previous quarterly cash dividend of 22.5 cents per share. This dividend was paid in the third and fourth quarters of fiscal 2018.</w:t>
      </w:r>
    </w:p>
    <w:p>
      <w:pPr>
        <w:spacing w:after="0" w:line="73"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May 2017, subsequent to the final distribution of Valvoline Inc.’s common stock, the Board of Directors announced a quarterly cash dividend of 22.5 cents per share to eligible shareholders at record, which was paid for quarterly dividends in the first and second quarters of fiscal 2018 and the third and fourth quarters of fiscal 2017. This represented a reduction from the previous quarterly dividend of 39 cents per share paid during the first and second quarters of fiscal 2017.</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reserved for issuance</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 September 30, 2019, 14.8 million common shares were reserved for issuance under stock incentive and deferred compensation plans.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 (loss)</w:t>
      </w:r>
    </w:p>
    <w:p>
      <w:pPr>
        <w:spacing w:after="0" w:line="12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Components of other comprehensive income (loss) recorded in the Statements of Consolidated Comprehensive Income (Loss) are presented in the following table, before tax and net of tax effects.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28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Tax</w:t>
            </w:r>
          </w:p>
        </w:tc>
        <w:tc>
          <w:tcPr>
            <w:tcW w:w="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Before</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(expense)</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Net of</w:t>
            </w:r>
          </w:p>
        </w:tc>
        <w:tc>
          <w:tcPr>
            <w:tcW w:w="0" w:type="dxa"/>
            <w:vAlign w:val="bottom"/>
          </w:tcPr>
          <w:p>
            <w:pPr>
              <w:spacing w:after="0"/>
              <w:rPr>
                <w:sz w:val="1"/>
                <w:szCs w:val="1"/>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benefit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Year ended September 30, 2019</w:t>
            </w:r>
          </w:p>
        </w:tc>
        <w:tc>
          <w:tcPr>
            <w:tcW w:w="14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loss</w:t>
            </w:r>
          </w:p>
        </w:tc>
        <w:tc>
          <w:tcPr>
            <w:tcW w:w="19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Pension and postretirement obligation adjustment</w:t>
            </w:r>
          </w:p>
        </w:tc>
        <w:tc>
          <w:tcPr>
            <w:tcW w:w="14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loss</w:t>
            </w:r>
          </w:p>
        </w:tc>
        <w:tc>
          <w:tcPr>
            <w:tcW w:w="14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September 30, 2018</w:t>
            </w:r>
          </w:p>
        </w:tc>
        <w:tc>
          <w:tcPr>
            <w:tcW w:w="1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loss</w:t>
            </w:r>
          </w:p>
        </w:tc>
        <w:tc>
          <w:tcPr>
            <w:tcW w:w="19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Net change in investment securities:</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 xml:space="preserve">Unrealized gain on investment securities </w:t>
            </w:r>
            <w:r>
              <w:rPr>
                <w:rFonts w:ascii="Arial" w:cs="Arial" w:eastAsia="Arial" w:hAnsi="Arial"/>
                <w:sz w:val="14"/>
                <w:szCs w:val="14"/>
                <w:color w:val="auto"/>
              </w:rPr>
              <w:t>(a)</w:t>
            </w:r>
          </w:p>
        </w:tc>
        <w:tc>
          <w:tcPr>
            <w:tcW w:w="1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Reclassification adjustment for gains</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included in net income</w:t>
            </w:r>
          </w:p>
        </w:tc>
        <w:tc>
          <w:tcPr>
            <w:tcW w:w="14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5300" w:type="dxa"/>
            <w:vAlign w:val="bottom"/>
            <w:gridSpan w:val="2"/>
          </w:tcPr>
          <w:p>
            <w:pPr>
              <w:spacing w:after="0"/>
              <w:rPr>
                <w:sz w:val="20"/>
                <w:szCs w:val="20"/>
                <w:color w:val="auto"/>
              </w:rPr>
            </w:pPr>
            <w:r>
              <w:rPr>
                <w:rFonts w:ascii="Arial" w:cs="Arial" w:eastAsia="Arial" w:hAnsi="Arial"/>
                <w:sz w:val="18"/>
                <w:szCs w:val="18"/>
                <w:color w:val="auto"/>
              </w:rPr>
              <w:t>Total other comprehensive loss</w:t>
            </w:r>
          </w:p>
        </w:tc>
        <w:tc>
          <w:tcPr>
            <w:tcW w:w="148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2"/>
                <w:szCs w:val="22"/>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Year ended September 30, 2017</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1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240"/>
              <w:spacing w:after="0"/>
              <w:rPr>
                <w:sz w:val="20"/>
                <w:szCs w:val="20"/>
                <w:color w:val="auto"/>
              </w:rPr>
            </w:pPr>
            <w:r>
              <w:rPr>
                <w:rFonts w:ascii="Arial" w:cs="Arial" w:eastAsia="Arial" w:hAnsi="Arial"/>
                <w:sz w:val="18"/>
                <w:szCs w:val="18"/>
                <w:color w:val="auto"/>
              </w:rPr>
              <w:t>Unrealized translation loss</w:t>
            </w:r>
          </w:p>
        </w:tc>
        <w:tc>
          <w:tcPr>
            <w:tcW w:w="19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unrecognized prior service</w:t>
            </w:r>
          </w:p>
        </w:tc>
        <w:tc>
          <w:tcPr>
            <w:tcW w:w="1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credits included in net income</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investment securities:</w:t>
            </w:r>
          </w:p>
        </w:tc>
        <w:tc>
          <w:tcPr>
            <w:tcW w:w="1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 xml:space="preserve">Unrealized gain on investment securities </w:t>
            </w:r>
            <w:r>
              <w:rPr>
                <w:rFonts w:ascii="Arial" w:cs="Arial" w:eastAsia="Arial" w:hAnsi="Arial"/>
                <w:sz w:val="14"/>
                <w:szCs w:val="14"/>
                <w:color w:val="auto"/>
              </w:rPr>
              <w:t>(a)</w:t>
            </w: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Reclassification adjustment for gains</w:t>
            </w:r>
          </w:p>
        </w:tc>
        <w:tc>
          <w:tcPr>
            <w:tcW w:w="1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included in net income</w:t>
            </w:r>
          </w:p>
        </w:tc>
        <w:tc>
          <w:tcPr>
            <w:tcW w:w="14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w:t>
            </w:r>
          </w:p>
        </w:tc>
        <w:tc>
          <w:tcPr>
            <w:tcW w:w="14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00" w:hanging="292"/>
        <w:spacing w:after="0" w:line="253" w:lineRule="auto"/>
        <w:tabs>
          <w:tab w:leader="none" w:pos="3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Due to the adoption of new accounting guidance in fiscal 2019, unrealized gains and losses on Ashland’s equity securities are now recognized in net income rather than other comprehensive income. See Notes A and G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Summary of Stockholders’ Equity</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reconciliation of changes in stockholders’ equity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Common stock and paid in capital</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6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947</w:t>
            </w:r>
          </w:p>
        </w:tc>
        <w:tc>
          <w:tcPr>
            <w:tcW w:w="6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932</w:t>
            </w:r>
          </w:p>
        </w:tc>
        <w:tc>
          <w:tcPr>
            <w:tcW w:w="66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924</w:t>
            </w: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shares issued under stock incentive and other plans </w:t>
            </w:r>
            <w:r>
              <w:rPr>
                <w:rFonts w:ascii="Arial" w:cs="Arial" w:eastAsia="Arial" w:hAnsi="Arial"/>
                <w:sz w:val="14"/>
                <w:szCs w:val="14"/>
                <w:color w:val="auto"/>
              </w:rPr>
              <w:t>(a)</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r>
      <w:tr>
        <w:trPr>
          <w:trHeight w:val="23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Common shares purchased under repurchase program </w:t>
            </w:r>
            <w:r>
              <w:rPr>
                <w:rFonts w:ascii="Arial" w:cs="Arial" w:eastAsia="Arial" w:hAnsi="Arial"/>
                <w:sz w:val="14"/>
                <w:szCs w:val="14"/>
                <w:color w:val="auto"/>
              </w:rPr>
              <w:t>(b)</w:t>
            </w:r>
          </w:p>
        </w:tc>
        <w:tc>
          <w:tcPr>
            <w:tcW w:w="10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Balance, end of period</w:t>
            </w:r>
          </w:p>
        </w:tc>
        <w:tc>
          <w:tcPr>
            <w:tcW w:w="10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947</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932</w:t>
            </w: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2,750</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2,696</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2,704</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 xml:space="preserve">Adoption of new accounting pronouncements </w:t>
            </w:r>
            <w:r>
              <w:rPr>
                <w:rFonts w:ascii="Arial" w:cs="Arial" w:eastAsia="Arial" w:hAnsi="Arial"/>
                <w:sz w:val="14"/>
                <w:szCs w:val="14"/>
                <w:color w:val="auto"/>
              </w:rPr>
              <w:t>(c)</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Regular dividends</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Distribution of Valvoline Inc. </w:t>
            </w:r>
            <w:r>
              <w:rPr>
                <w:rFonts w:ascii="Arial" w:cs="Arial" w:eastAsia="Arial" w:hAnsi="Arial"/>
                <w:sz w:val="14"/>
                <w:szCs w:val="14"/>
                <w:color w:val="auto"/>
              </w:rPr>
              <w:t>(d)</w:t>
            </w:r>
          </w:p>
        </w:tc>
        <w:tc>
          <w:tcPr>
            <w:tcW w:w="10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r>
      <w:tr>
        <w:trPr>
          <w:trHeight w:val="223"/>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Balance, end of period</w:t>
            </w:r>
          </w:p>
        </w:tc>
        <w:tc>
          <w:tcPr>
            <w:tcW w:w="10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3,224</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2,750</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2,696</w:t>
            </w: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Adoption of new accounting pronouncements </w:t>
            </w:r>
            <w:r>
              <w:rPr>
                <w:rFonts w:ascii="Arial" w:cs="Arial" w:eastAsia="Arial" w:hAnsi="Arial"/>
                <w:sz w:val="14"/>
                <w:szCs w:val="14"/>
                <w:color w:val="auto"/>
              </w:rPr>
              <w:t>(c)</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Unrealized translation gain (loss)</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81</w:t>
            </w: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Distribution of Valvoline Inc. </w:t>
            </w:r>
            <w:r>
              <w:rPr>
                <w:rFonts w:ascii="Arial" w:cs="Arial" w:eastAsia="Arial" w:hAnsi="Arial"/>
                <w:sz w:val="14"/>
                <w:szCs w:val="14"/>
                <w:color w:val="auto"/>
              </w:rPr>
              <w:t>(d)</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Net change in investment securities</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Pension and postretirement obligation adjustment</w:t>
            </w:r>
          </w:p>
        </w:tc>
        <w:tc>
          <w:tcPr>
            <w:tcW w:w="10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Balance, end of period</w:t>
            </w:r>
          </w:p>
        </w:tc>
        <w:tc>
          <w:tcPr>
            <w:tcW w:w="10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Noncontrolling interest</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 xml:space="preserve">Distribution of Valvoline Inc. </w:t>
            </w:r>
            <w:r>
              <w:rPr>
                <w:rFonts w:ascii="Arial" w:cs="Arial" w:eastAsia="Arial" w:hAnsi="Arial"/>
                <w:sz w:val="14"/>
                <w:szCs w:val="14"/>
                <w:color w:val="auto"/>
              </w:rPr>
              <w:t>(d)</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152</w:t>
            </w: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Distributions to noncontrolling interest</w:t>
            </w:r>
          </w:p>
        </w:tc>
        <w:tc>
          <w:tcPr>
            <w:tcW w:w="10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Balance, end of period</w:t>
            </w:r>
          </w:p>
        </w:tc>
        <w:tc>
          <w:tcPr>
            <w:tcW w:w="10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08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3,571</w:t>
            </w: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3,406</w:t>
            </w:r>
          </w:p>
        </w:tc>
        <w:tc>
          <w:tcPr>
            <w:tcW w:w="16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3,406</w:t>
            </w:r>
          </w:p>
        </w:tc>
      </w:t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declared per common share</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0.95</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r>
    </w:tbl>
    <w:p>
      <w:pPr>
        <w:spacing w:after="0" w:line="129"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Common shares issued were 336,188, 360,468 and 42,861 for 2019, 2018 and 2017, respectively.</w:t>
      </w:r>
    </w:p>
    <w:p>
      <w:pPr>
        <w:ind w:left="300" w:hanging="292"/>
        <w:spacing w:after="0" w:line="221" w:lineRule="auto"/>
        <w:tabs>
          <w:tab w:leader="none" w:pos="3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Common shares repurchased were 2,637,054 for 2019.</w:t>
      </w:r>
    </w:p>
    <w:p>
      <w:pPr>
        <w:ind w:left="300" w:hanging="292"/>
        <w:spacing w:after="0" w:line="221" w:lineRule="auto"/>
        <w:tabs>
          <w:tab w:leader="none" w:pos="3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cumulative-effect adjustment related to the adoption of the new guidance related to the accounting for equity securities and tax effects of intercompany transfers during fiscal 2019. See Note A for more information.</w:t>
      </w:r>
    </w:p>
    <w:p>
      <w:pPr>
        <w:ind w:left="300" w:hanging="292"/>
        <w:spacing w:after="0"/>
        <w:tabs>
          <w:tab w:leader="none" w:pos="3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See Note B for discussion of the noncontrolling interest and the initial public offering and distribution of Valvoline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NOTE Q – STOCK INCENTIVE PLANS</w:t>
      </w:r>
    </w:p>
    <w:p>
      <w:pPr>
        <w:spacing w:after="0" w:line="121"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Ashland has stock incentive plans under which key employees or directors are granted stock appreciation rights (SARs), performance share awards or nonvested stock awards. Each program is typically a long-term incentive plan designed to link employee compensation with increased shareholder value or reward superior performance and encourage continued employment with Ashland. Ashland recognizes compensation expense for the grant date fair value of stock-based awards over the applicable vesting period and accounts for forfeitures when they occur across all stock-based awards.</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Ashland’s pretax stock-based awards (net of forfeitures) and associated income tax benefits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23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760" w:type="dxa"/>
            <w:vAlign w:val="bottom"/>
            <w:tcBorders>
              <w:top w:val="single" w:sz="8" w:color="auto"/>
            </w:tcBorders>
            <w:gridSpan w:val="3"/>
          </w:tcPr>
          <w:p>
            <w:pPr>
              <w:jc w:val="right"/>
              <w:ind w:right="465"/>
              <w:spacing w:after="0"/>
              <w:rPr>
                <w:sz w:val="20"/>
                <w:szCs w:val="20"/>
                <w:color w:val="auto"/>
              </w:rPr>
            </w:pPr>
            <w:r>
              <w:rPr>
                <w:rFonts w:ascii="Arial" w:cs="Arial" w:eastAsia="Arial" w:hAnsi="Arial"/>
                <w:sz w:val="14"/>
                <w:szCs w:val="14"/>
                <w:color w:val="auto"/>
              </w:rPr>
              <w:t>(a)</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760" w:type="dxa"/>
            <w:vAlign w:val="bottom"/>
            <w:tcBorders>
              <w:top w:val="single" w:sz="8" w:color="auto"/>
            </w:tcBorders>
            <w:gridSpan w:val="3"/>
          </w:tcPr>
          <w:p>
            <w:pPr>
              <w:jc w:val="right"/>
              <w:ind w:right="450"/>
              <w:spacing w:after="0"/>
              <w:rPr>
                <w:sz w:val="20"/>
                <w:szCs w:val="20"/>
                <w:color w:val="auto"/>
              </w:rPr>
            </w:pPr>
            <w:r>
              <w:rPr>
                <w:rFonts w:ascii="Arial" w:cs="Arial" w:eastAsia="Arial" w:hAnsi="Arial"/>
                <w:sz w:val="14"/>
                <w:szCs w:val="14"/>
                <w:color w:val="auto"/>
              </w:rPr>
              <w:t>(b)</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SARs</w:t>
            </w:r>
          </w:p>
        </w:tc>
        <w:tc>
          <w:tcPr>
            <w:tcW w:w="2880" w:type="dxa"/>
            <w:vAlign w:val="bottom"/>
            <w:tcBorders>
              <w:top w:val="single" w:sz="8" w:color="auto"/>
            </w:tcBorders>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760" w:type="dxa"/>
            <w:vAlign w:val="bottom"/>
            <w:tcBorders>
              <w:top w:val="single" w:sz="8" w:color="auto"/>
            </w:tcBorders>
            <w:gridSpan w:val="3"/>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760" w:type="dxa"/>
            <w:vAlign w:val="bottom"/>
            <w:tcBorders>
              <w:top w:val="single" w:sz="8" w:color="auto"/>
            </w:tcBorders>
            <w:gridSpan w:val="3"/>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Nonvested stock awards</w:t>
            </w:r>
          </w:p>
        </w:tc>
        <w:tc>
          <w:tcPr>
            <w:tcW w:w="2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Performance share awards</w:t>
            </w:r>
          </w:p>
        </w:tc>
        <w:tc>
          <w:tcPr>
            <w:tcW w:w="23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40" w:type="dxa"/>
            <w:vAlign w:val="bottom"/>
            <w:tcBorders>
              <w:bottom w:val="single" w:sz="8" w:color="CFF0FC"/>
            </w:tcBorders>
          </w:tcPr>
          <w:p>
            <w:pPr>
              <w:spacing w:after="0"/>
              <w:rPr>
                <w:sz w:val="22"/>
                <w:szCs w:val="22"/>
                <w:color w:val="auto"/>
              </w:rPr>
            </w:pPr>
          </w:p>
        </w:tc>
        <w:tc>
          <w:tcPr>
            <w:tcW w:w="23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shd w:val="clear" w:color="auto" w:fill="CFF0FC"/>
          </w:tcPr>
          <w:p>
            <w:pPr>
              <w:spacing w:after="0"/>
              <w:rPr>
                <w:sz w:val="18"/>
                <w:szCs w:val="18"/>
                <w:color w:val="auto"/>
              </w:rPr>
            </w:pPr>
          </w:p>
        </w:tc>
        <w:tc>
          <w:tcPr>
            <w:tcW w:w="2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Income tax benefit</w:t>
            </w:r>
          </w:p>
        </w:tc>
        <w:tc>
          <w:tcPr>
            <w:tcW w:w="28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760" w:type="dxa"/>
            <w:vAlign w:val="bottom"/>
            <w:gridSpan w:val="3"/>
          </w:tcPr>
          <w:p>
            <w:pPr>
              <w:jc w:val="right"/>
              <w:ind w:right="3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76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00" w:hanging="292"/>
        <w:spacing w:after="0"/>
        <w:tabs>
          <w:tab w:leader="none" w:pos="3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year ended September 30, 2019 included $5 million and zero of expense related to cash-settled nonvested restricted stock awards and cash-settled performance units, respectively.</w:t>
      </w:r>
    </w:p>
    <w:p>
      <w:pPr>
        <w:spacing w:after="0" w:line="11" w:lineRule="exact"/>
        <w:rPr>
          <w:rFonts w:ascii="Arial" w:cs="Arial" w:eastAsia="Arial" w:hAnsi="Arial"/>
          <w:sz w:val="13"/>
          <w:szCs w:val="13"/>
          <w:color w:val="auto"/>
        </w:rPr>
      </w:pPr>
    </w:p>
    <w:p>
      <w:pPr>
        <w:ind w:left="300" w:hanging="292"/>
        <w:spacing w:after="0"/>
        <w:tabs>
          <w:tab w:leader="none" w:pos="3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year ended September 30, 2018 included $9 million and $8 million of expense related to cash-settled nonvested restricted stock awards and cash-settled performance units, respectively.</w:t>
      </w:r>
    </w:p>
    <w:p>
      <w:pPr>
        <w:ind w:left="300" w:hanging="292"/>
        <w:spacing w:after="0"/>
        <w:tabs>
          <w:tab w:leader="none" w:pos="3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year ended September 30, 2017 included $5 million and $3 million of expense related to cash-settled nonvested restricted stock awards and cash-settled performance units,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Equity Awards Outstanding from Valvoline Distribution</w:t>
      </w:r>
    </w:p>
    <w:p>
      <w:pPr>
        <w:spacing w:after="0" w:line="117"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On May 12, 2017, the date of the final distribution of Valvoline common stock, certain of Ashland's outstanding equity awards held by Valvoline Inc. employees were converted to equivalent equity awards, as applicable, with respect to Valvoline Inc.’s common stock. These modified awards otherwise retained substantially the same terms and conditions, including term and vesting provisions, as the existing Ashland equity awards had at the time of conversion. Ashland transferred all Valvoline awards and will not incur any future compensation cost related to the conversion of Ashland equity awards held by Valvoline Inc. employees and directors in connection with the final Valvoline Inc. distribution.</w:t>
      </w:r>
    </w:p>
    <w:p>
      <w:pPr>
        <w:spacing w:after="0" w:line="80"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color w:val="auto"/>
        </w:rPr>
        <w:t>Additionally, in connection with this transaction, Ashland proportionately adjusted the number and exercise prices of SARs, nonvested stock awards and performance awards granted to Ashland employees and directors that were outstanding at the time of this transaction to maintain the approximate aggregate intrinsic value of such awards. To calculate the exchange ratio for all outstanding stock based compensation awards, Ashland utilized a 10-day volume weighted average stock price (VWAP), using the 10 consecutive trading days following the distribution. The ratio used to adjust these awards differs slightly from the exchange ratio that would have resulted had the ratio been calculated based on Ashland's stock price immediately following the transaction.</w:t>
      </w:r>
    </w:p>
    <w:p>
      <w:pPr>
        <w:spacing w:after="0" w:line="50"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On the date of the final distribution, and in accordance with U.S. GAAP, Ashland reassessed all outstanding equity awards to determine if additional compensation expense had been incurred due to the transaction causing a modification to the outstanding equity awards. The additional stock compensation expense as a result of this modification and assessment performed during 2017 for all outstanding equity awards was not significant.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Stock Appreciation Rights</w:t>
      </w:r>
    </w:p>
    <w:p>
      <w:pPr>
        <w:spacing w:after="0" w:line="121"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SARs are granted to employees or directors at a price equal to the fair market value of the stock on the date of grant and typically become exercisable over periods of one to three years. Unexercised SARs lapse ten years after the date of grant. Ashland estimates the fair value of SARs granted using the Black-Scholes option-pricing model. This model requires several assumptions, which Ashland has developed and updates based on historical trends and current market observations. The accuracy of these assumptions is critical to the estimate of fair value for these equity instruments. The following table illustrates the weighted-average of key assumptions used within the Black-Scholes option-pricing model. The risk-free interest rate assumption was based on the U.S. Treasury yield curve in effect at the time of the grant for the expected term of the instrument. The dividend yield reflects the assumption that the current dividend payout will continue with no anticipated increases. The volatility assumption was calculated by utilizing peer companies because historical volatility was not considered reflective of future volatility as a result of the Valvoline IPO discussed in Note B. The expected life is based on the mid-point of the weighted average time to vest and contractual term.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 except per share data)</w:t>
            </w:r>
          </w:p>
        </w:tc>
        <w:tc>
          <w:tcPr>
            <w:tcW w:w="17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6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5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Weighted-average fair value per share of SARs granted </w:t>
            </w:r>
            <w:r>
              <w:rPr>
                <w:rFonts w:ascii="Arial" w:cs="Arial" w:eastAsia="Arial" w:hAnsi="Arial"/>
                <w:sz w:val="14"/>
                <w:szCs w:val="14"/>
                <w:color w:val="auto"/>
              </w:rPr>
              <w:t>(a)</w:t>
            </w:r>
          </w:p>
        </w:tc>
        <w:tc>
          <w:tcPr>
            <w:tcW w:w="17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21.95</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19.62</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21.25</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Assumptions (weighted-average)</w:t>
            </w:r>
          </w:p>
        </w:tc>
        <w:tc>
          <w:tcPr>
            <w:tcW w:w="1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Risk-free interest rate</w:t>
            </w:r>
          </w:p>
        </w:tc>
        <w:tc>
          <w:tcPr>
            <w:tcW w:w="1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6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Expected dividend yield</w:t>
            </w:r>
          </w:p>
        </w:tc>
        <w:tc>
          <w:tcPr>
            <w:tcW w:w="1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Expected volatility</w:t>
            </w:r>
          </w:p>
        </w:tc>
        <w:tc>
          <w:tcPr>
            <w:tcW w:w="1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6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31.8%</w:t>
            </w: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Expected life (in years)</w:t>
            </w:r>
          </w:p>
        </w:tc>
        <w:tc>
          <w:tcPr>
            <w:tcW w:w="172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w:t>
            </w:r>
          </w:p>
        </w:tc>
      </w:tr>
    </w:tbl>
    <w:p>
      <w:pPr>
        <w:spacing w:after="0" w:line="129" w:lineRule="exact"/>
        <w:rPr>
          <w:sz w:val="20"/>
          <w:szCs w:val="20"/>
          <w:color w:val="auto"/>
        </w:rPr>
      </w:pPr>
    </w:p>
    <w:p>
      <w:pPr>
        <w:ind w:left="300" w:hanging="292"/>
        <w:spacing w:after="0" w:line="253" w:lineRule="auto"/>
        <w:tabs>
          <w:tab w:leader="none" w:pos="3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weighted-average fair values per share are as of the grant date and have not been adjusted for the Valvoline separation if the SARs were granted prior to the final distribution on May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progression of activity and various other information relative to SARs and previously issued and vested stock options is presented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6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2019</w:t>
            </w:r>
          </w:p>
        </w:tc>
        <w:tc>
          <w:tcPr>
            <w:tcW w:w="9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9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c>
          <w:tcPr>
            <w:tcW w:w="9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Number</w:t>
            </w: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7"/>
              </w:rPr>
              <w:t>Weighted-</w:t>
            </w:r>
          </w:p>
        </w:tc>
        <w:tc>
          <w:tcPr>
            <w:tcW w:w="1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Number</w:t>
            </w: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7"/>
              </w:rPr>
              <w:t>Weighted-</w:t>
            </w:r>
          </w:p>
        </w:tc>
        <w:tc>
          <w:tcPr>
            <w:tcW w:w="1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Number</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5"/>
              </w:rPr>
              <w:t>Weighted-</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of</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average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of</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average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of</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common</w:t>
            </w:r>
          </w:p>
        </w:tc>
        <w:tc>
          <w:tcPr>
            <w:tcW w:w="1320" w:type="dxa"/>
            <w:vAlign w:val="bottom"/>
            <w:gridSpan w:val="3"/>
          </w:tcPr>
          <w:p>
            <w:pPr>
              <w:ind w:left="100"/>
              <w:spacing w:after="0"/>
              <w:rPr>
                <w:sz w:val="20"/>
                <w:szCs w:val="20"/>
                <w:color w:val="auto"/>
              </w:rPr>
            </w:pPr>
            <w:r>
              <w:rPr>
                <w:rFonts w:ascii="Arial" w:cs="Arial" w:eastAsia="Arial" w:hAnsi="Arial"/>
                <w:sz w:val="18"/>
                <w:szCs w:val="18"/>
                <w:color w:val="auto"/>
              </w:rPr>
              <w:t>exercise price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common</w:t>
            </w:r>
          </w:p>
        </w:tc>
        <w:tc>
          <w:tcPr>
            <w:tcW w:w="1320" w:type="dxa"/>
            <w:vAlign w:val="bottom"/>
            <w:gridSpan w:val="3"/>
          </w:tcPr>
          <w:p>
            <w:pPr>
              <w:ind w:left="100"/>
              <w:spacing w:after="0"/>
              <w:rPr>
                <w:sz w:val="20"/>
                <w:szCs w:val="20"/>
                <w:color w:val="auto"/>
              </w:rPr>
            </w:pPr>
            <w:r>
              <w:rPr>
                <w:rFonts w:ascii="Arial" w:cs="Arial" w:eastAsia="Arial" w:hAnsi="Arial"/>
                <w:sz w:val="18"/>
                <w:szCs w:val="18"/>
                <w:color w:val="auto"/>
              </w:rPr>
              <w:t>exercise price</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common</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w w:val="97"/>
              </w:rPr>
              <w:t>exercise price</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 share data)</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shares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per share</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shares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per share</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shares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Outstanding - beginning of year</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2,263</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53.21</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2,261</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1,511</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83.64</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67.16</w:t>
            </w:r>
          </w:p>
        </w:tc>
        <w:tc>
          <w:tcPr>
            <w:tcW w:w="1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109.15</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46.15</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70.55</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Forfeitures and expirations</w:t>
            </w: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71.38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58.73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Transfer to Valvoline Inc. </w:t>
            </w:r>
            <w:r>
              <w:rPr>
                <w:rFonts w:ascii="Arial" w:cs="Arial" w:eastAsia="Arial" w:hAnsi="Arial"/>
                <w:sz w:val="14"/>
                <w:szCs w:val="14"/>
                <w:color w:val="auto"/>
              </w:rPr>
              <w:t>(a)</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Conversion adjustment </w:t>
            </w:r>
            <w:r>
              <w:rPr>
                <w:rFonts w:ascii="Arial" w:cs="Arial" w:eastAsia="Arial" w:hAnsi="Arial"/>
                <w:sz w:val="14"/>
                <w:szCs w:val="14"/>
                <w:color w:val="auto"/>
              </w:rPr>
              <w:t>(b)</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1,080</w:t>
            </w:r>
          </w:p>
        </w:tc>
        <w:tc>
          <w:tcPr>
            <w:tcW w:w="3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Outstanding - end of year </w:t>
            </w:r>
            <w:r>
              <w:rPr>
                <w:rFonts w:ascii="Arial" w:cs="Arial" w:eastAsia="Arial" w:hAnsi="Arial"/>
                <w:sz w:val="14"/>
                <w:szCs w:val="14"/>
                <w:color w:val="auto"/>
              </w:rPr>
              <w:t>(c)</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2,102</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57.94</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2,263</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53.21</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2,261</w:t>
            </w:r>
          </w:p>
        </w:tc>
        <w:tc>
          <w:tcPr>
            <w:tcW w:w="3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Exercisable - end of year</w:t>
            </w: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53.04</w:t>
            </w: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line="20" w:lineRule="exact"/>
              <w:rPr>
                <w:sz w:val="1"/>
                <w:szCs w:val="1"/>
                <w:color w:val="auto"/>
              </w:rPr>
            </w:pPr>
          </w:p>
        </w:tc>
      </w:tr>
      <w:tr>
        <w:trPr>
          <w:trHeight w:val="211"/>
        </w:trPr>
        <w:tc>
          <w:tcPr>
            <w:tcW w:w="4560" w:type="dxa"/>
            <w:vAlign w:val="bottom"/>
            <w:vMerge w:val="continue"/>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1,579</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1,472</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1,456</w:t>
            </w: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the transfer of SARs held by Valvoline Inc. employees at the time of the final Valvoline Inc. distribution in 2017.</w:t>
      </w:r>
    </w:p>
    <w:p>
      <w:pPr>
        <w:ind w:left="300" w:hanging="292"/>
        <w:spacing w:after="0" w:line="221" w:lineRule="auto"/>
        <w:tabs>
          <w:tab w:leader="none" w:pos="3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number and exercise prices of SARs outstanding at the time of the final Valvoline Inc. distribution in 2017 were proportionately adjusted to maintain the aggregate intrinsic value before and after the transaction.</w:t>
      </w:r>
    </w:p>
    <w:p>
      <w:pPr>
        <w:jc w:val="both"/>
        <w:ind w:left="300" w:hanging="292"/>
        <w:spacing w:after="0" w:line="232" w:lineRule="auto"/>
        <w:tabs>
          <w:tab w:leader="none" w:pos="3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Exercise prices per share for SARs outstanding at September 30, 2019 ranged from $20.02 to $29.5 for 172 thousand shares, from $37.37 to $47.63 for 350 thousand shares, from $57.96 to $59.95 for 871 thousand shares, and from $62.33 to $82.34 for 709 thousand shares. The weighted-average remaining contractual life of outstanding SARs and stock options was 6.2 years and exercisable SARs and stock options was 5.4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total intrinsic value of SARs exercised was $12 million in 2019, $15 million in 2018 and $14 million in 2017. The actual tax benefit realized from the exercised SARs was $3 million in 2019, $5 million in 2018 and $2 million in 2017. The total grant date fair value of SARs that vested during 2019, 2018 and 2017 was $8 million, $4 million and $8 million, respectively. As of September 30, 2019, there was $6 million of total unrecognized compensation costs related to SARs. That cost is expected to be recognized over a weighted-average period of 1.6 years. As of September 30, 2019, the aggregate intrinsic value of outstanding SARs was $42 million and exercisable SARs was $38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Nonvested stock awards</w:t>
      </w:r>
    </w:p>
    <w:p>
      <w:pPr>
        <w:spacing w:after="0" w:line="121" w:lineRule="exact"/>
        <w:rPr>
          <w:sz w:val="20"/>
          <w:szCs w:val="20"/>
          <w:color w:val="auto"/>
        </w:rPr>
      </w:pPr>
    </w:p>
    <w:p>
      <w:pPr>
        <w:jc w:val="both"/>
        <w:ind w:firstLine="401"/>
        <w:spacing w:after="0" w:line="297" w:lineRule="auto"/>
        <w:rPr>
          <w:sz w:val="20"/>
          <w:szCs w:val="20"/>
          <w:color w:val="auto"/>
        </w:rPr>
      </w:pPr>
      <w:r>
        <w:rPr>
          <w:rFonts w:ascii="Arial" w:cs="Arial" w:eastAsia="Arial" w:hAnsi="Arial"/>
          <w:sz w:val="16"/>
          <w:szCs w:val="16"/>
          <w:color w:val="auto"/>
        </w:rPr>
        <w:t>Nonvested stock awards are granted to employees or directors at a price equal to the fair market value of the stock on the date of grant and generally vest over a one-to-five-year period. However, such shares or units are subject to forfeiture upon termination of service before the vesting period ends. Beginning in 2016, these awards were primarily granted as stock units that will convert to shares upon vesting, while the grants in prior years were generally made in nonvested shares. Only nonvested stock awards granted in the form of shares entitle employees or directors to vote the shares. Dividends on nonvested stock awards granted are in the form of additional units or shares of nonvested stock awards, which are subject to vesting and forfeiture provisions.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progression of activity and various other information relative to nonvested stock awards is presented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2019</w:t>
            </w:r>
          </w:p>
        </w:tc>
        <w:tc>
          <w:tcPr>
            <w:tcW w:w="8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c>
          <w:tcPr>
            <w:tcW w:w="900" w:type="dxa"/>
            <w:vAlign w:val="bottom"/>
            <w:tcBorders>
              <w:top w:val="single" w:sz="8" w:color="auto"/>
              <w:bottom w:val="single" w:sz="8" w:color="auto"/>
            </w:tcBorders>
          </w:tcPr>
          <w:p>
            <w:pPr>
              <w:spacing w:after="0"/>
              <w:rPr>
                <w:sz w:val="21"/>
                <w:szCs w:val="21"/>
                <w:color w:val="auto"/>
              </w:rPr>
            </w:pPr>
          </w:p>
        </w:tc>
      </w:tr>
      <w:tr>
        <w:trPr>
          <w:trHeight w:val="222"/>
        </w:trPr>
        <w:tc>
          <w:tcPr>
            <w:tcW w:w="47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Number</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Number</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Number</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2"/>
              </w:rPr>
              <w:t>Weighted-</w:t>
            </w:r>
          </w:p>
        </w:tc>
      </w:tr>
      <w:tr>
        <w:trPr>
          <w:trHeight w:val="230"/>
        </w:trPr>
        <w:tc>
          <w:tcPr>
            <w:tcW w:w="47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of</w:t>
            </w:r>
          </w:p>
        </w:tc>
        <w:tc>
          <w:tcPr>
            <w:tcW w:w="2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average</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of</w:t>
            </w: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average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of</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average</w:t>
            </w:r>
          </w:p>
        </w:tc>
      </w:tr>
      <w:tr>
        <w:trPr>
          <w:trHeight w:val="230"/>
        </w:trPr>
        <w:tc>
          <w:tcPr>
            <w:tcW w:w="47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common</w:t>
            </w:r>
          </w:p>
        </w:tc>
        <w:tc>
          <w:tcPr>
            <w:tcW w:w="2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grant date</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common</w:t>
            </w: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grant date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common</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3"/>
              </w:rPr>
              <w:t>grant date</w:t>
            </w: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 share data)</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shares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fair value</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fair value</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shares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fair value</w:t>
            </w: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Nonvested - beginning of year</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66.98</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109.12</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81.31</w:t>
            </w:r>
          </w:p>
        </w:tc>
        <w:tc>
          <w:tcPr>
            <w:tcW w:w="1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71.36</w:t>
            </w: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105.10</w:t>
            </w: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66.24</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99.69</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Forfeitures</w:t>
            </w: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73.63</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104.19</w:t>
            </w: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Transfer to Valvoline Inc. </w:t>
            </w:r>
            <w:r>
              <w:rPr>
                <w:rFonts w:ascii="Arial" w:cs="Arial" w:eastAsia="Arial" w:hAnsi="Arial"/>
                <w:sz w:val="14"/>
                <w:szCs w:val="14"/>
                <w:color w:val="auto"/>
              </w:rPr>
              <w:t>(a)</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111.97</w:t>
            </w: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Conversion adjustment </w:t>
            </w:r>
            <w:r>
              <w:rPr>
                <w:rFonts w:ascii="Arial" w:cs="Arial" w:eastAsia="Arial" w:hAnsi="Arial"/>
                <w:sz w:val="14"/>
                <w:szCs w:val="14"/>
                <w:color w:val="auto"/>
              </w:rPr>
              <w:t>(b)</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 end of year</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215</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73.26</w:t>
            </w: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291</w:t>
            </w: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66.98</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219</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59.16</w:t>
            </w:r>
          </w:p>
        </w:tc>
      </w:tr>
      <w:tr>
        <w:trPr>
          <w:trHeight w:val="20"/>
        </w:trPr>
        <w:tc>
          <w:tcPr>
            <w:tcW w:w="4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transfer of nonvested stock awards held by Valvoline Inc. employees at the time of the final Valvoline Inc. distribution in 2017.</w:t>
      </w:r>
    </w:p>
    <w:p>
      <w:pPr>
        <w:ind w:left="300" w:right="20" w:hanging="292"/>
        <w:spacing w:after="0" w:line="237" w:lineRule="auto"/>
        <w:tabs>
          <w:tab w:leader="none" w:pos="3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number and exercise prices of nonvested stock awards outstanding at the time of the final Valvoline Inc. distribution in 2017 were proportionately adjusted to maintain the aggregate intrinsic value before and after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total fair value of nonvested stock awards that vested during 2019, 2018 and 2017 was $10 million, $6 million and $19 million, respectively. As of September 30, 2019, there was $6 million of total unrecognized compensation costs related to nonvested stock awards. That cost is expected to be recognized over a weighted-average period of 1.9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performance incentive and retention program</w:t>
      </w:r>
    </w:p>
    <w:p>
      <w:pPr>
        <w:spacing w:after="0" w:line="117"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During 2016, certain executives were granted 260 thousand performance-based restricted shares of Ashland in order to provide an incentive to remain employed in the period after the full separation of Ashland and Valvoline. At September 30, 2019, total nonvested shares outstanding were 30 thousand shares, which include forfeitures and the cumulative value of forfeitable dividends. The expense recognition for these awards commenced upon completing the full separation of Valvoline which occurred on May 12, 2017, as discussed further in Note B, and resulted in expense of $3 million, $6 million and $3 million during 2019, 2018 and 2017, respectively. As of September 30, 2019, there was less than $1 million of total unrecognized compensation costs related to these awards.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Cash-settled nonvested stock awards</w:t>
      </w:r>
    </w:p>
    <w:p>
      <w:pPr>
        <w:spacing w:after="0" w:line="117"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Certain nonvested stock awards are granted to employees and are settled in cash upon vesting. As of September 30, 2019, 95 thousand cash-settled nonvested stock awards were outstanding. The value of these cash-settled nonvested stock awards changes in connection with changes in the fair market value of the Ashland Common Stock. These awards generally vest over a period of three years. The expense recognized related to cash-settled nonvested stock awards was $5 million, $9 million, and $5 million during 2019, 2018 and 2017,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Performance awards</w:t>
      </w:r>
    </w:p>
    <w:p>
      <w:pPr>
        <w:spacing w:after="0" w:line="121"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Ashland sponsors a long-term incentive plan that awards performance shares/units to certain key employees that are tied to Ashland’s overall financial performance relative to the financial performance of selected industry peer groups and/or internal targets. Awards are granted annually, with each award covering a three-year vesting period. Nonvested performance shares/units do not entitle employees to vote the shares or to receive any dividends thereon.</w:t>
      </w:r>
    </w:p>
    <w:p>
      <w:pPr>
        <w:spacing w:after="0" w:line="52"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auto"/>
        </w:rPr>
        <w:t>For awards granted in 2019, 2018 and 2017, upon vesting, each performance unit will be settled in stock or cash based on the fair market value of Ashland common stock. The awards granted in 2019 and 2018 are settled in stock and recorded as a component of stockholders’ equity while the awards granted in 2017 are settled in cash and recorded within the other liabilities caption in the Consolidated Balance Sheets. For these awards, the performance measure used to determine the actual number of performance units issuable upon vesting is the financial performance of Ashland compared to award targets. The financial performance award metric is considered a performance condition under applicable U.S. GAAP. Additionally, the actual number of performance units issuable upon vesting can be potentially increased or decreased based on a total shareholder return (TSR) performance modifier relative to peers for Ashland.</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the performance shares/units granted for all plans that award Ashland Common Stock or cash.</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960" w:type="dxa"/>
            <w:vAlign w:val="bottom"/>
            <w:tcBorders>
              <w:top w:val="single" w:sz="8" w:color="auto"/>
            </w:tcBorders>
          </w:tcPr>
          <w:p>
            <w:pPr>
              <w:spacing w:after="0"/>
              <w:rPr>
                <w:sz w:val="21"/>
                <w:szCs w:val="21"/>
                <w:color w:val="auto"/>
              </w:rPr>
            </w:pPr>
          </w:p>
        </w:tc>
        <w:tc>
          <w:tcPr>
            <w:tcW w:w="476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Weighted-</w:t>
            </w:r>
          </w:p>
        </w:tc>
      </w:tr>
      <w:tr>
        <w:trPr>
          <w:trHeight w:val="230"/>
        </w:trPr>
        <w:tc>
          <w:tcPr>
            <w:tcW w:w="19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Target</w:t>
            </w:r>
          </w:p>
        </w:tc>
        <w:tc>
          <w:tcPr>
            <w:tcW w:w="88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Arial" w:cs="Arial" w:eastAsia="Arial" w:hAnsi="Arial"/>
                <w:sz w:val="18"/>
                <w:szCs w:val="18"/>
                <w:color w:val="auto"/>
              </w:rPr>
              <w:t>average</w:t>
            </w:r>
          </w:p>
        </w:tc>
      </w:tr>
      <w:tr>
        <w:trPr>
          <w:trHeight w:val="230"/>
        </w:trPr>
        <w:tc>
          <w:tcPr>
            <w:tcW w:w="19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shares/units</w:t>
            </w:r>
          </w:p>
        </w:tc>
        <w:tc>
          <w:tcPr>
            <w:tcW w:w="88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Arial" w:cs="Arial" w:eastAsia="Arial" w:hAnsi="Arial"/>
                <w:sz w:val="18"/>
                <w:szCs w:val="18"/>
                <w:color w:val="auto"/>
              </w:rPr>
              <w:t>fair value per</w:t>
            </w:r>
          </w:p>
        </w:tc>
      </w:tr>
      <w:tr>
        <w:trPr>
          <w:trHeight w:val="230"/>
        </w:trPr>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476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Vesting period</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granted</w:t>
            </w:r>
          </w:p>
        </w:tc>
        <w:tc>
          <w:tcPr>
            <w:tcW w:w="8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(a)</w:t>
            </w:r>
          </w:p>
        </w:tc>
        <w:tc>
          <w:tcPr>
            <w:tcW w:w="162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17"/>
                <w:szCs w:val="17"/>
                <w:color w:val="auto"/>
              </w:rPr>
              <w:t xml:space="preserve">share/unit  </w:t>
            </w:r>
            <w:r>
              <w:rPr>
                <w:rFonts w:ascii="Arial" w:cs="Arial" w:eastAsia="Arial" w:hAnsi="Arial"/>
                <w:sz w:val="26"/>
                <w:szCs w:val="26"/>
                <w:color w:val="auto"/>
                <w:vertAlign w:val="subscript"/>
              </w:rPr>
              <w:t>(a)</w:t>
            </w:r>
          </w:p>
        </w:tc>
      </w:tr>
      <w:tr>
        <w:trPr>
          <w:trHeight w:val="223"/>
        </w:trPr>
        <w:tc>
          <w:tcPr>
            <w:tcW w:w="1960" w:type="dxa"/>
            <w:vAlign w:val="bottom"/>
            <w:shd w:val="clear" w:color="auto" w:fill="CFF0FC"/>
          </w:tcPr>
          <w:p>
            <w:pPr>
              <w:spacing w:after="0"/>
              <w:rPr>
                <w:sz w:val="20"/>
                <w:szCs w:val="20"/>
                <w:color w:val="auto"/>
              </w:rPr>
            </w:pPr>
            <w:r>
              <w:rPr>
                <w:rFonts w:ascii="Arial" w:cs="Arial" w:eastAsia="Arial" w:hAnsi="Arial"/>
                <w:sz w:val="18"/>
                <w:szCs w:val="18"/>
                <w:color w:val="auto"/>
              </w:rPr>
              <w:t>Fiscal Year 2019</w:t>
            </w:r>
          </w:p>
        </w:tc>
        <w:tc>
          <w:tcPr>
            <w:tcW w:w="47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October 1, 2018 - September 30, 2021</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80" w:type="dxa"/>
            <w:vAlign w:val="bottom"/>
            <w:shd w:val="clear" w:color="auto" w:fill="CFF0FC"/>
          </w:tcPr>
          <w:p>
            <w:pPr>
              <w:jc w:val="right"/>
              <w:ind w:right="274"/>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84.93</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Fiscal Year 2018</w:t>
            </w:r>
          </w:p>
        </w:tc>
        <w:tc>
          <w:tcPr>
            <w:tcW w:w="4760" w:type="dxa"/>
            <w:vAlign w:val="bottom"/>
          </w:tcPr>
          <w:p>
            <w:pPr>
              <w:ind w:left="720"/>
              <w:spacing w:after="0"/>
              <w:rPr>
                <w:sz w:val="20"/>
                <w:szCs w:val="20"/>
                <w:color w:val="auto"/>
              </w:rPr>
            </w:pPr>
            <w:r>
              <w:rPr>
                <w:rFonts w:ascii="Arial" w:cs="Arial" w:eastAsia="Arial" w:hAnsi="Arial"/>
                <w:sz w:val="18"/>
                <w:szCs w:val="18"/>
                <w:color w:val="auto"/>
              </w:rPr>
              <w:t>October 1, 2017 - September 30, 2020</w:t>
            </w:r>
          </w:p>
        </w:tc>
        <w:tc>
          <w:tcPr>
            <w:tcW w:w="2200" w:type="dxa"/>
            <w:vAlign w:val="bottom"/>
          </w:tcPr>
          <w:p>
            <w:pPr>
              <w:jc w:val="right"/>
              <w:spacing w:after="0"/>
              <w:rPr>
                <w:sz w:val="20"/>
                <w:szCs w:val="20"/>
                <w:color w:val="auto"/>
              </w:rPr>
            </w:pPr>
            <w:r>
              <w:rPr>
                <w:rFonts w:ascii="Arial" w:cs="Arial" w:eastAsia="Arial" w:hAnsi="Arial"/>
                <w:sz w:val="18"/>
                <w:szCs w:val="18"/>
                <w:color w:val="auto"/>
              </w:rPr>
              <w:t>101</w:t>
            </w:r>
          </w:p>
        </w:tc>
        <w:tc>
          <w:tcPr>
            <w:tcW w:w="88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31"/>
              <w:spacing w:after="0"/>
              <w:rPr>
                <w:sz w:val="20"/>
                <w:szCs w:val="20"/>
                <w:color w:val="auto"/>
              </w:rPr>
            </w:pPr>
            <w:r>
              <w:rPr>
                <w:rFonts w:ascii="Arial" w:cs="Arial" w:eastAsia="Arial" w:hAnsi="Arial"/>
                <w:sz w:val="18"/>
                <w:szCs w:val="18"/>
                <w:color w:val="auto"/>
              </w:rPr>
              <w:t>68.93</w:t>
            </w:r>
          </w:p>
        </w:tc>
      </w:tr>
      <w:tr>
        <w:trPr>
          <w:trHeight w:val="230"/>
        </w:trPr>
        <w:tc>
          <w:tcPr>
            <w:tcW w:w="1960" w:type="dxa"/>
            <w:vAlign w:val="bottom"/>
            <w:shd w:val="clear" w:color="auto" w:fill="CFF0FC"/>
          </w:tcPr>
          <w:p>
            <w:pPr>
              <w:spacing w:after="0"/>
              <w:rPr>
                <w:sz w:val="20"/>
                <w:szCs w:val="20"/>
                <w:color w:val="auto"/>
              </w:rPr>
            </w:pPr>
            <w:r>
              <w:rPr>
                <w:rFonts w:ascii="Arial" w:cs="Arial" w:eastAsia="Arial" w:hAnsi="Arial"/>
                <w:sz w:val="18"/>
                <w:szCs w:val="18"/>
                <w:color w:val="auto"/>
              </w:rPr>
              <w:t>Fiscal Year 2017</w:t>
            </w:r>
          </w:p>
        </w:tc>
        <w:tc>
          <w:tcPr>
            <w:tcW w:w="47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October 1, 2016 - September 30, 2019</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880" w:type="dxa"/>
            <w:vAlign w:val="bottom"/>
            <w:shd w:val="clear" w:color="auto" w:fill="CFF0FC"/>
          </w:tcPr>
          <w:p>
            <w:pPr>
              <w:jc w:val="right"/>
              <w:ind w:right="274"/>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103.72</w:t>
            </w:r>
          </w:p>
        </w:tc>
      </w:tr>
    </w:tbl>
    <w:p>
      <w:pPr>
        <w:spacing w:after="0" w:line="130" w:lineRule="exact"/>
        <w:rPr>
          <w:sz w:val="20"/>
          <w:szCs w:val="20"/>
          <w:color w:val="auto"/>
        </w:rPr>
      </w:pPr>
    </w:p>
    <w:p>
      <w:pPr>
        <w:ind w:left="300" w:hanging="292"/>
        <w:spacing w:after="0" w:line="253" w:lineRule="auto"/>
        <w:tabs>
          <w:tab w:leader="none" w:pos="3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At the end of the performance period, the actual number of shares/units awarded can range from zero to 200% of the target shares/units granted, which is assumed to be 100%. Both the shares granted and weighted-average fair value per share/unit are as of the grant date and have not been adjusted for the Valvoline separation that occurred during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For awards granted in 2016, the fair value of the ROI portion of the performance share awards is equal to the fair market value of Ashland’s Common Stock on the date of the grant discounted for the dividends forgone during the vesting period of the three-year performance cycle. For awards granted in 2018 and 2017, the fair value of the performance unit awards is equal to the fair market value of Ashland’s Common Stock as of the end of each reporting period. Compensation cost is recognized over the requisite service period if it is probable that the performance condition will be satisfied.</w:t>
      </w:r>
    </w:p>
    <w:p>
      <w:pPr>
        <w:spacing w:after="0" w:line="6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fair values of the TSR portion of the performance share awards and TSR modifier of the performance unit awards are calculated using a Monte Carlo simulation valuation model using key assumptions included in the following table. Compensation cost is recognized over the requisite service period regardless of whether the market condition is satisfied.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60" w:type="dxa"/>
            <w:vAlign w:val="bottom"/>
            <w:tcBorders>
              <w:top w:val="single" w:sz="8" w:color="auto"/>
              <w:bottom w:val="single" w:sz="8" w:color="auto"/>
            </w:tcBorders>
          </w:tcPr>
          <w:p>
            <w:pPr>
              <w:spacing w:after="0"/>
              <w:rPr>
                <w:sz w:val="21"/>
                <w:szCs w:val="21"/>
                <w:color w:val="auto"/>
              </w:rPr>
            </w:pPr>
          </w:p>
        </w:tc>
        <w:tc>
          <w:tcPr>
            <w:tcW w:w="4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6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80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2.9</w:t>
            </w:r>
          </w:p>
        </w:tc>
        <w:tc>
          <w:tcPr>
            <w:tcW w:w="16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1.6% - 1.8%</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 - 1.4%</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80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1.4%</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480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3</w:t>
            </w:r>
          </w:p>
        </w:tc>
        <w:tc>
          <w:tcPr>
            <w:tcW w:w="16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Expected volatility</w:t>
            </w:r>
          </w:p>
        </w:tc>
        <w:tc>
          <w:tcPr>
            <w:tcW w:w="4800" w:type="dxa"/>
            <w:vAlign w:val="bottom"/>
          </w:tcPr>
          <w:p>
            <w:pPr>
              <w:jc w:val="right"/>
              <w:ind w:right="250"/>
              <w:spacing w:after="0"/>
              <w:rPr>
                <w:sz w:val="20"/>
                <w:szCs w:val="20"/>
                <w:color w:val="auto"/>
              </w:rPr>
            </w:pPr>
            <w:r>
              <w:rPr>
                <w:rFonts w:ascii="Arial" w:cs="Arial" w:eastAsia="Arial" w:hAnsi="Arial"/>
                <w:sz w:val="18"/>
                <w:szCs w:val="18"/>
                <w:color w:val="auto"/>
              </w:rPr>
              <w:t>24.6%</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25.0%</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25.1%</w:t>
            </w:r>
          </w:p>
        </w:tc>
      </w:tr>
      <w:tr>
        <w:trPr>
          <w:trHeight w:val="566"/>
        </w:trPr>
        <w:tc>
          <w:tcPr>
            <w:tcW w:w="3660" w:type="dxa"/>
            <w:vAlign w:val="bottom"/>
          </w:tcPr>
          <w:p>
            <w:pPr>
              <w:spacing w:after="0"/>
              <w:rPr>
                <w:sz w:val="24"/>
                <w:szCs w:val="24"/>
                <w:color w:val="auto"/>
              </w:rPr>
            </w:pPr>
          </w:p>
        </w:tc>
        <w:tc>
          <w:tcPr>
            <w:tcW w:w="4800" w:type="dxa"/>
            <w:vAlign w:val="bottom"/>
          </w:tcPr>
          <w:p>
            <w:pPr>
              <w:jc w:val="right"/>
              <w:ind w:right="2490"/>
              <w:spacing w:after="0"/>
              <w:rPr>
                <w:sz w:val="20"/>
                <w:szCs w:val="20"/>
                <w:color w:val="auto"/>
              </w:rPr>
            </w:pPr>
            <w:r>
              <w:rPr>
                <w:rFonts w:ascii="Arial" w:cs="Arial" w:eastAsia="Arial" w:hAnsi="Arial"/>
                <w:sz w:val="18"/>
                <w:szCs w:val="18"/>
                <w:color w:val="auto"/>
              </w:rPr>
              <w:t>F-61</w:t>
            </w: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9" w:name="page140"/>
    <w:bookmarkEnd w:id="139"/>
    <w:p>
      <w:pPr>
        <w:ind w:left="400"/>
        <w:spacing w:after="0"/>
        <w:rPr>
          <w:sz w:val="20"/>
          <w:szCs w:val="20"/>
          <w:color w:val="auto"/>
        </w:rPr>
      </w:pPr>
      <w:r>
        <w:rPr>
          <w:rFonts w:ascii="Arial" w:cs="Arial" w:eastAsia="Arial" w:hAnsi="Arial"/>
          <w:sz w:val="18"/>
          <w:szCs w:val="18"/>
          <w:color w:val="auto"/>
        </w:rPr>
        <w:t>The following table shows changes in nonvested performance shares/units for all plans that award Ashland Common Stock or cash.</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2019</w:t>
            </w:r>
          </w:p>
        </w:tc>
        <w:tc>
          <w:tcPr>
            <w:tcW w:w="8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c>
          <w:tcPr>
            <w:tcW w:w="900" w:type="dxa"/>
            <w:vAlign w:val="bottom"/>
            <w:tcBorders>
              <w:top w:val="single" w:sz="8" w:color="auto"/>
              <w:bottom w:val="single" w:sz="8" w:color="auto"/>
            </w:tcBorders>
          </w:tcPr>
          <w:p>
            <w:pPr>
              <w:spacing w:after="0"/>
              <w:rPr>
                <w:sz w:val="21"/>
                <w:szCs w:val="21"/>
                <w:color w:val="auto"/>
              </w:rPr>
            </w:pPr>
          </w:p>
        </w:tc>
      </w:tr>
      <w:tr>
        <w:trPr>
          <w:trHeight w:val="222"/>
        </w:trPr>
        <w:tc>
          <w:tcPr>
            <w:tcW w:w="4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2"/>
              </w:rPr>
              <w:t>Weighted-</w:t>
            </w:r>
          </w:p>
        </w:tc>
      </w:tr>
      <w:tr>
        <w:trPr>
          <w:trHeight w:val="230"/>
        </w:trPr>
        <w:tc>
          <w:tcPr>
            <w:tcW w:w="4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average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average</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average</w:t>
            </w:r>
          </w:p>
        </w:tc>
      </w:tr>
      <w:tr>
        <w:trPr>
          <w:trHeight w:val="230"/>
        </w:trPr>
        <w:tc>
          <w:tcPr>
            <w:tcW w:w="47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grant date</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grant date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3"/>
              </w:rPr>
              <w:t>grant date</w:t>
            </w: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 share data)</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Units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fair value</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Units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fair value</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Units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fair value</w:t>
            </w: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Nonvested - beginning of year</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64.55</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106.91</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4"/>
                <w:szCs w:val="14"/>
                <w:color w:val="auto"/>
              </w:rPr>
              <w:t>(a)</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84.93</w:t>
            </w:r>
          </w:p>
        </w:tc>
        <w:tc>
          <w:tcPr>
            <w:tcW w:w="1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99.86</w:t>
            </w: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14"/>
                <w:szCs w:val="14"/>
                <w:color w:val="auto"/>
              </w:rPr>
              <w:t>(a)</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61.67</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65.53</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85.86</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 xml:space="preserve">Forfeitures </w:t>
            </w:r>
            <w:r>
              <w:rPr>
                <w:rFonts w:ascii="Arial" w:cs="Arial" w:eastAsia="Arial" w:hAnsi="Arial"/>
                <w:sz w:val="14"/>
                <w:szCs w:val="14"/>
                <w:color w:val="auto"/>
              </w:rPr>
              <w:t>(b)</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65.16</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66.24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75.52</w:t>
            </w: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Transfer to Valvoline Inc. </w:t>
            </w:r>
            <w:r>
              <w:rPr>
                <w:rFonts w:ascii="Arial" w:cs="Arial" w:eastAsia="Arial" w:hAnsi="Arial"/>
                <w:sz w:val="14"/>
                <w:szCs w:val="14"/>
                <w:color w:val="auto"/>
              </w:rPr>
              <w:t>(c)</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115.68</w:t>
            </w: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Conversion adjustment </w:t>
            </w:r>
            <w:r>
              <w:rPr>
                <w:rFonts w:ascii="Arial" w:cs="Arial" w:eastAsia="Arial" w:hAnsi="Arial"/>
                <w:sz w:val="14"/>
                <w:szCs w:val="14"/>
                <w:color w:val="auto"/>
              </w:rPr>
              <w:t>(d)</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 end of year</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260</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76.59</w:t>
            </w: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260</w:t>
            </w: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64.55</w:t>
            </w: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268</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63.00</w:t>
            </w:r>
          </w:p>
        </w:tc>
      </w:tr>
      <w:tr>
        <w:trPr>
          <w:trHeight w:val="20"/>
        </w:trPr>
        <w:tc>
          <w:tcPr>
            <w:tcW w:w="4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29" w:lineRule="exact"/>
        <w:rPr>
          <w:sz w:val="20"/>
          <w:szCs w:val="20"/>
          <w:color w:val="auto"/>
        </w:rPr>
      </w:pPr>
    </w:p>
    <w:p>
      <w:pPr>
        <w:ind w:left="300" w:hanging="292"/>
        <w:spacing w:after="0"/>
        <w:tabs>
          <w:tab w:leader="none" w:pos="3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2017 includes 15 thousand additional shares from the fiscal year 2014 since a portion of the payouts for this plan was in excess of the initial 100% target.</w:t>
      </w:r>
    </w:p>
    <w:p>
      <w:pPr>
        <w:ind w:left="300" w:hanging="292"/>
        <w:spacing w:after="0"/>
        <w:tabs>
          <w:tab w:leader="none" w:pos="3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During 2017, Ashland determined that zero percent of the TSR portion of the fiscal year 2016 plan will be paid out upon vesting which resulted in the forfeiture of 35 thousand shares.</w:t>
      </w:r>
    </w:p>
    <w:p>
      <w:pPr>
        <w:ind w:left="300" w:hanging="292"/>
        <w:spacing w:after="0" w:line="221" w:lineRule="auto"/>
        <w:tabs>
          <w:tab w:leader="none" w:pos="3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the transfer of performance shares from the fiscal year 2016 plans held by Valvoline Inc. employees at the time of the final Valvoline Inc. distribution in 2017.</w:t>
      </w:r>
    </w:p>
    <w:p>
      <w:pPr>
        <w:ind w:left="300" w:hanging="292"/>
        <w:spacing w:after="0" w:line="237" w:lineRule="auto"/>
        <w:tabs>
          <w:tab w:leader="none" w:pos="3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number and exercise prices of performance shares/units outstanding at the time of the final Valvoline Inc. distribution in 2017 were proportionately adjusted to maintain the aggregate intrinsic value before and after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As of September 30, 2019, there was $3 million of total unrecognized compensation costs related to nonvested performance share/unit awards. That cost is expected to be recognized over a weighted-average period of approximately 1.5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 REVENUE</w:t>
      </w:r>
    </w:p>
    <w:p>
      <w:pPr>
        <w:spacing w:after="0" w:line="12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Effective October 1, 2018, Ashland adopted accounting guidance outlining a single comprehensive five step model for entities to use in accounting for revenue arising from contracts with customers (ASC 606 Revenue from Contracts with Customers). As a result of the adoption, there was no material impact to Ashland’s Consolidated Financial Statements. The additional disclosures that Ashland is required to disclose on an annual basis are contained within this Note R.</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right="20" w:firstLine="401"/>
        <w:spacing w:after="0" w:line="286" w:lineRule="auto"/>
        <w:rPr>
          <w:sz w:val="20"/>
          <w:szCs w:val="20"/>
          <w:color w:val="auto"/>
        </w:rPr>
      </w:pPr>
      <w:r>
        <w:rPr>
          <w:rFonts w:ascii="Arial" w:cs="Arial" w:eastAsia="Arial" w:hAnsi="Arial"/>
          <w:sz w:val="17"/>
          <w:szCs w:val="17"/>
          <w:color w:val="auto"/>
        </w:rPr>
        <w:t>Ashland’s revenue is measured as the amount of consideration it expects to receive in exchange for transferring goods or providing services and is recognized when performance obligations are satisfied under the terms of contracts with customers. Ashland generally utilizes standardized language for the terms of contracts, unless a separate agreement has been entered into with a customer that supersedes the standard language.</w:t>
      </w:r>
    </w:p>
    <w:p>
      <w:pPr>
        <w:spacing w:after="0" w:line="57" w:lineRule="exact"/>
        <w:rPr>
          <w:sz w:val="20"/>
          <w:szCs w:val="20"/>
          <w:color w:val="auto"/>
        </w:rPr>
      </w:pPr>
    </w:p>
    <w:p>
      <w:pPr>
        <w:jc w:val="both"/>
        <w:ind w:firstLine="401"/>
        <w:spacing w:after="0" w:line="271" w:lineRule="auto"/>
        <w:rPr>
          <w:sz w:val="20"/>
          <w:szCs w:val="20"/>
          <w:color w:val="auto"/>
        </w:rPr>
      </w:pPr>
      <w:r>
        <w:rPr>
          <w:rFonts w:ascii="Arial" w:cs="Arial" w:eastAsia="Arial" w:hAnsi="Arial"/>
          <w:sz w:val="17"/>
          <w:szCs w:val="17"/>
          <w:color w:val="auto"/>
        </w:rPr>
        <w:t>A performance obligation is deemed to be satisfied by Ashland when control of the product or service is transferred to the customer. The transaction price of a contract, or the amount Ashland expects to receive upon satisfaction of all performance obligations, is determined by reference to the contract’s terms and includes adjustments, if applicable, for any variable consideration, such as volume discounts, rebates, refunds and rights to return. Where a contract contains more than one distinct performance obligation, the transaction price is allocated to each performance obligation based on the standalone selling price of each performance obligation, although these situations do not occur frequently and are generally not included within Ashland’s contracts. Any unsatisfied performance obligations were not material. Standalone selling prices are based on prices Ashland charges to customers, which in some cases are based on established market prices. Ashland generally collects the cash from its customers within 60 days of the product delivery date. Sales and other similar taxes collected from customers on behalf of third parties are excluded from the contract price.</w:t>
      </w:r>
    </w:p>
    <w:p>
      <w:pPr>
        <w:spacing w:after="0" w:line="7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All of Ashland’s revenue is derived from contracts with customers, and nearly all contracts with customers contain one performance obligation for the transfer of goods where such performance obligation is satisfied at a point in time. Control of a product is deemed to be transferred to the customer generally upon shipment or delivery. Costs for shipping and handling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color w:val="auto"/>
        </w:rPr>
        <w:t>activities, whether performed before or after the customer obtains control of the goods, are accounted for as fulfillment costs when not reimbursed.</w:t>
      </w:r>
    </w:p>
    <w:p>
      <w:pPr>
        <w:spacing w:after="0" w:line="12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Costs incurred to obtain contracts with customers have historically not been significant and are expensed immediately as the period of performance is generally one year or less. Ashland records bad debt expense in specific situations when it is determined that the customer is unable to meet its financial obligation.</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Practical expedients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Upon adoption, Ashland utilized the following applicable practical expedients, as permitted by ASC 606, Revenue from Contracts with Customers:</w:t>
      </w:r>
    </w:p>
    <w:p>
      <w:pPr>
        <w:spacing w:after="0" w:line="129" w:lineRule="exact"/>
        <w:rPr>
          <w:sz w:val="20"/>
          <w:szCs w:val="20"/>
          <w:color w:val="auto"/>
        </w:rPr>
      </w:pPr>
    </w:p>
    <w:p>
      <w:pPr>
        <w:ind w:left="800" w:hanging="400"/>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Sales and other similar taxes collected from customers on behalf of third parties are excluded from the contract price;</w:t>
      </w:r>
    </w:p>
    <w:p>
      <w:pPr>
        <w:spacing w:after="0" w:line="117" w:lineRule="exact"/>
        <w:rPr>
          <w:rFonts w:ascii="Arial" w:cs="Arial" w:eastAsia="Arial" w:hAnsi="Arial"/>
          <w:sz w:val="18"/>
          <w:szCs w:val="18"/>
          <w:color w:val="auto"/>
        </w:rPr>
      </w:pPr>
    </w:p>
    <w:p>
      <w:pPr>
        <w:ind w:left="800" w:right="20" w:hanging="400"/>
        <w:spacing w:after="0" w:line="277"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for shipping and handling activities, whether performed before or after the customer obtains control of the goods, are accounted for as fulfillment costs when not reimbursed; and</w:t>
      </w:r>
    </w:p>
    <w:p>
      <w:pPr>
        <w:spacing w:after="0" w:line="62" w:lineRule="exact"/>
        <w:rPr>
          <w:rFonts w:ascii="Arial" w:cs="Arial" w:eastAsia="Arial" w:hAnsi="Arial"/>
          <w:sz w:val="18"/>
          <w:szCs w:val="18"/>
          <w:color w:val="auto"/>
        </w:rPr>
      </w:pPr>
    </w:p>
    <w:p>
      <w:pPr>
        <w:ind w:left="800" w:hanging="400"/>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incurred to obtain contracts with customers are expensed immediately when the amortization period is one year or less.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Trade receivables</w:t>
      </w:r>
    </w:p>
    <w:p>
      <w:pPr>
        <w:spacing w:after="0" w:line="12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Trade receivables are defined as receivables arising from contracts with customers and are recorded within the accounts receivable caption within the Condensed Consolidated Balance Sheets. Ashland’s trade receivables were $435 million and $482 million as of September 30, 2019 and September 30, 2018, respectively.</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jc w:val="both"/>
        <w:ind w:firstLine="401"/>
        <w:spacing w:after="0" w:line="286" w:lineRule="auto"/>
        <w:rPr>
          <w:sz w:val="20"/>
          <w:szCs w:val="20"/>
          <w:color w:val="auto"/>
        </w:rPr>
      </w:pPr>
      <w:r>
        <w:rPr>
          <w:rFonts w:ascii="Arial" w:cs="Arial" w:eastAsia="Arial" w:hAnsi="Arial"/>
          <w:sz w:val="17"/>
          <w:szCs w:val="17"/>
          <w:color w:val="auto"/>
        </w:rPr>
        <w:t>Ashland disaggregates its revenue from contracts with customers by segment, geographical region and product category, as Ashland believes these categories best depict how management reviews the financial performance of its operations for the twelve months ended September 30, 2019, 2018 and 2017. Ashland includes only U.S. and Canada in its North America designation. See the following tables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Sales by geography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(In millions)</w:t>
            </w:r>
          </w:p>
        </w:tc>
        <w:tc>
          <w:tcPr>
            <w:tcW w:w="3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5"/>
          </w:tcPr>
          <w:p>
            <w:pPr>
              <w:ind w:left="40"/>
              <w:spacing w:after="0"/>
              <w:rPr>
                <w:sz w:val="20"/>
                <w:szCs w:val="20"/>
                <w:color w:val="auto"/>
              </w:rPr>
            </w:pPr>
            <w:r>
              <w:rPr>
                <w:rFonts w:ascii="Arial" w:cs="Arial" w:eastAsia="Arial" w:hAnsi="Arial"/>
                <w:sz w:val="17"/>
                <w:szCs w:val="17"/>
                <w:color w:val="auto"/>
                <w:w w:val="95"/>
              </w:rPr>
              <w:t>Specialty Ingredients</w:t>
            </w: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2700" w:type="dxa"/>
            <w:vAlign w:val="bottom"/>
            <w:tcBorders>
              <w:top w:val="single" w:sz="8" w:color="auto"/>
              <w:bottom w:val="single" w:sz="8" w:color="auto"/>
            </w:tcBorders>
            <w:gridSpan w:val="6"/>
          </w:tcPr>
          <w:p>
            <w:pPr>
              <w:jc w:val="right"/>
              <w:ind w:right="225"/>
              <w:spacing w:after="0"/>
              <w:rPr>
                <w:sz w:val="20"/>
                <w:szCs w:val="20"/>
                <w:color w:val="auto"/>
              </w:rPr>
            </w:pPr>
            <w:r>
              <w:rPr>
                <w:rFonts w:ascii="Arial" w:cs="Arial" w:eastAsia="Arial" w:hAnsi="Arial"/>
                <w:sz w:val="17"/>
                <w:szCs w:val="17"/>
                <w:color w:val="auto"/>
              </w:rPr>
              <w:t>Intermediates and Solvents</w:t>
            </w:r>
          </w:p>
        </w:tc>
        <w:tc>
          <w:tcPr>
            <w:tcW w:w="780" w:type="dxa"/>
            <w:vAlign w:val="bottom"/>
            <w:tcBorders>
              <w:top w:val="single" w:sz="8" w:color="auto"/>
              <w:bottom w:val="single" w:sz="8" w:color="auto"/>
            </w:tcBorders>
          </w:tcPr>
          <w:p>
            <w:pPr>
              <w:spacing w:after="0"/>
              <w:rPr>
                <w:sz w:val="18"/>
                <w:szCs w:val="18"/>
                <w:color w:val="auto"/>
              </w:rPr>
            </w:pPr>
          </w:p>
        </w:tc>
      </w:tr>
      <w:tr>
        <w:trPr>
          <w:trHeight w:val="210"/>
        </w:trPr>
        <w:tc>
          <w:tcPr>
            <w:tcW w:w="3560" w:type="dxa"/>
            <w:vAlign w:val="bottom"/>
            <w:gridSpan w:val="2"/>
          </w:tcPr>
          <w:p>
            <w:pPr>
              <w:spacing w:after="0"/>
              <w:rPr>
                <w:sz w:val="20"/>
                <w:szCs w:val="20"/>
                <w:color w:val="auto"/>
              </w:rPr>
            </w:pPr>
            <w:r>
              <w:rPr>
                <w:rFonts w:ascii="Arial" w:cs="Arial" w:eastAsia="Arial" w:hAnsi="Arial"/>
                <w:sz w:val="17"/>
                <w:szCs w:val="17"/>
                <w:color w:val="auto"/>
              </w:rPr>
              <w:t>Geography</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7"/>
                <w:szCs w:val="17"/>
                <w:color w:val="auto"/>
              </w:rPr>
              <w:t>2017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2019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54"/>
              <w:spacing w:after="0"/>
              <w:rPr>
                <w:sz w:val="20"/>
                <w:szCs w:val="20"/>
                <w:color w:val="auto"/>
              </w:rPr>
            </w:pPr>
            <w:r>
              <w:rPr>
                <w:rFonts w:ascii="Arial" w:cs="Arial" w:eastAsia="Arial" w:hAnsi="Arial"/>
                <w:sz w:val="17"/>
                <w:szCs w:val="17"/>
                <w:color w:val="auto"/>
              </w:rPr>
              <w:t>2017</w:t>
            </w:r>
          </w:p>
        </w:tc>
      </w:tr>
      <w:tr>
        <w:trPr>
          <w:trHeight w:val="210"/>
        </w:trPr>
        <w:tc>
          <w:tcPr>
            <w:tcW w:w="3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Twelve Months Ended</w:t>
            </w:r>
          </w:p>
        </w:tc>
        <w:tc>
          <w:tcPr>
            <w:tcW w:w="1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r>
      <w:tr>
        <w:trPr>
          <w:trHeight w:val="228"/>
        </w:trPr>
        <w:tc>
          <w:tcPr>
            <w:tcW w:w="3560" w:type="dxa"/>
            <w:vAlign w:val="bottom"/>
            <w:gridSpan w:val="2"/>
          </w:tcPr>
          <w:p>
            <w:pPr>
              <w:spacing w:after="0"/>
              <w:rPr>
                <w:sz w:val="20"/>
                <w:szCs w:val="20"/>
                <w:color w:val="auto"/>
              </w:rPr>
            </w:pPr>
            <w:r>
              <w:rPr>
                <w:rFonts w:ascii="Arial" w:cs="Arial" w:eastAsia="Arial" w:hAnsi="Arial"/>
                <w:sz w:val="17"/>
                <w:szCs w:val="17"/>
                <w:color w:val="auto"/>
              </w:rPr>
              <w:t>North America</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945</w:t>
            </w:r>
          </w:p>
        </w:tc>
        <w:tc>
          <w:tcPr>
            <w:tcW w:w="600" w:type="dxa"/>
            <w:vAlign w:val="bottom"/>
            <w:gridSpan w:val="3"/>
          </w:tcPr>
          <w:p>
            <w:pPr>
              <w:jc w:val="right"/>
              <w:ind w:right="19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3"/>
              <w:spacing w:after="0"/>
              <w:rPr>
                <w:sz w:val="20"/>
                <w:szCs w:val="20"/>
                <w:color w:val="auto"/>
              </w:rPr>
            </w:pPr>
            <w:r>
              <w:rPr>
                <w:rFonts w:ascii="Arial" w:cs="Arial" w:eastAsia="Arial" w:hAnsi="Arial"/>
                <w:sz w:val="17"/>
                <w:szCs w:val="17"/>
                <w:color w:val="auto"/>
              </w:rPr>
              <w:t>988</w:t>
            </w:r>
          </w:p>
        </w:tc>
        <w:tc>
          <w:tcPr>
            <w:tcW w:w="16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34"/>
              <w:spacing w:after="0"/>
              <w:rPr>
                <w:sz w:val="20"/>
                <w:szCs w:val="20"/>
                <w:color w:val="auto"/>
              </w:rPr>
            </w:pPr>
            <w:r>
              <w:rPr>
                <w:rFonts w:ascii="Arial" w:cs="Arial" w:eastAsia="Arial" w:hAnsi="Arial"/>
                <w:sz w:val="17"/>
                <w:szCs w:val="17"/>
                <w:color w:val="auto"/>
              </w:rPr>
              <w:t>883</w:t>
            </w:r>
          </w:p>
        </w:tc>
        <w:tc>
          <w:tcPr>
            <w:tcW w:w="180" w:type="dxa"/>
            <w:vAlign w:val="bottom"/>
          </w:tcPr>
          <w:p>
            <w:pPr>
              <w:spacing w:after="0"/>
              <w:rPr>
                <w:sz w:val="19"/>
                <w:szCs w:val="19"/>
                <w:color w:val="auto"/>
              </w:rPr>
            </w:pPr>
          </w:p>
        </w:tc>
        <w:tc>
          <w:tcPr>
            <w:tcW w:w="400" w:type="dxa"/>
            <w:vAlign w:val="bottom"/>
          </w:tcPr>
          <w:p>
            <w:pPr>
              <w:jc w:val="right"/>
              <w:ind w:right="238"/>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58</w:t>
            </w:r>
          </w:p>
        </w:tc>
        <w:tc>
          <w:tcPr>
            <w:tcW w:w="180" w:type="dxa"/>
            <w:vAlign w:val="bottom"/>
          </w:tcPr>
          <w:p>
            <w:pPr>
              <w:spacing w:after="0"/>
              <w:rPr>
                <w:sz w:val="19"/>
                <w:szCs w:val="19"/>
                <w:color w:val="auto"/>
              </w:rPr>
            </w:pPr>
          </w:p>
        </w:tc>
        <w:tc>
          <w:tcPr>
            <w:tcW w:w="400" w:type="dxa"/>
            <w:vAlign w:val="bottom"/>
          </w:tcPr>
          <w:p>
            <w:pPr>
              <w:jc w:val="right"/>
              <w:ind w:right="238"/>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58</w:t>
            </w:r>
          </w:p>
        </w:tc>
        <w:tc>
          <w:tcPr>
            <w:tcW w:w="180" w:type="dxa"/>
            <w:vAlign w:val="bottom"/>
          </w:tcPr>
          <w:p>
            <w:pPr>
              <w:spacing w:after="0"/>
              <w:rPr>
                <w:sz w:val="19"/>
                <w:szCs w:val="19"/>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54"/>
              <w:spacing w:after="0"/>
              <w:rPr>
                <w:sz w:val="20"/>
                <w:szCs w:val="20"/>
                <w:color w:val="auto"/>
              </w:rPr>
            </w:pPr>
            <w:r>
              <w:rPr>
                <w:rFonts w:ascii="Arial" w:cs="Arial" w:eastAsia="Arial" w:hAnsi="Arial"/>
                <w:sz w:val="17"/>
                <w:szCs w:val="17"/>
                <w:color w:val="auto"/>
              </w:rPr>
              <w:t>34</w:t>
            </w:r>
          </w:p>
        </w:tc>
      </w:tr>
      <w:tr>
        <w:trPr>
          <w:trHeight w:val="232"/>
        </w:trPr>
        <w:tc>
          <w:tcPr>
            <w:tcW w:w="35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Europe</w:t>
            </w: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779</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rPr>
              <w:t>806</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683</w:t>
            </w: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23</w:t>
            </w: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24</w:t>
            </w: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rPr>
              <w:t>21</w:t>
            </w:r>
          </w:p>
        </w:tc>
      </w:tr>
      <w:tr>
        <w:trPr>
          <w:trHeight w:val="228"/>
        </w:trPr>
        <w:tc>
          <w:tcPr>
            <w:tcW w:w="3560" w:type="dxa"/>
            <w:vAlign w:val="bottom"/>
            <w:gridSpan w:val="2"/>
          </w:tcPr>
          <w:p>
            <w:pPr>
              <w:spacing w:after="0"/>
              <w:rPr>
                <w:sz w:val="20"/>
                <w:szCs w:val="20"/>
                <w:color w:val="auto"/>
              </w:rPr>
            </w:pPr>
            <w:r>
              <w:rPr>
                <w:rFonts w:ascii="Arial" w:cs="Arial" w:eastAsia="Arial" w:hAnsi="Arial"/>
                <w:sz w:val="17"/>
                <w:szCs w:val="17"/>
                <w:color w:val="auto"/>
              </w:rPr>
              <w:t>Asia Pacific</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458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7"/>
                <w:szCs w:val="17"/>
                <w:color w:val="auto"/>
              </w:rPr>
              <w:t>454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7"/>
                <w:szCs w:val="17"/>
                <w:color w:val="auto"/>
              </w:rPr>
              <w:t>432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31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54"/>
              <w:spacing w:after="0"/>
              <w:rPr>
                <w:sz w:val="20"/>
                <w:szCs w:val="20"/>
                <w:color w:val="auto"/>
              </w:rPr>
            </w:pPr>
            <w:r>
              <w:rPr>
                <w:rFonts w:ascii="Arial" w:cs="Arial" w:eastAsia="Arial" w:hAnsi="Arial"/>
                <w:sz w:val="17"/>
                <w:szCs w:val="17"/>
                <w:color w:val="auto"/>
              </w:rPr>
              <w:t>32</w:t>
            </w:r>
          </w:p>
        </w:tc>
      </w:tr>
      <w:tr>
        <w:trPr>
          <w:trHeight w:val="232"/>
        </w:trPr>
        <w:tc>
          <w:tcPr>
            <w:tcW w:w="35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Latin America &amp; other</w:t>
            </w:r>
          </w:p>
        </w:tc>
        <w:tc>
          <w:tcPr>
            <w:tcW w:w="3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200</w:t>
            </w:r>
          </w:p>
        </w:tc>
        <w:tc>
          <w:tcPr>
            <w:tcW w:w="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color w:val="auto"/>
              </w:rPr>
              <w:t>222</w:t>
            </w:r>
          </w:p>
        </w:tc>
        <w:tc>
          <w:tcPr>
            <w:tcW w:w="16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218</w:t>
            </w:r>
          </w:p>
        </w:tc>
        <w:tc>
          <w:tcPr>
            <w:tcW w:w="180" w:type="dxa"/>
            <w:vAlign w:val="bottom"/>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5</w:t>
            </w:r>
          </w:p>
        </w:tc>
        <w:tc>
          <w:tcPr>
            <w:tcW w:w="180" w:type="dxa"/>
            <w:vAlign w:val="bottom"/>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6</w:t>
            </w:r>
          </w:p>
        </w:tc>
        <w:tc>
          <w:tcPr>
            <w:tcW w:w="18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7"/>
                <w:szCs w:val="17"/>
                <w:color w:val="auto"/>
              </w:rPr>
              <w:t>6</w:t>
            </w:r>
          </w:p>
        </w:tc>
      </w:tr>
      <w:tr>
        <w:trPr>
          <w:trHeight w:val="223"/>
        </w:trPr>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2,382</w:t>
            </w:r>
          </w:p>
        </w:tc>
        <w:tc>
          <w:tcPr>
            <w:tcW w:w="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2,470</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2,216</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93</w:t>
            </w:r>
          </w:p>
        </w:tc>
      </w:tr>
      <w:tr>
        <w:trPr>
          <w:trHeight w:val="20"/>
        </w:trPr>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13"/>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F-63</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1" w:name="page142"/>
    <w:bookmarkEnd w:id="141"/>
    <w:p>
      <w:pPr>
        <w:jc w:val="center"/>
        <w:ind w:right="120"/>
        <w:spacing w:after="0"/>
        <w:rPr>
          <w:sz w:val="20"/>
          <w:szCs w:val="20"/>
          <w:color w:val="auto"/>
        </w:rPr>
      </w:pPr>
      <w:r>
        <w:rPr>
          <w:rFonts w:ascii="Arial" w:cs="Arial" w:eastAsia="Arial" w:hAnsi="Arial"/>
          <w:sz w:val="18"/>
          <w:szCs w:val="18"/>
          <w:color w:val="auto"/>
        </w:rPr>
        <w:t>Sales by product category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Twelve Months Ended</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Specialty Ingredients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Cellulosics</w:t>
            </w:r>
          </w:p>
        </w:tc>
        <w:tc>
          <w:tcPr>
            <w:tcW w:w="4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839</w:t>
            </w:r>
          </w:p>
        </w:tc>
        <w:tc>
          <w:tcPr>
            <w:tcW w:w="4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837</w:t>
            </w:r>
          </w:p>
        </w:tc>
        <w:tc>
          <w:tcPr>
            <w:tcW w:w="4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Poly-vinyl pyrrolidones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Adhesives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Actives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Vinyl ethers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Pharmachem</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6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2,382</w:t>
            </w:r>
          </w:p>
        </w:tc>
        <w:tc>
          <w:tcPr>
            <w:tcW w:w="2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2,470</w:t>
            </w:r>
          </w:p>
        </w:tc>
        <w:tc>
          <w:tcPr>
            <w:tcW w:w="2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Derivatives</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4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4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Butanediol</w:t>
            </w:r>
          </w:p>
        </w:tc>
        <w:tc>
          <w:tcPr>
            <w:tcW w:w="16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4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4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2,493</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2,589</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(a)  Other includes no product category in excess of 10% of sales.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NOTE S – REPORTABLE SEGMENT INFORMATION</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is the primary measure on the Statements of Consolidated Comprehensive Income (Loss) that is reviewed by the chief operating decision maker in assessing each reportable segment's financial performance. Ashland does not aggregate operating segments to arrive at these reportable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Reportable Segments</w:t>
      </w:r>
    </w:p>
    <w:p>
      <w:pPr>
        <w:spacing w:after="0" w:line="11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Ashland’s reportable segments were impacted in the current year due to the disposal of the Composites reportable segment and Intermediates and Solvents Marl facility and reclassification to discontinued operations. As a result, Ashland's operations are managed by the chief operating decision maker within the following two reportable segments: Specialty Ingredients and Intermediates and Solvents.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 business descriptions</w:t>
      </w:r>
    </w:p>
    <w:p>
      <w:pPr>
        <w:spacing w:after="0" w:line="117" w:lineRule="exact"/>
        <w:rPr>
          <w:sz w:val="20"/>
          <w:szCs w:val="20"/>
          <w:color w:val="auto"/>
        </w:rPr>
      </w:pPr>
    </w:p>
    <w:p>
      <w:pPr>
        <w:jc w:val="both"/>
        <w:ind w:firstLine="401"/>
        <w:spacing w:after="0" w:line="312" w:lineRule="auto"/>
        <w:rPr>
          <w:sz w:val="20"/>
          <w:szCs w:val="20"/>
          <w:color w:val="auto"/>
        </w:rPr>
      </w:pPr>
      <w:r>
        <w:rPr>
          <w:rFonts w:ascii="Arial" w:cs="Arial" w:eastAsia="Arial" w:hAnsi="Arial"/>
          <w:sz w:val="16"/>
          <w:szCs w:val="16"/>
          <w:color w:val="auto"/>
        </w:rPr>
        <w:t>Specialty Ingredients offers industry-leading products, technologies and resources for solving formulation and product-performance challenges. Using natural, synthetic and semisynthetic polymers derived from cellulose ethers, vinyl pyrrolidones, acrylic polymers, polyester and polyurethane-based adhesives, and plant and seed extract, Specialty Ingredients offers comprehensive and innovative solutions for consumer and industrial applications.</w:t>
      </w:r>
    </w:p>
    <w:p>
      <w:pPr>
        <w:spacing w:after="0" w:line="39"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Key customers include pharmaceutical companies; makers of personal care products, food and beverages manufacturers; makers of nutraceuticals and supplements; manufacturers of paint, coatings and construction materials; packaging and converting; and oilfield service companies.</w:t>
      </w:r>
    </w:p>
    <w:p>
      <w:pPr>
        <w:spacing w:after="0" w:line="38"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Intermediates and Solvents is a leading producer of 1,4 butanediol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 at cost.</w:t>
      </w:r>
    </w:p>
    <w:p>
      <w:pPr>
        <w:spacing w:after="0" w:line="7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On August 30, 2019, Ashland completed the sale if its Composites segment (excluding the Maleic business) and Intermediates and Solvents Marl facility. As a result, the financial information for Intermediates and Solvents excludes the activity from the Marl facility due to the divestiture and have been restated in prior periods.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2" w:name="page143"/>
    <w:bookmarkEnd w:id="142"/>
    <w:p>
      <w:pPr>
        <w:jc w:val="both"/>
        <w:ind w:firstLine="401"/>
        <w:spacing w:after="0" w:line="277" w:lineRule="auto"/>
        <w:rPr>
          <w:sz w:val="20"/>
          <w:szCs w:val="20"/>
          <w:color w:val="auto"/>
        </w:rPr>
      </w:pPr>
      <w:r>
        <w:rPr>
          <w:rFonts w:ascii="Arial" w:cs="Arial" w:eastAsia="Arial" w:hAnsi="Arial"/>
          <w:sz w:val="18"/>
          <w:szCs w:val="18"/>
          <w:color w:val="auto"/>
        </w:rPr>
        <w:t>Unallocated and Other generally includes items such as certain significant company-wide restructuring activities, including internal separation costs, and legacy costs or adjustments that relate to divested businesses that are no longer operated by Ashland.</w:t>
      </w:r>
    </w:p>
    <w:p>
      <w:pPr>
        <w:spacing w:after="0" w:line="62"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including stranded costs,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data</w:t>
      </w:r>
    </w:p>
    <w:p>
      <w:pPr>
        <w:spacing w:after="0" w:line="117"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Information about Ashland’s domestic and international operations follows. Ashland has no operations in any individual international country or single customer that represented more than 10% of sales in 2019, 2018 or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Net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4"/>
          </w:tcPr>
          <w:p>
            <w:pPr>
              <w:jc w:val="right"/>
              <w:ind w:right="210"/>
              <w:spacing w:after="0"/>
              <w:rPr>
                <w:sz w:val="20"/>
                <w:szCs w:val="20"/>
                <w:color w:val="auto"/>
              </w:rPr>
            </w:pPr>
            <w:r>
              <w:rPr>
                <w:rFonts w:ascii="Arial" w:cs="Arial" w:eastAsia="Arial" w:hAnsi="Arial"/>
                <w:sz w:val="18"/>
                <w:szCs w:val="18"/>
                <w:color w:val="auto"/>
                <w:w w:val="92"/>
              </w:rPr>
              <w:t>Property, plant and</w:t>
            </w:r>
          </w:p>
        </w:tc>
      </w:tr>
      <w:tr>
        <w:trPr>
          <w:trHeight w:val="230"/>
        </w:trPr>
        <w:tc>
          <w:tcPr>
            <w:tcW w:w="2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99"/>
              </w:rPr>
              <w:t>Sales to external customers</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(liabilities)</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equipment - net</w:t>
            </w:r>
          </w:p>
        </w:tc>
      </w:tr>
      <w:tr>
        <w:trPr>
          <w:trHeight w:val="223"/>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23"/>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9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997</w:t>
            </w:r>
          </w:p>
        </w:tc>
        <w:tc>
          <w:tcPr>
            <w:tcW w:w="50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1,789</w:t>
            </w:r>
          </w:p>
        </w:tc>
        <w:tc>
          <w:tcPr>
            <w:tcW w:w="4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1,142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1,231</w:t>
            </w: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2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1,592</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1,429</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2,264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r>
      <w:tr>
        <w:trPr>
          <w:trHeight w:val="223"/>
        </w:trPr>
        <w:tc>
          <w:tcPr>
            <w:tcW w:w="264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2,493</w:t>
            </w:r>
          </w:p>
        </w:tc>
        <w:tc>
          <w:tcPr>
            <w:tcW w:w="1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2,589</w:t>
            </w:r>
          </w:p>
        </w:tc>
        <w:tc>
          <w:tcPr>
            <w:tcW w:w="1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3"/>
              </w:rPr>
              <w:t>2,309</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3,571</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3,406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w:t>
            </w:r>
          </w:p>
        </w:tc>
      </w:tr>
      <w:tr>
        <w:trPr>
          <w:trHeight w:val="20"/>
        </w:trPr>
        <w:tc>
          <w:tcPr>
            <w:tcW w:w="2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 results</w:t>
      </w:r>
    </w:p>
    <w:p>
      <w:pPr>
        <w:spacing w:after="0" w:line="117"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The following tables present various financial information for each reportable segment for the years ended September 30, 2019, 2018 and 2017 and as of September 30, 2019, 2018 and 2017. 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costs to its reportable segments except for certain significant company-wide restructuring activities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to Unallocated and other.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74"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Ashland determined that disclosing sales by specific product was impracticable due to the highly customized and extensive portfolio of products offered to customers and since no one product or a small group of products could be aggregated together to represent a majority of revenue within a reportable segment. As such, see Note S for sales by product category for each reportable segment.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3" w:name="page144"/>
    <w:bookmarkEnd w:id="143"/>
    <w:p>
      <w:pPr>
        <w:ind w:right="20" w:firstLine="401"/>
        <w:spacing w:after="0" w:line="342" w:lineRule="auto"/>
        <w:rPr>
          <w:sz w:val="20"/>
          <w:szCs w:val="20"/>
          <w:color w:val="auto"/>
        </w:rPr>
      </w:pPr>
      <w:r>
        <w:rPr>
          <w:rFonts w:ascii="Arial" w:cs="Arial" w:eastAsia="Arial" w:hAnsi="Arial"/>
          <w:sz w:val="16"/>
          <w:szCs w:val="16"/>
          <w:color w:val="auto"/>
        </w:rPr>
        <w:t>The following table presents various financial information for each reportable segment. The operating results of divested divisions and assets during 2019, 2018 and 2017 that did not qualify for discontinued operations accounting treatment are included in the financial information until the date of sale.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Years Ended 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23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23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Specialty Ingredients</w:t>
            </w:r>
          </w:p>
        </w:tc>
        <w:tc>
          <w:tcPr>
            <w:tcW w:w="28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2,382</w:t>
            </w:r>
          </w:p>
        </w:tc>
        <w:tc>
          <w:tcPr>
            <w:tcW w:w="6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2,470</w:t>
            </w:r>
          </w:p>
        </w:tc>
        <w:tc>
          <w:tcPr>
            <w:tcW w:w="66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Intermediates and Solvents</w:t>
            </w:r>
          </w:p>
        </w:tc>
        <w:tc>
          <w:tcPr>
            <w:tcW w:w="23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20" w:type="dxa"/>
            <w:vAlign w:val="bottom"/>
            <w:tcBorders>
              <w:bottom w:val="single" w:sz="8" w:color="CFF0FC"/>
            </w:tcBorders>
          </w:tcPr>
          <w:p>
            <w:pPr>
              <w:spacing w:after="0"/>
              <w:rPr>
                <w:sz w:val="22"/>
                <w:szCs w:val="22"/>
                <w:color w:val="auto"/>
              </w:rPr>
            </w:pPr>
          </w:p>
        </w:tc>
        <w:tc>
          <w:tcPr>
            <w:tcW w:w="234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2,493</w:t>
            </w: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2,589</w:t>
            </w:r>
          </w:p>
        </w:tc>
        <w:tc>
          <w:tcPr>
            <w:tcW w:w="16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income</w:t>
            </w:r>
          </w:p>
        </w:tc>
        <w:tc>
          <w:tcPr>
            <w:tcW w:w="23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Specialty Ingredients</w:t>
            </w:r>
          </w:p>
        </w:tc>
        <w:tc>
          <w:tcPr>
            <w:tcW w:w="28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Intermediates and Solvents</w:t>
            </w:r>
          </w:p>
        </w:tc>
        <w:tc>
          <w:tcPr>
            <w:tcW w:w="23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2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Specialty Ingredients</w:t>
            </w:r>
          </w:p>
        </w:tc>
        <w:tc>
          <w:tcPr>
            <w:tcW w:w="28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Intermediates and Solvents</w:t>
            </w:r>
          </w:p>
        </w:tc>
        <w:tc>
          <w:tcPr>
            <w:tcW w:w="2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Unallocated and other</w:t>
            </w:r>
          </w:p>
        </w:tc>
        <w:tc>
          <w:tcPr>
            <w:tcW w:w="23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Equity and other income</w:t>
            </w:r>
          </w:p>
        </w:tc>
        <w:tc>
          <w:tcPr>
            <w:tcW w:w="234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Borders>
              <w:top w:val="single" w:sz="8" w:color="CFF0FC"/>
            </w:tcBorders>
            <w:shd w:val="clear" w:color="auto" w:fill="CFF0FC"/>
          </w:tcPr>
          <w:p>
            <w:pPr>
              <w:spacing w:after="0"/>
              <w:rPr>
                <w:sz w:val="18"/>
                <w:szCs w:val="18"/>
                <w:color w:val="auto"/>
              </w:rPr>
            </w:pPr>
          </w:p>
        </w:tc>
        <w:tc>
          <w:tcPr>
            <w:tcW w:w="234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2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Specialty Ingredients</w:t>
            </w:r>
          </w:p>
        </w:tc>
        <w:tc>
          <w:tcPr>
            <w:tcW w:w="28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272</w:t>
            </w:r>
          </w:p>
        </w:tc>
        <w:tc>
          <w:tcPr>
            <w:tcW w:w="64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314</w:t>
            </w:r>
          </w:p>
        </w:tc>
        <w:tc>
          <w:tcPr>
            <w:tcW w:w="66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Intermediates and Solvents</w:t>
            </w:r>
          </w:p>
        </w:tc>
        <w:tc>
          <w:tcPr>
            <w:tcW w:w="2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Unallocated and other</w:t>
            </w:r>
          </w:p>
        </w:tc>
        <w:tc>
          <w:tcPr>
            <w:tcW w:w="23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20" w:type="dxa"/>
            <w:vAlign w:val="bottom"/>
            <w:tcBorders>
              <w:bottom w:val="single" w:sz="8" w:color="CFF0FC"/>
            </w:tcBorders>
          </w:tcPr>
          <w:p>
            <w:pPr>
              <w:spacing w:after="0"/>
              <w:rPr>
                <w:sz w:val="22"/>
                <w:szCs w:val="22"/>
                <w:color w:val="auto"/>
              </w:rPr>
            </w:pPr>
          </w:p>
        </w:tc>
        <w:tc>
          <w:tcPr>
            <w:tcW w:w="234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w:t>
            </w: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3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Specialty Ingredients</w:t>
            </w:r>
          </w:p>
        </w:tc>
        <w:tc>
          <w:tcPr>
            <w:tcW w:w="28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5,705</w:t>
            </w:r>
          </w:p>
        </w:tc>
        <w:tc>
          <w:tcPr>
            <w:tcW w:w="6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5,955</w:t>
            </w:r>
          </w:p>
        </w:tc>
        <w:tc>
          <w:tcPr>
            <w:tcW w:w="66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Intermediates and Solvents</w:t>
            </w:r>
          </w:p>
        </w:tc>
        <w:tc>
          <w:tcPr>
            <w:tcW w:w="2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Unallocated and other</w:t>
            </w:r>
          </w:p>
        </w:tc>
        <w:tc>
          <w:tcPr>
            <w:tcW w:w="23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1,361</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2,112</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7,251</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8,259</w:t>
            </w: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2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vMerge w:val="continue"/>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Specialty Ingredients</w:t>
            </w:r>
          </w:p>
        </w:tc>
        <w:tc>
          <w:tcPr>
            <w:tcW w:w="28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273</w:t>
            </w:r>
          </w:p>
        </w:tc>
        <w:tc>
          <w:tcPr>
            <w:tcW w:w="64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252</w:t>
            </w:r>
          </w:p>
        </w:tc>
        <w:tc>
          <w:tcPr>
            <w:tcW w:w="66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Intermediates and Solvents</w:t>
            </w:r>
          </w:p>
        </w:tc>
        <w:tc>
          <w:tcPr>
            <w:tcW w:w="2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Unallocated and other</w:t>
            </w:r>
          </w:p>
        </w:tc>
        <w:tc>
          <w:tcPr>
            <w:tcW w:w="23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20" w:type="dxa"/>
            <w:vAlign w:val="bottom"/>
            <w:tcBorders>
              <w:bottom w:val="single" w:sz="8" w:color="CFF0FC"/>
            </w:tcBorders>
          </w:tcPr>
          <w:p>
            <w:pPr>
              <w:spacing w:after="0"/>
              <w:rPr>
                <w:sz w:val="22"/>
                <w:szCs w:val="22"/>
                <w:color w:val="auto"/>
              </w:rPr>
            </w:pPr>
          </w:p>
        </w:tc>
        <w:tc>
          <w:tcPr>
            <w:tcW w:w="234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w:t>
            </w:r>
          </w:p>
        </w:tc>
        <w:tc>
          <w:tcPr>
            <w:tcW w:w="14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w:t>
            </w:r>
          </w:p>
        </w:tc>
        <w:tc>
          <w:tcPr>
            <w:tcW w:w="16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plant and equipment - net</w:t>
            </w:r>
          </w:p>
        </w:tc>
        <w:tc>
          <w:tcPr>
            <w:tcW w:w="23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Specialty Ingredients</w:t>
            </w:r>
          </w:p>
        </w:tc>
        <w:tc>
          <w:tcPr>
            <w:tcW w:w="28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1,377</w:t>
            </w:r>
          </w:p>
        </w:tc>
        <w:tc>
          <w:tcPr>
            <w:tcW w:w="6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1,434</w:t>
            </w:r>
          </w:p>
        </w:tc>
        <w:tc>
          <w:tcPr>
            <w:tcW w:w="66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Intermediates and Solvents</w:t>
            </w:r>
          </w:p>
        </w:tc>
        <w:tc>
          <w:tcPr>
            <w:tcW w:w="2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Unallocated and other</w:t>
            </w:r>
          </w:p>
        </w:tc>
        <w:tc>
          <w:tcPr>
            <w:tcW w:w="23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1,577</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1,646</w:t>
            </w: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Additions to property, plant and equipment</w:t>
            </w:r>
          </w:p>
        </w:tc>
        <w:tc>
          <w:tcPr>
            <w:tcW w:w="2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vMerge w:val="continue"/>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Specialty Ingredients</w:t>
            </w:r>
          </w:p>
        </w:tc>
        <w:tc>
          <w:tcPr>
            <w:tcW w:w="28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137</w:t>
            </w:r>
          </w:p>
        </w:tc>
        <w:tc>
          <w:tcPr>
            <w:tcW w:w="64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w:t>
            </w:r>
          </w:p>
        </w:tc>
        <w:tc>
          <w:tcPr>
            <w:tcW w:w="66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Intermediates and Solvents</w:t>
            </w:r>
          </w:p>
        </w:tc>
        <w:tc>
          <w:tcPr>
            <w:tcW w:w="2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Unallocated and other</w:t>
            </w:r>
          </w:p>
        </w:tc>
        <w:tc>
          <w:tcPr>
            <w:tcW w:w="23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60" w:type="dxa"/>
            <w:vAlign w:val="bottom"/>
            <w:gridSpan w:val="2"/>
          </w:tcPr>
          <w:p>
            <w:pPr>
              <w:jc w:val="right"/>
              <w:ind w:right="1330"/>
              <w:spacing w:after="0"/>
              <w:rPr>
                <w:sz w:val="20"/>
                <w:szCs w:val="20"/>
                <w:color w:val="auto"/>
              </w:rPr>
            </w:pPr>
            <w:r>
              <w:rPr>
                <w:rFonts w:ascii="Arial" w:cs="Arial" w:eastAsia="Arial" w:hAnsi="Arial"/>
                <w:sz w:val="18"/>
                <w:szCs w:val="18"/>
                <w:color w:val="auto"/>
              </w:rPr>
              <w:t>F-66</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NOTE T – SUBSEQUENT EVENTS</w:t>
      </w:r>
    </w:p>
    <w:p>
      <w:pPr>
        <w:spacing w:after="0" w:line="135" w:lineRule="exact"/>
        <w:rPr>
          <w:sz w:val="20"/>
          <w:szCs w:val="20"/>
          <w:color w:val="auto"/>
        </w:rPr>
      </w:pPr>
    </w:p>
    <w:p>
      <w:pPr>
        <w:jc w:val="both"/>
        <w:ind w:right="20" w:firstLine="401"/>
        <w:spacing w:after="0" w:line="264" w:lineRule="auto"/>
        <w:rPr>
          <w:sz w:val="20"/>
          <w:szCs w:val="20"/>
          <w:color w:val="auto"/>
        </w:rPr>
      </w:pPr>
      <w:r>
        <w:rPr>
          <w:rFonts w:ascii="Arial" w:cs="Arial" w:eastAsia="Arial" w:hAnsi="Arial"/>
          <w:sz w:val="18"/>
          <w:szCs w:val="18"/>
          <w:color w:val="auto"/>
        </w:rPr>
        <w:t>On October 8, 2019, Ashland announced that the Board of Directors elected Guillermo Novo as chairman and CEO of Ashland, effective December 31, 2019. William A. Wulfsohn will continue to serve as chairman and CEO through the end of this calendar year. Costs associated with this transition will be incurred in the first quarter of fiscal 2020.</w:t>
      </w:r>
    </w:p>
    <w:p>
      <w:pPr>
        <w:spacing w:after="0" w:line="73"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On November 19, 2019, Ashland received notice that it was named as one of seventeen defendants in a lawsuit seeking roughly $100 million in monetary damages related to a plant fire at an Israeli facility. This claim allegedly relates to a product of Ashland’s now divested Composites business. Ashland is currently in the process of retaining outside counsel, reviewing the merits of the claim, and reviewing its contractual rights and obligations under the Stock and Asset Purchase Agreement with respect to this matter. No reserves have been established for this lawsuit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quarterly financial information and per share data relative to Ashland’s Common Stock.</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Quarters ended</w:t>
            </w:r>
          </w:p>
        </w:tc>
        <w:tc>
          <w:tcPr>
            <w:tcW w:w="18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4"/>
          </w:tcPr>
          <w:p>
            <w:pPr>
              <w:ind w:left="180"/>
              <w:spacing w:after="0"/>
              <w:rPr>
                <w:sz w:val="20"/>
                <w:szCs w:val="20"/>
                <w:color w:val="auto"/>
              </w:rPr>
            </w:pPr>
            <w:r>
              <w:rPr>
                <w:rFonts w:ascii="Arial" w:cs="Arial" w:eastAsia="Arial" w:hAnsi="Arial"/>
                <w:sz w:val="18"/>
                <w:szCs w:val="18"/>
                <w:color w:val="auto"/>
              </w:rPr>
              <w:t>December 31</w:t>
            </w: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March 31</w:t>
            </w: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June 30</w:t>
            </w:r>
          </w:p>
        </w:tc>
        <w:tc>
          <w:tcPr>
            <w:tcW w:w="6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2019</w:t>
            </w: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3"/>
              </w:rPr>
              <w:t xml:space="preserve">2019 </w:t>
            </w:r>
            <w:r>
              <w:rPr>
                <w:rFonts w:ascii="Arial" w:cs="Arial" w:eastAsia="Arial" w:hAnsi="Arial"/>
                <w:sz w:val="14"/>
                <w:szCs w:val="14"/>
                <w:color w:val="auto"/>
                <w:w w:val="93"/>
              </w:rPr>
              <w:t>(a)</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3"/>
              </w:rPr>
              <w:t xml:space="preserve">2018 </w:t>
            </w:r>
            <w:r>
              <w:rPr>
                <w:rFonts w:ascii="Arial" w:cs="Arial" w:eastAsia="Arial" w:hAnsi="Arial"/>
                <w:sz w:val="14"/>
                <w:szCs w:val="14"/>
                <w:color w:val="auto"/>
                <w:w w:val="93"/>
              </w:rPr>
              <w:t>(b)</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576</w:t>
            </w:r>
          </w:p>
        </w:tc>
        <w:tc>
          <w:tcPr>
            <w:tcW w:w="2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667</w:t>
            </w:r>
          </w:p>
        </w:tc>
        <w:tc>
          <w:tcPr>
            <w:tcW w:w="3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672</w:t>
            </w:r>
          </w:p>
        </w:tc>
        <w:tc>
          <w:tcPr>
            <w:tcW w:w="28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641</w:t>
            </w:r>
          </w:p>
        </w:tc>
        <w:tc>
          <w:tcPr>
            <w:tcW w:w="2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668</w:t>
            </w:r>
          </w:p>
        </w:tc>
        <w:tc>
          <w:tcPr>
            <w:tcW w:w="2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609</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9"/>
                <w:szCs w:val="19"/>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469</w:t>
            </w:r>
          </w:p>
        </w:tc>
        <w:tc>
          <w:tcPr>
            <w:tcW w:w="30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Gross profit as a percentage of sales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0.72</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0.66</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0.38</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0.18</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0.45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Net income (loss) attributable</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to Ashland</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(0.76)</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1.17</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6.80</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(1.14)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0.71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0.65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0.37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0.18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0.44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(loss) attributable</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460"/>
              <w:spacing w:after="0"/>
              <w:rPr>
                <w:sz w:val="20"/>
                <w:szCs w:val="20"/>
                <w:color w:val="auto"/>
              </w:rPr>
            </w:pPr>
            <w:r>
              <w:rPr>
                <w:rFonts w:ascii="Arial" w:cs="Arial" w:eastAsia="Arial" w:hAnsi="Arial"/>
                <w:sz w:val="18"/>
                <w:szCs w:val="18"/>
                <w:color w:val="auto"/>
              </w:rPr>
              <w:t>to Ashland</w:t>
            </w:r>
          </w:p>
        </w:tc>
        <w:tc>
          <w:tcPr>
            <w:tcW w:w="18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(0.76)</w:t>
            </w:r>
          </w:p>
        </w:tc>
        <w:tc>
          <w:tcPr>
            <w:tcW w:w="2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6.71</w:t>
            </w:r>
          </w:p>
        </w:tc>
        <w:tc>
          <w:tcPr>
            <w:tcW w:w="18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Regular cash dividends per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0.250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0.225</w:t>
            </w:r>
          </w:p>
        </w:tc>
        <w:tc>
          <w:tcPr>
            <w:tcW w:w="8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0.250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0.225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0.275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0.250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0.275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left="300" w:hanging="292"/>
        <w:spacing w:after="0" w:line="225" w:lineRule="auto"/>
        <w:tabs>
          <w:tab w:leader="none" w:pos="3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Fourth quarter results for 2019 included pre-tax key items of $11 million related to the loss on pension and postretirement benefit plan remeasurements, $6 million debt refinancing costs, $5 million gain on securities, $1 million related to restructuring, separation and other costs, and $1 million favorable true-up related to proxy costs. In addition, a $372 million (net of tax) gain on sale was recorded for the completed sale of the Composites segment (excluding the Maleic business) and the Marl facility within net income. Income tax expense for the fourth quarter included $11 million of net unfavorable tax specific key items.</w:t>
      </w:r>
    </w:p>
    <w:p>
      <w:pPr>
        <w:spacing w:after="0" w:line="2" w:lineRule="exact"/>
        <w:rPr>
          <w:rFonts w:ascii="Arial" w:cs="Arial" w:eastAsia="Arial" w:hAnsi="Arial"/>
          <w:sz w:val="14"/>
          <w:szCs w:val="14"/>
          <w:color w:val="auto"/>
        </w:rPr>
      </w:pPr>
    </w:p>
    <w:p>
      <w:pPr>
        <w:jc w:val="both"/>
        <w:ind w:left="300" w:hanging="292"/>
        <w:spacing w:after="0" w:line="232" w:lineRule="auto"/>
        <w:tabs>
          <w:tab w:leader="none" w:pos="3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Fourth quarter results for 2018 included pre-tax key items of $50 million related to restructuring, separation and other costs, $16 million of asset impairment charges, $14 million related to the gain on pension and postretirement benefit plan remeasurements and $5 million of tax indemnity expense. Income tax benefit for the fourth quarter included $1 million of net unfavorable tax specific key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Five-Year Selected Financial Information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Years Ended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 xml:space="preserve">(In millions except per share data) </w:t>
            </w:r>
            <w:r>
              <w:rPr>
                <w:rFonts w:ascii="Arial" w:cs="Arial" w:eastAsia="Arial" w:hAnsi="Arial"/>
                <w:sz w:val="14"/>
                <w:szCs w:val="14"/>
                <w:color w:val="auto"/>
              </w:rPr>
              <w:t>(a)</w:t>
            </w:r>
          </w:p>
        </w:tc>
        <w:tc>
          <w:tcPr>
            <w:tcW w:w="6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2019</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2018</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2017</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2016</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Summary of operations</w:t>
            </w:r>
          </w:p>
        </w:tc>
        <w:tc>
          <w:tcPr>
            <w:tcW w:w="6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Sales</w:t>
            </w: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2,493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2,589</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2,309</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2,179</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Cost of sales</w:t>
            </w:r>
          </w:p>
        </w:tc>
        <w:tc>
          <w:tcPr>
            <w:tcW w:w="6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1,726</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1,726</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1,580</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1,463</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1,657</w:t>
            </w:r>
          </w:p>
        </w:tc>
        <w:tc>
          <w:tcPr>
            <w:tcW w:w="0" w:type="dxa"/>
            <w:vAlign w:val="bottom"/>
          </w:tcPr>
          <w:p>
            <w:pPr>
              <w:spacing w:after="0"/>
              <w:rPr>
                <w:sz w:val="1"/>
                <w:szCs w:val="1"/>
                <w:color w:val="auto"/>
              </w:rPr>
            </w:pPr>
          </w:p>
        </w:tc>
      </w:tr>
      <w:tr>
        <w:trPr>
          <w:trHeight w:val="207"/>
        </w:trPr>
        <w:tc>
          <w:tcPr>
            <w:tcW w:w="46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w:t>
            </w: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Equity and other income (loss)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6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166</w:t>
            </w: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Net interest and other financing expense</w:t>
            </w:r>
          </w:p>
        </w:tc>
        <w:tc>
          <w:tcPr>
            <w:tcW w:w="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Other net periodic benefit income (costs)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Net gain (loss) on acquisitions and divestitures</w:t>
            </w:r>
          </w:p>
        </w:tc>
        <w:tc>
          <w:tcPr>
            <w:tcW w:w="6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7"/>
        </w:trPr>
        <w:tc>
          <w:tcPr>
            <w:tcW w:w="466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 before income taxes</w:t>
            </w: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 (benefit)</w:t>
            </w:r>
          </w:p>
        </w:tc>
        <w:tc>
          <w:tcPr>
            <w:tcW w:w="6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7"/>
        </w:trPr>
        <w:tc>
          <w:tcPr>
            <w:tcW w:w="466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w:t>
            </w: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Income from discontinued operations</w:t>
            </w:r>
          </w:p>
        </w:tc>
        <w:tc>
          <w:tcPr>
            <w:tcW w:w="6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07"/>
        </w:trPr>
        <w:tc>
          <w:tcPr>
            <w:tcW w:w="466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Net income attributable to noncontrolling interest</w:t>
            </w:r>
          </w:p>
        </w:tc>
        <w:tc>
          <w:tcPr>
            <w:tcW w:w="6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4660" w:type="dxa"/>
            <w:vAlign w:val="bottom"/>
            <w:gridSpan w:val="2"/>
          </w:tcPr>
          <w:p>
            <w:pPr>
              <w:spacing w:after="0"/>
              <w:rPr>
                <w:sz w:val="20"/>
                <w:szCs w:val="20"/>
                <w:color w:val="auto"/>
              </w:rPr>
            </w:pPr>
            <w:r>
              <w:rPr>
                <w:rFonts w:ascii="Arial" w:cs="Arial" w:eastAsia="Arial" w:hAnsi="Arial"/>
                <w:sz w:val="16"/>
                <w:szCs w:val="16"/>
                <w:color w:val="auto"/>
              </w:rPr>
              <w:t>Net income (loss) attributable to Ashland</w:t>
            </w: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505</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114</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64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Balance sheet information (as of September 30)</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1,433</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1,712</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1,904</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2,888</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3,095</w:t>
            </w:r>
          </w:p>
        </w:tc>
        <w:tc>
          <w:tcPr>
            <w:tcW w:w="0" w:type="dxa"/>
            <w:vAlign w:val="bottom"/>
          </w:tcPr>
          <w:p>
            <w:pPr>
              <w:spacing w:after="0"/>
              <w:rPr>
                <w:sz w:val="1"/>
                <w:szCs w:val="1"/>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Working capital</w:t>
            </w:r>
          </w:p>
        </w:tc>
        <w:tc>
          <w:tcPr>
            <w:tcW w:w="6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shd w:val="clear" w:color="auto" w:fill="CFF0FC"/>
          </w:tcPr>
          <w:p>
            <w:pPr>
              <w:spacing w:after="0"/>
              <w:rPr>
                <w:sz w:val="18"/>
                <w:szCs w:val="18"/>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676</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636</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936</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1,650</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7,251</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8,259</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8,618</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10,000</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10,068</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Short-term debt</w:t>
            </w: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166</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254</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235</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170</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1,501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2,275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2,584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2,325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3,348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Equity</w:t>
            </w: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3,571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3,406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3,406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3,165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 information</w:t>
            </w:r>
          </w:p>
        </w:tc>
        <w:tc>
          <w:tcPr>
            <w:tcW w:w="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rPr>
                <w:sz w:val="20"/>
                <w:szCs w:val="20"/>
                <w:color w:val="auto"/>
              </w:rPr>
            </w:pPr>
            <w:r>
              <w:rPr>
                <w:rFonts w:ascii="Arial" w:cs="Arial" w:eastAsia="Arial" w:hAnsi="Arial"/>
                <w:sz w:val="16"/>
                <w:szCs w:val="16"/>
                <w:color w:val="auto"/>
              </w:rPr>
              <w:t>Cash flows provided (used) by operating activities from</w:t>
            </w: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Arial" w:cs="Arial" w:eastAsia="Arial" w:hAnsi="Arial"/>
                <w:sz w:val="16"/>
                <w:szCs w:val="16"/>
                <w:color w:val="auto"/>
              </w:rPr>
              <w:t>continuing operations</w:t>
            </w: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228</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241</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291</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Additions to property, plant and equipment</w:t>
            </w: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Cash dividends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6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Common stock information</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6"/>
                <w:szCs w:val="16"/>
                <w:color w:val="auto"/>
              </w:rPr>
              <w:t>Basic earnings per share</w:t>
            </w: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240"/>
              <w:spacing w:after="0"/>
              <w:rPr>
                <w:sz w:val="20"/>
                <w:szCs w:val="20"/>
                <w:color w:val="auto"/>
              </w:rPr>
            </w:pPr>
            <w:r>
              <w:rPr>
                <w:rFonts w:ascii="Arial" w:cs="Arial" w:eastAsia="Arial" w:hAnsi="Arial"/>
                <w:sz w:val="16"/>
                <w:szCs w:val="16"/>
                <w:color w:val="auto"/>
              </w:rPr>
              <w:t>Income (loss) from continuing operations</w:t>
            </w: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0.39</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0.30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(2.90)</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(4.16)</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income (loss) attributable to Ashland</w:t>
            </w: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8.15</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1.82</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color w:val="auto"/>
              </w:rPr>
              <w:t>Diluted earnings per share</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Income (loss) from continuing operations</w:t>
            </w: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0.39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0.29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240"/>
              <w:spacing w:after="0"/>
              <w:rPr>
                <w:sz w:val="20"/>
                <w:szCs w:val="20"/>
                <w:color w:val="auto"/>
              </w:rPr>
            </w:pPr>
            <w:r>
              <w:rPr>
                <w:rFonts w:ascii="Arial" w:cs="Arial" w:eastAsia="Arial" w:hAnsi="Arial"/>
                <w:sz w:val="16"/>
                <w:szCs w:val="16"/>
                <w:color w:val="auto"/>
              </w:rPr>
              <w:t>Net income (loss) attributable to Ashland</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gridSpan w:val="2"/>
          </w:tcPr>
          <w:p>
            <w:pPr>
              <w:spacing w:after="0"/>
              <w:rPr>
                <w:sz w:val="20"/>
                <w:szCs w:val="20"/>
                <w:color w:val="auto"/>
              </w:rPr>
            </w:pPr>
            <w:r>
              <w:rPr>
                <w:rFonts w:ascii="Arial" w:cs="Arial" w:eastAsia="Arial" w:hAnsi="Arial"/>
                <w:sz w:val="16"/>
                <w:szCs w:val="16"/>
                <w:color w:val="auto"/>
              </w:rPr>
              <w:t>Dividends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left="300" w:hanging="292"/>
        <w:spacing w:after="0" w:line="238" w:lineRule="auto"/>
        <w:tabs>
          <w:tab w:leader="none" w:pos="3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As a result of the final Valvoline Inc. distribution on May 12, 2017 and the Composites and Marl facility divestiture (including the Maleic business), these assets, liabilities, operating results and cash flows for all periods presented have been classified as discontinued operations within the Consolidated Financial Statements. See Note B and D within the Notes to Consolidated Financial Statements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F-70</w:t>
      </w:r>
    </w:p>
    <w:p>
      <w:pPr>
        <w:sectPr>
          <w:pgSz w:w="11900" w:h="16838" w:orient="portrait"/>
          <w:cols w:equalWidth="0" w:num="1">
            <w:col w:w="9019"/>
          </w:cols>
          <w:pgMar w:left="1440" w:top="1440" w:right="1440" w:bottom="1440" w:gutter="0" w:footer="0" w:header="0"/>
          <w:type w:val="continuous"/>
        </w:sectPr>
      </w:pPr>
    </w:p>
    <w:bookmarkStart w:id="148" w:name="page149"/>
    <w:bookmarkEnd w:id="148"/>
    <w:p>
      <w:pPr>
        <w:jc w:val="right"/>
        <w:spacing w:after="0"/>
        <w:rPr>
          <w:sz w:val="20"/>
          <w:szCs w:val="20"/>
          <w:color w:val="auto"/>
        </w:rPr>
      </w:pPr>
      <w:r>
        <w:rPr>
          <w:rFonts w:ascii="Arial" w:cs="Arial" w:eastAsia="Arial" w:hAnsi="Arial"/>
          <w:sz w:val="20"/>
          <w:szCs w:val="20"/>
          <w:color w:val="auto"/>
        </w:rPr>
        <w:t>Exhibit 4.14(a)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PURSUANT TO SECTION 12 OF THE</w:t>
      </w: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Capital Stock</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The following summary of the terms of Ashland Global Holdings Inc.’s (“Ashland”) capital stock is based upon Ashland’s Amended and Restated Certificate of Incorporation (the “Certificate”) and Ashland’s By-laws, amended and restated as of November 15, 2017 (the “By-laws”). The summary is not complete, and is qualified by reference to Ashland’s Certificate of Incorporation and By-laws, which are filed as exhibits to this Annual Report on Form 10-K and are incorporated by reference herein. We encourage you to read the Certificate, By-laws and the applicable provisions of the Delaware General Corporation Law (“DGCL”) for 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Shares of Capital Stock</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Ashland’s authorized capital stock consists of 200,000,000 shares of common stock, $0.01 par value, and 30,000,000 shares of preferred stock, no par value, in one or more series. As of October 31, 2019, there were 60,183,754 shares of Ashland common stock issued and outstanding and no shares of preferred stock issued and outstanding.</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Ashland’s common stock is listed and principally traded on the New York Stock Exchange under the symbol “ASH”.</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Each share of common stock entitles its holder to one vote in the election of directors and other matters properly submitted to a vote of the holders of Ashland common stock; provided, however, that, except where required by law, holders of Ashland common stock will not be entitled to vote on any amendment to Ashland’s Certificate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Rights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Subject to any prior rights of the holders of any preferred stock that may be outstanding, holders of common stock are entitled to receive, on a pro rata basis, such dividends and distributions, if any, as may be lawfully declared from time to time by the Ashland board of directors (the “Ashland Board”). Declaration and payment of dividends are subject to the discretion of the Ashland Board, and the holders of outstanding shares of Ashland common stock will be entitled to receive dividends only when declared by the Ashland Board. If declared, dividends may be paid in cash, in property or in shares of Ashland’s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9" w:name="page150"/>
    <w:bookmarkEnd w:id="149"/>
    <w:p>
      <w:pPr>
        <w:spacing w:after="0"/>
        <w:rPr>
          <w:sz w:val="20"/>
          <w:szCs w:val="20"/>
          <w:color w:val="auto"/>
        </w:rPr>
      </w:pPr>
      <w:r>
        <w:rPr>
          <w:rFonts w:ascii="Arial" w:cs="Arial" w:eastAsia="Arial" w:hAnsi="Arial"/>
          <w:sz w:val="20"/>
          <w:szCs w:val="20"/>
          <w:b w:val="1"/>
          <w:bCs w:val="1"/>
          <w:color w:val="auto"/>
        </w:rPr>
        <w:t>Liquidation Rights</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the event of Ashland’s liquidation, dissolution or winding up, either voluntary or involuntary, subject to any prior rights of the holders of any preferred stock that may be outstanding, the holders of Ashland common stock will be entitled to share, ratably according to the number of shares of common stock held by them, in all of Ashland’s remaining assets legally available for distribution to its stockholders after payment of all of Ashland’s prior obligations.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Rights and Preferences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holders of Ashland common stock will not have preemptive or other subscription rights. There are no redemption or sinking fund provisions applicable to Ashland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Ashland Board may, by a majority vote and without stockholder approval, designate and issue, out of the unissued authorized shares of preferred stock, shares of preferred stock from time to time in one or more series. Each such series will have such distinctive designation as shall be stated and expressed in the resolution or resolutions adopted by the Ashland Board providing for the initial issuance of shares of such series. The Ashland Board may fix and determine the preferences, limitations and relative rights of each series of preferred stock, including voting rights (if any), which could have the effect of, among other things, restricting dividends on the Ashland common stock, diluting the voting power of the Ashland common stock or providing that holders of preferred stock have the right to vote on matters as a class, impairing the liquidation rights of the Ashland common stock, or delaying or discouraging a change in control of Ashland or the removal of Ashland’s existing directors.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EQ Shareowner Services is the transfer agent and registrar of Ashland’s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Certificate of Incorporation and By-laws Provisions</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Election of Directors. </w:t>
      </w:r>
      <w:r>
        <w:rPr>
          <w:rFonts w:ascii="Arial" w:cs="Arial" w:eastAsia="Arial" w:hAnsi="Arial"/>
          <w:sz w:val="20"/>
          <w:szCs w:val="20"/>
          <w:color w:val="auto"/>
        </w:rPr>
        <w:t>Ashland’s Certificate and By-laws provide that directors shall be elected at each annual meeting and shall hold office</w:t>
      </w:r>
      <w:r>
        <w:rPr>
          <w:rFonts w:ascii="Arial" w:cs="Arial" w:eastAsia="Arial" w:hAnsi="Arial"/>
          <w:sz w:val="20"/>
          <w:szCs w:val="20"/>
          <w:i w:val="1"/>
          <w:iCs w:val="1"/>
          <w:color w:val="auto"/>
        </w:rPr>
        <w:t xml:space="preserve"> </w:t>
      </w:r>
      <w:r>
        <w:rPr>
          <w:rFonts w:ascii="Arial" w:cs="Arial" w:eastAsia="Arial" w:hAnsi="Arial"/>
          <w:sz w:val="20"/>
          <w:szCs w:val="20"/>
          <w:color w:val="auto"/>
        </w:rPr>
        <w:t>until the next annual meeting of stockholders and until each of their successors has been duly elected and qualified. The vote required for the election of directors, other than in a contested election of directors, shall be the affirmative vote of a majority of the votes cast with respect to a director nominee. In any contested election of directors, the persons receiving the greatest number of the votes cast for their election, up to the number of directors to be elected in such election, shall be deemed elected. Ashland’s Certificate does not grant stockholders the right to vote cumulatively.</w:t>
      </w:r>
    </w:p>
    <w:p>
      <w:pPr>
        <w:spacing w:after="0" w:line="8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 xml:space="preserve">Action by Written Consent. </w:t>
      </w:r>
      <w:r>
        <w:rPr>
          <w:rFonts w:ascii="Arial" w:cs="Arial" w:eastAsia="Arial" w:hAnsi="Arial"/>
          <w:sz w:val="18"/>
          <w:szCs w:val="18"/>
          <w:color w:val="auto"/>
        </w:rPr>
        <w:t>Under Ashland’s Certificate, subject to the rights of the holders of any outstanding series of preferred stock,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required or permitted to be taken by Ashland’s stockholders may be effected by the unanimous written consent of such stockholders.</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Special Meetings. </w:t>
      </w:r>
      <w:r>
        <w:rPr>
          <w:rFonts w:ascii="Arial" w:cs="Arial" w:eastAsia="Arial" w:hAnsi="Arial"/>
          <w:sz w:val="20"/>
          <w:szCs w:val="20"/>
          <w:color w:val="auto"/>
        </w:rPr>
        <w:t>Under Ashland’s By-laws, subject to certain disclosure and procedural requirements, a special meeting of stockholders may</w:t>
      </w:r>
      <w:r>
        <w:rPr>
          <w:rFonts w:ascii="Arial" w:cs="Arial" w:eastAsia="Arial" w:hAnsi="Arial"/>
          <w:sz w:val="20"/>
          <w:szCs w:val="20"/>
          <w:i w:val="1"/>
          <w:iCs w:val="1"/>
          <w:color w:val="auto"/>
        </w:rPr>
        <w:t xml:space="preserve"> </w:t>
      </w:r>
      <w:r>
        <w:rPr>
          <w:rFonts w:ascii="Arial" w:cs="Arial" w:eastAsia="Arial" w:hAnsi="Arial"/>
          <w:sz w:val="20"/>
          <w:szCs w:val="20"/>
          <w:color w:val="auto"/>
        </w:rPr>
        <w:t>be called by either the Ashland Board or by the Secretary of the Corporation upon receipt of a written request from record holders of shares representing at least thirty-three percent (33%) of the issued and outstanding shares of capital stock entitled to vote on any issue proposed to be considered at such meeting.</w:t>
      </w:r>
    </w:p>
    <w:p>
      <w:pPr>
        <w:spacing w:after="0" w:line="8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Advance Notice Requirements for Stockholder Proposals and Director Nominees. </w:t>
      </w:r>
      <w:r>
        <w:rPr>
          <w:rFonts w:ascii="Arial" w:cs="Arial" w:eastAsia="Arial" w:hAnsi="Arial"/>
          <w:sz w:val="18"/>
          <w:szCs w:val="18"/>
          <w:color w:val="auto"/>
        </w:rPr>
        <w:t>Ashland’s By-laws require stockholders seeking to nominate</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for election as directors at an annual or special meeting of stockholders, or to bring other business before an annual or special meeting, to provide timely notice, in proper form, to Ashland’s corporate secretary. Such notice must be in proper written form and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50" w:name="page151"/>
    <w:bookmarkEnd w:id="150"/>
    <w:p>
      <w:pPr>
        <w:jc w:val="both"/>
        <w:spacing w:after="0" w:line="246" w:lineRule="auto"/>
        <w:rPr>
          <w:sz w:val="20"/>
          <w:szCs w:val="20"/>
          <w:color w:val="auto"/>
        </w:rPr>
      </w:pPr>
      <w:r>
        <w:rPr>
          <w:rFonts w:ascii="Arial" w:cs="Arial" w:eastAsia="Arial" w:hAnsi="Arial"/>
          <w:sz w:val="20"/>
          <w:szCs w:val="20"/>
          <w:color w:val="auto"/>
        </w:rPr>
        <w:t>set forth certain information described in the By-laws related to the stockholder giving the notice, any other beneficial owner of Ashland capital stock owned by such stockholder and certain affiliates of the foregoing. These provisions might preclude stockholders from bringing matters before an annual meeting of stockholders or from making nominations for directors at our annual meeting of stockholders if the proper procedures are not followed.</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Certain Amendments to the Certificate. </w:t>
      </w:r>
      <w:r>
        <w:rPr>
          <w:rFonts w:ascii="Arial" w:cs="Arial" w:eastAsia="Arial" w:hAnsi="Arial"/>
          <w:sz w:val="19"/>
          <w:szCs w:val="19"/>
          <w:color w:val="auto"/>
        </w:rPr>
        <w:t>The DGCL provides that amendments to the certificate of incorporation generally require the board of</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directors to adopt a resolution setting forth the proposed amendment, which must then be approved by the affirmative vote of a majority of the voting power of outstanding stock entitled to vote thereon and a majority of the voting power of outstanding stock of each class entitled to vote thereon separately as a class. However, a corporation’s certificate of incorporation may provide for a greater vote.</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addition to any vote required by law, Ashland’s Certificate requires the affirmative vote of holders of at least 80% of the voting power of the then outstanding voting stock of Ashland, voting together as a single class, to amend, alter, change, or repeal or to adopt any provision inconsistent with the provisions regarding (i) this 80% voting requirement; (ii) the board size, vacancies and terms of office and election and nomination of directors; (iii) action by written consent of the stockholders and (iv) the adoption, amendment or repeal of by-laws.</w:t>
      </w:r>
    </w:p>
    <w:p>
      <w:pPr>
        <w:spacing w:after="0" w:line="5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Ashland’s Certificate also provides that, except as otherwise required by law, holders of common stock, as such, shall not be entitled to vote on any amendment to Ashland’s Certificate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Ashland’s Certificate (including any certificate of designation relating to any series of preferred stock) or pursuant to the DGCL.</w:t>
      </w:r>
    </w:p>
    <w:p>
      <w:pPr>
        <w:spacing w:after="0" w:line="7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Certain Amendments to the By-laws. </w:t>
      </w:r>
      <w:r>
        <w:rPr>
          <w:rFonts w:ascii="Arial" w:cs="Arial" w:eastAsia="Arial" w:hAnsi="Arial"/>
          <w:sz w:val="20"/>
          <w:szCs w:val="20"/>
          <w:color w:val="auto"/>
        </w:rPr>
        <w:t>Under the DGCL, the power to adopt, alter and repeal by-laws is vested in the stockholders, except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extent that a corporation’s certificate of incorporation vests concurrent power in the board of directors. Ashland’s Certificate expressly authorizes the Ashland Board to adopt, repeal, alter or amend Ashland’s By-laws by the vote of a majority of the entire Ashland Board or such greater vote as shall be specified in the By-laws.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Ashland’s Certificate expressly provides that for stockholders to adopt, alter, amend or repeal by-laws, the affirmative vote of the holders of at least 80% of the then outstanding voting power of Ashland, voting as a single class, is required.</w:t>
      </w:r>
    </w:p>
    <w:p>
      <w:pPr>
        <w:spacing w:after="0" w:line="6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color w:val="auto"/>
        </w:rPr>
        <w:t>Exclusive Forum</w:t>
      </w:r>
      <w:r>
        <w:rPr>
          <w:rFonts w:ascii="Arial" w:cs="Arial" w:eastAsia="Arial" w:hAnsi="Arial"/>
          <w:sz w:val="20"/>
          <w:szCs w:val="20"/>
          <w:color w:val="auto"/>
        </w:rPr>
        <w:t>. Ashland’s By-laws provide that, unless Ashland consents in writing to the selection of another forum, the Court of Chancery</w:t>
      </w:r>
      <w:r>
        <w:rPr>
          <w:rFonts w:ascii="Arial" w:cs="Arial" w:eastAsia="Arial" w:hAnsi="Arial"/>
          <w:sz w:val="20"/>
          <w:szCs w:val="20"/>
          <w:i w:val="1"/>
          <w:iCs w:val="1"/>
          <w:color w:val="auto"/>
        </w:rPr>
        <w:t xml:space="preserve"> </w:t>
      </w:r>
      <w:r>
        <w:rPr>
          <w:rFonts w:ascii="Arial" w:cs="Arial" w:eastAsia="Arial" w:hAnsi="Arial"/>
          <w:sz w:val="20"/>
          <w:szCs w:val="20"/>
          <w:color w:val="auto"/>
        </w:rPr>
        <w:t>of the State of Delaware shall be the exclusive forum for: (i) any derivative action or proceeding brought on Ashland’s behalf, (ii) any action asserting a claim of breach of fiduciary duty owed by any director, officer or employee to Ashland or its stockholders, (iii) any action asserting a claim pursuant to the DGCL or (iv) any action asserting a claim governed by the internal affairs doctrine. In the event the Court of Chancery of the State of Delaware lacks subject matter jurisdiction over any such action or proceeding, the sole and exclusive forum for such action or proceeding shall be another state or federal court located within the State of Delaware. Ashland’s By-laws provide that any person or entity purchasing or otherwise acquiring any interest in shares of our capital stock shall be deemed to have notice of and to have consented to this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b w:val="1"/>
          <w:bCs w:val="1"/>
          <w:color w:val="auto"/>
        </w:rPr>
        <w:t>Anti-Takeover Effects under Certain Delaware Laws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Ashland is subject to Section 203 of the DGCL, which, subject to certain exceptions, prohibits a Delaware corporation from engaging in any “business combination” (as defined below) with any “interested stockholder” (as defined below) for a period of three years following the date that such stockholder became an interested stockholder, unless: (i) prior to such date, the board of directors of the corporation approved either the business combination or the transaction that resulted in the stockholder becoming an interested stockholder; (ii) 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(a) by persons who are directors and also officers and (b) by employee stock plans in which employee participants do not have the right to determine confidentially whether shares held subject to the plan will be tendered in a tender or exchange offer; or (iii) on or subsequent to such date, the business combination is approved by the board of directors and authorized at an annual or special meeting of stockholders, and not by written consent, by the affirmative vote of at least 66⅔% of the outstanding voting stock that is not owned by the interested stockholder.</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Section 203 of the DGCL defines “business combination” to include: (i) any merger or consolidation involving the corporation and the interested stockholder; (ii) any sale, transfer, pledge or other disposition of 10% or more of the assets of the corporation involving the interested stockholder; (iii) subject to certain exceptions, any transaction that results in the issuance or transfer by the corporation of any stock of the corporation to the interested stockholder; (iv) any transaction involving the corporation that has the effect of increasing the proportionate share of the stock of any class or series of the corporation beneficially owned by the interested stockholder; or (v) the receipt by the interested stockholder of the benefit of any loans, advances, guarantees, pledges or other financial benefits provided by or through the corporation. In general, Section 203 defines an “interested stockholder” as any entity or person beneficially owning 15% or more of the outstanding voting stock of the corporation and any entity or person affiliated with or controlling or controlled by such entity or person.</w:t>
      </w:r>
    </w:p>
    <w:p>
      <w:pPr>
        <w:sectPr>
          <w:pgSz w:w="11900" w:h="16838" w:orient="portrait"/>
          <w:cols w:equalWidth="0" w:num="1">
            <w:col w:w="11420"/>
          </w:cols>
          <w:pgMar w:left="240" w:top="22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Exhibit 4.14(b)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2043 NOTES</w:t>
      </w:r>
    </w:p>
    <w:p>
      <w:pPr>
        <w:spacing w:after="0" w:line="189" w:lineRule="exact"/>
        <w:rPr>
          <w:sz w:val="20"/>
          <w:szCs w:val="20"/>
          <w:color w:val="auto"/>
        </w:rPr>
      </w:pPr>
    </w:p>
    <w:p>
      <w:pPr>
        <w:ind w:right="100" w:firstLine="877"/>
        <w:spacing w:after="0" w:line="272" w:lineRule="auto"/>
        <w:rPr>
          <w:sz w:val="20"/>
          <w:szCs w:val="20"/>
          <w:color w:val="auto"/>
        </w:rPr>
      </w:pPr>
      <w:r>
        <w:rPr>
          <w:rFonts w:ascii="Arial" w:cs="Arial" w:eastAsia="Arial" w:hAnsi="Arial"/>
          <w:sz w:val="17"/>
          <w:szCs w:val="17"/>
          <w:b w:val="1"/>
          <w:bCs w:val="1"/>
          <w:i w:val="1"/>
          <w:iCs w:val="1"/>
          <w:color w:val="auto"/>
        </w:rPr>
        <w:t>The following summary of our 6.875% Senior Notes due 2043 (the “Original 2043 Notes”) is based on and qualified by the Indenture, dated as of February 26, 2013</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between the Company and U.S. Bank National Association, as trustee (the “Trustee”), as supplemented by a first supplemental indenture, dated as of February 26, 2013, and by a second supplemental indenture, dated as of March 14, 2013, and by a third supplemental indenture dated as of October 19, 2016 (such indenture, as so supplemented, the “Indenture”). For a complete description of the terms and provisions of the Company’s notes, refer to the Indenture, which is filed as an exhibit to this Annual Report on Form 10-K and to the Form of 2022 Note, which is filed as an exhibit to the Form 8-K filed with the Securities and Exchange Commission on September 21, 2012. Throughout this exhibit, references to “we,” “our,” and “us” refer to Ashland LLC.</w:t>
      </w:r>
    </w:p>
    <w:p>
      <w:pPr>
        <w:spacing w:after="0" w:line="70" w:lineRule="exact"/>
        <w:rPr>
          <w:sz w:val="20"/>
          <w:szCs w:val="20"/>
          <w:color w:val="auto"/>
        </w:rPr>
      </w:pPr>
    </w:p>
    <w:p>
      <w:pPr>
        <w:ind w:right="60" w:firstLine="877"/>
        <w:spacing w:after="0" w:line="273" w:lineRule="auto"/>
        <w:rPr>
          <w:sz w:val="20"/>
          <w:szCs w:val="20"/>
          <w:color w:val="auto"/>
        </w:rPr>
      </w:pPr>
      <w:r>
        <w:rPr>
          <w:rFonts w:ascii="Arial" w:cs="Arial" w:eastAsia="Arial" w:hAnsi="Arial"/>
          <w:sz w:val="17"/>
          <w:szCs w:val="17"/>
          <w:color w:val="auto"/>
        </w:rPr>
        <w:t>We issued the Original 2043 Notes and issued the exchange of the Original 2043 Notes for an equivalent amount of registered 6.875% Senior Notes due 2043 (the “Exchange 2043 Notes”) under the Indenture. We refer to the Original 2043 Notes and the Exchange 2043 Notes together as the “notes”. In connection with the issuance and sale of the Original 2043 Notes, we entered into two registration rights agreements (the “Registration Rights Agreements”) with the initial purchasers, under which we agreed to use our commercially reasonable efforts to cause to be filed and have declared effective an exchange offer registration statement under the Securities Act and to consummate the exchange offers for such notes. The exchange offers were made pursuant to the registration rights agreements to satisfy our obligations under those agreements.</w:t>
      </w:r>
    </w:p>
    <w:p>
      <w:pPr>
        <w:spacing w:after="0" w:line="70" w:lineRule="exact"/>
        <w:rPr>
          <w:sz w:val="20"/>
          <w:szCs w:val="20"/>
          <w:color w:val="auto"/>
        </w:rPr>
      </w:pPr>
    </w:p>
    <w:p>
      <w:pPr>
        <w:ind w:right="380" w:firstLine="877"/>
        <w:spacing w:after="0" w:line="342" w:lineRule="auto"/>
        <w:rPr>
          <w:sz w:val="20"/>
          <w:szCs w:val="20"/>
          <w:color w:val="auto"/>
        </w:rPr>
      </w:pPr>
      <w:r>
        <w:rPr>
          <w:rFonts w:ascii="Arial" w:cs="Arial" w:eastAsia="Arial" w:hAnsi="Arial"/>
          <w:sz w:val="16"/>
          <w:szCs w:val="16"/>
          <w:color w:val="auto"/>
        </w:rPr>
        <w:t>The indenture governs the obligations of the Company under the notes. The terms of the notes include those stated in the indenture and those made part of the indenture by reference to the Trust Indenture Act of 1939, as amended (the “TIA”). The notes are subject to all such terms.</w:t>
      </w:r>
    </w:p>
    <w:p>
      <w:pPr>
        <w:spacing w:after="0" w:line="16" w:lineRule="exact"/>
        <w:rPr>
          <w:sz w:val="20"/>
          <w:szCs w:val="20"/>
          <w:color w:val="auto"/>
        </w:rPr>
      </w:pPr>
    </w:p>
    <w:p>
      <w:pPr>
        <w:ind w:right="40" w:firstLine="877"/>
        <w:spacing w:after="0" w:line="308" w:lineRule="auto"/>
        <w:rPr>
          <w:sz w:val="20"/>
          <w:szCs w:val="20"/>
          <w:color w:val="auto"/>
        </w:rPr>
      </w:pPr>
      <w:r>
        <w:rPr>
          <w:rFonts w:ascii="Arial" w:cs="Arial" w:eastAsia="Arial" w:hAnsi="Arial"/>
          <w:sz w:val="17"/>
          <w:szCs w:val="17"/>
          <w:color w:val="auto"/>
        </w:rPr>
        <w:t>You can find the definitions of certain terms used in this description under “—Certain Definitions.” Defined terms used in this description but not defined below under “—Certain Definitions” or elsewhere in this description have the meanings assigned to them in the indenture.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right="20" w:firstLine="877"/>
        <w:spacing w:after="0" w:line="264" w:lineRule="auto"/>
        <w:rPr>
          <w:sz w:val="20"/>
          <w:szCs w:val="20"/>
          <w:color w:val="auto"/>
        </w:rPr>
      </w:pPr>
      <w:r>
        <w:rPr>
          <w:rFonts w:ascii="Arial" w:cs="Arial" w:eastAsia="Arial" w:hAnsi="Arial"/>
          <w:sz w:val="18"/>
          <w:szCs w:val="18"/>
          <w:color w:val="auto"/>
        </w:rPr>
        <w:t>The notes will mature on May 15, 2043. Interest on the notes will accrue at a rate of 6.875% per year and will be payable semi-annually in arrears on May 15 and November 15, beginning on November 15, 2013. We pay interest to those persons who were holders of record of the notes on the May 1 and November 1, as the case may be, immediately preceding each applicable interest payment date.</w:t>
      </w:r>
    </w:p>
    <w:p>
      <w:pPr>
        <w:spacing w:after="0" w:line="7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Interest on the notes accrued from the date of original issuance or, if interest had already been paid, from the date it was most recently paid.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 is computed on the basis of a 360-day year comprised of twelve 30-day months.</w:t>
      </w:r>
    </w:p>
    <w:p>
      <w:pPr>
        <w:spacing w:after="0" w:line="103" w:lineRule="exact"/>
        <w:rPr>
          <w:sz w:val="20"/>
          <w:szCs w:val="20"/>
          <w:color w:val="auto"/>
        </w:rPr>
      </w:pPr>
    </w:p>
    <w:p>
      <w:pPr>
        <w:ind w:right="20" w:firstLine="877"/>
        <w:spacing w:after="0" w:line="257" w:lineRule="auto"/>
        <w:rPr>
          <w:sz w:val="20"/>
          <w:szCs w:val="20"/>
          <w:color w:val="auto"/>
        </w:rPr>
      </w:pPr>
      <w:r>
        <w:rPr>
          <w:rFonts w:ascii="Arial" w:cs="Arial" w:eastAsia="Arial" w:hAnsi="Arial"/>
          <w:sz w:val="18"/>
          <w:szCs w:val="18"/>
          <w:color w:val="auto"/>
        </w:rPr>
        <w:t>If an interest payment date for the notes falls on a date that is not a Business Day, then interest is paid on the next day that is a Business Day, and no interest on such payment will accrue for the period from and after such interest payment date. If a redemption date, repurchase date or the maturity date for any note falls on a date that is not a Business Day, the related payments of principal, premium, if any, and interest may be made on the next succeeding Business Day, and no additional interest will accumulate on the amount payable for the period from and after such redemption date, repurchase date or maturity date.</w:t>
      </w:r>
    </w:p>
    <w:p>
      <w:pPr>
        <w:spacing w:after="0" w:line="80" w:lineRule="exact"/>
        <w:rPr>
          <w:sz w:val="20"/>
          <w:szCs w:val="20"/>
          <w:color w:val="auto"/>
        </w:rPr>
      </w:pPr>
    </w:p>
    <w:p>
      <w:pPr>
        <w:ind w:right="220" w:firstLine="877"/>
        <w:spacing w:after="0" w:line="257" w:lineRule="auto"/>
        <w:rPr>
          <w:sz w:val="20"/>
          <w:szCs w:val="20"/>
          <w:color w:val="auto"/>
        </w:rPr>
      </w:pPr>
      <w:r>
        <w:rPr>
          <w:rFonts w:ascii="Arial" w:cs="Arial" w:eastAsia="Arial" w:hAnsi="Arial"/>
          <w:sz w:val="18"/>
          <w:szCs w:val="18"/>
          <w:color w:val="auto"/>
        </w:rPr>
        <w:t>The Trustee will initially act as paying agent and registrar for the notes. The notes may be presented for registration of transfer and exchange at the offices of the registrar, which initially will be the paying agent’s corporate trust office. We may change any paying agent and registrar without notice to holders of the notes and we may act as paying agent or registrar. We will pay principal (and premium, if any) on the notes at the principal corporate trust office of the Trustee, as paying agent. At our option, interest may be paid at the paying agent’s corporate trust office or by check mailed to the registered address of the holders.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121" w:lineRule="exact"/>
        <w:rPr>
          <w:sz w:val="20"/>
          <w:szCs w:val="20"/>
          <w:color w:val="auto"/>
        </w:rPr>
      </w:pPr>
    </w:p>
    <w:p>
      <w:pPr>
        <w:ind w:right="80" w:firstLine="877"/>
        <w:spacing w:after="0" w:line="297" w:lineRule="auto"/>
        <w:rPr>
          <w:sz w:val="20"/>
          <w:szCs w:val="20"/>
          <w:color w:val="auto"/>
        </w:rPr>
      </w:pPr>
      <w:r>
        <w:rPr>
          <w:rFonts w:ascii="Arial" w:cs="Arial" w:eastAsia="Arial" w:hAnsi="Arial"/>
          <w:sz w:val="16"/>
          <w:szCs w:val="16"/>
          <w:color w:val="auto"/>
        </w:rPr>
        <w:t>For so long as the notes are represented by global notes registered in the name of DTC or its nominee, all payments on the notes will be made to DTC or its nominee as the registered holder thereof in accordance with applicable DTC procedures. If the global notes are exchanged for definitive notes and a holder of notes has given us wire transfer instructions, we will pay, or cause to be paid by the paying agent, all principal, premium, if any, and interest on such holder’s notes in accordance with those instructions. All other payments on the notes will be made at the office or agency of the paying agent and registrar unless we elect to make interest payments by check mailed to the holders at their address set forth in the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Guarantee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obligations under the notes and the indenture are guaranteed by Ashland Global Holdings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jc w:val="both"/>
        <w:ind w:right="100" w:firstLine="877"/>
        <w:spacing w:after="0" w:line="259" w:lineRule="auto"/>
        <w:rPr>
          <w:sz w:val="20"/>
          <w:szCs w:val="20"/>
          <w:color w:val="auto"/>
        </w:rPr>
      </w:pPr>
      <w:r>
        <w:rPr>
          <w:rFonts w:ascii="Arial" w:cs="Arial" w:eastAsia="Arial" w:hAnsi="Arial"/>
          <w:sz w:val="18"/>
          <w:szCs w:val="18"/>
          <w:color w:val="auto"/>
        </w:rPr>
        <w:t>The notes are unsecured unsubordinated obligations of the Company and rank equally in right of payment with all existing and future unsecured unsubordinated obligations of the Company and senior in right of payment to all existing and future subordinated obligations of the Company. The notes are subordinated to any of our existing and future secured debt to the extent of the value of the assets securing such debt. The notes are structurally subordinated to all existing and future liabilities of our subsidiaries.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right="300" w:firstLine="877"/>
        <w:spacing w:after="0" w:line="277" w:lineRule="auto"/>
        <w:rPr>
          <w:sz w:val="20"/>
          <w:szCs w:val="20"/>
          <w:color w:val="auto"/>
        </w:rPr>
      </w:pPr>
      <w:r>
        <w:rPr>
          <w:rFonts w:ascii="Arial" w:cs="Arial" w:eastAsia="Arial" w:hAnsi="Arial"/>
          <w:sz w:val="18"/>
          <w:szCs w:val="18"/>
          <w:color w:val="auto"/>
        </w:rPr>
        <w:t>At our option upon not less than 30 nor more than 60 days’ prior notice mailed by first-class mail to each holder’s registered address, we may redeem notes, in whole at any time or in part from time to time, as set forth below.</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may, prior to February 15, 2043, redeem the notes at a redemption price equal to the greater of:</w:t>
      </w:r>
    </w:p>
    <w:p>
      <w:pPr>
        <w:spacing w:after="0" w:line="117" w:lineRule="exact"/>
        <w:rPr>
          <w:sz w:val="20"/>
          <w:szCs w:val="20"/>
          <w:color w:val="auto"/>
        </w:rPr>
      </w:pPr>
    </w:p>
    <w:p>
      <w:pPr>
        <w:ind w:left="1300" w:hanging="428"/>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ind w:left="1300" w:right="60" w:hanging="428"/>
        <w:spacing w:after="0" w:line="259"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on the notes to be redeemed (exclusive of interest accrued to the redemption date) from the redemption date through the scheduled maturity date of the notes to be redeemed, discounted to the date of redemption on a semi-annual basis (assuming a 360-day year consisting of twelve 30-day months) at the Treasury Rate (as defined) plus 50 basis points.</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At any time on or after February 15, 2043, we may redeem the notes at a redemption price equal to 100% of the principal amount thereof.</w:t>
      </w:r>
    </w:p>
    <w:p>
      <w:pPr>
        <w:spacing w:after="0" w:line="129" w:lineRule="exact"/>
        <w:rPr>
          <w:sz w:val="20"/>
          <w:szCs w:val="20"/>
          <w:color w:val="auto"/>
        </w:rPr>
      </w:pPr>
    </w:p>
    <w:p>
      <w:pPr>
        <w:jc w:val="both"/>
        <w:ind w:right="300" w:firstLine="877"/>
        <w:spacing w:after="0" w:line="264" w:lineRule="auto"/>
        <w:rPr>
          <w:sz w:val="20"/>
          <w:szCs w:val="20"/>
          <w:color w:val="auto"/>
        </w:rPr>
      </w:pPr>
      <w:r>
        <w:rPr>
          <w:rFonts w:ascii="Arial" w:cs="Arial" w:eastAsia="Arial" w:hAnsi="Arial"/>
          <w:sz w:val="18"/>
          <w:szCs w:val="18"/>
          <w:color w:val="auto"/>
        </w:rPr>
        <w:t>In the case of any redemption, we also will pay accrued and unpaid interest and additional interest, if any, to, but not including, the applicable redemption date (subject to the right of holders of record of such notes on the relevant record date to receive interest due on the relevant interest payment date).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 of Redemption</w:t>
      </w:r>
    </w:p>
    <w:p>
      <w:pPr>
        <w:spacing w:after="0" w:line="121" w:lineRule="exact"/>
        <w:rPr>
          <w:sz w:val="20"/>
          <w:szCs w:val="20"/>
          <w:color w:val="auto"/>
        </w:rPr>
      </w:pPr>
    </w:p>
    <w:p>
      <w:pPr>
        <w:ind w:firstLine="877"/>
        <w:spacing w:after="0" w:line="264" w:lineRule="auto"/>
        <w:rPr>
          <w:sz w:val="20"/>
          <w:szCs w:val="20"/>
          <w:color w:val="auto"/>
        </w:rPr>
      </w:pPr>
      <w:r>
        <w:rPr>
          <w:rFonts w:ascii="Arial" w:cs="Arial" w:eastAsia="Arial" w:hAnsi="Arial"/>
          <w:sz w:val="18"/>
          <w:szCs w:val="18"/>
          <w:color w:val="auto"/>
        </w:rPr>
        <w:t>If we redeem less than all the notes at any time and the notes are in global form held by DTC, DTC will select the notes to be redeemed in accordance with its procedures. If the notes are not in global form held by DTC, the Trustee will select notes either pro rata, by lot or by such other method as the Trustee shall deem appropriate in accordance with industry standards at the time of such redemption.</w:t>
      </w:r>
    </w:p>
    <w:p>
      <w:pPr>
        <w:spacing w:after="0" w:line="73" w:lineRule="exact"/>
        <w:rPr>
          <w:sz w:val="20"/>
          <w:szCs w:val="20"/>
          <w:color w:val="auto"/>
        </w:rPr>
      </w:pPr>
    </w:p>
    <w:p>
      <w:pPr>
        <w:ind w:right="40" w:firstLine="877"/>
        <w:spacing w:after="0" w:line="271" w:lineRule="auto"/>
        <w:rPr>
          <w:sz w:val="20"/>
          <w:szCs w:val="20"/>
          <w:color w:val="auto"/>
        </w:rPr>
      </w:pPr>
      <w:r>
        <w:rPr>
          <w:rFonts w:ascii="Arial" w:cs="Arial" w:eastAsia="Arial" w:hAnsi="Arial"/>
          <w:sz w:val="17"/>
          <w:szCs w:val="17"/>
          <w:color w:val="auto"/>
        </w:rPr>
        <w:t>We will redeem notes of $2,000 or less in whole and not in part. We will cause notices of redemption to be mailed by first-class mail at least 30 but not more than 60 days before the redemption date to each holder of notes to be redeemed at its registered address. We may provide in the notice that payment of the redemption price and performance of our obligations with respect to the redemption or purchase may be performed by another Person. Any notice of redemption may be given prior to the completion of any event or transaction related to such redemption, and any such redemption or notice may, at our discretion, be subject to one or more conditions precedent. In addition, if such redemption or notice is subject to satisfaction of one or more conditions precedent, such notice shall state that, in our discretion, the redemption date may be delayed until such time as any or all such conditions shall be satisfied, or such redemption may not occur and such notice may be rescinded in the event that any or all such conditions shall not have been satisfied by the redemption date, or by the redemption date so delayed.</w:t>
      </w:r>
    </w:p>
    <w:p>
      <w:pPr>
        <w:spacing w:after="0" w:line="71" w:lineRule="exact"/>
        <w:rPr>
          <w:sz w:val="20"/>
          <w:szCs w:val="20"/>
          <w:color w:val="auto"/>
        </w:rPr>
      </w:pPr>
    </w:p>
    <w:p>
      <w:pPr>
        <w:ind w:right="40" w:firstLine="877"/>
        <w:spacing w:after="0" w:line="257" w:lineRule="auto"/>
        <w:rPr>
          <w:sz w:val="20"/>
          <w:szCs w:val="20"/>
          <w:color w:val="auto"/>
        </w:rPr>
      </w:pPr>
      <w:r>
        <w:rPr>
          <w:rFonts w:ascii="Arial" w:cs="Arial" w:eastAsia="Arial" w:hAnsi="Arial"/>
          <w:sz w:val="18"/>
          <w:szCs w:val="18"/>
          <w:color w:val="auto"/>
        </w:rPr>
        <w:t>If the notes are to be redeemed in part only, the notice of redemption that relates to the notes will state the portion of the principal amount thereof to be redeemed. We will issue a new note in a principal amount equal to the unredeemed portion of the original note in the name of the holder upon cancellation of the original note. Subject to the satisfaction or waiver of any condition to such redemption, notes called for redemption become due on the date fixed for redemption. On and after such date, unless we default in payment of the redemption price on such date, interest ceases to accrue on the notes or portions thereof called for such redemption.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Mandatory Redemption; Sinking Fund</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are not required to make mandatory redemption or sinking fund payments with respect to the notes.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121" w:lineRule="exact"/>
        <w:rPr>
          <w:sz w:val="20"/>
          <w:szCs w:val="20"/>
          <w:color w:val="auto"/>
        </w:rPr>
      </w:pPr>
    </w:p>
    <w:p>
      <w:pPr>
        <w:ind w:right="140" w:firstLine="877"/>
        <w:spacing w:after="0" w:line="257" w:lineRule="auto"/>
        <w:rPr>
          <w:sz w:val="20"/>
          <w:szCs w:val="20"/>
          <w:color w:val="auto"/>
        </w:rPr>
      </w:pPr>
      <w:r>
        <w:rPr>
          <w:rFonts w:ascii="Arial" w:cs="Arial" w:eastAsia="Arial" w:hAnsi="Arial"/>
          <w:sz w:val="18"/>
          <w:szCs w:val="18"/>
          <w:color w:val="auto"/>
        </w:rPr>
        <w:t>Upon the occurrence of a Change of Control Repurchase Event with respect to the notes, each holder of notes will have the right to require us to repurchase all or any part of such holder’s notes at a purchase price in cash equal to 101% of the principal amount thereof plus accrued and unpaid interest and additional interest, if any, to the date of repurchase (subject to the right of holders of record on the relevant record date to receive interest due on the relevant interest payment date), except to the extent we have previously or concurrently elected to redeem the notes as described under “—Optional Redemption.”</w:t>
      </w:r>
    </w:p>
    <w:p>
      <w:pPr>
        <w:spacing w:after="0" w:line="80"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Within 30 days following any Change of Control Repurchase Event with respect to the notes, except to the extent that we have exercised our right to redeem the notes by delivery of a notice of redemption as described under “—Optional Redemption,” we shall mail a notice (a “Change of Control Offer”) to each holder of notes with a copy to the Trustee stating:</w:t>
      </w:r>
    </w:p>
    <w:p>
      <w:pPr>
        <w:spacing w:after="0" w:line="73" w:lineRule="exact"/>
        <w:rPr>
          <w:sz w:val="20"/>
          <w:szCs w:val="20"/>
          <w:color w:val="auto"/>
        </w:rPr>
      </w:pPr>
    </w:p>
    <w:p>
      <w:pPr>
        <w:jc w:val="both"/>
        <w:ind w:left="1520" w:right="440" w:hanging="648"/>
        <w:spacing w:after="0" w:line="259" w:lineRule="auto"/>
        <w:tabs>
          <w:tab w:leader="none" w:pos="1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that a Change of Control Repurchase Event has occurred with respect to the notes and that such holder has the right to require us to repurchase such holder’s notes at a repurchase price in cash equal to 101% of the principal amount thereof plus accrued and unpaid interest and additional interest, if any, to the date of repurchase (subject to the right of holders of record on a record date to receive interest on the relevant interest payment date);</w:t>
      </w:r>
    </w:p>
    <w:p>
      <w:pPr>
        <w:spacing w:after="0" w:line="78" w:lineRule="exact"/>
        <w:rPr>
          <w:rFonts w:ascii="Arial" w:cs="Arial" w:eastAsia="Arial" w:hAnsi="Arial"/>
          <w:sz w:val="18"/>
          <w:szCs w:val="18"/>
          <w:color w:val="auto"/>
        </w:rPr>
      </w:pPr>
    </w:p>
    <w:p>
      <w:pPr>
        <w:ind w:left="1520" w:hanging="648"/>
        <w:spacing w:after="0"/>
        <w:tabs>
          <w:tab w:leader="none" w:pos="1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repurchase date (which shall be no earlier than 30 days nor later than 60 days from the date such notice is mailed); and</w:t>
      </w:r>
    </w:p>
    <w:p>
      <w:pPr>
        <w:spacing w:after="0" w:line="117" w:lineRule="exact"/>
        <w:rPr>
          <w:rFonts w:ascii="Arial" w:cs="Arial" w:eastAsia="Arial" w:hAnsi="Arial"/>
          <w:sz w:val="18"/>
          <w:szCs w:val="18"/>
          <w:color w:val="auto"/>
        </w:rPr>
      </w:pPr>
    </w:p>
    <w:p>
      <w:pPr>
        <w:ind w:left="1520" w:hanging="648"/>
        <w:spacing w:after="0"/>
        <w:tabs>
          <w:tab w:leader="none" w:pos="15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instructions determined by us, consistent with this covenant, that a holder must follow in order to have its notes purchased.</w:t>
      </w:r>
    </w:p>
    <w:p>
      <w:pPr>
        <w:spacing w:after="0" w:line="129" w:lineRule="exact"/>
        <w:rPr>
          <w:sz w:val="20"/>
          <w:szCs w:val="20"/>
          <w:color w:val="auto"/>
        </w:rPr>
      </w:pPr>
    </w:p>
    <w:p>
      <w:pPr>
        <w:ind w:right="280" w:firstLine="877"/>
        <w:spacing w:after="0" w:line="308" w:lineRule="auto"/>
        <w:rPr>
          <w:sz w:val="20"/>
          <w:szCs w:val="20"/>
          <w:color w:val="auto"/>
        </w:rPr>
      </w:pPr>
      <w:r>
        <w:rPr>
          <w:rFonts w:ascii="Arial" w:cs="Arial" w:eastAsia="Arial" w:hAnsi="Arial"/>
          <w:sz w:val="17"/>
          <w:szCs w:val="17"/>
          <w:color w:val="auto"/>
        </w:rPr>
        <w:t>A Change of Control Offer may be made in advance of a Change of Control Repurchase Event, and conditioned upon such Change of Control Repurchase Event, if a definitive agreement is in place for the Change of Control at the time of making of the Change of Control Offer.</w:t>
      </w:r>
    </w:p>
    <w:p>
      <w:pPr>
        <w:spacing w:after="0" w:line="38"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In addition, we will not be required to make a Change of Control Offer with respect to the notes upon the consummation of a Change of Control Repurchase Event if a third party makes the Change of Control Offer in the manner, at the time and otherwise in compliance with the requirements set forth in the indenture applicable to a Change of Control Offer made by us and purchases all notes properly tendered and not withdrawn under such Change of Control Offer.</w:t>
      </w:r>
    </w:p>
    <w:p>
      <w:pPr>
        <w:spacing w:after="0" w:line="79" w:lineRule="exact"/>
        <w:rPr>
          <w:sz w:val="20"/>
          <w:szCs w:val="20"/>
          <w:color w:val="auto"/>
        </w:rPr>
      </w:pPr>
    </w:p>
    <w:p>
      <w:pPr>
        <w:ind w:right="420" w:firstLine="877"/>
        <w:spacing w:after="0" w:line="264" w:lineRule="auto"/>
        <w:rPr>
          <w:sz w:val="20"/>
          <w:szCs w:val="20"/>
          <w:color w:val="auto"/>
        </w:rPr>
      </w:pPr>
      <w:r>
        <w:rPr>
          <w:rFonts w:ascii="Arial" w:cs="Arial" w:eastAsia="Arial" w:hAnsi="Arial"/>
          <w:sz w:val="18"/>
          <w:szCs w:val="18"/>
          <w:color w:val="auto"/>
        </w:rPr>
        <w:t>Notes repurchased by us pursuant to a Change of Control Offer will have the status of notes issued but not outstanding or will be retired and canceled at the option of the Company. Notes purchased by a third party pursuant to the preceding paragraph will have the status of notes issued and outstanding.</w:t>
      </w:r>
    </w:p>
    <w:p>
      <w:pPr>
        <w:spacing w:after="0" w:line="73"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We will comply, to the extent applicable, with the requirements of Section 14(e) of the Exchange Act and any other securities laws or regulations in connection with the repurchase of notes pursuant to this covenant. To the extent that the provisions of any securities laws or regulations conflict with provisions of this covenant, we will comply with the applicable securities laws and regulations and will not be deemed to have breached our obligations under this covenant by virtue thereof.</w:t>
      </w:r>
    </w:p>
    <w:p>
      <w:pPr>
        <w:spacing w:after="0" w:line="79" w:lineRule="exact"/>
        <w:rPr>
          <w:sz w:val="20"/>
          <w:szCs w:val="20"/>
          <w:color w:val="auto"/>
        </w:rPr>
      </w:pPr>
    </w:p>
    <w:p>
      <w:pPr>
        <w:ind w:right="760" w:firstLine="877"/>
        <w:spacing w:after="0" w:line="342" w:lineRule="auto"/>
        <w:rPr>
          <w:sz w:val="20"/>
          <w:szCs w:val="20"/>
          <w:color w:val="auto"/>
        </w:rPr>
      </w:pPr>
      <w:r>
        <w:rPr>
          <w:rFonts w:ascii="Arial" w:cs="Arial" w:eastAsia="Arial" w:hAnsi="Arial"/>
          <w:sz w:val="16"/>
          <w:szCs w:val="16"/>
          <w:color w:val="auto"/>
        </w:rPr>
        <w:t>The provisions under the indenture relating to our obligation to make an offer to repurchase the notes as a result of a Change of Control Repurchase Event may be waived or modified with the written consent of the holders of a majority in aggregate principal amount of the notes .</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Secured Debt</w:t>
      </w:r>
    </w:p>
    <w:p>
      <w:pPr>
        <w:spacing w:after="0" w:line="117" w:lineRule="exact"/>
        <w:rPr>
          <w:sz w:val="20"/>
          <w:szCs w:val="20"/>
          <w:color w:val="auto"/>
        </w:rPr>
      </w:pPr>
    </w:p>
    <w:p>
      <w:pPr>
        <w:ind w:right="60" w:firstLine="877"/>
        <w:spacing w:after="0" w:line="273" w:lineRule="auto"/>
        <w:rPr>
          <w:sz w:val="20"/>
          <w:szCs w:val="20"/>
          <w:color w:val="auto"/>
        </w:rPr>
      </w:pPr>
      <w:r>
        <w:rPr>
          <w:rFonts w:ascii="Arial" w:cs="Arial" w:eastAsia="Arial" w:hAnsi="Arial"/>
          <w:sz w:val="17"/>
          <w:szCs w:val="17"/>
          <w:color w:val="auto"/>
        </w:rPr>
        <w:t>The indenture provides that, after the Issue Date, neither the Company nor any Subsidiary (other than an Excluded Subsidiary) will create, incur, issue, assume or guarantee any Indebtedness secured by a mortgage, security interest, pledge or lien (which we refer to herein, collectively, as a “Mortgage”) on or upon any of their property or assets (which we refer to herein, collectively, as “Property”), whether owned at the date of the indenture or acquired after the date of the indenture, without ensuring that the notes (together with, if we choose, any other Indebtedness created, issued, assumed or guaranteed by the Company or any Subsidiary then existing or thereafter created) will be secured by such Mortgage equally and ratably with (or, at our option, prior to) such Indebtedness. This restriction will not apply to Indebtedness secured by any of the following:</w:t>
      </w:r>
    </w:p>
    <w:p>
      <w:pPr>
        <w:spacing w:after="0" w:line="70" w:lineRule="exact"/>
        <w:rPr>
          <w:sz w:val="20"/>
          <w:szCs w:val="20"/>
          <w:color w:val="auto"/>
        </w:rPr>
      </w:pPr>
    </w:p>
    <w:p>
      <w:pPr>
        <w:ind w:left="1520" w:right="40" w:hanging="648"/>
        <w:spacing w:after="0" w:line="290" w:lineRule="auto"/>
        <w:tabs>
          <w:tab w:leader="none" w:pos="15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Mortgages on any Property acquired, leased, constructed or improved by, or on any shares of Capital Stock or Indebtedness acquired by, us or any Subsidiary after the date of the indenture to secure Indebtedness incurred for the purpose of financing or refinancing all or any part of the purchase price of such Property, shares of Capital Stock or Indebtedness or of the cost of any construction or improvements on such Property, including Mortgages created as a result of an acquisition by way of Capital Lease, in each case, to the extent that the Indebtedness is incurred prior to or within one year after the applicable acquisition, lease, completion of construction or improvement or beginning of commercial operation of such Property,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for the avoidance of doubt, that any improvements that become subject to any pre-existing Mortgage on the Property to which such improvements are made need not be completed within one year after the incurrence of the Indebtedness giving rise to such Mortgage;</w:t>
      </w:r>
    </w:p>
    <w:p>
      <w:pPr>
        <w:spacing w:after="0" w:line="58" w:lineRule="exact"/>
        <w:rPr>
          <w:rFonts w:ascii="Arial" w:cs="Arial" w:eastAsia="Arial" w:hAnsi="Arial"/>
          <w:sz w:val="16"/>
          <w:szCs w:val="16"/>
          <w:color w:val="auto"/>
        </w:rPr>
      </w:pPr>
    </w:p>
    <w:p>
      <w:pPr>
        <w:ind w:left="1520" w:right="20" w:hanging="648"/>
        <w:spacing w:after="0" w:line="286" w:lineRule="auto"/>
        <w:tabs>
          <w:tab w:leader="none" w:pos="1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Mortgages on any Property, shares of Capital Stock or Indebtedness existing at the time we or any Subsidiary acquire any of the same and on any subsequent improvements to such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Mortgage in respect of Indebtedness existing at the time of acquisition of any such Property may apply to any subsequent improvements to such Property;</w:t>
      </w:r>
    </w:p>
    <w:p>
      <w:pPr>
        <w:spacing w:after="0" w:line="57" w:lineRule="exact"/>
        <w:rPr>
          <w:rFonts w:ascii="Arial" w:cs="Arial" w:eastAsia="Arial" w:hAnsi="Arial"/>
          <w:sz w:val="17"/>
          <w:szCs w:val="17"/>
          <w:color w:val="auto"/>
        </w:rPr>
      </w:pPr>
    </w:p>
    <w:p>
      <w:pPr>
        <w:ind w:left="1520" w:right="80" w:hanging="648"/>
        <w:spacing w:after="0" w:line="277" w:lineRule="auto"/>
        <w:tabs>
          <w:tab w:leader="none" w:pos="1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Mortgages on Property of a Person existing at the time we or any Subsidiary merge or consolidate with such Person or at the time we or any Subsidiary acquire all or substantially all of the Properties or Capital Stock of such Person;</w:t>
      </w:r>
    </w:p>
    <w:p>
      <w:pPr>
        <w:spacing w:after="0" w:line="62" w:lineRule="exact"/>
        <w:rPr>
          <w:rFonts w:ascii="Arial" w:cs="Arial" w:eastAsia="Arial" w:hAnsi="Arial"/>
          <w:sz w:val="18"/>
          <w:szCs w:val="18"/>
          <w:color w:val="auto"/>
        </w:rPr>
      </w:pPr>
    </w:p>
    <w:p>
      <w:pPr>
        <w:ind w:left="1520" w:right="300" w:hanging="648"/>
        <w:spacing w:after="0" w:line="277" w:lineRule="auto"/>
        <w:tabs>
          <w:tab w:leader="none" w:pos="1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Mortgages on (a) any Property of, or shares of Capital Stock or Indebtedness of, a Person existing at the time such Person becomes a Subsidiary or (b) any shares of Capital Stock or Indebtedness of a Joint Venture;</w:t>
      </w:r>
    </w:p>
    <w:p>
      <w:pPr>
        <w:spacing w:after="0" w:line="62" w:lineRule="exact"/>
        <w:rPr>
          <w:rFonts w:ascii="Arial" w:cs="Arial" w:eastAsia="Arial" w:hAnsi="Arial"/>
          <w:sz w:val="18"/>
          <w:szCs w:val="18"/>
          <w:color w:val="auto"/>
        </w:rPr>
      </w:pPr>
    </w:p>
    <w:p>
      <w:pPr>
        <w:ind w:left="1520" w:hanging="648"/>
        <w:spacing w:after="0"/>
        <w:tabs>
          <w:tab w:leader="none" w:pos="1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Mortgages in favor of us or any Subsidiary;</w:t>
      </w:r>
    </w:p>
    <w:p>
      <w:pPr>
        <w:spacing w:after="0" w:line="117" w:lineRule="exact"/>
        <w:rPr>
          <w:rFonts w:ascii="Arial" w:cs="Arial" w:eastAsia="Arial" w:hAnsi="Arial"/>
          <w:sz w:val="18"/>
          <w:szCs w:val="18"/>
          <w:color w:val="auto"/>
        </w:rPr>
      </w:pPr>
    </w:p>
    <w:p>
      <w:pPr>
        <w:ind w:left="1520" w:right="140" w:hanging="648"/>
        <w:spacing w:after="0" w:line="276" w:lineRule="auto"/>
        <w:tabs>
          <w:tab w:leader="none" w:pos="1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Mortgages in favor of the United States or any state thereof, or political subdivision of the United States or any state thereof, or any department, agency or instrumentality of the United States or any state thereof or any such political subdivision, to secure partial, progress, advance or other payments pursuant to any contract or statute or to secure Indebtedness incurred or guaranteed to finance or refinance all or any part of the purchase price of the Property, shares of Capital Stock or Indebtedness subject to any such Mortgage, or the cost of constructing or improving the Property subject to such Mortgage;</w:t>
      </w:r>
    </w:p>
    <w:p>
      <w:pPr>
        <w:spacing w:after="0" w:line="64" w:lineRule="exact"/>
        <w:rPr>
          <w:rFonts w:ascii="Arial" w:cs="Arial" w:eastAsia="Arial" w:hAnsi="Arial"/>
          <w:sz w:val="17"/>
          <w:szCs w:val="17"/>
          <w:color w:val="auto"/>
        </w:rPr>
      </w:pPr>
    </w:p>
    <w:p>
      <w:pPr>
        <w:ind w:left="1520" w:hanging="648"/>
        <w:spacing w:after="0"/>
        <w:tabs>
          <w:tab w:leader="none" w:pos="1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Mortgages to secure the Credit Agreement;</w:t>
      </w:r>
    </w:p>
    <w:p>
      <w:pPr>
        <w:spacing w:after="0" w:line="117" w:lineRule="exact"/>
        <w:rPr>
          <w:rFonts w:ascii="Arial" w:cs="Arial" w:eastAsia="Arial" w:hAnsi="Arial"/>
          <w:sz w:val="18"/>
          <w:szCs w:val="18"/>
          <w:color w:val="auto"/>
        </w:rPr>
      </w:pPr>
    </w:p>
    <w:p>
      <w:pPr>
        <w:ind w:left="1520" w:hanging="648"/>
        <w:spacing w:after="0"/>
        <w:tabs>
          <w:tab w:leader="none" w:pos="15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Mortgages on accounts receivables and related assets of the Company and its Subsidiaries pursuant to Qualified Receivables Financing;</w:t>
      </w:r>
    </w:p>
    <w:p>
      <w:pPr>
        <w:spacing w:after="0" w:line="140" w:lineRule="exact"/>
        <w:rPr>
          <w:rFonts w:ascii="Arial" w:cs="Arial" w:eastAsia="Arial" w:hAnsi="Arial"/>
          <w:sz w:val="16"/>
          <w:szCs w:val="16"/>
          <w:color w:val="auto"/>
        </w:rPr>
      </w:pPr>
    </w:p>
    <w:p>
      <w:pPr>
        <w:ind w:left="1520" w:hanging="648"/>
        <w:spacing w:after="0" w:line="264" w:lineRule="auto"/>
        <w:tabs>
          <w:tab w:leader="none" w:pos="1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Mortgages securing industrial revenue, pollution control or similar bonds issued or guaranteed by the United States or any state thereof, or political subdivision of the United States or any state thereof, or any department, agency or instrumentality of the United States or any state thereof or any such political subdivision;</w:t>
      </w:r>
    </w:p>
    <w:p>
      <w:pPr>
        <w:spacing w:after="0" w:line="73" w:lineRule="exact"/>
        <w:rPr>
          <w:rFonts w:ascii="Arial" w:cs="Arial" w:eastAsia="Arial" w:hAnsi="Arial"/>
          <w:sz w:val="18"/>
          <w:szCs w:val="18"/>
          <w:color w:val="auto"/>
        </w:rPr>
      </w:pPr>
    </w:p>
    <w:p>
      <w:pPr>
        <w:ind w:left="1520" w:right="600" w:hanging="648"/>
        <w:spacing w:after="0" w:line="277" w:lineRule="auto"/>
        <w:tabs>
          <w:tab w:leader="none" w:pos="1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Mortgages securing obligations owed in respect of any overdraft and related liabilities arising from treasury, depository and cash management services or any automated clearinghouse transfers of funds; and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56" w:name="page157"/>
    <w:bookmarkEnd w:id="156"/>
    <w:p>
      <w:pPr>
        <w:ind w:left="1520" w:hanging="648"/>
        <w:spacing w:after="0" w:line="253" w:lineRule="auto"/>
        <w:tabs>
          <w:tab w:leader="none" w:pos="1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extensions, renewals or replacements of any Mortgage existing on the date of the indenture (excluding Indebtedness under the Credit Agreement) or any Mortgage referred to above;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principal amount of Indebtedness secured thereby may not exceed the principal amount of Indebtedness so secured at the time of such extension, renewal or replacement (other than any increases attributable to (a) any premium required to be paid in connection with such refinancing pursuant to the terms of the Indebtedness so refinanced, (b) the amount of any premium reasonably determined by the Board of Directors of the Company as necessary to accomplish such refinancing by means of a tender offer or privately negotiated repurchase and (c) any expenses incurred in connection with such refinancing), and such extension, renewal or replacement will be limited to all or a part of the Property (plus improvements and construction on such Property), shares of Capital Stock or Indebtedness which was subject to the Mortgage so extended, renewed or replaced.</w:t>
      </w:r>
    </w:p>
    <w:p>
      <w:pPr>
        <w:spacing w:after="0" w:line="89" w:lineRule="exact"/>
        <w:rPr>
          <w:sz w:val="20"/>
          <w:szCs w:val="20"/>
          <w:color w:val="auto"/>
        </w:rPr>
      </w:pPr>
    </w:p>
    <w:p>
      <w:pPr>
        <w:ind w:right="40" w:firstLine="877"/>
        <w:spacing w:after="0" w:line="271" w:lineRule="auto"/>
        <w:rPr>
          <w:sz w:val="20"/>
          <w:szCs w:val="20"/>
          <w:color w:val="auto"/>
        </w:rPr>
      </w:pPr>
      <w:r>
        <w:rPr>
          <w:rFonts w:ascii="Arial" w:cs="Arial" w:eastAsia="Arial" w:hAnsi="Arial"/>
          <w:sz w:val="17"/>
          <w:szCs w:val="17"/>
          <w:color w:val="auto"/>
        </w:rPr>
        <w:t>Notwithstanding the restrictions described above, we and any of our Subsidiaries may, without having to equally and ratably secure the notes, issue, assume or guarantee Indebtedness secured by a Mortgage not excepted from the foregoing restriction, if at the time of such issuance, assumption or guarantee, after giving effect thereto and to the retirement of any Indebtedness which is concurrently being retired, the aggregate principal amount of all such Indebtedness secured by Mortgages which would otherwise be subject to such restriction (other than any Indebtedness secured by Mortgages permitted as described in clauses (1) through (11) of the immediately preceding paragraph) plus the aggregate amount (without duplication) of all Attributable Debt of the Company and any of its Subsidiaries (other than Excluded Subsidiaries) in respect of Sale and Lease-Back Transactions (with the exception of such transactions which are permitted under clauses (1) and (2) of the first sentence of the first paragraph under “—Restrictions on Sale and Lease-Back Transactions” below) does not exceed 15% of Consolidated Net Tangible Assets of the Company.</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Sale and Lease-Back Transactions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indenture provides that neither the Company nor any of its Subsidiaries (other than Excluded Subsidiaries) will enter into any Sale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Lease-Back Transaction with respect to any of their Property unless:</w:t>
      </w:r>
    </w:p>
    <w:p>
      <w:pPr>
        <w:spacing w:after="0" w:line="103" w:lineRule="exact"/>
        <w:rPr>
          <w:sz w:val="20"/>
          <w:szCs w:val="20"/>
          <w:color w:val="auto"/>
        </w:rPr>
      </w:pPr>
    </w:p>
    <w:p>
      <w:pPr>
        <w:jc w:val="both"/>
        <w:ind w:left="1520" w:right="280" w:hanging="648"/>
        <w:spacing w:after="0" w:line="264" w:lineRule="auto"/>
        <w:tabs>
          <w:tab w:leader="none" w:pos="1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or such Subsidiary is entitled under the provisions described in clause (1) or clause (6) in the first paragraph under “— Restrictions on Secured Debt” to create, issue, assume or guarantee Indebtedness secured by a Mortgage on the Property to be leased without having to equally and ratably secure the notes;</w:t>
      </w:r>
    </w:p>
    <w:p>
      <w:pPr>
        <w:spacing w:after="0" w:line="73" w:lineRule="exact"/>
        <w:rPr>
          <w:rFonts w:ascii="Arial" w:cs="Arial" w:eastAsia="Arial" w:hAnsi="Arial"/>
          <w:sz w:val="18"/>
          <w:szCs w:val="18"/>
          <w:color w:val="auto"/>
        </w:rPr>
      </w:pPr>
    </w:p>
    <w:p>
      <w:pPr>
        <w:ind w:left="1520" w:right="60" w:hanging="648"/>
        <w:spacing w:after="0" w:line="302" w:lineRule="auto"/>
        <w:tabs>
          <w:tab w:leader="none" w:pos="15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or such Subsidiary applies an amount (equaling at least the greater of the net proceeds of the sale of Property or the Attributable Debt in respect of such Sale and Lease-Back Transaction) within a period commencing one year prior to the consummation of such Sale and Lease-Back Transaction and ending one year after the consummation thereof, to make non-mandatory prepayments on Long-Term Indebtedness, retire Long-Term Indebtedness or acquire, construct or improve long-term assets; or</w:t>
      </w:r>
    </w:p>
    <w:p>
      <w:pPr>
        <w:spacing w:after="0" w:line="46" w:lineRule="exact"/>
        <w:rPr>
          <w:rFonts w:ascii="Arial" w:cs="Arial" w:eastAsia="Arial" w:hAnsi="Arial"/>
          <w:sz w:val="16"/>
          <w:szCs w:val="16"/>
          <w:color w:val="auto"/>
        </w:rPr>
      </w:pPr>
    </w:p>
    <w:p>
      <w:pPr>
        <w:ind w:left="1520" w:right="120" w:hanging="648"/>
        <w:spacing w:after="0" w:line="272" w:lineRule="auto"/>
        <w:tabs>
          <w:tab w:leader="none" w:pos="15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Attributable Debt of the Company or such Subsidiary in respect of such Sale and Lease-Back Transaction and all other Sale and Lease-Back Transactions entered into after the Issue Date (other than any such Sale and Lease-Back Transaction as would be permitted as described in clauses (1) and (2) of this sentence), plus the aggregate principal amount (without duplication) of Indebtedness secured by Mortgages then outstanding (not including any such Indebtedness secured by Mortgages described in clauses (1) through (11) of the first paragraph under the heading “—Restrictions on Secured Debt”) which do not equally and ratably secure the notes (or secure the notes on a basis that is prior to other Indebtedness secured thereby), would not exceed 15% of Consolidated Net Tangible Assets of the Company.</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right="40" w:firstLine="877"/>
        <w:spacing w:after="0" w:line="277" w:lineRule="auto"/>
        <w:rPr>
          <w:sz w:val="20"/>
          <w:szCs w:val="20"/>
          <w:color w:val="auto"/>
        </w:rPr>
      </w:pPr>
      <w:r>
        <w:rPr>
          <w:rFonts w:ascii="Arial" w:cs="Arial" w:eastAsia="Arial" w:hAnsi="Arial"/>
          <w:sz w:val="18"/>
          <w:szCs w:val="18"/>
          <w:color w:val="auto"/>
        </w:rPr>
        <w:t>The indenture provides that we may consolidate or merge with or into any other corporation, or lease, sell or transfer all or substantially all of our property and assets if:</w:t>
      </w:r>
    </w:p>
    <w:p>
      <w:pPr>
        <w:spacing w:after="0" w:line="62" w:lineRule="exact"/>
        <w:rPr>
          <w:sz w:val="20"/>
          <w:szCs w:val="20"/>
          <w:color w:val="auto"/>
        </w:rPr>
      </w:pPr>
    </w:p>
    <w:p>
      <w:pPr>
        <w:jc w:val="both"/>
        <w:ind w:left="1520" w:right="240" w:hanging="648"/>
        <w:spacing w:after="0" w:line="264" w:lineRule="auto"/>
        <w:tabs>
          <w:tab w:leader="none" w:pos="1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corporation formed by such consolidation or into which we are merged, or the party which acquires by lease, sale or transfer all or substantially all of our property and assets is a corporation organized and existing under the laws of the United States, any state in the United States or the District of Columbia;</w:t>
      </w:r>
    </w:p>
    <w:p>
      <w:pPr>
        <w:spacing w:after="0" w:line="73" w:lineRule="exact"/>
        <w:rPr>
          <w:rFonts w:ascii="Arial" w:cs="Arial" w:eastAsia="Arial" w:hAnsi="Arial"/>
          <w:sz w:val="18"/>
          <w:szCs w:val="18"/>
          <w:color w:val="auto"/>
        </w:rPr>
      </w:pPr>
    </w:p>
    <w:p>
      <w:pPr>
        <w:ind w:left="1520" w:right="160" w:hanging="648"/>
        <w:spacing w:after="0" w:line="259" w:lineRule="auto"/>
        <w:tabs>
          <w:tab w:leader="none" w:pos="1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corporation formed by such consolidation or into which we are merged, or the party which acquires by lease, sale or transfer all or substantially all of our property and assets, agrees to pay the principal of, and any premium and interest on, the notes, perform and observe all covenants and conditions of the indenture by executing and delivering to the Trustee a supplemental indenture and assumes all of the Company’s obligations under the Registration Rights Agreement; and</w:t>
      </w:r>
    </w:p>
    <w:p>
      <w:pPr>
        <w:spacing w:after="0" w:line="78" w:lineRule="exact"/>
        <w:rPr>
          <w:rFonts w:ascii="Arial" w:cs="Arial" w:eastAsia="Arial" w:hAnsi="Arial"/>
          <w:sz w:val="18"/>
          <w:szCs w:val="18"/>
          <w:color w:val="auto"/>
        </w:rPr>
      </w:pPr>
    </w:p>
    <w:p>
      <w:pPr>
        <w:ind w:left="1520" w:right="280" w:hanging="648"/>
        <w:spacing w:after="0" w:line="264" w:lineRule="auto"/>
        <w:tabs>
          <w:tab w:leader="none" w:pos="1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and treating Indebtedness which becomes our obligation or an obligation of a Subsidiary (other than an Excluded Subsidiary) as a result of such transaction as having been incurred by us or such Subsidiary at the time of such transaction, no Default or Event of Default has happened and is continuing.</w:t>
      </w:r>
    </w:p>
    <w:p>
      <w:pPr>
        <w:spacing w:after="0" w:line="73"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This covenant will not prevent any consolidation, merger, lease, sale, transfer or other disposition of property solely between or among us and our Subsidiaries (other than an Excluded Subsidiary).</w:t>
      </w:r>
    </w:p>
    <w:p>
      <w:pPr>
        <w:spacing w:after="0" w:line="62" w:lineRule="exact"/>
        <w:rPr>
          <w:sz w:val="20"/>
          <w:szCs w:val="20"/>
          <w:color w:val="auto"/>
        </w:rPr>
      </w:pPr>
    </w:p>
    <w:p>
      <w:pPr>
        <w:ind w:firstLine="877"/>
        <w:spacing w:after="0" w:line="264" w:lineRule="auto"/>
        <w:rPr>
          <w:sz w:val="20"/>
          <w:szCs w:val="20"/>
          <w:color w:val="auto"/>
        </w:rPr>
      </w:pPr>
      <w:r>
        <w:rPr>
          <w:rFonts w:ascii="Arial" w:cs="Arial" w:eastAsia="Arial" w:hAnsi="Arial"/>
          <w:sz w:val="18"/>
          <w:szCs w:val="18"/>
          <w:color w:val="auto"/>
        </w:rPr>
        <w:t>In the event that we consolidate with or merge with or into another corporation or sell substantially all of our assets to any other corporation in compliance with the foregoing limitations, the surviving entity (if other than us) will be substituted for us under the indenture, and we will be discharged from all of our obligations under the indenture.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Guarantors</w:t>
      </w:r>
    </w:p>
    <w:p>
      <w:pPr>
        <w:spacing w:after="0" w:line="121" w:lineRule="exact"/>
        <w:rPr>
          <w:sz w:val="20"/>
          <w:szCs w:val="20"/>
          <w:color w:val="auto"/>
        </w:rPr>
      </w:pPr>
    </w:p>
    <w:p>
      <w:pPr>
        <w:ind w:right="20" w:firstLine="877"/>
        <w:spacing w:after="0" w:line="271" w:lineRule="auto"/>
        <w:rPr>
          <w:sz w:val="20"/>
          <w:szCs w:val="20"/>
          <w:color w:val="auto"/>
        </w:rPr>
      </w:pPr>
      <w:r>
        <w:rPr>
          <w:rFonts w:ascii="Arial" w:cs="Arial" w:eastAsia="Arial" w:hAnsi="Arial"/>
          <w:sz w:val="17"/>
          <w:szCs w:val="17"/>
          <w:color w:val="auto"/>
        </w:rPr>
        <w:t>The indenture provides that the Company will cause each Wholly Owned Domestic Subsidiary of the Company other than, at the election of the Company, an Excluded Subsidiary, that incurs, as an issuer, co-issuer, borrower or guarantor of, any Capital Markets Debt after the Issue Date, in an amount that, together with any other such Indebtedness (excluding any Indebtedness incurred as permitted pursuant to the definition of Credit Agreement) issued, co-issued or guaranteed by such Wholly Owned Domestic Subsidiary and then outstanding, exceeds at the time of such incurrence, 15% of Consolidated Net Tangible Assets of the Company, to execute and deliver to the Trustee a supplemental indenture joining such Subsidiary to the indenture, pursuant to which such Subsidiary will guarantee payment of the notes (each such guarantee of the notes, a “Subsidiary Guarantee”) for so long as such Indebtedness giving rise to such guarantee obligation remains an obligation of such Subsidiary. In addition, the Company may cause other Subsidiaries to guarantee the notes at its option. The Subsidiary Guarantee of any such Subsidiary will be released upon:</w:t>
      </w:r>
    </w:p>
    <w:p>
      <w:pPr>
        <w:spacing w:after="0" w:line="71" w:lineRule="exact"/>
        <w:rPr>
          <w:sz w:val="20"/>
          <w:szCs w:val="20"/>
          <w:color w:val="auto"/>
        </w:rPr>
      </w:pPr>
    </w:p>
    <w:p>
      <w:pPr>
        <w:ind w:left="1300" w:right="200" w:hanging="428"/>
        <w:spacing w:after="0" w:line="308" w:lineRule="auto"/>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sale or disposition (whether by merger, stock purchase, asset sale or otherwise) of a Subsidiary guarantor (or all or substantially all its assets or its Capital Stock) to a person which is not (after giving effect to such transaction) a Subsidiary or the Company;</w:t>
      </w:r>
    </w:p>
    <w:p>
      <w:pPr>
        <w:spacing w:after="0" w:line="38" w:lineRule="exact"/>
        <w:rPr>
          <w:rFonts w:ascii="Arial" w:cs="Arial" w:eastAsia="Arial" w:hAnsi="Arial"/>
          <w:sz w:val="17"/>
          <w:szCs w:val="17"/>
          <w:color w:val="auto"/>
        </w:rPr>
      </w:pPr>
    </w:p>
    <w:p>
      <w:pPr>
        <w:ind w:left="1300" w:hanging="428"/>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Subsidiary becoming an Excluded Subsidiary;</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discharge of the indenture or legal defeasance or covenant defeasance; or</w:t>
      </w:r>
    </w:p>
    <w:p>
      <w:pPr>
        <w:spacing w:after="0" w:line="117" w:lineRule="exact"/>
        <w:rPr>
          <w:rFonts w:ascii="Arial" w:cs="Arial" w:eastAsia="Arial" w:hAnsi="Arial"/>
          <w:sz w:val="18"/>
          <w:szCs w:val="18"/>
          <w:color w:val="auto"/>
        </w:rPr>
      </w:pPr>
    </w:p>
    <w:p>
      <w:pPr>
        <w:ind w:left="1300" w:right="40" w:hanging="428"/>
        <w:spacing w:after="0" w:line="293" w:lineRule="auto"/>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 Subsidiary guarantor ceasing to guarantee or be the issuer or borrower of all Capital Markets Debt in excess of the dollar threshold specified above; and in each such case such Subsidiary shall be deemed automatically and unconditionally released and discharged from all the Subsidiary’s obligations under the guarantee with respect to the notes without any further action required on the part of the Subsidiary, the Company, the Trustee or any holder of the notes. In the event of the sale or disposition (whether by merger, stock purchase, asset sale or otherwise) of a Subsidiary (or all or substantially all its assets or its Capital Stock) to a person which is not (after giving effect to such transaction) a Subsidiary or the Company, such person shall not be subject to the Subsidiary’s obligations under the guarantee.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 “Event of Default” is defined in the indenture as being:</w:t>
      </w:r>
    </w:p>
    <w:p>
      <w:pPr>
        <w:spacing w:after="0" w:line="117" w:lineRule="exact"/>
        <w:rPr>
          <w:sz w:val="20"/>
          <w:szCs w:val="20"/>
          <w:color w:val="auto"/>
        </w:rPr>
      </w:pPr>
    </w:p>
    <w:p>
      <w:pPr>
        <w:ind w:left="1520" w:hanging="648"/>
        <w:spacing w:after="0"/>
        <w:tabs>
          <w:tab w:leader="none" w:pos="1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failure to pay interest upon the notes that continues for a period of 30 days after payment is due;</w:t>
      </w:r>
    </w:p>
    <w:p>
      <w:pPr>
        <w:spacing w:after="0" w:line="117" w:lineRule="exact"/>
        <w:rPr>
          <w:rFonts w:ascii="Arial" w:cs="Arial" w:eastAsia="Arial" w:hAnsi="Arial"/>
          <w:sz w:val="18"/>
          <w:szCs w:val="18"/>
          <w:color w:val="auto"/>
        </w:rPr>
      </w:pPr>
    </w:p>
    <w:p>
      <w:pPr>
        <w:ind w:left="1520" w:hanging="648"/>
        <w:spacing w:after="0"/>
        <w:tabs>
          <w:tab w:leader="none" w:pos="15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failure to pay the principal or premium, if any, on the notes when due upon maturity, redemption, acceleration or otherwise;</w:t>
      </w:r>
    </w:p>
    <w:p>
      <w:pPr>
        <w:spacing w:after="0" w:line="128" w:lineRule="exact"/>
        <w:rPr>
          <w:rFonts w:ascii="Arial" w:cs="Arial" w:eastAsia="Arial" w:hAnsi="Arial"/>
          <w:sz w:val="17"/>
          <w:szCs w:val="17"/>
          <w:color w:val="auto"/>
        </w:rPr>
      </w:pPr>
    </w:p>
    <w:p>
      <w:pPr>
        <w:ind w:left="1520" w:right="160" w:hanging="648"/>
        <w:spacing w:after="0" w:line="264" w:lineRule="auto"/>
        <w:tabs>
          <w:tab w:leader="none" w:pos="1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failure by us or any Subsidiary to comply with any agreements contained in the indenture applicable to the notes for a period of 90 days after written notice to us of such failure from the Trustee (or to us and the Trustee from the holders of at least 25% of the principal amount of the notes to which such agreements relate);</w:t>
      </w:r>
    </w:p>
    <w:p>
      <w:pPr>
        <w:spacing w:after="0" w:line="73" w:lineRule="exact"/>
        <w:rPr>
          <w:rFonts w:ascii="Arial" w:cs="Arial" w:eastAsia="Arial" w:hAnsi="Arial"/>
          <w:sz w:val="18"/>
          <w:szCs w:val="18"/>
          <w:color w:val="auto"/>
        </w:rPr>
      </w:pPr>
    </w:p>
    <w:p>
      <w:pPr>
        <w:ind w:left="1520" w:right="140" w:hanging="648"/>
        <w:spacing w:after="0" w:line="312" w:lineRule="auto"/>
        <w:tabs>
          <w:tab w:leader="none" w:pos="1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failure by us or any Subsidiary to pay any Indebtedness (other than Indebtedness owing to the Company or a Subsidiary) within any applicable grace period after final maturity or the acceleration of any such Indebtedness by the holders thereof because of a default, in each case, if the total amount of such Indebtedness unpaid or accelerated exceeds $100.0 million or its foreign currency equivalent; or</w:t>
      </w:r>
    </w:p>
    <w:p>
      <w:pPr>
        <w:spacing w:after="0" w:line="38" w:lineRule="exact"/>
        <w:rPr>
          <w:rFonts w:ascii="Arial" w:cs="Arial" w:eastAsia="Arial" w:hAnsi="Arial"/>
          <w:sz w:val="16"/>
          <w:szCs w:val="16"/>
          <w:color w:val="auto"/>
        </w:rPr>
      </w:pPr>
    </w:p>
    <w:p>
      <w:pPr>
        <w:ind w:left="1520" w:hanging="648"/>
        <w:spacing w:after="0"/>
        <w:tabs>
          <w:tab w:leader="none" w:pos="1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relating to us.</w:t>
      </w:r>
    </w:p>
    <w:p>
      <w:pPr>
        <w:spacing w:after="0" w:line="117" w:lineRule="exact"/>
        <w:rPr>
          <w:sz w:val="20"/>
          <w:szCs w:val="20"/>
          <w:color w:val="auto"/>
        </w:rPr>
      </w:pPr>
    </w:p>
    <w:p>
      <w:pPr>
        <w:ind w:right="120" w:firstLine="877"/>
        <w:spacing w:after="0" w:line="255" w:lineRule="auto"/>
        <w:rPr>
          <w:sz w:val="20"/>
          <w:szCs w:val="20"/>
          <w:color w:val="auto"/>
        </w:rPr>
      </w:pPr>
      <w:r>
        <w:rPr>
          <w:rFonts w:ascii="Arial" w:cs="Arial" w:eastAsia="Arial" w:hAnsi="Arial"/>
          <w:sz w:val="18"/>
          <w:szCs w:val="18"/>
          <w:color w:val="auto"/>
        </w:rPr>
        <w:t>The indenture provides that if there is a continuing Event of Default with respect to the notes, either the Trustee or the holders of at least 25% of the outstanding principal amount of the notes affected thereby may declare the principal amount of all of the notes to be due and payable immediately. However, at any time after the Trustee or the holders, as the case may be, declare an acceleration with respect to the notes, but before the applicable person has obtained a judgment or decree based on such acceleration, the holders of a majority in principal amount of the outstanding notes affected thereby may, under certain conditions, cancel such acceleration if we have cured all Events of Default (other than the nonpayment of accelerated principal) with respect to such notes or all such Events of Default have been waived as provided in the indenture. For information as to waiver of defaults, see “—Modification and Waiver.”</w:t>
      </w:r>
    </w:p>
    <w:p>
      <w:pPr>
        <w:spacing w:after="0" w:line="81" w:lineRule="exact"/>
        <w:rPr>
          <w:sz w:val="20"/>
          <w:szCs w:val="20"/>
          <w:color w:val="auto"/>
        </w:rPr>
      </w:pPr>
    </w:p>
    <w:p>
      <w:pPr>
        <w:ind w:right="60" w:firstLine="877"/>
        <w:spacing w:after="0" w:line="255" w:lineRule="auto"/>
        <w:rPr>
          <w:sz w:val="20"/>
          <w:szCs w:val="20"/>
          <w:color w:val="auto"/>
        </w:rPr>
      </w:pPr>
      <w:r>
        <w:rPr>
          <w:rFonts w:ascii="Arial" w:cs="Arial" w:eastAsia="Arial" w:hAnsi="Arial"/>
          <w:sz w:val="18"/>
          <w:szCs w:val="18"/>
          <w:color w:val="auto"/>
        </w:rPr>
        <w:t>The indenture provides that, subject to the duties of the Trustee to act with the required standard of care, if there is a continuing Event of Default with respect to the notes, the Trustee need not exercise any of its rights or powers under the indenture at the request or direction of any of the holders of notes unless such holders have offered to the Trustee security or indemnity reasonably satisfactory to it. Subject to such provisions for security or indemnification of the Trustee and certain other conditions, the holders of a majority in principal amount of the notes affected thereby will have the right to direct the time, method and place of conducting any proceeding for any remedy available to the Trustee or exercising any trust or power the Trustee holds with respect to the notes.</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 holder of any note will have any right to institute any proceeding with respect to the indenture or for any remedy under the indenture unless:</w:t>
      </w:r>
    </w:p>
    <w:p>
      <w:pPr>
        <w:spacing w:after="0" w:line="140" w:lineRule="exact"/>
        <w:rPr>
          <w:sz w:val="20"/>
          <w:szCs w:val="20"/>
          <w:color w:val="auto"/>
        </w:rPr>
      </w:pPr>
    </w:p>
    <w:p>
      <w:pPr>
        <w:ind w:left="1520" w:right="400" w:hanging="648"/>
        <w:spacing w:after="0" w:line="277" w:lineRule="auto"/>
        <w:tabs>
          <w:tab w:leader="none" w:pos="1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for 60 days after the holder has previously given to the Trustee written notice of a continuing Event of Default with respect to the notes;</w:t>
      </w:r>
    </w:p>
    <w:p>
      <w:pPr>
        <w:spacing w:after="0" w:line="62" w:lineRule="exact"/>
        <w:rPr>
          <w:rFonts w:ascii="Arial" w:cs="Arial" w:eastAsia="Arial" w:hAnsi="Arial"/>
          <w:sz w:val="18"/>
          <w:szCs w:val="18"/>
          <w:color w:val="auto"/>
        </w:rPr>
      </w:pPr>
    </w:p>
    <w:p>
      <w:pPr>
        <w:ind w:left="1520" w:hanging="648"/>
        <w:spacing w:after="0" w:line="277" w:lineRule="auto"/>
        <w:tabs>
          <w:tab w:leader="none" w:pos="1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notes affected thereby have made a written request and offered security or indemnity reasonably satisfactory to the Trustee to institute such proceeding as Trustee; and</w:t>
      </w:r>
    </w:p>
    <w:p>
      <w:pPr>
        <w:spacing w:after="0" w:line="62" w:lineRule="exact"/>
        <w:rPr>
          <w:rFonts w:ascii="Arial" w:cs="Arial" w:eastAsia="Arial" w:hAnsi="Arial"/>
          <w:sz w:val="18"/>
          <w:szCs w:val="18"/>
          <w:color w:val="auto"/>
        </w:rPr>
      </w:pPr>
    </w:p>
    <w:p>
      <w:pPr>
        <w:ind w:left="1520" w:right="440" w:hanging="648"/>
        <w:spacing w:after="0" w:line="277" w:lineRule="auto"/>
        <w:tabs>
          <w:tab w:leader="none" w:pos="1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has not received from the holders of a majority in principal amount of the outstanding notes affected thereby a direction inconsistent with such request.</w:t>
      </w:r>
    </w:p>
    <w:p>
      <w:pPr>
        <w:spacing w:after="0" w:line="62" w:lineRule="exact"/>
        <w:rPr>
          <w:sz w:val="20"/>
          <w:szCs w:val="20"/>
          <w:color w:val="auto"/>
        </w:rPr>
      </w:pPr>
    </w:p>
    <w:p>
      <w:pPr>
        <w:ind w:right="40" w:firstLine="877"/>
        <w:spacing w:after="0" w:line="342" w:lineRule="auto"/>
        <w:rPr>
          <w:sz w:val="20"/>
          <w:szCs w:val="20"/>
          <w:color w:val="auto"/>
        </w:rPr>
      </w:pPr>
      <w:r>
        <w:rPr>
          <w:rFonts w:ascii="Arial" w:cs="Arial" w:eastAsia="Arial" w:hAnsi="Arial"/>
          <w:sz w:val="16"/>
          <w:szCs w:val="16"/>
          <w:color w:val="auto"/>
        </w:rPr>
        <w:t>However, the holder of any note will have an absolute and unconditional right to receive payment of the principal of, and any premium or interest on, such note on or after the date or dates they are to be paid as expressed in such note and to institute suit for the enforcement of any such payment.</w:t>
      </w:r>
    </w:p>
    <w:p>
      <w:pPr>
        <w:spacing w:after="0" w:line="16" w:lineRule="exact"/>
        <w:rPr>
          <w:sz w:val="20"/>
          <w:szCs w:val="20"/>
          <w:color w:val="auto"/>
        </w:rPr>
      </w:pPr>
    </w:p>
    <w:p>
      <w:pPr>
        <w:ind w:right="40" w:firstLine="877"/>
        <w:spacing w:after="0" w:line="264" w:lineRule="auto"/>
        <w:rPr>
          <w:sz w:val="20"/>
          <w:szCs w:val="20"/>
          <w:color w:val="auto"/>
        </w:rPr>
      </w:pPr>
      <w:r>
        <w:rPr>
          <w:rFonts w:ascii="Arial" w:cs="Arial" w:eastAsia="Arial" w:hAnsi="Arial"/>
          <w:sz w:val="18"/>
          <w:szCs w:val="18"/>
          <w:color w:val="auto"/>
        </w:rPr>
        <w:t>We are required to furnish to the Trustee annually a statement as to the absence of certain defaults under the indenture. The indenture provides that the Trustee need not provide notice to holders of notes of any default (other than the nonpayment of principal or any premium or interest) if it considers it in the interest of the holders of notes not to provide such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right="180" w:firstLine="877"/>
        <w:spacing w:after="0" w:line="259" w:lineRule="auto"/>
        <w:rPr>
          <w:sz w:val="20"/>
          <w:szCs w:val="20"/>
          <w:color w:val="auto"/>
        </w:rPr>
      </w:pPr>
      <w:r>
        <w:rPr>
          <w:rFonts w:ascii="Arial" w:cs="Arial" w:eastAsia="Arial" w:hAnsi="Arial"/>
          <w:sz w:val="18"/>
          <w:szCs w:val="18"/>
          <w:color w:val="auto"/>
        </w:rPr>
        <w:t>We and the Trustee may modify or amend the indenture, including to release Subsidiary Guarantees (if any), with respect to the notes with the consent (including consents obtained in connection with a purchase of, or tender offer or exchange offer for, notes) of the holders of a majority of the principal amount of the notes then outstanding affected by the modification or amendment. However, no such modification or amendment may, without the consent of the holders of all then outstanding notes affected thereby:</w:t>
      </w:r>
    </w:p>
    <w:p>
      <w:pPr>
        <w:spacing w:after="0" w:line="79" w:lineRule="exact"/>
        <w:rPr>
          <w:sz w:val="20"/>
          <w:szCs w:val="20"/>
          <w:color w:val="auto"/>
        </w:rPr>
      </w:pPr>
    </w:p>
    <w:p>
      <w:pPr>
        <w:ind w:left="1520" w:hanging="648"/>
        <w:spacing w:after="0"/>
        <w:tabs>
          <w:tab w:leader="none" w:pos="1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 the due date of the principal of, or any installment of principal of or interest on, the notes;</w:t>
      </w:r>
    </w:p>
    <w:p>
      <w:pPr>
        <w:spacing w:after="0" w:line="117" w:lineRule="exact"/>
        <w:rPr>
          <w:rFonts w:ascii="Arial" w:cs="Arial" w:eastAsia="Arial" w:hAnsi="Arial"/>
          <w:sz w:val="18"/>
          <w:szCs w:val="18"/>
          <w:color w:val="auto"/>
        </w:rPr>
      </w:pPr>
    </w:p>
    <w:p>
      <w:pPr>
        <w:ind w:left="1520" w:hanging="648"/>
        <w:spacing w:after="0"/>
        <w:tabs>
          <w:tab w:leader="none" w:pos="1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rate on, the notes;</w:t>
      </w:r>
    </w:p>
    <w:p>
      <w:pPr>
        <w:spacing w:after="0" w:line="117" w:lineRule="exact"/>
        <w:rPr>
          <w:rFonts w:ascii="Arial" w:cs="Arial" w:eastAsia="Arial" w:hAnsi="Arial"/>
          <w:sz w:val="18"/>
          <w:szCs w:val="18"/>
          <w:color w:val="auto"/>
        </w:rPr>
      </w:pPr>
    </w:p>
    <w:p>
      <w:pPr>
        <w:ind w:left="1520" w:hanging="648"/>
        <w:spacing w:after="0"/>
        <w:tabs>
          <w:tab w:leader="none" w:pos="1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the notes;</w:t>
      </w:r>
    </w:p>
    <w:p>
      <w:pPr>
        <w:spacing w:after="0" w:line="117" w:lineRule="exact"/>
        <w:rPr>
          <w:rFonts w:ascii="Arial" w:cs="Arial" w:eastAsia="Arial" w:hAnsi="Arial"/>
          <w:sz w:val="18"/>
          <w:szCs w:val="18"/>
          <w:color w:val="auto"/>
        </w:rPr>
      </w:pPr>
    </w:p>
    <w:p>
      <w:pPr>
        <w:ind w:left="1520" w:hanging="648"/>
        <w:spacing w:after="0"/>
        <w:tabs>
          <w:tab w:leader="none" w:pos="15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impair the right to institute suit for the enforcement of any payment on or with respect to the notes after the due date thereof; or</w:t>
      </w:r>
    </w:p>
    <w:p>
      <w:pPr>
        <w:spacing w:after="0" w:line="128" w:lineRule="exact"/>
        <w:rPr>
          <w:rFonts w:ascii="Arial" w:cs="Arial" w:eastAsia="Arial" w:hAnsi="Arial"/>
          <w:sz w:val="17"/>
          <w:szCs w:val="17"/>
          <w:color w:val="auto"/>
        </w:rPr>
      </w:pPr>
    </w:p>
    <w:p>
      <w:pPr>
        <w:ind w:left="1520" w:right="300" w:hanging="648"/>
        <w:spacing w:after="0" w:line="342" w:lineRule="auto"/>
        <w:tabs>
          <w:tab w:leader="none" w:pos="15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reduce the percentage in principal amount of the notes then outstanding, the consent of whose holders is required for modification or amendment of the indenture, for waiver of compliance with certain provisions of the indenture or for waiver of certain defaults.</w:t>
      </w:r>
    </w:p>
    <w:p>
      <w:pPr>
        <w:spacing w:after="0" w:line="16" w:lineRule="exact"/>
        <w:rPr>
          <w:sz w:val="20"/>
          <w:szCs w:val="20"/>
          <w:color w:val="auto"/>
        </w:rPr>
      </w:pPr>
    </w:p>
    <w:p>
      <w:pPr>
        <w:ind w:right="60" w:firstLine="877"/>
        <w:spacing w:after="0" w:line="257" w:lineRule="auto"/>
        <w:rPr>
          <w:sz w:val="20"/>
          <w:szCs w:val="20"/>
          <w:color w:val="auto"/>
        </w:rPr>
      </w:pPr>
      <w:r>
        <w:rPr>
          <w:rFonts w:ascii="Arial" w:cs="Arial" w:eastAsia="Arial" w:hAnsi="Arial"/>
          <w:sz w:val="18"/>
          <w:szCs w:val="18"/>
          <w:color w:val="auto"/>
        </w:rPr>
        <w:t>The holders of a majority of the principal amount of the notes then outstanding may waive future compliance by us with certain restrictive covenants of the indenture with respect to the notes. The holders of at least a majority in principal amount of the notes then outstanding affected thereby may waive any past default under the indenture, except a failure by us to pay the principal of, or any premium or interest on, any notes or a provision that cannot be modified or amended without the consent of the holders of all notes then outstanding. Any such waiver may be obtained in connection with a purchase of, or tender offer or exchange offer for, notes.</w:t>
      </w:r>
    </w:p>
    <w:p>
      <w:pPr>
        <w:spacing w:after="0" w:line="80" w:lineRule="exact"/>
        <w:rPr>
          <w:sz w:val="20"/>
          <w:szCs w:val="20"/>
          <w:color w:val="auto"/>
        </w:rPr>
      </w:pPr>
    </w:p>
    <w:p>
      <w:pPr>
        <w:ind w:firstLine="877"/>
        <w:spacing w:after="0" w:line="273" w:lineRule="auto"/>
        <w:rPr>
          <w:sz w:val="20"/>
          <w:szCs w:val="20"/>
          <w:color w:val="auto"/>
        </w:rPr>
      </w:pPr>
      <w:r>
        <w:rPr>
          <w:rFonts w:ascii="Arial" w:cs="Arial" w:eastAsia="Arial" w:hAnsi="Arial"/>
          <w:sz w:val="17"/>
          <w:szCs w:val="17"/>
          <w:color w:val="auto"/>
        </w:rPr>
        <w:t>The Company will not, and the Company will not permit any of its Subsidiaries to, directly or indirectly, pay or cause to be paid any consideration, including any related tender offer consideration, whether by way of interest, fee or otherwise, to any holder of notes for or as an inducement to any consent, waiver or amendment of any of the terms or provisions of the indenture or the notes unless the same consideration is offered to be paid or agreed to be paid to all holders of the notes affected thereby that consent, waive or agree to amend such term or provision within the time period set forth in the solicitation documents relating to the consent, waiver or amendment. When determining “reasonably equivalent consideration” the Company may without limitation consider the relative trading values, remaining life and/or yield to maturity of the notes.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right="100" w:firstLine="877"/>
        <w:spacing w:after="0" w:line="286" w:lineRule="auto"/>
        <w:rPr>
          <w:sz w:val="20"/>
          <w:szCs w:val="20"/>
          <w:color w:val="auto"/>
        </w:rPr>
      </w:pPr>
      <w:r>
        <w:rPr>
          <w:rFonts w:ascii="Arial" w:cs="Arial" w:eastAsia="Arial" w:hAnsi="Arial"/>
          <w:sz w:val="16"/>
          <w:szCs w:val="16"/>
          <w:color w:val="auto"/>
        </w:rPr>
        <w:t>The indenture provides that we may be discharged from any and all obligations in respect of the notes (except for certain obligations to register the transfer or exchange of notes, to replace stolen, destroyed, lost or mutilated notes, to maintain paying agencies, to compensate and indemnify the Trustee or to furnish the Trustee (if the Trustee is not the registrar) with the names and addresses of holders of notes). We will be so discharged when (1) all of the notes have been delivered to the Trustee for cancellation or (2) all of the notes not previously delivered for cancellation (a) have become due and payable or</w:t>
      </w:r>
    </w:p>
    <w:p>
      <w:pPr>
        <w:spacing w:after="0" w:line="2" w:lineRule="exact"/>
        <w:rPr>
          <w:sz w:val="20"/>
          <w:szCs w:val="20"/>
          <w:color w:val="auto"/>
        </w:rPr>
      </w:pPr>
    </w:p>
    <w:p>
      <w:pPr>
        <w:ind w:right="40" w:firstLine="8"/>
        <w:spacing w:after="0" w:line="292" w:lineRule="auto"/>
        <w:tabs>
          <w:tab w:leader="none" w:pos="255" w:val="left"/>
        </w:tabs>
        <w:numPr>
          <w:ilvl w:val="0"/>
          <w:numId w:val="74"/>
        </w:numPr>
        <w:rPr>
          <w:rFonts w:ascii="Arial" w:cs="Arial" w:eastAsia="Arial" w:hAnsi="Arial"/>
          <w:sz w:val="16"/>
          <w:szCs w:val="16"/>
          <w:color w:val="auto"/>
        </w:rPr>
      </w:pPr>
      <w:r>
        <w:rPr>
          <w:rFonts w:ascii="Arial" w:cs="Arial" w:eastAsia="Arial" w:hAnsi="Arial"/>
          <w:sz w:val="16"/>
          <w:szCs w:val="16"/>
          <w:color w:val="auto"/>
        </w:rPr>
        <w:t>have been called for redemption or are to be called for redemption within one year under arrangements satisfactory to the Trustee for the giving of notice of redemption by the Trustee in our name, and at our expense, and we have irrevocably deposited or caused to be deposited with the Trustee funds in an amount sufficient, in the opinion of a nationally recognized firm of independent public accountants, to pay and discharge the entire Indebtedness on the notes not theretofore delivered to the Trustee for cancellation, for principal of, premium, if any, and interest on the notes to the date of deposit together with irrevocable instructions from the Company directing the Trustee to apply such funds to the payment thereof at maturity or redemption, as the case may be.</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i w:val="1"/>
          <w:iCs w:val="1"/>
          <w:color w:val="auto"/>
        </w:rPr>
        <w:t>Defeasance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indenture provides that, upon compliance with certain conditions with respect to the notes, at our election:</w:t>
      </w:r>
    </w:p>
    <w:p>
      <w:pPr>
        <w:spacing w:after="0" w:line="117" w:lineRule="exact"/>
        <w:rPr>
          <w:sz w:val="20"/>
          <w:szCs w:val="20"/>
          <w:color w:val="auto"/>
        </w:rPr>
      </w:pPr>
    </w:p>
    <w:p>
      <w:pPr>
        <w:ind w:left="1300" w:right="20" w:hanging="428"/>
        <w:spacing w:after="0" w:line="25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may terminate all our obligations under the notes and the indenture (except as to (i) rights of registration of transfer, substitution and exchange of the notes and our right of optional redemption, (ii) rights of holders to receive payment of principal of, premium, if any, and interest on such notes (but not the purchase price referred to under “—Change of Control” and any rights of the holders with respect to such amount), (iii) the rights, obligations and immunities of the Trustee under the indenture and (iv) certain other specified provisions in the indenture) (“legal defeasance”); or</w:t>
      </w:r>
    </w:p>
    <w:p>
      <w:pPr>
        <w:spacing w:after="0" w:line="80" w:lineRule="exact"/>
        <w:rPr>
          <w:rFonts w:ascii="Arial" w:cs="Arial" w:eastAsia="Arial" w:hAnsi="Arial"/>
          <w:sz w:val="18"/>
          <w:szCs w:val="18"/>
          <w:color w:val="auto"/>
        </w:rPr>
      </w:pPr>
    </w:p>
    <w:p>
      <w:pPr>
        <w:ind w:left="1300" w:right="120" w:hanging="428"/>
        <w:spacing w:after="0" w:line="259"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may omit to comply with the covenants described under “—Certain Covenants—Restrictions on Secured Debt,” “—Certain Covenants —Restrictions on Sale and Lease-Back Transactions,” “—Future Guarantors” and “—Change of Control” (all other obligations under the notes will remain in full force and effect), and any omission to comply with those covenants will not constitute an Event of Default with respect to the notes (“covenant defeasance”).</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conditions include:</w:t>
      </w:r>
    </w:p>
    <w:p>
      <w:pPr>
        <w:spacing w:after="0" w:line="117" w:lineRule="exact"/>
        <w:rPr>
          <w:sz w:val="20"/>
          <w:szCs w:val="20"/>
          <w:color w:val="auto"/>
        </w:rPr>
      </w:pPr>
    </w:p>
    <w:p>
      <w:pPr>
        <w:ind w:left="1300" w:right="200" w:hanging="428"/>
        <w:spacing w:after="0" w:line="264"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depositing with the Trustee money and/or securities of the U.S. government in an amount sufficient, in the opinion of a nationally recognized firm of independent public accountants, to pay each installment of principal of, and any premium and interest on, the notes on the due dates for those payments in accordance with the terms of the notes; and</w:t>
      </w:r>
    </w:p>
    <w:p>
      <w:pPr>
        <w:spacing w:after="0" w:line="73" w:lineRule="exact"/>
        <w:rPr>
          <w:rFonts w:ascii="Arial" w:cs="Arial" w:eastAsia="Arial" w:hAnsi="Arial"/>
          <w:sz w:val="18"/>
          <w:szCs w:val="18"/>
          <w:color w:val="auto"/>
        </w:rPr>
      </w:pPr>
    </w:p>
    <w:p>
      <w:pPr>
        <w:ind w:left="1300" w:hanging="428"/>
        <w:spacing w:after="0" w:line="297" w:lineRule="auto"/>
        <w:tabs>
          <w:tab w:leader="none" w:pos="13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delivering to the Trustee an Opinion of Counsel to the effect that the holders of the notes will not recognize income, gain or loss for U.S. federal income tax purposes as a result of the deposit and related legal defeasance or covenant defeasance and will be subject to U.S. federal income tax on the same amounts and in the same manner and at the same times as would have been the case if the deposit and related legal defeasance or covenant defeasance had not occurred (and, in the case of legal defeasance only, such Opinion of Counsel must be based on a ruling of the Internal Revenue Service or other change in applicable U.S. federal income tax law).</w:t>
      </w:r>
    </w:p>
    <w:p>
      <w:pPr>
        <w:spacing w:after="0" w:line="50" w:lineRule="exact"/>
        <w:rPr>
          <w:sz w:val="20"/>
          <w:szCs w:val="20"/>
          <w:color w:val="auto"/>
        </w:rPr>
      </w:pPr>
    </w:p>
    <w:p>
      <w:pPr>
        <w:ind w:right="100" w:firstLine="877"/>
        <w:spacing w:after="0" w:line="264"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rights of discharge, legal defeasance or covenant defeasance, any Subsidiary Guarantee then in effect automatically shall be released without any further action on the part of such Subsidiary, the Company, the Trustee or any holder of notes.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Covenant Defeasance and Certain Events of Default</w:t>
      </w:r>
    </w:p>
    <w:p>
      <w:pPr>
        <w:spacing w:after="0" w:line="117" w:lineRule="exact"/>
        <w:rPr>
          <w:sz w:val="20"/>
          <w:szCs w:val="20"/>
          <w:color w:val="auto"/>
        </w:rPr>
      </w:pPr>
    </w:p>
    <w:p>
      <w:pPr>
        <w:ind w:right="120" w:firstLine="877"/>
        <w:spacing w:after="0" w:line="257" w:lineRule="auto"/>
        <w:rPr>
          <w:sz w:val="20"/>
          <w:szCs w:val="20"/>
          <w:color w:val="auto"/>
        </w:rPr>
      </w:pPr>
      <w:r>
        <w:rPr>
          <w:rFonts w:ascii="Arial" w:cs="Arial" w:eastAsia="Arial" w:hAnsi="Arial"/>
          <w:sz w:val="18"/>
          <w:szCs w:val="18"/>
          <w:color w:val="auto"/>
        </w:rPr>
        <w:t>If we exercise our option to effect a covenant defeasance with respect to the notes as described above and the notes are thereafter declared due and payable because of an Event of Default (other than an Event of Default caused by failing to comply with the covenants that are defeased), the amount of money and securities we have deposited with the Trustee would be sufficient to pay amounts due on the notes on their respective due dates but may not be sufficient to pay amounts due on the notes at the time of acceleration resulting from such Event of Default. However, we would remain liable for such payments.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and Paying Agent</w:t>
      </w:r>
    </w:p>
    <w:p>
      <w:pPr>
        <w:spacing w:after="0" w:line="121" w:lineRule="exact"/>
        <w:rPr>
          <w:sz w:val="20"/>
          <w:szCs w:val="20"/>
          <w:color w:val="auto"/>
        </w:rPr>
      </w:pPr>
    </w:p>
    <w:p>
      <w:pPr>
        <w:jc w:val="both"/>
        <w:ind w:firstLine="877"/>
        <w:spacing w:after="0" w:line="342" w:lineRule="auto"/>
        <w:rPr>
          <w:sz w:val="20"/>
          <w:szCs w:val="20"/>
          <w:color w:val="auto"/>
        </w:rPr>
      </w:pPr>
      <w:r>
        <w:rPr>
          <w:rFonts w:ascii="Arial" w:cs="Arial" w:eastAsia="Arial" w:hAnsi="Arial"/>
          <w:sz w:val="16"/>
          <w:szCs w:val="16"/>
          <w:color w:val="auto"/>
        </w:rPr>
        <w:t>U.S. Bank National Association is the Trustee under the indenture. The Trustee and its affiliates have engaged, currently are engaged, and may in the future engage in financial or other transactions with the Company and its affiliates in the ordinary course of their respective businesses, subject to the TIA.</w:t>
      </w:r>
    </w:p>
    <w:p>
      <w:pPr>
        <w:spacing w:after="0" w:line="16" w:lineRule="exact"/>
        <w:rPr>
          <w:sz w:val="20"/>
          <w:szCs w:val="20"/>
          <w:color w:val="auto"/>
        </w:rPr>
      </w:pPr>
    </w:p>
    <w:p>
      <w:pPr>
        <w:ind w:right="40" w:firstLine="877"/>
        <w:spacing w:after="0" w:line="259" w:lineRule="auto"/>
        <w:rPr>
          <w:sz w:val="20"/>
          <w:szCs w:val="20"/>
          <w:color w:val="auto"/>
        </w:rPr>
      </w:pPr>
      <w:r>
        <w:rPr>
          <w:rFonts w:ascii="Arial" w:cs="Arial" w:eastAsia="Arial" w:hAnsi="Arial"/>
          <w:sz w:val="18"/>
          <w:szCs w:val="18"/>
          <w:color w:val="auto"/>
        </w:rPr>
        <w:t>Except during the continuance of an Event of Default, the Trustee will perform only such duties as are specifically set forth in the indenture. If an Event of Default shall have occurred and continues that is actually known to the Trustee, the Trustee will exercise such of the rights and powers vested in it under the indenture and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right="80" w:firstLine="877"/>
        <w:spacing w:after="0" w:line="264" w:lineRule="auto"/>
        <w:rPr>
          <w:sz w:val="20"/>
          <w:szCs w:val="20"/>
          <w:color w:val="auto"/>
        </w:rPr>
      </w:pPr>
      <w:r>
        <w:rPr>
          <w:rFonts w:ascii="Arial" w:cs="Arial" w:eastAsia="Arial" w:hAnsi="Arial"/>
          <w:sz w:val="18"/>
          <w:szCs w:val="18"/>
          <w:color w:val="auto"/>
        </w:rPr>
        <w:t>Set forth below is a summary of certain of the defined terms used in the indenture. Reference is made to the indenture for the full definition of all such terms as well as any other capitalized terms used herein for which no definition is provided. Unless the context otherwise requires, an accounting term not otherwise defined has the meaning assigned to it in accordance with GAAP.</w:t>
      </w:r>
    </w:p>
    <w:p>
      <w:pPr>
        <w:spacing w:after="0" w:line="73" w:lineRule="exact"/>
        <w:rPr>
          <w:sz w:val="20"/>
          <w:szCs w:val="20"/>
          <w:color w:val="auto"/>
        </w:rPr>
      </w:pPr>
    </w:p>
    <w:p>
      <w:pPr>
        <w:ind w:firstLine="877"/>
        <w:spacing w:after="0" w:line="289" w:lineRule="auto"/>
        <w:rPr>
          <w:sz w:val="20"/>
          <w:szCs w:val="20"/>
          <w:color w:val="auto"/>
        </w:rPr>
      </w:pPr>
      <w:r>
        <w:rPr>
          <w:rFonts w:ascii="Arial" w:cs="Arial" w:eastAsia="Arial" w:hAnsi="Arial"/>
          <w:sz w:val="16"/>
          <w:szCs w:val="16"/>
          <w:color w:val="auto"/>
        </w:rPr>
        <w:t>“Attributable Debt” means, in the context of a Sale and Lease-Back Transaction, what we believe in good faith to be the present value, discounted at the interest rate implicit in the lease involved in such Sale and Lease-Back Transaction, of the lessee’s obligation under the lease for rental payments during the remaining term of such lease, as it has been extended. In the case of any lease that is terminable by the lessee upon the payment of a penalty, the net amount of rent will be the lesser of (x) the net amount determined assuming termination upon the first date the lease may be terminated (in which case the net amount will also include the amount of the penalty, but will not include any rent that would be required to be paid under the lease subsequent to the first date upon which it may be so terminated) or (y) the net amount determined assuming no such termination. For purposes of this definition, any amounts lessee must pay, whether or not designated as rent or additional rent, on account of maintenance and repairs, insurance, taxes, assessments, water rates or similar charges or any amounts lessee must pay under the lease contingent upon the amount of sales, maintenance and repairs, insurance, taxes, assessments, water rates or similar charges are not included in the determination of lessee’s obligations under the lease.</w:t>
      </w:r>
    </w:p>
    <w:p>
      <w:pPr>
        <w:spacing w:after="0" w:line="59" w:lineRule="exact"/>
        <w:rPr>
          <w:sz w:val="20"/>
          <w:szCs w:val="20"/>
          <w:color w:val="auto"/>
        </w:rPr>
      </w:pPr>
    </w:p>
    <w:p>
      <w:pPr>
        <w:ind w:right="120" w:firstLine="877"/>
        <w:spacing w:after="0" w:line="264" w:lineRule="auto"/>
        <w:rPr>
          <w:sz w:val="20"/>
          <w:szCs w:val="20"/>
          <w:color w:val="auto"/>
        </w:rPr>
      </w:pPr>
      <w:r>
        <w:rPr>
          <w:rFonts w:ascii="Arial" w:cs="Arial" w:eastAsia="Arial" w:hAnsi="Arial"/>
          <w:sz w:val="18"/>
          <w:szCs w:val="18"/>
          <w:color w:val="auto"/>
        </w:rPr>
        <w:t>“Board of Directors” means, as to any Person, the board of directors or supervisory board of such Person, or equivalent governing body (or, if such Person is a partnership or limited liability company, the board of directors or other governing body of the general partner or manager of such Person) or any duly authorized committee thereof.</w:t>
      </w:r>
    </w:p>
    <w:p>
      <w:pPr>
        <w:spacing w:after="0" w:line="73" w:lineRule="exact"/>
        <w:rPr>
          <w:sz w:val="20"/>
          <w:szCs w:val="20"/>
          <w:color w:val="auto"/>
        </w:rPr>
      </w:pPr>
    </w:p>
    <w:p>
      <w:pPr>
        <w:ind w:right="500" w:firstLine="877"/>
        <w:spacing w:after="0" w:line="277" w:lineRule="auto"/>
        <w:rPr>
          <w:sz w:val="20"/>
          <w:szCs w:val="20"/>
          <w:color w:val="auto"/>
        </w:rPr>
      </w:pPr>
      <w:r>
        <w:rPr>
          <w:rFonts w:ascii="Arial" w:cs="Arial" w:eastAsia="Arial" w:hAnsi="Arial"/>
          <w:sz w:val="18"/>
          <w:szCs w:val="18"/>
          <w:color w:val="auto"/>
        </w:rPr>
        <w:t>“Business Day” means any day other than a Saturday, Sunday or other day on which commercial banking institutions in New York City are authorized or required by law or executive order to close.</w:t>
      </w:r>
    </w:p>
    <w:p>
      <w:pPr>
        <w:spacing w:after="0" w:line="62" w:lineRule="exact"/>
        <w:rPr>
          <w:sz w:val="20"/>
          <w:szCs w:val="20"/>
          <w:color w:val="auto"/>
        </w:rPr>
      </w:pPr>
    </w:p>
    <w:p>
      <w:pPr>
        <w:ind w:right="60" w:firstLine="877"/>
        <w:spacing w:after="0" w:line="308" w:lineRule="auto"/>
        <w:rPr>
          <w:sz w:val="20"/>
          <w:szCs w:val="20"/>
          <w:color w:val="auto"/>
        </w:rPr>
      </w:pPr>
      <w:r>
        <w:rPr>
          <w:rFonts w:ascii="Arial" w:cs="Arial" w:eastAsia="Arial" w:hAnsi="Arial"/>
          <w:sz w:val="17"/>
          <w:szCs w:val="17"/>
          <w:color w:val="auto"/>
        </w:rPr>
        <w:t>“Capital Lease” means a lease with respect to which the lessee is required concurrently to recognize the acquisition of an asset and the incurrence of a liability in accordance with generally accepted accounting principles in effect in the United States as of the date of the indenture.</w:t>
      </w:r>
    </w:p>
    <w:p>
      <w:pPr>
        <w:spacing w:after="0" w:line="38" w:lineRule="exact"/>
        <w:rPr>
          <w:sz w:val="20"/>
          <w:szCs w:val="20"/>
          <w:color w:val="auto"/>
        </w:rPr>
      </w:pPr>
    </w:p>
    <w:p>
      <w:pPr>
        <w:ind w:right="40" w:firstLine="877"/>
        <w:spacing w:after="0" w:line="312" w:lineRule="auto"/>
        <w:rPr>
          <w:sz w:val="20"/>
          <w:szCs w:val="20"/>
          <w:color w:val="auto"/>
        </w:rPr>
      </w:pPr>
      <w:r>
        <w:rPr>
          <w:rFonts w:ascii="Arial" w:cs="Arial" w:eastAsia="Arial" w:hAnsi="Arial"/>
          <w:sz w:val="16"/>
          <w:szCs w:val="16"/>
          <w:color w:val="auto"/>
        </w:rPr>
        <w:t>“Capital Markets Debt” means any debt securities evidenced by notes, bonds or debentures (excluding, for the avoidance of doubt, any term loan, revolving loan or Qualified Receivables Financing) issued in the capital markets by the Company or any Subsidiary, whether issued in a public offering or private placement, including pursuant to Section 4(2) of the Securities Act or Rule 144A, Regulation S or Regulation D under the Securities Act.</w:t>
      </w:r>
    </w:p>
    <w:p>
      <w:pPr>
        <w:spacing w:after="0" w:line="39" w:lineRule="exact"/>
        <w:rPr>
          <w:sz w:val="20"/>
          <w:szCs w:val="20"/>
          <w:color w:val="auto"/>
        </w:rPr>
      </w:pPr>
    </w:p>
    <w:p>
      <w:pPr>
        <w:ind w:right="200" w:firstLine="877"/>
        <w:spacing w:after="0" w:line="342" w:lineRule="auto"/>
        <w:rPr>
          <w:sz w:val="20"/>
          <w:szCs w:val="20"/>
          <w:color w:val="auto"/>
        </w:rPr>
      </w:pPr>
      <w:r>
        <w:rPr>
          <w:rFonts w:ascii="Arial" w:cs="Arial" w:eastAsia="Arial" w:hAnsi="Arial"/>
          <w:sz w:val="16"/>
          <w:szCs w:val="16"/>
          <w:color w:val="auto"/>
        </w:rPr>
        <w:t>“Capital Stock” of any Person means any and all shares, interests, rights to purchase, warrants, options, participations or other equivalents of or interests in (however designated) equity of such Person, including any preferred stock, but excluding any debt securities convertible into such equity.</w:t>
      </w:r>
    </w:p>
    <w:p>
      <w:pPr>
        <w:spacing w:after="0" w:line="16" w:lineRule="exact"/>
        <w:rPr>
          <w:sz w:val="20"/>
          <w:szCs w:val="20"/>
          <w:color w:val="auto"/>
        </w:rPr>
      </w:pPr>
    </w:p>
    <w:p>
      <w:pPr>
        <w:ind w:firstLine="877"/>
        <w:spacing w:after="0" w:line="286" w:lineRule="auto"/>
        <w:rPr>
          <w:sz w:val="20"/>
          <w:szCs w:val="20"/>
          <w:color w:val="auto"/>
        </w:rPr>
      </w:pPr>
      <w:r>
        <w:rPr>
          <w:rFonts w:ascii="Arial" w:cs="Arial" w:eastAsia="Arial" w:hAnsi="Arial"/>
          <w:sz w:val="16"/>
          <w:szCs w:val="16"/>
          <w:color w:val="auto"/>
        </w:rPr>
        <w:t xml:space="preserve">“Cash Equivalents” means (a) readily marketable obligations issued or directly and fully guaranteed or insured by the United States or any agency or instrumentality thereof having maturities of not more than 360 days from the date of acquisition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full faith and credit of the United States is pledged in support thereof; (b) time deposits with, or insured certificates of deposit or bankers’ acceptances of, any commercial bank that (i)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clause (c) of this definition and (iii) has combined capital and surplus of at least $1.0 billion, in each case with maturities of not more than 180 days from the date of acquisition thereof; (c) commercial paper issued by any Person organized under the laws of any state of the United States and rated at least “Prime-1” (or the then equivalent grade) by Moody’s or at least “A-1” (or the then equivalent grade) by S&amp;P, in each case with maturities of not more than 270 days from the date of acquisition thereof; (d) investments, classified in accordance with GAAP as current assets of the Company or any of its Subsidiaries, in money market investment programs registered under the Investment Company Act of 1940 the portfolios of which are limited solely to investments of the character, quality and maturity described in clauses (a), (b) and (c) of this definition; (e) fully collateralized repurchase agreements with a term of not more than 30 days for securities described in clause (a) above and entered into with a financial institution satisfying the criteria described in clause (b) above; and (f) in the case of any Foreign Subsidiary, investments which are similar to the items specified in subsections (a) through (e) of this definition made in the ordinary course of business.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2" w:name="page163"/>
    <w:bookmarkEnd w:id="162"/>
    <w:p>
      <w:pPr>
        <w:ind w:left="88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17" w:lineRule="exact"/>
        <w:rPr>
          <w:sz w:val="20"/>
          <w:szCs w:val="20"/>
          <w:color w:val="auto"/>
        </w:rPr>
      </w:pPr>
    </w:p>
    <w:p>
      <w:pPr>
        <w:ind w:left="1540" w:right="240" w:hanging="668"/>
        <w:spacing w:after="0" w:line="264" w:lineRule="auto"/>
        <w:tabs>
          <w:tab w:leader="none" w:pos="1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sale, lease or transfer, in one or a series of related transactions, of all or substantially all of the property and assets of the Company and its Subsidiaries, taken as a whole, to any Person other than the Company or any of its Subsidiaries (other than an Excluded Subsidiary); or</w:t>
      </w:r>
    </w:p>
    <w:p>
      <w:pPr>
        <w:spacing w:after="0" w:line="73" w:lineRule="exact"/>
        <w:rPr>
          <w:rFonts w:ascii="Arial" w:cs="Arial" w:eastAsia="Arial" w:hAnsi="Arial"/>
          <w:sz w:val="18"/>
          <w:szCs w:val="18"/>
          <w:color w:val="auto"/>
        </w:rPr>
      </w:pPr>
    </w:p>
    <w:p>
      <w:pPr>
        <w:ind w:left="1540" w:right="20" w:hanging="668"/>
        <w:spacing w:after="0" w:line="270" w:lineRule="auto"/>
        <w:tabs>
          <w:tab w:leader="none" w:pos="15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Company becomes aware of (by way of a report or any other filing pursuant to Section 13(d) of the Exchange Act, proxy, vote, written notice or otherwise) the acquisition by any Person or group (within the meaning of Section 13(d)(3) or 14(d)(2) of the Exchange Act, or any successor provision), including any group acting for the purpose of acquiring, holding or disposing of securities (within the meaning of Rule 13d-5(b)(1) under the Exchange Act), in a single transaction or in a related series of transactions, by way of acquisition, merger, amalgamation, consolidation, transfer, conveyance or other business combination or purchase of beneficial ownership (within the meaning of Rule 13d-3 under the Exchange Act, or any successor provision), directly or indirectly, of more than 50% of the total voting power of the Voting Stock of the Company, other than by virtue of (a) the imposition of a holding company or (b) the reincorporation of the Company in another jurisdiction, if in the case of either (a) or (b) the beneficial owners of the Voting Stock of the Company immediately prior to such transaction directly or indirectly hold a majority of the voting power of the Voting Stock of such holding company or reincorporation entity immediately thereafter.</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“Change of Control Offer” has the meaning ascribed to such term under “—Change of Control.”</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“Change of Control Repurchase Event” means the occurrence of both a Change of Control and a Ratings Event.</w:t>
      </w:r>
    </w:p>
    <w:p>
      <w:pPr>
        <w:spacing w:after="0" w:line="117" w:lineRule="exact"/>
        <w:rPr>
          <w:sz w:val="20"/>
          <w:szCs w:val="20"/>
          <w:color w:val="auto"/>
        </w:rPr>
      </w:pPr>
    </w:p>
    <w:p>
      <w:pPr>
        <w:ind w:right="40" w:firstLine="877"/>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that would be utilized, at the time of selection and in accordance with customary financial practice, in pricing new issues of corporate debt securities of comparable maturity to the remaining term of the notes.</w:t>
      </w:r>
    </w:p>
    <w:p>
      <w:pPr>
        <w:spacing w:after="0" w:line="73" w:lineRule="exact"/>
        <w:rPr>
          <w:sz w:val="20"/>
          <w:szCs w:val="20"/>
          <w:color w:val="auto"/>
        </w:rPr>
      </w:pPr>
    </w:p>
    <w:p>
      <w:pPr>
        <w:ind w:right="20" w:firstLine="877"/>
        <w:spacing w:after="0" w:line="264" w:lineRule="auto"/>
        <w:rPr>
          <w:sz w:val="20"/>
          <w:szCs w:val="20"/>
          <w:color w:val="auto"/>
        </w:rPr>
      </w:pPr>
      <w:r>
        <w:rPr>
          <w:rFonts w:ascii="Arial" w:cs="Arial" w:eastAsia="Arial" w:hAnsi="Arial"/>
          <w:sz w:val="18"/>
          <w:szCs w:val="18"/>
          <w:color w:val="auto"/>
        </w:rPr>
        <w:t>“Comparable Treasury Price” means, with respect to any date of redemption, (1) the average of two Reference Treasury Dealer Quotations for the date of redemption, after excluding the highest and lowest Reference Treasury Dealer Quotations or (2) if the Quotation Agent obtains fewer than four Reference Treasury Dealer Quotations, the average of all such Reference Treasury Dealer Quotations.</w:t>
      </w:r>
    </w:p>
    <w:p>
      <w:pPr>
        <w:spacing w:after="0" w:line="73" w:lineRule="exact"/>
        <w:rPr>
          <w:sz w:val="20"/>
          <w:szCs w:val="20"/>
          <w:color w:val="auto"/>
        </w:rPr>
      </w:pPr>
    </w:p>
    <w:p>
      <w:pPr>
        <w:ind w:right="480" w:firstLine="877"/>
        <w:spacing w:after="0" w:line="312" w:lineRule="auto"/>
        <w:rPr>
          <w:sz w:val="20"/>
          <w:szCs w:val="20"/>
          <w:color w:val="auto"/>
        </w:rPr>
      </w:pPr>
      <w:r>
        <w:rPr>
          <w:rFonts w:ascii="Arial" w:cs="Arial" w:eastAsia="Arial" w:hAnsi="Arial"/>
          <w:sz w:val="16"/>
          <w:szCs w:val="16"/>
          <w:color w:val="auto"/>
        </w:rPr>
        <w:t>“Consolidated EBITDA” means, in respect of any Person for any period, the consolidated operating income plus consolidated depreciation, amortization and other non-cash charges and losses and minus consolidated non-cash credits, gains and income, in each case of such Person and its Subsidiaries for such period; it being understood that such amounts may be determined on a combined basis for a disposed group.</w:t>
      </w:r>
    </w:p>
    <w:p>
      <w:pPr>
        <w:spacing w:after="0" w:line="39" w:lineRule="exact"/>
        <w:rPr>
          <w:sz w:val="20"/>
          <w:szCs w:val="20"/>
          <w:color w:val="auto"/>
        </w:rPr>
      </w:pPr>
    </w:p>
    <w:p>
      <w:pPr>
        <w:ind w:right="20" w:firstLine="877"/>
        <w:spacing w:after="0" w:line="257" w:lineRule="auto"/>
        <w:rPr>
          <w:sz w:val="20"/>
          <w:szCs w:val="20"/>
          <w:color w:val="auto"/>
        </w:rPr>
      </w:pPr>
      <w:r>
        <w:rPr>
          <w:rFonts w:ascii="Arial" w:cs="Arial" w:eastAsia="Arial" w:hAnsi="Arial"/>
          <w:sz w:val="18"/>
          <w:szCs w:val="18"/>
          <w:color w:val="auto"/>
        </w:rPr>
        <w:t xml:space="preserve">“Consolidated Net Secured Leverage Ratio” means the ratio of the aggregate of all consolidated Secured Indebtedness of such Person and its Subsidiaries (less any unrestricted cash and Cash Equivalents) at the end of the most recent fiscal period for which financial information in respect thereof is available immediately preceding the date of the transaction giving rise to the need to calculate such amount to the aggregate Consolidated EBITDA of such Person for the prior four fiscal quarters (treated as one period) for which financial information in respect thereof is available immediately preceding such date, and in each case,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w:t>
      </w:r>
    </w:p>
    <w:p>
      <w:pPr>
        <w:spacing w:after="0" w:line="80"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 xml:space="preserve">“Consolidated Net Tangible Assets” means, with respect to any Person, the Total Assets of such Person and its Subsidiaries less goodwill and intangibles (other than intangibles arising from, or relating to, intellectual property, licenses or permits (including, but not limited to, emissions rights) of such Person), in each case calculated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such Person or any of its Subsidiaries assumes or acquires any assets in connection with the acquisition by such Person and its Subsidiaries of another Person subsequent to the commencement of the period for which the Consolidated Net Tangible Assets is being calculated but prior to the event for which the calculation of the Consolidated Net Tangible Assets is made, then the Consolidated Net Tangible Assets shall be calculated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assumption or acquisition of assets, as if the same had occurred at the beginning of the applicable period.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3" w:name="page164"/>
    <w:bookmarkEnd w:id="163"/>
    <w:p>
      <w:pPr>
        <w:ind w:right="100" w:firstLine="877"/>
        <w:spacing w:after="0" w:line="285" w:lineRule="auto"/>
        <w:rPr>
          <w:sz w:val="20"/>
          <w:szCs w:val="20"/>
          <w:color w:val="auto"/>
        </w:rPr>
      </w:pPr>
      <w:r>
        <w:rPr>
          <w:rFonts w:ascii="Arial" w:cs="Arial" w:eastAsia="Arial" w:hAnsi="Arial"/>
          <w:sz w:val="16"/>
          <w:szCs w:val="16"/>
          <w:color w:val="auto"/>
        </w:rPr>
        <w:t>“Credit Agreement” means (x) the credit agreement, dated as of August 23, 2011, among the Company, the lenders party thereto, The Bank of Nova Scotia, as administrative agent, swing line lender and L/C issuer and the other agents, arrangers and lenders party thereto, together with any related documents (including any security documents and guarantee agreements), as the same may be amended, modified, supplemented, extended, renewed, refinanced, replaced or substituted from time to time (which for the avoidance of doubt includes the proposed credit facility refinancing) and (y) any other Indebtedness of the Company, in an aggregate amount outstanding at any time under clauses (x) and (y) not to exceed the greater of (A) $4,150.0 million and</w:t>
      </w:r>
    </w:p>
    <w:p>
      <w:pPr>
        <w:spacing w:after="0" w:line="2" w:lineRule="exact"/>
        <w:rPr>
          <w:sz w:val="20"/>
          <w:szCs w:val="20"/>
          <w:color w:val="auto"/>
        </w:rPr>
      </w:pPr>
    </w:p>
    <w:p>
      <w:pPr>
        <w:ind w:right="80" w:firstLine="8"/>
        <w:spacing w:after="0" w:line="273" w:lineRule="auto"/>
        <w:tabs>
          <w:tab w:leader="none" w:pos="285"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amount such that the Consolidated Net Secured Leverage Ratio of the Company shall not exceed 2.50:1.00. Notwithstanding the foregoing, the maximum amount of secured Indebtedness that may be incurred pursuant to clause (7) of “—Certain Covenants—Restrictions on secured debt” as a result of clause (B) above shall not be deemed to be exceeded with respect to any Indebtedness incurred to refinance any outstanding Indebtedness if such outstanding Indebtedness was permitted to be incurred under clause (B) at the time of original incurrence.</w:t>
      </w:r>
    </w:p>
    <w:p>
      <w:pPr>
        <w:spacing w:after="0" w:line="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“Default” means any event which is, or after notice or passage of time or both would be, an Event of Default.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“Domestic Subsidiary” means a Subsidiary that is not a Foreign Subsidiary.</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“DTC” means The Depository Trust Company.</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“Event of Default” has the meaning set forth under “—Events of Default.”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“Exchange Act” means the Securities Exchange Act of 1934, as amended, and the rules and regulations of the SEC promulgated thereunder.</w:t>
      </w:r>
    </w:p>
    <w:p>
      <w:pPr>
        <w:spacing w:after="0" w:line="140" w:lineRule="exact"/>
        <w:rPr>
          <w:sz w:val="20"/>
          <w:szCs w:val="20"/>
          <w:color w:val="auto"/>
        </w:rPr>
      </w:pPr>
    </w:p>
    <w:p>
      <w:pPr>
        <w:ind w:right="240" w:firstLine="877"/>
        <w:spacing w:after="0" w:line="277" w:lineRule="auto"/>
        <w:rPr>
          <w:sz w:val="20"/>
          <w:szCs w:val="20"/>
          <w:color w:val="auto"/>
        </w:rPr>
      </w:pPr>
      <w:r>
        <w:rPr>
          <w:rFonts w:ascii="Arial" w:cs="Arial" w:eastAsia="Arial" w:hAnsi="Arial"/>
          <w:sz w:val="18"/>
          <w:szCs w:val="18"/>
          <w:color w:val="auto"/>
        </w:rPr>
        <w:t>“Excluded Subsidiary” means (i) any Receivables Subsidiary, (ii) any Qualified Non-Recourse Subsidiary, (iii) any Special Purpose Subsidiary and (iv) any Foreign Subsidiary.</w:t>
      </w:r>
    </w:p>
    <w:p>
      <w:pPr>
        <w:spacing w:after="0" w:line="62" w:lineRule="exact"/>
        <w:rPr>
          <w:sz w:val="20"/>
          <w:szCs w:val="20"/>
          <w:color w:val="auto"/>
        </w:rPr>
      </w:pPr>
    </w:p>
    <w:p>
      <w:pPr>
        <w:ind w:right="40" w:firstLine="877"/>
        <w:spacing w:after="0" w:line="277" w:lineRule="auto"/>
        <w:rPr>
          <w:sz w:val="20"/>
          <w:szCs w:val="20"/>
          <w:color w:val="auto"/>
        </w:rPr>
      </w:pPr>
      <w:r>
        <w:rPr>
          <w:rFonts w:ascii="Arial" w:cs="Arial" w:eastAsia="Arial" w:hAnsi="Arial"/>
          <w:sz w:val="18"/>
          <w:szCs w:val="18"/>
          <w:color w:val="auto"/>
        </w:rPr>
        <w:t>“Foreign Subsidiary” means a Subsidiary not organized or existing under the laws of the United States of America or any state or territory thereof or the District of Columbia and any direct or indirect Subsidiary of such Subsidiary.</w:t>
      </w:r>
    </w:p>
    <w:p>
      <w:pPr>
        <w:spacing w:after="0" w:line="62" w:lineRule="exact"/>
        <w:rPr>
          <w:sz w:val="20"/>
          <w:szCs w:val="20"/>
          <w:color w:val="auto"/>
        </w:rPr>
      </w:pPr>
    </w:p>
    <w:p>
      <w:pPr>
        <w:ind w:firstLine="877"/>
        <w:spacing w:after="0" w:line="293" w:lineRule="auto"/>
        <w:rPr>
          <w:sz w:val="20"/>
          <w:szCs w:val="20"/>
          <w:color w:val="auto"/>
        </w:rPr>
      </w:pPr>
      <w:r>
        <w:rPr>
          <w:rFonts w:ascii="Arial" w:cs="Arial" w:eastAsia="Arial" w:hAnsi="Arial"/>
          <w:sz w:val="16"/>
          <w:szCs w:val="16"/>
          <w:color w:val="auto"/>
        </w:rPr>
        <w:t>“GAAP”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 At any time after the Issue Date, the Company may irrevocably elect to apply International Financial Reporting Standards (“IFRS”) as issued by the International Accounting Standards Board in lieu of GAAP and, upon any such election, references in this indenture to GAAP shall thereafter be construed to mean IFRS as in effect from time to time. The Company shall give notice of any such election to the Trustee.</w:t>
      </w:r>
    </w:p>
    <w:p>
      <w:pPr>
        <w:spacing w:after="0" w:line="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“Indebtedness” means indebtedness for borrowed money.</w:t>
      </w:r>
    </w:p>
    <w:p>
      <w:pPr>
        <w:spacing w:after="0" w:line="117"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“Investment Grade Rating” means a rating equal to or higher than Baa3 (or the equivalent) by Moody’s or BBB- (or the equivalent) by S&amp;P, or an equivalent rating by any other Rating Agency.</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“Issue Date” means the date on which the notes are initially issued.</w:t>
      </w:r>
    </w:p>
    <w:p>
      <w:pPr>
        <w:spacing w:after="0" w:line="117" w:lineRule="exact"/>
        <w:rPr>
          <w:sz w:val="20"/>
          <w:szCs w:val="20"/>
          <w:color w:val="auto"/>
        </w:rPr>
      </w:pPr>
    </w:p>
    <w:p>
      <w:pPr>
        <w:ind w:right="320" w:firstLine="877"/>
        <w:spacing w:after="0" w:line="342" w:lineRule="auto"/>
        <w:rPr>
          <w:sz w:val="20"/>
          <w:szCs w:val="20"/>
          <w:color w:val="auto"/>
        </w:rPr>
      </w:pPr>
      <w:r>
        <w:rPr>
          <w:rFonts w:ascii="Arial" w:cs="Arial" w:eastAsia="Arial" w:hAnsi="Arial"/>
          <w:sz w:val="16"/>
          <w:szCs w:val="16"/>
          <w:color w:val="auto"/>
        </w:rPr>
        <w:t>“Joint Venture” means any joint venture entity, whether a company, unincorporated firm, association, partnership or any other entity which, in each case, is not a Subsidiary or any of its Subsidiaries but in which the Company or a Subsidiary has a direct or indirect equity or similar interest.</w:t>
      </w:r>
    </w:p>
    <w:p>
      <w:pPr>
        <w:spacing w:after="0" w:line="16" w:lineRule="exact"/>
        <w:rPr>
          <w:sz w:val="20"/>
          <w:szCs w:val="20"/>
          <w:color w:val="auto"/>
        </w:rPr>
      </w:pPr>
    </w:p>
    <w:p>
      <w:pPr>
        <w:ind w:right="80" w:firstLine="877"/>
        <w:spacing w:after="0" w:line="277" w:lineRule="auto"/>
        <w:rPr>
          <w:sz w:val="20"/>
          <w:szCs w:val="20"/>
          <w:color w:val="auto"/>
        </w:rPr>
      </w:pPr>
      <w:r>
        <w:rPr>
          <w:rFonts w:ascii="Arial" w:cs="Arial" w:eastAsia="Arial" w:hAnsi="Arial"/>
          <w:sz w:val="18"/>
          <w:szCs w:val="18"/>
          <w:color w:val="auto"/>
        </w:rPr>
        <w:t>“Long-Term Indebtedness” means any Indebtedness maturing by its terms more than one year from its date of issuance (notwithstanding that any portion of such Indebtedness is included in current liabilities).</w:t>
      </w:r>
    </w:p>
    <w:p>
      <w:pPr>
        <w:spacing w:after="0" w:line="62" w:lineRule="exact"/>
        <w:rPr>
          <w:sz w:val="20"/>
          <w:szCs w:val="20"/>
          <w:color w:val="auto"/>
        </w:rPr>
      </w:pPr>
    </w:p>
    <w:p>
      <w:pPr>
        <w:ind w:right="180" w:firstLine="877"/>
        <w:spacing w:after="0" w:line="277" w:lineRule="auto"/>
        <w:rPr>
          <w:sz w:val="20"/>
          <w:szCs w:val="20"/>
          <w:color w:val="auto"/>
        </w:rPr>
      </w:pPr>
      <w:r>
        <w:rPr>
          <w:rFonts w:ascii="Arial" w:cs="Arial" w:eastAsia="Arial" w:hAnsi="Arial"/>
          <w:sz w:val="18"/>
          <w:szCs w:val="18"/>
          <w:color w:val="auto"/>
        </w:rPr>
        <w:t>“Moody’s” means Moody’s Investors Service, Inc. or any successor to the rating agency business thereof. “Mortgage” has the meaning set forth under “—Certain Covenants—Restrictions on Secured Debt.”</w:t>
      </w:r>
    </w:p>
    <w:p>
      <w:pPr>
        <w:spacing w:after="0" w:line="62" w:lineRule="exact"/>
        <w:rPr>
          <w:sz w:val="20"/>
          <w:szCs w:val="20"/>
          <w:color w:val="auto"/>
        </w:rPr>
      </w:pPr>
    </w:p>
    <w:p>
      <w:pPr>
        <w:ind w:right="60" w:firstLine="877"/>
        <w:spacing w:after="0" w:line="259" w:lineRule="auto"/>
        <w:rPr>
          <w:sz w:val="20"/>
          <w:szCs w:val="20"/>
          <w:color w:val="auto"/>
        </w:rPr>
      </w:pPr>
      <w:r>
        <w:rPr>
          <w:rFonts w:ascii="Arial" w:cs="Arial" w:eastAsia="Arial" w:hAnsi="Arial"/>
          <w:sz w:val="18"/>
          <w:szCs w:val="18"/>
          <w:color w:val="auto"/>
        </w:rPr>
        <w:t>“Officer” means the Chairman of the Board, Chief Executive Officer, Chief Financial Officer, President, any Executive Vice President, Senior Vice President or Vice President, the Treasurer, any Assistant Treasurer, any Financial Director or the Secretary or Assistant Secretary of any Person (or, with respect to a Person that is a limited partnership, the general partner of such Person), or any other officer designated by the Board of Directors serving in a similar capacity.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64" w:name="page165"/>
    <w:bookmarkEnd w:id="164"/>
    <w:p>
      <w:pPr>
        <w:ind w:right="260" w:firstLine="877"/>
        <w:spacing w:after="0" w:line="264" w:lineRule="auto"/>
        <w:rPr>
          <w:sz w:val="20"/>
          <w:szCs w:val="20"/>
          <w:color w:val="auto"/>
        </w:rPr>
      </w:pPr>
      <w:r>
        <w:rPr>
          <w:rFonts w:ascii="Arial" w:cs="Arial" w:eastAsia="Arial" w:hAnsi="Arial"/>
          <w:sz w:val="18"/>
          <w:szCs w:val="18"/>
          <w:color w:val="auto"/>
        </w:rPr>
        <w:t>“Officer’s Certificate” means a certificate signed on behalf of any Person by an Officer of such Person, who must fulfill the function of the principal executive officer, the principal financial officer, the treasurer or the principal accounting officer of such Person, which meets the requirements set forth in the indenture.</w:t>
      </w:r>
    </w:p>
    <w:p>
      <w:pPr>
        <w:spacing w:after="0" w:line="73" w:lineRule="exact"/>
        <w:rPr>
          <w:sz w:val="20"/>
          <w:szCs w:val="20"/>
          <w:color w:val="auto"/>
        </w:rPr>
      </w:pPr>
    </w:p>
    <w:p>
      <w:pPr>
        <w:ind w:right="120" w:firstLine="877"/>
        <w:spacing w:after="0" w:line="277" w:lineRule="auto"/>
        <w:rPr>
          <w:sz w:val="20"/>
          <w:szCs w:val="20"/>
          <w:color w:val="auto"/>
        </w:rPr>
      </w:pPr>
      <w:r>
        <w:rPr>
          <w:rFonts w:ascii="Arial" w:cs="Arial" w:eastAsia="Arial" w:hAnsi="Arial"/>
          <w:sz w:val="18"/>
          <w:szCs w:val="18"/>
          <w:color w:val="auto"/>
        </w:rPr>
        <w:t>“Opinion of Counsel” means a written opinion from legal counsel who is reasonably acceptable to the Trustee. The counsel may be an employee of or counsel to the Company or to the Trustee.</w:t>
      </w:r>
    </w:p>
    <w:p>
      <w:pPr>
        <w:spacing w:after="0" w:line="62" w:lineRule="exact"/>
        <w:rPr>
          <w:sz w:val="20"/>
          <w:szCs w:val="20"/>
          <w:color w:val="auto"/>
        </w:rPr>
      </w:pPr>
    </w:p>
    <w:p>
      <w:pPr>
        <w:ind w:right="680" w:firstLine="877"/>
        <w:spacing w:after="0" w:line="277" w:lineRule="auto"/>
        <w:rPr>
          <w:sz w:val="20"/>
          <w:szCs w:val="20"/>
          <w:color w:val="auto"/>
        </w:rPr>
      </w:pPr>
      <w:r>
        <w:rPr>
          <w:rFonts w:ascii="Arial" w:cs="Arial" w:eastAsia="Arial" w:hAnsi="Arial"/>
          <w:sz w:val="18"/>
          <w:szCs w:val="18"/>
          <w:color w:val="auto"/>
        </w:rPr>
        <w:t>“Person” means any individual, corporation, partnership, limited liability company, joint venture, association, joint-stock company, trust, unincorporated organization, government or any agency or political subdivision thereof or any other entity.</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has the meaning set forth under “—Certain Covenants—Restrictions on Secured Debt.”</w:t>
      </w:r>
    </w:p>
    <w:p>
      <w:pPr>
        <w:spacing w:after="0" w:line="117"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“Qualified Non-Recourse Debt” means Indebtedness that (1) is (a) incurred by a Qualified Non-Recourse Subsidiary to finance (whether prior to or within one year after) the acquisition, lease, construction, repair, replacement or improvement of any Property (real or personal) or equipment (whether through the direct purchase of Property or the Capital Stock of any Person owning such Property and whether in a single acquisition or a series of related acquisitions) or (b) assumed by a Qualified Non-Recourse Subsidiary, (2) is non-recourse to the Company and (3) is non-recourse to any Subsidiary that is not a Qualified Non-Recourse Subsidiary.</w:t>
      </w:r>
    </w:p>
    <w:p>
      <w:pPr>
        <w:spacing w:after="0" w:line="80" w:lineRule="exact"/>
        <w:rPr>
          <w:sz w:val="20"/>
          <w:szCs w:val="20"/>
          <w:color w:val="auto"/>
        </w:rPr>
      </w:pPr>
    </w:p>
    <w:p>
      <w:pPr>
        <w:ind w:right="60" w:firstLine="877"/>
        <w:spacing w:after="0" w:line="264" w:lineRule="auto"/>
        <w:rPr>
          <w:sz w:val="20"/>
          <w:szCs w:val="20"/>
          <w:color w:val="auto"/>
        </w:rPr>
      </w:pPr>
      <w:r>
        <w:rPr>
          <w:rFonts w:ascii="Arial" w:cs="Arial" w:eastAsia="Arial" w:hAnsi="Arial"/>
          <w:sz w:val="18"/>
          <w:szCs w:val="18"/>
          <w:color w:val="auto"/>
        </w:rPr>
        <w:t>“Qualified Non-Recourse Subsidiary” means (1) a Subsidiary that is formed or created after the Issue Date in order to finance an acquisition, lease, construction, repair, replacement or improvement of any Property or equipment (directly or through one of its Subsidiaries) that secures Qualified Non-Recourse Debt and (2) any Subsidiary of a Qualified Non-Recourse Subsidiary.</w:t>
      </w:r>
    </w:p>
    <w:p>
      <w:pPr>
        <w:spacing w:after="0" w:line="73" w:lineRule="exact"/>
        <w:rPr>
          <w:sz w:val="20"/>
          <w:szCs w:val="20"/>
          <w:color w:val="auto"/>
        </w:rPr>
      </w:pPr>
    </w:p>
    <w:p>
      <w:pPr>
        <w:ind w:right="140" w:firstLine="877"/>
        <w:spacing w:after="0" w:line="302" w:lineRule="auto"/>
        <w:rPr>
          <w:sz w:val="20"/>
          <w:szCs w:val="20"/>
          <w:color w:val="auto"/>
        </w:rPr>
      </w:pPr>
      <w:r>
        <w:rPr>
          <w:rFonts w:ascii="Arial" w:cs="Arial" w:eastAsia="Arial" w:hAnsi="Arial"/>
          <w:sz w:val="16"/>
          <w:szCs w:val="16"/>
          <w:color w:val="auto"/>
        </w:rPr>
        <w:t>“Qualified Receivables Financing” means the securitization of accounts receivables and related assets of the Company and its Subsidiaries on customary market terms (including, without limitation, Standard Securitization Undertakings and a Receivables Repurchase Obligation) as determined in good faith by the Company to be in the aggregate commercially fair and reasonable to the Company and its Subsidiaries taken as a whole. For the avoidance of doubt, the Company’s accounts receivable securitization facility entered into on August 31, 2012 constitutes a Qualified Receivables Financing.</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“Quotation Agent” means one of the Reference Treasury Dealers appointed by the Company as Quotation Agent.</w:t>
      </w:r>
    </w:p>
    <w:p>
      <w:pPr>
        <w:spacing w:after="0" w:line="117" w:lineRule="exact"/>
        <w:rPr>
          <w:sz w:val="20"/>
          <w:szCs w:val="20"/>
          <w:color w:val="auto"/>
        </w:rPr>
      </w:pPr>
    </w:p>
    <w:p>
      <w:pPr>
        <w:ind w:right="300" w:firstLine="877"/>
        <w:spacing w:after="0" w:line="308" w:lineRule="auto"/>
        <w:rPr>
          <w:sz w:val="20"/>
          <w:szCs w:val="20"/>
          <w:color w:val="auto"/>
        </w:rPr>
      </w:pPr>
      <w:r>
        <w:rPr>
          <w:rFonts w:ascii="Arial" w:cs="Arial" w:eastAsia="Arial" w:hAnsi="Arial"/>
          <w:sz w:val="17"/>
          <w:szCs w:val="17"/>
          <w:color w:val="auto"/>
        </w:rPr>
        <w:t>“Rating Agency” means (1) S&amp;P, (2) Moody’s or (3) if either of S&amp;P or Moody’s shall not then exist, a nationally recognized securities rating agency or agencies, as the case may be, selected by the Company, which shall be substituted for S&amp;P or Moody’s, as the case may be.</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“Ratings Event” means with respect to the notes at any time from or after the occurrence of a Change of Control and until the earlier to occur of</w:t>
      </w:r>
    </w:p>
    <w:p>
      <w:pPr>
        <w:spacing w:after="0" w:line="46" w:lineRule="exact"/>
        <w:rPr>
          <w:sz w:val="20"/>
          <w:szCs w:val="20"/>
          <w:color w:val="auto"/>
        </w:rPr>
      </w:pPr>
    </w:p>
    <w:p>
      <w:pPr>
        <w:ind w:right="60" w:firstLine="8"/>
        <w:spacing w:after="0" w:line="254"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60 days after the later of (i) the occurrence of a Change of Control or (ii) public notice of the occurrence of a Change of Control (which period shall be extended so long as the rating of the notes is under publicly announced consideration for a possible downgrade by either of the Rating Agencies) and (y) both Rating Agencies publicly issuing or reaffirming an Investment Grade Rating on the notes following such Change of Control, the notes have a below Investment Grade Rating by both Rating Agencies.</w:t>
      </w:r>
    </w:p>
    <w:p>
      <w:pPr>
        <w:spacing w:after="0" w:line="82" w:lineRule="exact"/>
        <w:rPr>
          <w:sz w:val="20"/>
          <w:szCs w:val="20"/>
          <w:color w:val="auto"/>
        </w:rPr>
      </w:pPr>
    </w:p>
    <w:p>
      <w:pPr>
        <w:ind w:right="220" w:firstLine="877"/>
        <w:spacing w:after="0" w:line="259" w:lineRule="auto"/>
        <w:rPr>
          <w:sz w:val="20"/>
          <w:szCs w:val="20"/>
          <w:color w:val="auto"/>
        </w:rPr>
      </w:pPr>
      <w:r>
        <w:rPr>
          <w:rFonts w:ascii="Arial" w:cs="Arial" w:eastAsia="Arial" w:hAnsi="Arial"/>
          <w:sz w:val="18"/>
          <w:szCs w:val="18"/>
          <w:color w:val="auto"/>
        </w:rPr>
        <w:t>“Receivables Repurchase Obligation” means any obligation of a seller of receivables in a Qualified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5" w:name="page166"/>
    <w:bookmarkEnd w:id="165"/>
    <w:p>
      <w:pPr>
        <w:ind w:right="100" w:firstLine="877"/>
        <w:spacing w:after="0" w:line="297" w:lineRule="auto"/>
        <w:rPr>
          <w:sz w:val="20"/>
          <w:szCs w:val="20"/>
          <w:color w:val="auto"/>
        </w:rPr>
      </w:pPr>
      <w:r>
        <w:rPr>
          <w:rFonts w:ascii="Arial" w:cs="Arial" w:eastAsia="Arial" w:hAnsi="Arial"/>
          <w:sz w:val="16"/>
          <w:szCs w:val="16"/>
          <w:color w:val="auto"/>
        </w:rPr>
        <w:t>“Receivables Subsidiary” means a Subsidiary of the Company (or another Person formed for the purposes of engaging in Qualified Receivables Financing with the Company in which the Company or any Subsidiary makes an investment and to which the Company or any Subsidiary transfers accounts receivable and related assets) which engages in no activities other than in connection with the financing of accounts receivable of the Company and its Subsidiaries, all proceeds thereof and all rights (contractual or other), collateral and other assets relating thereto, and any business or activities incidental or related to such business, and which is designated by the Company (as provided below) as a Receivables Subsidiary and:</w:t>
      </w:r>
    </w:p>
    <w:p>
      <w:pPr>
        <w:spacing w:after="0" w:line="50" w:lineRule="exact"/>
        <w:rPr>
          <w:sz w:val="20"/>
          <w:szCs w:val="20"/>
          <w:color w:val="auto"/>
        </w:rPr>
      </w:pPr>
    </w:p>
    <w:p>
      <w:pPr>
        <w:ind w:left="1420" w:right="40" w:hanging="548"/>
        <w:spacing w:after="0" w:line="297" w:lineRule="auto"/>
        <w:tabs>
          <w:tab w:leader="none" w:pos="14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 portion of the Indebtedness or any other obligations (contingent or otherwise) of which (i) is guaranteed by the Company or any other Subsidiary (excluding guarantees of obligations (other than the principal of and interest on, Indebtedness) pursuant to Standard Securitization Undertakings), (ii) is recourse to or obligates the Company or any other Subsidiary in any way other than pursuant to Standard Securitization Undertakings, or (iii) subjects any property or asset of the Company or any other Subsidiary, directly or indirectly, contingently or otherwise, to the satisfaction thereof, other than pursuant to Standard Securitization Undertakings;</w:t>
      </w:r>
    </w:p>
    <w:p>
      <w:pPr>
        <w:spacing w:after="0" w:line="50" w:lineRule="exact"/>
        <w:rPr>
          <w:rFonts w:ascii="Arial" w:cs="Arial" w:eastAsia="Arial" w:hAnsi="Arial"/>
          <w:sz w:val="16"/>
          <w:szCs w:val="16"/>
          <w:color w:val="auto"/>
        </w:rPr>
      </w:pPr>
    </w:p>
    <w:p>
      <w:pPr>
        <w:ind w:left="1420" w:right="100" w:hanging="548"/>
        <w:spacing w:after="0" w:line="264"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with which neither the Company nor any other Subsidiary has any material contract, agreement, arrangement or understanding other than on terms which the Company reasonably believes to be no less favorable to the Company or such Subsidiary than those that might be obtained at the time from Persons that are not affiliates of the Company; and</w:t>
      </w:r>
    </w:p>
    <w:p>
      <w:pPr>
        <w:spacing w:after="0" w:line="73" w:lineRule="exact"/>
        <w:rPr>
          <w:rFonts w:ascii="Arial" w:cs="Arial" w:eastAsia="Arial" w:hAnsi="Arial"/>
          <w:sz w:val="18"/>
          <w:szCs w:val="18"/>
          <w:color w:val="auto"/>
        </w:rPr>
      </w:pPr>
    </w:p>
    <w:p>
      <w:pPr>
        <w:ind w:left="1420" w:right="360" w:hanging="548"/>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which neither the Company nor any other Subsidiary has any obligation to maintain or preserve such entity’s financial condition or cause such entity to achieve certain levels of operating results.</w:t>
      </w:r>
    </w:p>
    <w:p>
      <w:pPr>
        <w:spacing w:after="0" w:line="62" w:lineRule="exact"/>
        <w:rPr>
          <w:sz w:val="20"/>
          <w:szCs w:val="20"/>
          <w:color w:val="auto"/>
        </w:rPr>
      </w:pPr>
    </w:p>
    <w:p>
      <w:pPr>
        <w:ind w:firstLine="877"/>
        <w:spacing w:after="0" w:line="276" w:lineRule="auto"/>
        <w:rPr>
          <w:sz w:val="20"/>
          <w:szCs w:val="20"/>
          <w:color w:val="auto"/>
        </w:rPr>
      </w:pPr>
      <w:r>
        <w:rPr>
          <w:rFonts w:ascii="Arial" w:cs="Arial" w:eastAsia="Arial" w:hAnsi="Arial"/>
          <w:sz w:val="17"/>
          <w:szCs w:val="17"/>
          <w:color w:val="auto"/>
        </w:rPr>
        <w:t>The foregoing conditions shall not be violated by reason of any contractual obligation on the part of the Company to maintain the solvency of any Receivables Subsidiary on terms that the Company has determined in good faith to be reasonably necessary to facilitate a Qualified Receivables Financing. Any such designation by the Company shall be evidenced to the Trustee by filing with the Trustee a certified copy of the resolution of the Board of Directors of the Company giving effect to such designation and an Officer’s Certificate certifying that such designation complied with the foregoing conditions. For the avoidance of doubt, CVG Capital III LLC, an indirect subsidiary of the Company, constitutes a Receivables Subsidiary.</w:t>
      </w:r>
    </w:p>
    <w:p>
      <w:pPr>
        <w:spacing w:after="0" w:line="64" w:lineRule="exact"/>
        <w:rPr>
          <w:sz w:val="20"/>
          <w:szCs w:val="20"/>
          <w:color w:val="auto"/>
        </w:rPr>
      </w:pPr>
    </w:p>
    <w:p>
      <w:pPr>
        <w:ind w:right="320" w:firstLine="877"/>
        <w:spacing w:after="0" w:line="264" w:lineRule="auto"/>
        <w:rPr>
          <w:sz w:val="20"/>
          <w:szCs w:val="20"/>
          <w:color w:val="auto"/>
        </w:rPr>
      </w:pPr>
      <w:r>
        <w:rPr>
          <w:rFonts w:ascii="Arial" w:cs="Arial" w:eastAsia="Arial" w:hAnsi="Arial"/>
          <w:sz w:val="18"/>
          <w:szCs w:val="18"/>
          <w:color w:val="auto"/>
        </w:rPr>
        <w:t>“Reference Treasury Dealer” means (1) Citigroup Global Markets Inc. and its successors, unless any of them ceases to be a primary U.S. Government securities dealer in New York City (a “Primary Treasury Dealer”), in which case we shall substitute another Primary Treasury Dealer and (2) three other Primary Treasury Dealers selected by the Company.</w:t>
      </w:r>
    </w:p>
    <w:p>
      <w:pPr>
        <w:spacing w:after="0" w:line="73" w:lineRule="exact"/>
        <w:rPr>
          <w:sz w:val="20"/>
          <w:szCs w:val="20"/>
          <w:color w:val="auto"/>
        </w:rPr>
      </w:pPr>
    </w:p>
    <w:p>
      <w:pPr>
        <w:ind w:right="140" w:firstLine="877"/>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that Reference Treasury Dealer at 5:00 p.m., New York City time, on the third Business Day preceding that redemption date.</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“S&amp;P” means Standard &amp; Poor’s Ratings Group or any successor to the rating agency business thereof.</w:t>
      </w:r>
    </w:p>
    <w:p>
      <w:pPr>
        <w:spacing w:after="0" w:line="117" w:lineRule="exact"/>
        <w:rPr>
          <w:sz w:val="20"/>
          <w:szCs w:val="20"/>
          <w:color w:val="auto"/>
        </w:rPr>
      </w:pPr>
    </w:p>
    <w:p>
      <w:pPr>
        <w:ind w:right="60" w:firstLine="877"/>
        <w:spacing w:after="0" w:line="259" w:lineRule="auto"/>
        <w:rPr>
          <w:sz w:val="20"/>
          <w:szCs w:val="20"/>
          <w:color w:val="auto"/>
        </w:rPr>
      </w:pPr>
      <w:r>
        <w:rPr>
          <w:rFonts w:ascii="Arial" w:cs="Arial" w:eastAsia="Arial" w:hAnsi="Arial"/>
          <w:sz w:val="18"/>
          <w:szCs w:val="18"/>
          <w:color w:val="auto"/>
        </w:rPr>
        <w:t>“Sale and Lease-Back Transaction” means the leasing by the Company or any Subsidiary of any Property, whether owned at the date of the indenture or acquired after the date of the indenture (except for temporary leases for a term, including any renewal term, of up to three years and except for leases between us and any Subsidiary or between Subsidiaries), which Property has been or is to be sold or transferred by the Company or such Subsidiary to any party with the intention of taking back a lease of such Property.</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 means the U.S. Securities and Exchange Commission.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“Secured Indebtedness” means any Indebtedness secured by a Mortgage.</w:t>
      </w:r>
    </w:p>
    <w:p>
      <w:pPr>
        <w:spacing w:after="0" w:line="117"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“Special Purpose Subsidiary” means any Subsidiary whose material assets are comprised solely of the Capital Stock of a Joint Venture, where the pledge of such Capital Stock would be prohibited by any contractual requirement pertaining to such Joint Venture.</w:t>
      </w:r>
    </w:p>
    <w:p>
      <w:pPr>
        <w:spacing w:after="0" w:line="62" w:lineRule="exact"/>
        <w:rPr>
          <w:sz w:val="20"/>
          <w:szCs w:val="20"/>
          <w:color w:val="auto"/>
        </w:rPr>
      </w:pPr>
    </w:p>
    <w:p>
      <w:pPr>
        <w:ind w:right="140" w:firstLine="877"/>
        <w:spacing w:after="0" w:line="342" w:lineRule="auto"/>
        <w:rPr>
          <w:sz w:val="20"/>
          <w:szCs w:val="20"/>
          <w:color w:val="auto"/>
        </w:rPr>
      </w:pPr>
      <w:r>
        <w:rPr>
          <w:rFonts w:ascii="Arial" w:cs="Arial" w:eastAsia="Arial" w:hAnsi="Arial"/>
          <w:sz w:val="16"/>
          <w:szCs w:val="16"/>
          <w:color w:val="auto"/>
        </w:rPr>
        <w:t>“Standard Securitization Undertakings” means representations, warranties, undertakings, covenants, indemnities and guarantees of performance entered into by the Company or any Subsidiary which the Company has determined in good faith to be customary in a Qualified Receivables Financing.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6" w:name="page167"/>
    <w:bookmarkEnd w:id="166"/>
    <w:p>
      <w:pPr>
        <w:ind w:firstLine="877"/>
        <w:spacing w:after="0" w:line="290" w:lineRule="auto"/>
        <w:rPr>
          <w:sz w:val="20"/>
          <w:szCs w:val="20"/>
          <w:color w:val="auto"/>
        </w:rPr>
      </w:pPr>
      <w:r>
        <w:rPr>
          <w:rFonts w:ascii="Arial" w:cs="Arial" w:eastAsia="Arial" w:hAnsi="Arial"/>
          <w:sz w:val="16"/>
          <w:szCs w:val="16"/>
          <w:color w:val="auto"/>
        </w:rPr>
        <w:t>“Subsidiary” means, with respect to any Person, (1) any corporation, association or other business entity (other than a partnership, joint venture or limited liability company) of which more than 50% of the total voting power of shares of Voting Stock thereof is at the time of determination owned or controlled, directly or indirectly, by such Person or one or more of the other Subsidiaries of that Person or a combination thereof; or (2) any partnership, joint venture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 Unless otherwise qualified, all references to a “Subsidiary” or to “Subsidiaries” in this “Description of the 2043 Notes” shall refer to a Subsidiary or Subsidiaries of the Company.</w:t>
      </w:r>
    </w:p>
    <w:p>
      <w:pPr>
        <w:spacing w:after="0" w:line="58" w:lineRule="exact"/>
        <w:rPr>
          <w:sz w:val="20"/>
          <w:szCs w:val="20"/>
          <w:color w:val="auto"/>
        </w:rPr>
      </w:pPr>
    </w:p>
    <w:p>
      <w:pPr>
        <w:jc w:val="both"/>
        <w:ind w:right="240" w:firstLine="877"/>
        <w:spacing w:after="0" w:line="264" w:lineRule="auto"/>
        <w:rPr>
          <w:sz w:val="20"/>
          <w:szCs w:val="20"/>
          <w:color w:val="auto"/>
        </w:rPr>
      </w:pPr>
      <w:r>
        <w:rPr>
          <w:rFonts w:ascii="Arial" w:cs="Arial" w:eastAsia="Arial" w:hAnsi="Arial"/>
          <w:sz w:val="18"/>
          <w:szCs w:val="18"/>
          <w:color w:val="auto"/>
        </w:rPr>
        <w:t>“Total Assets” means, with respect to any Person, the total consolidated assets of such Person and its Subsidiaries, without giving effect to any amortization of the amount of intangible assets since the Issue Date, (x) as shown on the most recent balance sheet of such Person, or (y) in regards to the Company only, as shown on the most recent balance sheet of the Company.”</w:t>
      </w:r>
    </w:p>
    <w:p>
      <w:pPr>
        <w:spacing w:after="0" w:line="73" w:lineRule="exact"/>
        <w:rPr>
          <w:sz w:val="20"/>
          <w:szCs w:val="20"/>
          <w:color w:val="auto"/>
        </w:rPr>
      </w:pPr>
    </w:p>
    <w:p>
      <w:pPr>
        <w:ind w:right="60" w:firstLine="877"/>
        <w:spacing w:after="0" w:line="270" w:lineRule="auto"/>
        <w:rPr>
          <w:sz w:val="20"/>
          <w:szCs w:val="20"/>
          <w:color w:val="auto"/>
        </w:rPr>
      </w:pPr>
      <w:r>
        <w:rPr>
          <w:rFonts w:ascii="Arial" w:cs="Arial" w:eastAsia="Arial" w:hAnsi="Arial"/>
          <w:sz w:val="17"/>
          <w:szCs w:val="17"/>
          <w:color w:val="auto"/>
        </w:rPr>
        <w:t xml:space="preserve">“Treasury Rate” means, with respect to any date of redemption, the rate per year equal to: (1)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applicable Comparable Treasury Issue;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no maturity is within three months before or after the remaining term of the notes to be redeemed, yields for the two published maturities most closely corresponding to the applicable Comparable Treasury Issue shall be determined and the Treasury Rate shall be interpolated or extrapolated from those yields on a straight-line basis, rounding to the nearest month; or (2) if such release (or any successor release) is not published during the week preceding the calculation date or does not contain such yields, the rate per year equal to the semi-annual equivalent yield to maturity of the applicable Comparable Treasury Issue, calculated using a price for the applicable Comparable Treasury Issue (expressed as a percentage of its principal amount) equal to the Comparable Treasury Price for that date of redemption.</w:t>
      </w:r>
    </w:p>
    <w:p>
      <w:pPr>
        <w:spacing w:after="0" w:line="70" w:lineRule="exact"/>
        <w:rPr>
          <w:sz w:val="20"/>
          <w:szCs w:val="20"/>
          <w:color w:val="auto"/>
        </w:rPr>
      </w:pPr>
    </w:p>
    <w:p>
      <w:pPr>
        <w:ind w:right="180" w:firstLine="877"/>
        <w:spacing w:after="0" w:line="277" w:lineRule="auto"/>
        <w:rPr>
          <w:sz w:val="20"/>
          <w:szCs w:val="20"/>
          <w:color w:val="auto"/>
        </w:rPr>
      </w:pPr>
      <w:r>
        <w:rPr>
          <w:rFonts w:ascii="Arial" w:cs="Arial" w:eastAsia="Arial" w:hAnsi="Arial"/>
          <w:sz w:val="18"/>
          <w:szCs w:val="18"/>
          <w:color w:val="auto"/>
        </w:rPr>
        <w:t>“Voting Stock” of any Person means the Capital Stock of such person that is at the time entitled to vote generally in the election of the Board of Directors of such Person.</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“Wholly Owned Domestic Subsidiary” means any Wholly Owned Subsidiary that is a Domestic Subsidiary.</w:t>
      </w:r>
    </w:p>
    <w:p>
      <w:pPr>
        <w:spacing w:after="0" w:line="117" w:lineRule="exact"/>
        <w:rPr>
          <w:sz w:val="20"/>
          <w:szCs w:val="20"/>
          <w:color w:val="auto"/>
        </w:rPr>
      </w:pPr>
    </w:p>
    <w:p>
      <w:pPr>
        <w:jc w:val="both"/>
        <w:ind w:right="440" w:firstLine="877"/>
        <w:spacing w:after="0" w:line="264" w:lineRule="auto"/>
        <w:rPr>
          <w:sz w:val="20"/>
          <w:szCs w:val="20"/>
          <w:color w:val="auto"/>
        </w:rPr>
      </w:pPr>
      <w:r>
        <w:rPr>
          <w:rFonts w:ascii="Arial" w:cs="Arial" w:eastAsia="Arial" w:hAnsi="Arial"/>
          <w:sz w:val="18"/>
          <w:szCs w:val="18"/>
          <w:color w:val="auto"/>
        </w:rPr>
        <w:t>“Wholly Owned Subsidiary” of any Person means a Subsidiary of such Person 100% of the outstanding Capital Stock of which (other than directors’ qualifying shares or shares required to be held by others in Foreign Subsidiaries) shall at the time be owned by such Person or by one or more Wholly Owned Subsidiaries of such Person.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41" w:right="25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t>Exhibit 4.14(c)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2022 NOTES</w:t>
      </w:r>
    </w:p>
    <w:p>
      <w:pPr>
        <w:spacing w:after="0" w:line="189" w:lineRule="exact"/>
        <w:rPr>
          <w:sz w:val="20"/>
          <w:szCs w:val="20"/>
          <w:color w:val="auto"/>
        </w:rPr>
      </w:pPr>
    </w:p>
    <w:p>
      <w:pPr>
        <w:ind w:firstLine="877"/>
        <w:spacing w:after="0" w:line="293" w:lineRule="auto"/>
        <w:rPr>
          <w:sz w:val="20"/>
          <w:szCs w:val="20"/>
          <w:color w:val="auto"/>
        </w:rPr>
      </w:pPr>
      <w:r>
        <w:rPr>
          <w:rFonts w:ascii="Arial" w:cs="Arial" w:eastAsia="Arial" w:hAnsi="Arial"/>
          <w:sz w:val="16"/>
          <w:szCs w:val="16"/>
          <w:b w:val="1"/>
          <w:bCs w:val="1"/>
          <w:i w:val="1"/>
          <w:iCs w:val="1"/>
          <w:color w:val="auto"/>
        </w:rPr>
        <w:t>The following summary of our 4.750% Senior Notes due 2022 (the “Original 2022 Notes”) is based on and qualified by the indenture, dated as of August 7, 2012, between the Company and U.S. Bank National Association, as trustee (the “Trustee”), as supplemented by a first supplemental indenture, dated as of February 26, 2013, , and by a second supplemental indenture dated as of October 19, 2016 (such indenture, as so supplemented, the “2022 Indenture”). For a complete description of the terms and provisions of the Company’s notes, refer to the 2022 Indenture, which is filed as an exhibit to this Annual Report on Form 10-K and to the form of Notes, which is filed as an exhibit to the Form 8-K filed with the Securities and Exchange Commission on February 27, 2013. Throughout this exhibit, references to “we,” “our,” and “us” refer to Ashland LLC.</w:t>
      </w:r>
    </w:p>
    <w:p>
      <w:pPr>
        <w:spacing w:after="0" w:line="57" w:lineRule="exact"/>
        <w:rPr>
          <w:sz w:val="20"/>
          <w:szCs w:val="20"/>
          <w:color w:val="auto"/>
        </w:rPr>
      </w:pPr>
    </w:p>
    <w:p>
      <w:pPr>
        <w:ind w:right="160" w:firstLine="877"/>
        <w:spacing w:after="0" w:line="270" w:lineRule="auto"/>
        <w:rPr>
          <w:sz w:val="20"/>
          <w:szCs w:val="20"/>
          <w:color w:val="auto"/>
        </w:rPr>
      </w:pPr>
      <w:r>
        <w:rPr>
          <w:rFonts w:ascii="Arial" w:cs="Arial" w:eastAsia="Arial" w:hAnsi="Arial"/>
          <w:sz w:val="17"/>
          <w:szCs w:val="17"/>
          <w:color w:val="auto"/>
        </w:rPr>
        <w:t>We issued $500 million aggregate principal amount of the Original 2022 Notes (the “initial 2022 notes”) under an indenture, dated as of August 7, 2012, between the Company and U.S. Bank National Association, as trustee (the “Trustee”). We issued $650 million aggregate principal amount of the Original 2022 Notes (the “additional 2022 notes”) under such indenture as supplemented by a first supplemental indenture, dated as of February 26, 2013, between the Company and the Trustee (such indenture, as so supplemented, the “2022 Indenture”). On March 14, 2013, we repurchased and retired $25 million aggregate principal amount of the Original 2022 Notes. The additional 2022 notes have the same terms as, and are treated as a single series with, the initial 2022 notes. Holders of the additional 2022 notes and the initial 2022 notes vote as one series under the 2022 Indenture. We offered to exchange the initial 2022 notes for an equivalent amount of registered 4.750% Senior Notes due 2022 (the “Exchange 2022 Notes”) under the 2022 Indenture. Unless context provides otherwise, as used below in this “Description of the 2022 Notes,” references to the “notes” refer to both the initial 2022 notes and the additional 2022 notes, and references to the “indenture” refer to the 2022 Indenture.</w:t>
      </w:r>
    </w:p>
    <w:p>
      <w:pPr>
        <w:spacing w:after="0" w:line="74" w:lineRule="exact"/>
        <w:rPr>
          <w:sz w:val="20"/>
          <w:szCs w:val="20"/>
          <w:color w:val="auto"/>
        </w:rPr>
      </w:pPr>
    </w:p>
    <w:p>
      <w:pPr>
        <w:ind w:right="20" w:firstLine="877"/>
        <w:spacing w:after="0" w:line="297" w:lineRule="auto"/>
        <w:rPr>
          <w:sz w:val="20"/>
          <w:szCs w:val="20"/>
          <w:color w:val="auto"/>
        </w:rPr>
      </w:pPr>
      <w:r>
        <w:rPr>
          <w:rFonts w:ascii="Arial" w:cs="Arial" w:eastAsia="Arial" w:hAnsi="Arial"/>
          <w:sz w:val="16"/>
          <w:szCs w:val="16"/>
          <w:color w:val="auto"/>
        </w:rPr>
        <w:t>In connection with the sale of the initial 2022 notes and additional 2022 notes, we entered into two registration rights agreements (collectively, the “2022 Registration Rights Agreements”) with the initial purchasers, under which we agreed to use our commercially reasonable efforts to cause to be filed and have declared effective an exchange offer registration statement under the Securities Act and to consummate the exchange offers for such notes. The exchange offer was made pursuant to the 2022 Registration Rights Agreements to satisfy our obligations under those agreements. As used below in this “Description of the 2022 Notes,” references to the “Registration Rights Agreement” refer to the 2022 Registration Rights Agreements.</w:t>
      </w:r>
    </w:p>
    <w:p>
      <w:pPr>
        <w:spacing w:after="0" w:line="50" w:lineRule="exact"/>
        <w:rPr>
          <w:sz w:val="20"/>
          <w:szCs w:val="20"/>
          <w:color w:val="auto"/>
        </w:rPr>
      </w:pPr>
    </w:p>
    <w:p>
      <w:pPr>
        <w:ind w:right="120" w:firstLine="877"/>
        <w:spacing w:after="0" w:line="264" w:lineRule="auto"/>
        <w:rPr>
          <w:sz w:val="20"/>
          <w:szCs w:val="20"/>
          <w:color w:val="auto"/>
        </w:rPr>
      </w:pPr>
      <w:r>
        <w:rPr>
          <w:rFonts w:ascii="Arial" w:cs="Arial" w:eastAsia="Arial" w:hAnsi="Arial"/>
          <w:sz w:val="18"/>
          <w:szCs w:val="18"/>
          <w:color w:val="auto"/>
        </w:rPr>
        <w:t>The terms of the notes include those stated in the indenture and those made part of the indenture by reference to the Trust Indenture Act of 1939, as amended (the “TIA”). The notes are subject to all such terms, and prospective purchasers of the notes are referred to the indenture and the TIA for a statement of such terms.</w:t>
      </w:r>
    </w:p>
    <w:p>
      <w:pPr>
        <w:spacing w:after="0" w:line="73" w:lineRule="exact"/>
        <w:rPr>
          <w:sz w:val="20"/>
          <w:szCs w:val="20"/>
          <w:color w:val="auto"/>
        </w:rPr>
      </w:pPr>
    </w:p>
    <w:p>
      <w:pPr>
        <w:ind w:right="40" w:firstLine="877"/>
        <w:spacing w:after="0" w:line="308" w:lineRule="auto"/>
        <w:rPr>
          <w:sz w:val="20"/>
          <w:szCs w:val="20"/>
          <w:color w:val="auto"/>
        </w:rPr>
      </w:pPr>
      <w:r>
        <w:rPr>
          <w:rFonts w:ascii="Arial" w:cs="Arial" w:eastAsia="Arial" w:hAnsi="Arial"/>
          <w:sz w:val="17"/>
          <w:szCs w:val="17"/>
          <w:color w:val="auto"/>
        </w:rPr>
        <w:t>You can find the definitions of certain terms used in this description under “—Certain Definitions.” Defined terms used in this description but not defined below under “—Certain Definitions” or elsewhere in this description have the meanings assigned to them in the indenture.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right="380" w:firstLine="877"/>
        <w:spacing w:after="0" w:line="286" w:lineRule="auto"/>
        <w:rPr>
          <w:sz w:val="20"/>
          <w:szCs w:val="20"/>
          <w:color w:val="auto"/>
        </w:rPr>
      </w:pPr>
      <w:r>
        <w:rPr>
          <w:rFonts w:ascii="Arial" w:cs="Arial" w:eastAsia="Arial" w:hAnsi="Arial"/>
          <w:sz w:val="17"/>
          <w:szCs w:val="17"/>
          <w:color w:val="auto"/>
        </w:rPr>
        <w:t>The notes will mature on August 15, 2022. Interest on the notes will accrue at a rate of 4.750% per year and will be payable semi-annually in arrears on February 15 and August 15, beginning on August 15, 2013. We pay interest to those persons who were holders of record of the notes on the February 1 and August 1, as the case may be, immediately preceding each applicable interest payment date.</w:t>
      </w:r>
    </w:p>
    <w:p>
      <w:pPr>
        <w:spacing w:after="0" w:line="5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Interest on the notes accrued from the date of original issuance or, if interest had already been paid, from the date it was most recently paid.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 is computed on the basis of a 360-day year comprised of twelve 30-day months.</w:t>
      </w:r>
    </w:p>
    <w:p>
      <w:pPr>
        <w:spacing w:after="0" w:line="103" w:lineRule="exact"/>
        <w:rPr>
          <w:sz w:val="20"/>
          <w:szCs w:val="20"/>
          <w:color w:val="auto"/>
        </w:rPr>
      </w:pPr>
    </w:p>
    <w:p>
      <w:pPr>
        <w:ind w:right="20" w:firstLine="877"/>
        <w:spacing w:after="0" w:line="257" w:lineRule="auto"/>
        <w:rPr>
          <w:sz w:val="20"/>
          <w:szCs w:val="20"/>
          <w:color w:val="auto"/>
        </w:rPr>
      </w:pPr>
      <w:r>
        <w:rPr>
          <w:rFonts w:ascii="Arial" w:cs="Arial" w:eastAsia="Arial" w:hAnsi="Arial"/>
          <w:sz w:val="18"/>
          <w:szCs w:val="18"/>
          <w:color w:val="auto"/>
        </w:rPr>
        <w:t>If an interest payment date for the notes falls on a date that is not a Business Day, then interest is paid on the next day that is a Business Day, and no interest on such payment will accrue for the period from and after such interest payment date. If a redemption date, repurchase date or the maturity date for any note falls on a date that is not a Business Day, the related payments of principal, premium, if any, and interest may be made on the next succeeding Business Day, and no additional interest will accumulate on the amount payable for the period from and after such redemption date, repurchase date or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8" w:name="page169"/>
    <w:bookmarkEnd w:id="168"/>
    <w:p>
      <w:pPr>
        <w:ind w:right="180" w:firstLine="877"/>
        <w:spacing w:after="0" w:line="257" w:lineRule="auto"/>
        <w:rPr>
          <w:sz w:val="20"/>
          <w:szCs w:val="20"/>
          <w:color w:val="auto"/>
        </w:rPr>
      </w:pPr>
      <w:r>
        <w:rPr>
          <w:rFonts w:ascii="Arial" w:cs="Arial" w:eastAsia="Arial" w:hAnsi="Arial"/>
          <w:sz w:val="18"/>
          <w:szCs w:val="18"/>
          <w:color w:val="auto"/>
        </w:rPr>
        <w:t>The Trustee will initially act as paying agent and registrar for the notes. The notes may be presented for registration of transfer and exchange at the offices of the registrar, which initially will be the paying agent’s corporate trust office. We may change any paying agent and registrar without notice to holders of the notes and we may act as paying agent or registrar. We will pay principal (and premium, if any) on the notes at the principal corporate trust office of the Trustee, as paying agent. At our option, interest may be paid at the paying agent’s corporate trust office or by check mailed to the registered address of the holders.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121" w:lineRule="exact"/>
        <w:rPr>
          <w:sz w:val="20"/>
          <w:szCs w:val="20"/>
          <w:color w:val="auto"/>
        </w:rPr>
      </w:pPr>
    </w:p>
    <w:p>
      <w:pPr>
        <w:ind w:right="40" w:firstLine="877"/>
        <w:spacing w:after="0" w:line="297" w:lineRule="auto"/>
        <w:rPr>
          <w:sz w:val="20"/>
          <w:szCs w:val="20"/>
          <w:color w:val="auto"/>
        </w:rPr>
      </w:pPr>
      <w:r>
        <w:rPr>
          <w:rFonts w:ascii="Arial" w:cs="Arial" w:eastAsia="Arial" w:hAnsi="Arial"/>
          <w:sz w:val="16"/>
          <w:szCs w:val="16"/>
          <w:color w:val="auto"/>
        </w:rPr>
        <w:t>For so long as the notes are represented by global notes registered in the name of DTC or its nominee, all payments on the notes will be made to DTC or its nominee as the registered holder thereof in accordance with applicable DTC procedures. If the global notes are exchanged for definitive notes and a holder of notes has given us wire transfer instructions, we will pay, or cause to be paid by the paying agent, all principal, premium, if any, and interest on such holder’s notes in accordance with those instructions. All other payments on the notes will be made at the office or agency of the paying agent and registrar unless we elect to make interest payments by check mailed to the holders at their address set forth in the register of 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obligations under the notes and the indenture are guaranteed by Ashland Global Holdings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jc w:val="both"/>
        <w:ind w:right="100" w:firstLine="877"/>
        <w:spacing w:after="0" w:line="259" w:lineRule="auto"/>
        <w:rPr>
          <w:sz w:val="20"/>
          <w:szCs w:val="20"/>
          <w:color w:val="auto"/>
        </w:rPr>
      </w:pPr>
      <w:r>
        <w:rPr>
          <w:rFonts w:ascii="Arial" w:cs="Arial" w:eastAsia="Arial" w:hAnsi="Arial"/>
          <w:sz w:val="18"/>
          <w:szCs w:val="18"/>
          <w:color w:val="auto"/>
        </w:rPr>
        <w:t>The notes are unsecured unsubordinated obligations of the Company and rank equally in right of payment with all existing and future unsecured unsubordinated obligations of the Company and senior in right of payment to all existing and future subordinated obligations of the Company. The notes are subordinated to any of our existing and future secured debt to the extent of the value of the assets securing such debt. The notes are structurally subordinated to all existing and future liabilities of our subsidiaries.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jc w:val="both"/>
        <w:ind w:right="100" w:firstLine="877"/>
        <w:spacing w:after="0" w:line="277" w:lineRule="auto"/>
        <w:rPr>
          <w:sz w:val="20"/>
          <w:szCs w:val="20"/>
          <w:color w:val="auto"/>
        </w:rPr>
      </w:pPr>
      <w:r>
        <w:rPr>
          <w:rFonts w:ascii="Arial" w:cs="Arial" w:eastAsia="Arial" w:hAnsi="Arial"/>
          <w:sz w:val="18"/>
          <w:szCs w:val="18"/>
          <w:color w:val="auto"/>
        </w:rPr>
        <w:t>We may, in whole at any time or in part from time to time prior to May 15, 2022, redeem the notes (including any additional notes) at our option upon not less than 30 nor more than 60 days’ prior notice, at a redemption price equal to the greater of:</w:t>
      </w:r>
    </w:p>
    <w:p>
      <w:pPr>
        <w:spacing w:after="0" w:line="62" w:lineRule="exact"/>
        <w:rPr>
          <w:sz w:val="20"/>
          <w:szCs w:val="20"/>
          <w:color w:val="auto"/>
        </w:rPr>
      </w:pPr>
    </w:p>
    <w:p>
      <w:pPr>
        <w:ind w:left="1520" w:hanging="648"/>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ind w:left="1520" w:right="240" w:hanging="648"/>
        <w:spacing w:after="0" w:line="259" w:lineRule="auto"/>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on the notes to be redeemed (exclusive of interest accrued to the redemption date) from the redemption date through the scheduled maturity date of the notes to be redeemed, discounted to the date of redemption on a semiannual basis (assuming a 360-day year consisting of twelve 30-day months) at the Treasury Rate (as defined) plus 50 basis points.</w:t>
      </w:r>
    </w:p>
    <w:p>
      <w:pPr>
        <w:spacing w:after="0" w:line="79" w:lineRule="exact"/>
        <w:rPr>
          <w:sz w:val="20"/>
          <w:szCs w:val="20"/>
          <w:color w:val="auto"/>
        </w:rPr>
      </w:pPr>
    </w:p>
    <w:p>
      <w:pPr>
        <w:ind w:right="180" w:firstLine="877"/>
        <w:spacing w:after="0" w:line="264" w:lineRule="auto"/>
        <w:rPr>
          <w:sz w:val="20"/>
          <w:szCs w:val="20"/>
          <w:color w:val="auto"/>
        </w:rPr>
      </w:pPr>
      <w:r>
        <w:rPr>
          <w:rFonts w:ascii="Arial" w:cs="Arial" w:eastAsia="Arial" w:hAnsi="Arial"/>
          <w:sz w:val="18"/>
          <w:szCs w:val="18"/>
          <w:color w:val="auto"/>
        </w:rPr>
        <w:t>At any time on or after May 15, 2022, we may, in whole at any time or in part from time to time, redeem the notes (including any additional notes) at our option upon not less than 30 nor more than 60 days’ prior notice mailed by first-class mail to each holder’s registered address, at a redemption price equal to 100% of the principal amount thereof.</w:t>
      </w:r>
    </w:p>
    <w:p>
      <w:pPr>
        <w:spacing w:after="0" w:line="73" w:lineRule="exact"/>
        <w:rPr>
          <w:sz w:val="20"/>
          <w:szCs w:val="20"/>
          <w:color w:val="auto"/>
        </w:rPr>
      </w:pPr>
    </w:p>
    <w:p>
      <w:pPr>
        <w:jc w:val="both"/>
        <w:ind w:right="300" w:firstLine="877"/>
        <w:spacing w:after="0" w:line="264" w:lineRule="auto"/>
        <w:rPr>
          <w:sz w:val="20"/>
          <w:szCs w:val="20"/>
          <w:color w:val="auto"/>
        </w:rPr>
      </w:pPr>
      <w:r>
        <w:rPr>
          <w:rFonts w:ascii="Arial" w:cs="Arial" w:eastAsia="Arial" w:hAnsi="Arial"/>
          <w:sz w:val="18"/>
          <w:szCs w:val="18"/>
          <w:color w:val="auto"/>
        </w:rPr>
        <w:t>In the case of any redemption, we also will pay accrued and unpaid interest and additional interest, if any, to, but not including, the applicable redemption date (subject to the right of holders of record of such notes on the relevant record date to receive interest due on the relevant interest payment date).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 of Redemption</w:t>
      </w:r>
    </w:p>
    <w:p>
      <w:pPr>
        <w:spacing w:after="0" w:line="121" w:lineRule="exact"/>
        <w:rPr>
          <w:sz w:val="20"/>
          <w:szCs w:val="20"/>
          <w:color w:val="auto"/>
        </w:rPr>
      </w:pPr>
    </w:p>
    <w:p>
      <w:pPr>
        <w:ind w:firstLine="877"/>
        <w:spacing w:after="0" w:line="264" w:lineRule="auto"/>
        <w:rPr>
          <w:sz w:val="20"/>
          <w:szCs w:val="20"/>
          <w:color w:val="auto"/>
        </w:rPr>
      </w:pPr>
      <w:r>
        <w:rPr>
          <w:rFonts w:ascii="Arial" w:cs="Arial" w:eastAsia="Arial" w:hAnsi="Arial"/>
          <w:sz w:val="18"/>
          <w:szCs w:val="18"/>
          <w:color w:val="auto"/>
        </w:rPr>
        <w:t>If we redeem less than all the notes at any time and the notes are in global form held by DTC, DTC will select the notes to be redeemed in accordance with its procedures. If the notes are not in global form held by DTC, the Trustee will select notes either pro rata, by lot or by such other method as the Trustee shall deem appropriate in accordance with industry standards at the time of such redemption.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69" w:name="page170"/>
    <w:bookmarkEnd w:id="169"/>
    <w:p>
      <w:pPr>
        <w:ind w:right="60" w:firstLine="877"/>
        <w:spacing w:after="0" w:line="271" w:lineRule="auto"/>
        <w:rPr>
          <w:sz w:val="20"/>
          <w:szCs w:val="20"/>
          <w:color w:val="auto"/>
        </w:rPr>
      </w:pPr>
      <w:r>
        <w:rPr>
          <w:rFonts w:ascii="Arial" w:cs="Arial" w:eastAsia="Arial" w:hAnsi="Arial"/>
          <w:sz w:val="17"/>
          <w:szCs w:val="17"/>
          <w:color w:val="auto"/>
        </w:rPr>
        <w:t>We will redeem notes of $2,000 or less in whole and not in part. We will cause notices of redemption to be mailed by first-class mail at least 30 but not more than 60 days before the redemption date to each holder of notes to be redeemed at its registered address. We may provide in the notice that payment of the redemption price and performance of our obligations with respect to the redemption or purchase may be performed by another Person. Any notice of redemption may be given prior to the completion of any event or transaction related to such redemption, and any such redemption or notice may, at our discretion, be subject to one or more conditions precedent. In addition, if such redemption or notice is subject to satisfaction of one or more conditions precedent, such notice shall state that, in our discretion, the redemption date may be delayed until such time as any or all such conditions shall be satisfied, or such redemption may not occur and such notice may be rescinded in the event that any or all such conditions shall not have been satisfied by the redemption date, or by the redemption date so delayed.</w:t>
      </w:r>
    </w:p>
    <w:p>
      <w:pPr>
        <w:spacing w:after="0" w:line="71" w:lineRule="exact"/>
        <w:rPr>
          <w:sz w:val="20"/>
          <w:szCs w:val="20"/>
          <w:color w:val="auto"/>
        </w:rPr>
      </w:pPr>
    </w:p>
    <w:p>
      <w:pPr>
        <w:ind w:right="60" w:firstLine="877"/>
        <w:spacing w:after="0" w:line="257" w:lineRule="auto"/>
        <w:rPr>
          <w:sz w:val="20"/>
          <w:szCs w:val="20"/>
          <w:color w:val="auto"/>
        </w:rPr>
      </w:pPr>
      <w:r>
        <w:rPr>
          <w:rFonts w:ascii="Arial" w:cs="Arial" w:eastAsia="Arial" w:hAnsi="Arial"/>
          <w:sz w:val="18"/>
          <w:szCs w:val="18"/>
          <w:color w:val="auto"/>
        </w:rPr>
        <w:t>If the notes are to be redeemed in part only, the notice of redemption that relates to the notes will state the portion of the principal amount thereof to be redeemed. We will issue a new note in a principal amount equal to the unredeemed portion of the original note in the name of the holder upon cancellation of the original note. Subject to the satisfaction or waiver of any condition to such redemption, notes called for redemption become due on the date fixed for redemption. On and after such date, unless we default in payment of the redemption price on such date, interest ceases to accrue on the notes or portions thereof called for such redemption.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 Sinking Fund</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are not required to make mandatory redemption or sinking fund payments with respect to the notes.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121" w:lineRule="exact"/>
        <w:rPr>
          <w:sz w:val="20"/>
          <w:szCs w:val="20"/>
          <w:color w:val="auto"/>
        </w:rPr>
      </w:pPr>
    </w:p>
    <w:p>
      <w:pPr>
        <w:ind w:right="140" w:firstLine="877"/>
        <w:spacing w:after="0" w:line="257" w:lineRule="auto"/>
        <w:rPr>
          <w:sz w:val="20"/>
          <w:szCs w:val="20"/>
          <w:color w:val="auto"/>
        </w:rPr>
      </w:pPr>
      <w:r>
        <w:rPr>
          <w:rFonts w:ascii="Arial" w:cs="Arial" w:eastAsia="Arial" w:hAnsi="Arial"/>
          <w:sz w:val="18"/>
          <w:szCs w:val="18"/>
          <w:color w:val="auto"/>
        </w:rPr>
        <w:t>Upon the occurrence of a Change of Control Repurchase Event with respect to the notes, each holder of notes will have the right to require us to repurchase all or any part of such holder’s notes at a purchase price in cash equal to 101% of the principal amount thereof plus accrued and unpaid interest and additional interest, if any, to the date of repurchase (subject to the right of holders of record on the relevant record date to receive interest due on the relevant interest payment date), except to the extent we have previously or concurrently elected to redeem notes as described under “—Optional Redemption.”</w:t>
      </w:r>
    </w:p>
    <w:p>
      <w:pPr>
        <w:spacing w:after="0" w:line="80" w:lineRule="exact"/>
        <w:rPr>
          <w:sz w:val="20"/>
          <w:szCs w:val="20"/>
          <w:color w:val="auto"/>
        </w:rPr>
      </w:pPr>
    </w:p>
    <w:p>
      <w:pPr>
        <w:jc w:val="both"/>
        <w:ind w:right="40" w:firstLine="877"/>
        <w:spacing w:after="0" w:line="264" w:lineRule="auto"/>
        <w:rPr>
          <w:sz w:val="20"/>
          <w:szCs w:val="20"/>
          <w:color w:val="auto"/>
        </w:rPr>
      </w:pPr>
      <w:r>
        <w:rPr>
          <w:rFonts w:ascii="Arial" w:cs="Arial" w:eastAsia="Arial" w:hAnsi="Arial"/>
          <w:sz w:val="18"/>
          <w:szCs w:val="18"/>
          <w:color w:val="auto"/>
        </w:rPr>
        <w:t>Within 30 days following any Change of Control Repurchase Event, except to the extent that we have exercised our right to redeem the notes by delivery of a notice of redemption as described under “—Optional Redemption,” we shall mail a notice (a “Change of Control Offer”) to each holder of notes with a copy to the Trustee stating:</w:t>
      </w:r>
    </w:p>
    <w:p>
      <w:pPr>
        <w:spacing w:after="0" w:line="73" w:lineRule="exact"/>
        <w:rPr>
          <w:sz w:val="20"/>
          <w:szCs w:val="20"/>
          <w:color w:val="auto"/>
        </w:rPr>
      </w:pPr>
    </w:p>
    <w:p>
      <w:pPr>
        <w:ind w:left="1520" w:hanging="648"/>
        <w:spacing w:after="0" w:line="259" w:lineRule="auto"/>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a Change of Control Repurchase Event has occurred and that such holder has the right to require us to repurchase such holder’s notes at a repurchase price in cash equal to 101% of the principal amount thereof plus accrued and unpaid interest and additional interest, if any, to the date of repurchase (subject to the right of holders of record on a record date to receive interest on the relevant interest payment date);</w:t>
      </w:r>
    </w:p>
    <w:p>
      <w:pPr>
        <w:spacing w:after="0" w:line="78" w:lineRule="exact"/>
        <w:rPr>
          <w:rFonts w:ascii="Arial" w:cs="Arial" w:eastAsia="Arial" w:hAnsi="Arial"/>
          <w:sz w:val="18"/>
          <w:szCs w:val="18"/>
          <w:color w:val="auto"/>
        </w:rPr>
      </w:pPr>
    </w:p>
    <w:p>
      <w:pPr>
        <w:ind w:left="1520" w:hanging="648"/>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repurchase date (which shall be no earlier than 30 days nor later than 60 days from the date such notice is mailed); and</w:t>
      </w:r>
    </w:p>
    <w:p>
      <w:pPr>
        <w:spacing w:after="0" w:line="117" w:lineRule="exact"/>
        <w:rPr>
          <w:rFonts w:ascii="Arial" w:cs="Arial" w:eastAsia="Arial" w:hAnsi="Arial"/>
          <w:sz w:val="18"/>
          <w:szCs w:val="18"/>
          <w:color w:val="auto"/>
        </w:rPr>
      </w:pPr>
    </w:p>
    <w:p>
      <w:pPr>
        <w:ind w:left="1520" w:hanging="648"/>
        <w:spacing w:after="0"/>
        <w:tabs>
          <w:tab w:leader="none" w:pos="15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instructions determined by us, consistent with this covenant, that a holder must follow in order to have its notes purchased.</w:t>
      </w:r>
    </w:p>
    <w:p>
      <w:pPr>
        <w:spacing w:after="0" w:line="129" w:lineRule="exact"/>
        <w:rPr>
          <w:sz w:val="20"/>
          <w:szCs w:val="20"/>
          <w:color w:val="auto"/>
        </w:rPr>
      </w:pPr>
    </w:p>
    <w:p>
      <w:pPr>
        <w:ind w:right="280" w:firstLine="877"/>
        <w:spacing w:after="0" w:line="308" w:lineRule="auto"/>
        <w:rPr>
          <w:sz w:val="20"/>
          <w:szCs w:val="20"/>
          <w:color w:val="auto"/>
        </w:rPr>
      </w:pPr>
      <w:r>
        <w:rPr>
          <w:rFonts w:ascii="Arial" w:cs="Arial" w:eastAsia="Arial" w:hAnsi="Arial"/>
          <w:sz w:val="17"/>
          <w:szCs w:val="17"/>
          <w:color w:val="auto"/>
        </w:rPr>
        <w:t>A Change of Control Offer may be made in advance of a Change of Control Repurchase Event, and conditioned upon such Change of Control Repurchase Event, if a definitive agreement is in place for the Change of Control at the time of making of the Change of Control Offer.</w:t>
      </w:r>
    </w:p>
    <w:p>
      <w:pPr>
        <w:spacing w:after="0" w:line="38"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In addition, we will not be required to make a Change of Control Offer with respect to the notes upon the consummation of a Change of Control Repurchase Event if a third party makes the Change of Control Offer in the manner, at the time and otherwise in compliance with the requirements set forth in the indenture applicable to a Change of Control Offer made by us and purchases all notes properly tendered and not withdrawn under such Change of Control Offer.</w:t>
      </w:r>
    </w:p>
    <w:p>
      <w:pPr>
        <w:spacing w:after="0" w:line="79" w:lineRule="exact"/>
        <w:rPr>
          <w:sz w:val="20"/>
          <w:szCs w:val="20"/>
          <w:color w:val="auto"/>
        </w:rPr>
      </w:pPr>
    </w:p>
    <w:p>
      <w:pPr>
        <w:ind w:right="420" w:firstLine="877"/>
        <w:spacing w:after="0" w:line="264" w:lineRule="auto"/>
        <w:rPr>
          <w:sz w:val="20"/>
          <w:szCs w:val="20"/>
          <w:color w:val="auto"/>
        </w:rPr>
      </w:pPr>
      <w:r>
        <w:rPr>
          <w:rFonts w:ascii="Arial" w:cs="Arial" w:eastAsia="Arial" w:hAnsi="Arial"/>
          <w:sz w:val="18"/>
          <w:szCs w:val="18"/>
          <w:color w:val="auto"/>
        </w:rPr>
        <w:t>Notes repurchased by us pursuant to a Change of Control Offer will have the status of notes issued but not outstanding or will be retired and canceled at the option of the Company. Notes purchased by a third party pursuant to the preceding paragraph will have the status of notes issued and outstanding.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0" w:name="page171"/>
    <w:bookmarkEnd w:id="170"/>
    <w:p>
      <w:pPr>
        <w:ind w:firstLine="877"/>
        <w:spacing w:after="0" w:line="259" w:lineRule="auto"/>
        <w:rPr>
          <w:sz w:val="20"/>
          <w:szCs w:val="20"/>
          <w:color w:val="auto"/>
        </w:rPr>
      </w:pPr>
      <w:r>
        <w:rPr>
          <w:rFonts w:ascii="Arial" w:cs="Arial" w:eastAsia="Arial" w:hAnsi="Arial"/>
          <w:sz w:val="18"/>
          <w:szCs w:val="18"/>
          <w:color w:val="auto"/>
        </w:rPr>
        <w:t>We will comply, to the extent applicable, with the requirements of Section 14(e) of the Exchange Act and any other securities laws or regulations in connection with the repurchase of notes pursuant to this covenant. To the extent that the provisions of any securities laws or regulations conflict with provisions of this covenant, we will comply with the applicable securities laws and regulations and will not be deemed to have breached our obligations under this covenant by virtue thereof.</w:t>
      </w:r>
    </w:p>
    <w:p>
      <w:pPr>
        <w:spacing w:after="0" w:line="79" w:lineRule="exact"/>
        <w:rPr>
          <w:sz w:val="20"/>
          <w:szCs w:val="20"/>
          <w:color w:val="auto"/>
        </w:rPr>
      </w:pPr>
    </w:p>
    <w:p>
      <w:pPr>
        <w:ind w:right="760" w:firstLine="877"/>
        <w:spacing w:after="0" w:line="342" w:lineRule="auto"/>
        <w:rPr>
          <w:sz w:val="20"/>
          <w:szCs w:val="20"/>
          <w:color w:val="auto"/>
        </w:rPr>
      </w:pPr>
      <w:r>
        <w:rPr>
          <w:rFonts w:ascii="Arial" w:cs="Arial" w:eastAsia="Arial" w:hAnsi="Arial"/>
          <w:sz w:val="16"/>
          <w:szCs w:val="16"/>
          <w:color w:val="auto"/>
        </w:rPr>
        <w:t>The provisions under the indenture relating to our obligation to make an offer to repurchase the notes as a result of a Change of Control Repurchase Event may be waived or modified with the written consent of the holders of a majority in aggregate principal amount of the notes.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Secured Debt</w:t>
      </w:r>
    </w:p>
    <w:p>
      <w:pPr>
        <w:spacing w:after="0" w:line="117" w:lineRule="exact"/>
        <w:rPr>
          <w:sz w:val="20"/>
          <w:szCs w:val="20"/>
          <w:color w:val="auto"/>
        </w:rPr>
      </w:pPr>
    </w:p>
    <w:p>
      <w:pPr>
        <w:ind w:right="80" w:firstLine="877"/>
        <w:spacing w:after="0" w:line="273" w:lineRule="auto"/>
        <w:rPr>
          <w:sz w:val="20"/>
          <w:szCs w:val="20"/>
          <w:color w:val="auto"/>
        </w:rPr>
      </w:pPr>
      <w:r>
        <w:rPr>
          <w:rFonts w:ascii="Arial" w:cs="Arial" w:eastAsia="Arial" w:hAnsi="Arial"/>
          <w:sz w:val="17"/>
          <w:szCs w:val="17"/>
          <w:color w:val="auto"/>
        </w:rPr>
        <w:t>The indenture provides that, after the Issue Date, neither the Company nor any Subsidiary (other than an Excluded Subsidiary) will create, incur, issue, assume or guarantee any Indebtedness secured by a mortgage, security interest, pledge or lien (which we refer to herein, collectively, as a “Mortgage”) on or upon any of their property or assets (which we refer to herein, collectively, as “Property”), whether owned at the date of the indenture or acquired after the date of the indenture, without ensuring that the notes (together with, if we choose, any other Indebtedness created, issued, assumed or guaranteed by the Company or any Subsidiary then existing or thereafter created) will be secured by such Mortgage equally and ratably with (or, at our option, prior to) such Indebtedness. This restriction will not apply to Indebtedness secured by any of the following:</w:t>
      </w:r>
    </w:p>
    <w:p>
      <w:pPr>
        <w:spacing w:after="0" w:line="70" w:lineRule="exact"/>
        <w:rPr>
          <w:sz w:val="20"/>
          <w:szCs w:val="20"/>
          <w:color w:val="auto"/>
        </w:rPr>
      </w:pPr>
    </w:p>
    <w:p>
      <w:pPr>
        <w:ind w:left="1520" w:right="60" w:hanging="648"/>
        <w:spacing w:after="0" w:line="290" w:lineRule="auto"/>
        <w:tabs>
          <w:tab w:leader="none" w:pos="15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Mortgages on any Property acquired, leased, constructed or improved by, or on any shares of Capital Stock or Indebtedness acquired by, us or any Subsidiary after the date of the indenture to secure Indebtedness incurred for the purpose of financing or refinancing all or any part of the purchase price of such Property, shares of Capital Stock or Indebtedness or of the cost of any construction or improvements on such Property, including Mortgages created as a result of an acquisition by way of Capital Lease, in each case, to the extent that the Indebtedness is incurred prior to or within one year after the applicable acquisition, lease, completion of construction or improvement or beginning of commercial operation of such Property,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for the avoidance of doubt, that any improvements that become subject to any pre-existing Mortgage on the Property to which such improvements are made need not be completed within one year after the incurrence of the Indebtedness giving rise to such Mortgage;</w:t>
      </w:r>
    </w:p>
    <w:p>
      <w:pPr>
        <w:spacing w:after="0" w:line="58" w:lineRule="exact"/>
        <w:rPr>
          <w:rFonts w:ascii="Arial" w:cs="Arial" w:eastAsia="Arial" w:hAnsi="Arial"/>
          <w:sz w:val="16"/>
          <w:szCs w:val="16"/>
          <w:color w:val="auto"/>
        </w:rPr>
      </w:pPr>
    </w:p>
    <w:p>
      <w:pPr>
        <w:ind w:left="1520" w:right="40" w:hanging="648"/>
        <w:spacing w:after="0" w:line="286" w:lineRule="auto"/>
        <w:tabs>
          <w:tab w:leader="none" w:pos="15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Mortgages on any Property, shares of Capital Stock or Indebtedness existing at the time we or any Subsidiary acquire any of the same and on any subsequent improvements to such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Mortgage in respect of Indebtedness existing at the time of acquisition of any such Property may apply to any subsequent improvements to such Property;</w:t>
      </w:r>
    </w:p>
    <w:p>
      <w:pPr>
        <w:spacing w:after="0" w:line="57" w:lineRule="exact"/>
        <w:rPr>
          <w:rFonts w:ascii="Arial" w:cs="Arial" w:eastAsia="Arial" w:hAnsi="Arial"/>
          <w:sz w:val="17"/>
          <w:szCs w:val="17"/>
          <w:color w:val="auto"/>
        </w:rPr>
      </w:pPr>
    </w:p>
    <w:p>
      <w:pPr>
        <w:ind w:left="1520" w:right="100" w:hanging="648"/>
        <w:spacing w:after="0" w:line="277" w:lineRule="auto"/>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Mortgages on Property of a Person existing at the time we or any Subsidiary merge or consolidate with such Person or at the time we or any Subsidiary acquire all or substantially all of the Properties or Capital Stock of such Person;</w:t>
      </w:r>
    </w:p>
    <w:p>
      <w:pPr>
        <w:spacing w:after="0" w:line="62" w:lineRule="exact"/>
        <w:rPr>
          <w:rFonts w:ascii="Arial" w:cs="Arial" w:eastAsia="Arial" w:hAnsi="Arial"/>
          <w:sz w:val="18"/>
          <w:szCs w:val="18"/>
          <w:color w:val="auto"/>
        </w:rPr>
      </w:pPr>
    </w:p>
    <w:p>
      <w:pPr>
        <w:ind w:left="1520" w:right="320" w:hanging="648"/>
        <w:spacing w:after="0" w:line="277" w:lineRule="auto"/>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Mortgages on (a) any Property of, or shares of Capital Stock or Indebtedness of, a Person existing at the time such Person becomes a Subsidiary or (b) any shares of Capital Stock or Indebtedness of a Joint Venture;</w:t>
      </w:r>
    </w:p>
    <w:p>
      <w:pPr>
        <w:spacing w:after="0" w:line="62" w:lineRule="exact"/>
        <w:rPr>
          <w:rFonts w:ascii="Arial" w:cs="Arial" w:eastAsia="Arial" w:hAnsi="Arial"/>
          <w:sz w:val="18"/>
          <w:szCs w:val="18"/>
          <w:color w:val="auto"/>
        </w:rPr>
      </w:pPr>
    </w:p>
    <w:p>
      <w:pPr>
        <w:ind w:left="1520" w:hanging="648"/>
        <w:spacing w:after="0"/>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Mortgages in favor of us or any Subsidiary;</w:t>
      </w:r>
    </w:p>
    <w:p>
      <w:pPr>
        <w:spacing w:after="0" w:line="117" w:lineRule="exact"/>
        <w:rPr>
          <w:rFonts w:ascii="Arial" w:cs="Arial" w:eastAsia="Arial" w:hAnsi="Arial"/>
          <w:sz w:val="18"/>
          <w:szCs w:val="18"/>
          <w:color w:val="auto"/>
        </w:rPr>
      </w:pPr>
    </w:p>
    <w:p>
      <w:pPr>
        <w:ind w:left="1520" w:right="160" w:hanging="648"/>
        <w:spacing w:after="0" w:line="276" w:lineRule="auto"/>
        <w:tabs>
          <w:tab w:leader="none" w:pos="15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Mortgages in favor of the United States or any state thereof, or political subdivision of the United States or any state thereof, or any department, agency or instrumentality of the United States or any state thereof or any such political subdivision, to secure partial, progress, advance or other payments pursuant to any contract or statute or to secure Indebtedness incurred or guaranteed to finance or refinance all or any part of the purchase price of the Property, shares of Capital Stock or Indebtedness subject to any such Mortgage, or the cost of constructing or improving the Property subject to such Mortgage;</w:t>
      </w:r>
    </w:p>
    <w:p>
      <w:pPr>
        <w:spacing w:after="0" w:line="64" w:lineRule="exact"/>
        <w:rPr>
          <w:rFonts w:ascii="Arial" w:cs="Arial" w:eastAsia="Arial" w:hAnsi="Arial"/>
          <w:sz w:val="17"/>
          <w:szCs w:val="17"/>
          <w:color w:val="auto"/>
        </w:rPr>
      </w:pPr>
    </w:p>
    <w:p>
      <w:pPr>
        <w:ind w:left="1520" w:hanging="648"/>
        <w:spacing w:after="0"/>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Mortgages to secure the Credit Agreement;</w:t>
      </w:r>
    </w:p>
    <w:p>
      <w:pPr>
        <w:spacing w:after="0" w:line="117" w:lineRule="exact"/>
        <w:rPr>
          <w:rFonts w:ascii="Arial" w:cs="Arial" w:eastAsia="Arial" w:hAnsi="Arial"/>
          <w:sz w:val="18"/>
          <w:szCs w:val="18"/>
          <w:color w:val="auto"/>
        </w:rPr>
      </w:pPr>
    </w:p>
    <w:p>
      <w:pPr>
        <w:ind w:left="1520" w:hanging="648"/>
        <w:spacing w:after="0"/>
        <w:tabs>
          <w:tab w:leader="none" w:pos="15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Mortgages on accounts receivables and related assets of the Company and its Subsidiaries pursuant to Qualified Receivables Financing;</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1" w:name="page172"/>
    <w:bookmarkEnd w:id="171"/>
    <w:p>
      <w:pPr>
        <w:ind w:left="1520" w:hanging="648"/>
        <w:spacing w:after="0" w:line="264" w:lineRule="auto"/>
        <w:tabs>
          <w:tab w:leader="none" w:pos="1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Mortgages securing industrial revenue, pollution control or similar bonds issued or guaranteed by the United States or any state thereof, or political subdivision of the United States or any state thereof, or any department, agency or instrumentality of the United States or any state thereof or any such political subdivision;</w:t>
      </w:r>
    </w:p>
    <w:p>
      <w:pPr>
        <w:spacing w:after="0" w:line="73" w:lineRule="exact"/>
        <w:rPr>
          <w:rFonts w:ascii="Arial" w:cs="Arial" w:eastAsia="Arial" w:hAnsi="Arial"/>
          <w:sz w:val="18"/>
          <w:szCs w:val="18"/>
          <w:color w:val="auto"/>
        </w:rPr>
      </w:pPr>
    </w:p>
    <w:p>
      <w:pPr>
        <w:ind w:left="1520" w:right="600" w:hanging="648"/>
        <w:spacing w:after="0" w:line="277" w:lineRule="auto"/>
        <w:tabs>
          <w:tab w:leader="none" w:pos="1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Mortgages securing obligations owed in respect of any overdraft and related liabilities arising from treasury, depository and cash management services or any automated clearinghouse transfers of funds;</w:t>
      </w:r>
    </w:p>
    <w:p>
      <w:pPr>
        <w:spacing w:after="0" w:line="62" w:lineRule="exact"/>
        <w:rPr>
          <w:rFonts w:ascii="Arial" w:cs="Arial" w:eastAsia="Arial" w:hAnsi="Arial"/>
          <w:sz w:val="18"/>
          <w:szCs w:val="18"/>
          <w:color w:val="auto"/>
        </w:rPr>
      </w:pPr>
    </w:p>
    <w:p>
      <w:pPr>
        <w:ind w:left="1520" w:right="60" w:hanging="648"/>
        <w:spacing w:after="0" w:line="270" w:lineRule="auto"/>
        <w:tabs>
          <w:tab w:leader="none" w:pos="1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and (extensions, renewals or replacements of any Mortgage existing on the date of the indenture (excluding Indebtedness under the Credit Agreement) or any Mortgage referred to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principal amount of Indebtedness secured thereby may not exceed the principal amount of Indebtedness so secured at the time of such extension, renewal or replacement (other than any increases attributable to (a) any premium required to be paid in connection with such refinancing pursuant to the terms of the Indebtedness so refinanced, (b) the amount of any premium reasonably determined by the Board of Directors of the Company as necessary to accomplish such refinancing by means of a tender offer or privately negotiated repurchase and (c) any expenses incurred in connection with such refinancing), and such extension, renewal or replacement will be limited to all or a part of the Property (plus improvements and construction on such Property), shares of Capital Stock or Indebtedness which was subject to the Mortgage so extended, renewed or replaced.</w:t>
      </w:r>
    </w:p>
    <w:p>
      <w:pPr>
        <w:spacing w:after="0" w:line="74" w:lineRule="exact"/>
        <w:rPr>
          <w:sz w:val="20"/>
          <w:szCs w:val="20"/>
          <w:color w:val="auto"/>
        </w:rPr>
      </w:pPr>
    </w:p>
    <w:p>
      <w:pPr>
        <w:ind w:right="40" w:firstLine="877"/>
        <w:spacing w:after="0" w:line="271" w:lineRule="auto"/>
        <w:rPr>
          <w:sz w:val="20"/>
          <w:szCs w:val="20"/>
          <w:color w:val="auto"/>
        </w:rPr>
      </w:pPr>
      <w:r>
        <w:rPr>
          <w:rFonts w:ascii="Arial" w:cs="Arial" w:eastAsia="Arial" w:hAnsi="Arial"/>
          <w:sz w:val="17"/>
          <w:szCs w:val="17"/>
          <w:color w:val="auto"/>
        </w:rPr>
        <w:t>Notwithstanding the restrictions described above, we and any of our Subsidiaries may, without having to equally and ratably secure the notes, issue, assume or guarantee Indebtedness secured by a Mortgage not excepted from the foregoing restriction, if at the time of such issuance, assumption or guarantee, after giving effect thereto and to the retirement of any Indebtedness which is concurrently being retired, the aggregate principal amount of all such Indebtedness secured by Mortgages which would otherwise be subject to such restriction (other than any Indebtedness secured by Mortgages permitted as described in clauses (1) through (11) of the immediately preceding paragraph) plus the aggregate amount (without duplication) of all Attributable Debt of the Company and any of its Subsidiaries (other than Excluded Subsidiaries) in respect of Sale and Lease-Back Transactions (with the exception of such transactions which are permitted under clauses (1) and (2) of the first sentence of the first paragraph under “—Restrictions on Sale and Lease-Back Transactions” below) does not exceed 15% of Consolidated Net Tangible Assets of the Company.</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Sale and Lease-Back Transactions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indenture provides that neither the Company nor any of its Subsidiaries (other than Excluded Subsidiaries) will enter into any Sale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Lease-Back Transaction with respect to any of their Property unless:</w:t>
      </w:r>
    </w:p>
    <w:p>
      <w:pPr>
        <w:spacing w:after="0" w:line="103" w:lineRule="exact"/>
        <w:rPr>
          <w:sz w:val="20"/>
          <w:szCs w:val="20"/>
          <w:color w:val="auto"/>
        </w:rPr>
      </w:pPr>
    </w:p>
    <w:p>
      <w:pPr>
        <w:jc w:val="both"/>
        <w:ind w:left="1520" w:right="280" w:hanging="648"/>
        <w:spacing w:after="0" w:line="264" w:lineRule="auto"/>
        <w:tabs>
          <w:tab w:leader="none" w:pos="1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or such Subsidiary is entitled under the provisions described in clause (1) or clause (6) in the first paragraph under “— Restrictions on Secured Debt” to create, issue, assume or guarantee Indebtedness secured by a Mortgage on the Property to be leased without having to equally and ratably secure the notes;</w:t>
      </w:r>
    </w:p>
    <w:p>
      <w:pPr>
        <w:spacing w:after="0" w:line="73" w:lineRule="exact"/>
        <w:rPr>
          <w:rFonts w:ascii="Arial" w:cs="Arial" w:eastAsia="Arial" w:hAnsi="Arial"/>
          <w:sz w:val="18"/>
          <w:szCs w:val="18"/>
          <w:color w:val="auto"/>
        </w:rPr>
      </w:pPr>
    </w:p>
    <w:p>
      <w:pPr>
        <w:ind w:left="1520" w:right="60" w:hanging="648"/>
        <w:spacing w:after="0" w:line="302" w:lineRule="auto"/>
        <w:tabs>
          <w:tab w:leader="none" w:pos="15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or such Subsidiary applies an amount (equaling at least the greater of the net proceeds of the sale of Property or the Attributable Debt in respect of such Sale and Lease-Back Transaction) within a period commencing one year prior to the consummation of such Sale and Lease-Back Transaction and ending one year after the consummation thereof, to make non-mandatory prepayments on Long-Term Indebtedness, retire Long-Term Indebtedness or acquire, construct or improve long-term assets; or</w:t>
      </w:r>
    </w:p>
    <w:p>
      <w:pPr>
        <w:spacing w:after="0" w:line="46" w:lineRule="exact"/>
        <w:rPr>
          <w:rFonts w:ascii="Arial" w:cs="Arial" w:eastAsia="Arial" w:hAnsi="Arial"/>
          <w:sz w:val="16"/>
          <w:szCs w:val="16"/>
          <w:color w:val="auto"/>
        </w:rPr>
      </w:pPr>
    </w:p>
    <w:p>
      <w:pPr>
        <w:ind w:left="1520" w:right="120" w:hanging="648"/>
        <w:spacing w:after="0" w:line="272" w:lineRule="auto"/>
        <w:tabs>
          <w:tab w:leader="none" w:pos="1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Attributable Debt of the Company or such Subsidiary in respect of such Sale and Lease-Back Transaction and all other Sale and Lease-Back Transactions entered into after the Issue Date (other than any such Sale and Lease-Back Transaction as would be permitted as described in clauses (1) and (2) of this sentence), plus the aggregate principal amount (without duplication) of Indebtedness secured by Mortgages then outstanding (not including any such Indebtedness secured by Mortgages described in clauses (1) through (11) of the first paragraph under the heading “—Restrictions on Secured Debt”) which do not equally and ratably secure the notes (or secure the notes on a basis that is prior to other Indebtedness secured thereby), would not exceed 15% of Consolidated Net Tangible Assets of the Company.</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right="40" w:firstLine="877"/>
        <w:spacing w:after="0" w:line="277" w:lineRule="auto"/>
        <w:rPr>
          <w:sz w:val="20"/>
          <w:szCs w:val="20"/>
          <w:color w:val="auto"/>
        </w:rPr>
      </w:pPr>
      <w:r>
        <w:rPr>
          <w:rFonts w:ascii="Arial" w:cs="Arial" w:eastAsia="Arial" w:hAnsi="Arial"/>
          <w:sz w:val="18"/>
          <w:szCs w:val="18"/>
          <w:color w:val="auto"/>
        </w:rPr>
        <w:t>The indenture provides that we may consolidate or merge with or into any other corporation, or lease, sell or transfer all or substantially all of our property and assets if:</w:t>
      </w:r>
    </w:p>
    <w:p>
      <w:pPr>
        <w:spacing w:after="0" w:line="62" w:lineRule="exact"/>
        <w:rPr>
          <w:sz w:val="20"/>
          <w:szCs w:val="20"/>
          <w:color w:val="auto"/>
        </w:rPr>
      </w:pPr>
    </w:p>
    <w:p>
      <w:pPr>
        <w:jc w:val="both"/>
        <w:ind w:left="1520" w:right="240" w:hanging="648"/>
        <w:spacing w:after="0" w:line="264" w:lineRule="auto"/>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corporation formed by such consolidation or into which we are merged, or the party which acquires by lease, sale or transfer all or substantially all of our property and assets is a corporation organized and existing under the laws of the United States, any state in the United States or the District of Columbia;</w:t>
      </w:r>
    </w:p>
    <w:p>
      <w:pPr>
        <w:spacing w:after="0" w:line="73" w:lineRule="exact"/>
        <w:rPr>
          <w:rFonts w:ascii="Arial" w:cs="Arial" w:eastAsia="Arial" w:hAnsi="Arial"/>
          <w:sz w:val="18"/>
          <w:szCs w:val="18"/>
          <w:color w:val="auto"/>
        </w:rPr>
      </w:pPr>
    </w:p>
    <w:p>
      <w:pPr>
        <w:ind w:left="1520" w:right="160" w:hanging="648"/>
        <w:spacing w:after="0" w:line="259" w:lineRule="auto"/>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corporation formed by such consolidation or into which we are merged, or the party which acquires by lease, sale or transfer all or substantially all of our property and assets, agrees to pay the principal of, and any premium and interest on, the notes, perform and observe all covenants and conditions of the indenture by executing and delivering to the Trustee a supplemental indenture and assumes all of the Company’s obligations under the Registration Rights Agreement; and</w:t>
      </w:r>
    </w:p>
    <w:p>
      <w:pPr>
        <w:spacing w:after="0" w:line="78" w:lineRule="exact"/>
        <w:rPr>
          <w:rFonts w:ascii="Arial" w:cs="Arial" w:eastAsia="Arial" w:hAnsi="Arial"/>
          <w:sz w:val="18"/>
          <w:szCs w:val="18"/>
          <w:color w:val="auto"/>
        </w:rPr>
      </w:pPr>
    </w:p>
    <w:p>
      <w:pPr>
        <w:ind w:left="1520" w:right="280" w:hanging="648"/>
        <w:spacing w:after="0" w:line="264" w:lineRule="auto"/>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and treating Indebtedness which becomes our obligation or an obligation of a Subsidiary (other than an Excluded Subsidiary) as a result of such transaction as having been incurred by us or such Subsidiary at the time of such transaction, no Default or Event of Default has happened and is continuing.</w:t>
      </w:r>
    </w:p>
    <w:p>
      <w:pPr>
        <w:spacing w:after="0" w:line="73"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This covenant will not prevent any consolidation, merger, lease, sale, transfer or other disposition of property solely between or among us and our Subsidiaries (other than an Excluded Subsidiary).</w:t>
      </w:r>
    </w:p>
    <w:p>
      <w:pPr>
        <w:spacing w:after="0" w:line="62" w:lineRule="exact"/>
        <w:rPr>
          <w:sz w:val="20"/>
          <w:szCs w:val="20"/>
          <w:color w:val="auto"/>
        </w:rPr>
      </w:pPr>
    </w:p>
    <w:p>
      <w:pPr>
        <w:ind w:firstLine="877"/>
        <w:spacing w:after="0" w:line="264" w:lineRule="auto"/>
        <w:rPr>
          <w:sz w:val="20"/>
          <w:szCs w:val="20"/>
          <w:color w:val="auto"/>
        </w:rPr>
      </w:pPr>
      <w:r>
        <w:rPr>
          <w:rFonts w:ascii="Arial" w:cs="Arial" w:eastAsia="Arial" w:hAnsi="Arial"/>
          <w:sz w:val="18"/>
          <w:szCs w:val="18"/>
          <w:color w:val="auto"/>
        </w:rPr>
        <w:t>In the event that we consolidate with or merge with or into another corporation or sell substantially all of our assets to any other corporation in compliance with the foregoing limitations, the surviving entity (if other than us) will be substituted for us under the indenture, and we will be discharged from all of our obligations under the indenture.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Guarantors</w:t>
      </w:r>
    </w:p>
    <w:p>
      <w:pPr>
        <w:spacing w:after="0" w:line="121" w:lineRule="exact"/>
        <w:rPr>
          <w:sz w:val="20"/>
          <w:szCs w:val="20"/>
          <w:color w:val="auto"/>
        </w:rPr>
      </w:pPr>
    </w:p>
    <w:p>
      <w:pPr>
        <w:ind w:right="20" w:firstLine="877"/>
        <w:spacing w:after="0" w:line="270" w:lineRule="auto"/>
        <w:rPr>
          <w:sz w:val="20"/>
          <w:szCs w:val="20"/>
          <w:color w:val="auto"/>
        </w:rPr>
      </w:pPr>
      <w:r>
        <w:rPr>
          <w:rFonts w:ascii="Arial" w:cs="Arial" w:eastAsia="Arial" w:hAnsi="Arial"/>
          <w:sz w:val="17"/>
          <w:szCs w:val="17"/>
          <w:color w:val="auto"/>
        </w:rPr>
        <w:t>The indenture provides that the Company will cause each Wholly Owned Domestic Subsidiary of the Company other than, at the election of the Company, an Excluded Subsidiary, that incurs as an issuer, co-issuer, borrower or guarantor of any, (i) Capital Markets Debt or (ii) Tranche B Term Loan (excluding any Indebtedness incurred as permitted pursuant to the definition of Credit Agreement) after the Issue Date, in an amount that, together with any other such Indebtedness (excluding any Indebtedness incurred as permitted pursuant to the definition of Credit Agreement) issued, co-issued or guaranteed by such Wholly Owned Domestic Subsidiary and then outstanding, exceeds at the time of such incurrence, 15% of Consolidated Net Tangible Assets of the Company, to execute and deliver to the Trustee a supplemental indenture joining such Subsidiary to the indenture, pursuant to which such Subsidiary will guarantee payment of the notes (each such guarantee of the notes, a “Subsidiary Guarantee”) for so long as such Indebtedness giving rise to such guarantee obligation remains an obligation of such Subsidiary. In addition, the Company may cause other Subsidiaries to guarantee the notes at its option. The Subsidiary Guarantee of any such Subsidiary will be released upon:</w:t>
      </w:r>
    </w:p>
    <w:p>
      <w:pPr>
        <w:spacing w:after="0" w:line="74" w:lineRule="exact"/>
        <w:rPr>
          <w:sz w:val="20"/>
          <w:szCs w:val="20"/>
          <w:color w:val="auto"/>
        </w:rPr>
      </w:pPr>
    </w:p>
    <w:p>
      <w:pPr>
        <w:ind w:left="1520" w:hanging="648"/>
        <w:spacing w:after="0" w:line="342" w:lineRule="auto"/>
        <w:tabs>
          <w:tab w:leader="none" w:pos="15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sale or disposition (whether by merger, stock purchase, asset sale or otherwise) of a Subsidiary guarantor (or all or substantially all its assets or its Capital Stock) to a person which is not (after giving effect to such transaction) a Subsidiary or the Company;</w:t>
      </w:r>
    </w:p>
    <w:p>
      <w:pPr>
        <w:spacing w:after="0" w:line="15" w:lineRule="exact"/>
        <w:rPr>
          <w:rFonts w:ascii="Arial" w:cs="Arial" w:eastAsia="Arial" w:hAnsi="Arial"/>
          <w:sz w:val="16"/>
          <w:szCs w:val="16"/>
          <w:color w:val="auto"/>
        </w:rPr>
      </w:pPr>
    </w:p>
    <w:p>
      <w:pPr>
        <w:ind w:left="1520" w:hanging="648"/>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Subsidiary becoming an Excluded Subsidiary;</w:t>
      </w:r>
    </w:p>
    <w:p>
      <w:pPr>
        <w:spacing w:after="0" w:line="117" w:lineRule="exact"/>
        <w:rPr>
          <w:rFonts w:ascii="Arial" w:cs="Arial" w:eastAsia="Arial" w:hAnsi="Arial"/>
          <w:sz w:val="18"/>
          <w:szCs w:val="18"/>
          <w:color w:val="auto"/>
        </w:rPr>
      </w:pPr>
    </w:p>
    <w:p>
      <w:pPr>
        <w:ind w:left="1520" w:hanging="648"/>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discharge of the indenture or legal defeasance or covenant defeasance; or</w:t>
      </w:r>
    </w:p>
    <w:p>
      <w:pPr>
        <w:spacing w:after="0" w:line="117" w:lineRule="exact"/>
        <w:rPr>
          <w:rFonts w:ascii="Arial" w:cs="Arial" w:eastAsia="Arial" w:hAnsi="Arial"/>
          <w:sz w:val="18"/>
          <w:szCs w:val="18"/>
          <w:color w:val="auto"/>
        </w:rPr>
      </w:pPr>
    </w:p>
    <w:p>
      <w:pPr>
        <w:ind w:left="1520" w:right="60" w:hanging="648"/>
        <w:spacing w:after="0" w:line="272" w:lineRule="auto"/>
        <w:tabs>
          <w:tab w:leader="none" w:pos="1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Subsidiary guarantor ceasing to guarantee or be the issuer or borrower of all Capital Markets Debt and Tranche B Term Loans in excess of the dollar threshold specified above; and in each such case such Subsidiary shall be deemed automatically and unconditionally released and discharged from all the Subsidiary’s obligations under the guarantee with respect to the notes without any further action required on the part of the Subsidiary, the Company, the Trustee or any holder of the notes. In the event of the sale or disposition (whether by merger, stock purchase, asset sale or otherwise) of a Subsidiary (or all or substantially all its assets or its Capital Stock) to a person which is not (after giving effect to such transaction) a Subsidiary or the Company, such person shall not be subject to the Subsidiary’s obligations under the guarantee.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respect to the notes, an “Event of Default” is defined in the indenture as being:</w:t>
      </w:r>
    </w:p>
    <w:p>
      <w:pPr>
        <w:spacing w:after="0" w:line="117" w:lineRule="exact"/>
        <w:rPr>
          <w:sz w:val="20"/>
          <w:szCs w:val="20"/>
          <w:color w:val="auto"/>
        </w:rPr>
      </w:pPr>
    </w:p>
    <w:p>
      <w:pPr>
        <w:ind w:left="1520" w:hanging="648"/>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failure to pay interest upon the notes that continues for a period of 30 days after payment is due;</w:t>
      </w:r>
    </w:p>
    <w:p>
      <w:pPr>
        <w:spacing w:after="0" w:line="117" w:lineRule="exact"/>
        <w:rPr>
          <w:rFonts w:ascii="Arial" w:cs="Arial" w:eastAsia="Arial" w:hAnsi="Arial"/>
          <w:sz w:val="18"/>
          <w:szCs w:val="18"/>
          <w:color w:val="auto"/>
        </w:rPr>
      </w:pPr>
    </w:p>
    <w:p>
      <w:pPr>
        <w:ind w:left="1520" w:hanging="648"/>
        <w:spacing w:after="0"/>
        <w:tabs>
          <w:tab w:leader="none" w:pos="15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 failure to pay the principal or premium, if any, on the notes when due upon maturity, redemption, acceleration or otherwise;</w:t>
      </w:r>
    </w:p>
    <w:p>
      <w:pPr>
        <w:spacing w:after="0" w:line="128" w:lineRule="exact"/>
        <w:rPr>
          <w:rFonts w:ascii="Arial" w:cs="Arial" w:eastAsia="Arial" w:hAnsi="Arial"/>
          <w:sz w:val="17"/>
          <w:szCs w:val="17"/>
          <w:color w:val="auto"/>
        </w:rPr>
      </w:pPr>
    </w:p>
    <w:p>
      <w:pPr>
        <w:ind w:left="1520" w:right="160" w:hanging="648"/>
        <w:spacing w:after="0" w:line="264" w:lineRule="auto"/>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failure by us or any Subsidiary to comply with any agreements contained in the indenture applicable to the notes for a period of 90 days after written notice to us of such failure from the Trustee (or to us and the Trustee from the holders of at least 25% of the principal amount of the notes to which such agreements relate);</w:t>
      </w:r>
    </w:p>
    <w:p>
      <w:pPr>
        <w:spacing w:after="0" w:line="73" w:lineRule="exact"/>
        <w:rPr>
          <w:rFonts w:ascii="Arial" w:cs="Arial" w:eastAsia="Arial" w:hAnsi="Arial"/>
          <w:sz w:val="18"/>
          <w:szCs w:val="18"/>
          <w:color w:val="auto"/>
        </w:rPr>
      </w:pPr>
    </w:p>
    <w:p>
      <w:pPr>
        <w:ind w:left="1520" w:right="140" w:hanging="648"/>
        <w:spacing w:after="0" w:line="312" w:lineRule="auto"/>
        <w:tabs>
          <w:tab w:leader="none" w:pos="1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failure by us or any Subsidiary to pay any Indebtedness (other than Indebtedness owing to the Company or a Subsidiary) within any applicable grace period after final maturity or the acceleration of any such Indebtedness by the holders thereof because of a default, in each case, if the total amount of such Indebtedness unpaid or accelerated exceeds $100.0 million or its foreign currency equivalent; or</w:t>
      </w:r>
    </w:p>
    <w:p>
      <w:pPr>
        <w:spacing w:after="0" w:line="38" w:lineRule="exact"/>
        <w:rPr>
          <w:rFonts w:ascii="Arial" w:cs="Arial" w:eastAsia="Arial" w:hAnsi="Arial"/>
          <w:sz w:val="16"/>
          <w:szCs w:val="16"/>
          <w:color w:val="auto"/>
        </w:rPr>
      </w:pPr>
    </w:p>
    <w:p>
      <w:pPr>
        <w:ind w:left="1520" w:hanging="648"/>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relating to us.</w:t>
      </w:r>
    </w:p>
    <w:p>
      <w:pPr>
        <w:spacing w:after="0" w:line="117" w:lineRule="exact"/>
        <w:rPr>
          <w:sz w:val="20"/>
          <w:szCs w:val="20"/>
          <w:color w:val="auto"/>
        </w:rPr>
      </w:pPr>
    </w:p>
    <w:p>
      <w:pPr>
        <w:ind w:right="20" w:firstLine="877"/>
        <w:spacing w:after="0" w:line="293" w:lineRule="auto"/>
        <w:rPr>
          <w:sz w:val="20"/>
          <w:szCs w:val="20"/>
          <w:color w:val="auto"/>
        </w:rPr>
      </w:pPr>
      <w:r>
        <w:rPr>
          <w:rFonts w:ascii="Arial" w:cs="Arial" w:eastAsia="Arial" w:hAnsi="Arial"/>
          <w:sz w:val="16"/>
          <w:szCs w:val="16"/>
          <w:color w:val="auto"/>
        </w:rPr>
        <w:t>The indenture provides that if there is a continuing Event of Default with respect to the notes, either the Trustee or the holders of at least 25% of the outstanding principal amount of the notes affected thereby may declare the principal amount of all of the notes to be due and payable immediately. However, at any time after the Trustee or the holders, as the case may be, declare an acceleration with respect to notes, but before the applicable person has obtained a judgment or decree based on such acceleration, the holders of a majority in principal amount of the outstanding notes affected thereby may, under certain conditions, cancel such acceleration if we have cured all Events of Default (other than the nonpayment of accelerated principal) with respect to such notes or all such Events of Default have been waived as provided in the indenture. For information as to waiver of defaults, see “—Modification and Waiver.”</w:t>
      </w:r>
    </w:p>
    <w:p>
      <w:pPr>
        <w:spacing w:after="0" w:line="57" w:lineRule="exact"/>
        <w:rPr>
          <w:sz w:val="20"/>
          <w:szCs w:val="20"/>
          <w:color w:val="auto"/>
        </w:rPr>
      </w:pPr>
    </w:p>
    <w:p>
      <w:pPr>
        <w:ind w:right="60" w:firstLine="877"/>
        <w:spacing w:after="0" w:line="255" w:lineRule="auto"/>
        <w:rPr>
          <w:sz w:val="20"/>
          <w:szCs w:val="20"/>
          <w:color w:val="auto"/>
        </w:rPr>
      </w:pPr>
      <w:r>
        <w:rPr>
          <w:rFonts w:ascii="Arial" w:cs="Arial" w:eastAsia="Arial" w:hAnsi="Arial"/>
          <w:sz w:val="18"/>
          <w:szCs w:val="18"/>
          <w:color w:val="auto"/>
        </w:rPr>
        <w:t>The indenture provides that, subject to the duties of the Trustee to act with the required standard of care, if there is a continuing Event of Default with respect to the notes, the Trustee need not exercise any of its rights or powers under the indenture at the request or direction of any of the holders of notes unless such holders have offered to the Trustee security or indemnity reasonably satisfactory to it. Subject to such provisions for security or indemnification of the Trustee and certain other conditions, the holders of a majority in principal amount of the notes affected thereby will have the right to direct the time, method and place of conducting any proceeding for any remedy available to the Trustee or exercising any trust or power the Trustee holds with respect to the notes.</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 holder of any note will have any right to institute any proceeding with respect to the indenture or for any remedy under the indenture unless:</w:t>
      </w:r>
    </w:p>
    <w:p>
      <w:pPr>
        <w:spacing w:after="0" w:line="140" w:lineRule="exact"/>
        <w:rPr>
          <w:sz w:val="20"/>
          <w:szCs w:val="20"/>
          <w:color w:val="auto"/>
        </w:rPr>
      </w:pPr>
    </w:p>
    <w:p>
      <w:pPr>
        <w:ind w:left="1520" w:right="400" w:hanging="648"/>
        <w:spacing w:after="0" w:line="277" w:lineRule="auto"/>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for 60 days after the holder has previously given to the Trustee written notice of a continuing Event of Default with respect to the notes;</w:t>
      </w:r>
    </w:p>
    <w:p>
      <w:pPr>
        <w:spacing w:after="0" w:line="62" w:lineRule="exact"/>
        <w:rPr>
          <w:rFonts w:ascii="Arial" w:cs="Arial" w:eastAsia="Arial" w:hAnsi="Arial"/>
          <w:sz w:val="18"/>
          <w:szCs w:val="18"/>
          <w:color w:val="auto"/>
        </w:rPr>
      </w:pPr>
    </w:p>
    <w:p>
      <w:pPr>
        <w:ind w:left="1520" w:hanging="648"/>
        <w:spacing w:after="0" w:line="277" w:lineRule="auto"/>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notes affected thereby have made a written request and offered security or indemnity reasonably satisfactory to the Trustee to institute such proceeding as Trustee; and</w:t>
      </w:r>
    </w:p>
    <w:p>
      <w:pPr>
        <w:spacing w:after="0" w:line="62" w:lineRule="exact"/>
        <w:rPr>
          <w:rFonts w:ascii="Arial" w:cs="Arial" w:eastAsia="Arial" w:hAnsi="Arial"/>
          <w:sz w:val="18"/>
          <w:szCs w:val="18"/>
          <w:color w:val="auto"/>
        </w:rPr>
      </w:pPr>
    </w:p>
    <w:p>
      <w:pPr>
        <w:ind w:left="1520" w:right="440" w:hanging="648"/>
        <w:spacing w:after="0" w:line="277" w:lineRule="auto"/>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Trustee has not received from the holders of a majority in principal amount of the outstanding notes affected thereby a direction inconsistent with such request.</w:t>
      </w:r>
    </w:p>
    <w:p>
      <w:pPr>
        <w:spacing w:after="0" w:line="62" w:lineRule="exact"/>
        <w:rPr>
          <w:sz w:val="20"/>
          <w:szCs w:val="20"/>
          <w:color w:val="auto"/>
        </w:rPr>
      </w:pPr>
    </w:p>
    <w:p>
      <w:pPr>
        <w:ind w:right="40" w:firstLine="877"/>
        <w:spacing w:after="0" w:line="342" w:lineRule="auto"/>
        <w:rPr>
          <w:sz w:val="20"/>
          <w:szCs w:val="20"/>
          <w:color w:val="auto"/>
        </w:rPr>
      </w:pPr>
      <w:r>
        <w:rPr>
          <w:rFonts w:ascii="Arial" w:cs="Arial" w:eastAsia="Arial" w:hAnsi="Arial"/>
          <w:sz w:val="16"/>
          <w:szCs w:val="16"/>
          <w:color w:val="auto"/>
        </w:rPr>
        <w:t>However, the holder of any note will have an absolute and unconditional right to receive payment of the principal of, and any premium or interest on, such note on or after the date or dates they are to be paid as expressed in such note and to institute suit for the enforcement of any such payment.</w:t>
      </w:r>
    </w:p>
    <w:p>
      <w:pPr>
        <w:spacing w:after="0" w:line="16" w:lineRule="exact"/>
        <w:rPr>
          <w:sz w:val="20"/>
          <w:szCs w:val="20"/>
          <w:color w:val="auto"/>
        </w:rPr>
      </w:pPr>
    </w:p>
    <w:p>
      <w:pPr>
        <w:ind w:right="40" w:firstLine="877"/>
        <w:spacing w:after="0" w:line="264" w:lineRule="auto"/>
        <w:rPr>
          <w:sz w:val="20"/>
          <w:szCs w:val="20"/>
          <w:color w:val="auto"/>
        </w:rPr>
      </w:pPr>
      <w:r>
        <w:rPr>
          <w:rFonts w:ascii="Arial" w:cs="Arial" w:eastAsia="Arial" w:hAnsi="Arial"/>
          <w:sz w:val="18"/>
          <w:szCs w:val="18"/>
          <w:color w:val="auto"/>
        </w:rPr>
        <w:t>We are required to furnish to the Trustee annually a statement as to the absence of certain defaults under the indenture. The indenture provides that the Trustee need not provide notice to holders of notes of any default (other than the nonpayment of principal or any premium or interest) if it considers it in the interest of the holders of notes not to provide such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right="160" w:firstLine="877"/>
        <w:spacing w:after="0" w:line="259" w:lineRule="auto"/>
        <w:rPr>
          <w:sz w:val="20"/>
          <w:szCs w:val="20"/>
          <w:color w:val="auto"/>
        </w:rPr>
      </w:pPr>
      <w:r>
        <w:rPr>
          <w:rFonts w:ascii="Arial" w:cs="Arial" w:eastAsia="Arial" w:hAnsi="Arial"/>
          <w:sz w:val="18"/>
          <w:szCs w:val="18"/>
          <w:color w:val="auto"/>
        </w:rPr>
        <w:t>We and the Trustee may modify or amend the indenture, including to release Subsidiary Guarantees, with the consent (including consents obtained in connection with a purchase of, or tender offer or exchange offer for, notes) of the holders of a majority of the principal amount of the notes then outstanding affected by the modification or amendment. However, no such modification or amendment may, without the consent of the holders of all then outstanding notes:</w:t>
      </w:r>
    </w:p>
    <w:p>
      <w:pPr>
        <w:spacing w:after="0" w:line="79" w:lineRule="exact"/>
        <w:rPr>
          <w:sz w:val="20"/>
          <w:szCs w:val="20"/>
          <w:color w:val="auto"/>
        </w:rPr>
      </w:pPr>
    </w:p>
    <w:p>
      <w:pPr>
        <w:ind w:left="1520" w:hanging="648"/>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change the due date of the principal of, or any installment of principal of or interest on, the notes;</w:t>
      </w:r>
    </w:p>
    <w:p>
      <w:pPr>
        <w:spacing w:after="0" w:line="117" w:lineRule="exact"/>
        <w:rPr>
          <w:rFonts w:ascii="Arial" w:cs="Arial" w:eastAsia="Arial" w:hAnsi="Arial"/>
          <w:sz w:val="18"/>
          <w:szCs w:val="18"/>
          <w:color w:val="auto"/>
        </w:rPr>
      </w:pPr>
    </w:p>
    <w:p>
      <w:pPr>
        <w:ind w:left="1520" w:hanging="648"/>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rate on, the notes;</w:t>
      </w:r>
    </w:p>
    <w:p>
      <w:pPr>
        <w:spacing w:after="0" w:line="117" w:lineRule="exact"/>
        <w:rPr>
          <w:rFonts w:ascii="Arial" w:cs="Arial" w:eastAsia="Arial" w:hAnsi="Arial"/>
          <w:sz w:val="18"/>
          <w:szCs w:val="18"/>
          <w:color w:val="auto"/>
        </w:rPr>
      </w:pPr>
    </w:p>
    <w:p>
      <w:pPr>
        <w:ind w:left="1520" w:hanging="648"/>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the notes;</w:t>
      </w:r>
    </w:p>
    <w:p>
      <w:pPr>
        <w:spacing w:after="0" w:line="117" w:lineRule="exact"/>
        <w:rPr>
          <w:rFonts w:ascii="Arial" w:cs="Arial" w:eastAsia="Arial" w:hAnsi="Arial"/>
          <w:sz w:val="18"/>
          <w:szCs w:val="18"/>
          <w:color w:val="auto"/>
        </w:rPr>
      </w:pPr>
    </w:p>
    <w:p>
      <w:pPr>
        <w:ind w:left="1520" w:hanging="648"/>
        <w:spacing w:after="0"/>
        <w:tabs>
          <w:tab w:leader="none" w:pos="1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impair the right to institute suit for the enforcement of any payment on or with respect to the notes after the due date thereof; or</w:t>
      </w:r>
    </w:p>
    <w:p>
      <w:pPr>
        <w:spacing w:after="0" w:line="128" w:lineRule="exact"/>
        <w:rPr>
          <w:rFonts w:ascii="Arial" w:cs="Arial" w:eastAsia="Arial" w:hAnsi="Arial"/>
          <w:sz w:val="17"/>
          <w:szCs w:val="17"/>
          <w:color w:val="auto"/>
        </w:rPr>
      </w:pPr>
    </w:p>
    <w:p>
      <w:pPr>
        <w:ind w:left="1520" w:right="300" w:hanging="648"/>
        <w:spacing w:after="0" w:line="342" w:lineRule="auto"/>
        <w:tabs>
          <w:tab w:leader="none" w:pos="15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reduce the percentage in principal amount of the notes then outstanding, the consent of whose holders is required for modification or amendment of the indenture, for waiver of compliance with certain provisions of the indenture or for waiver of certain defaults.</w:t>
      </w:r>
    </w:p>
    <w:p>
      <w:pPr>
        <w:spacing w:after="0" w:line="16" w:lineRule="exact"/>
        <w:rPr>
          <w:sz w:val="20"/>
          <w:szCs w:val="20"/>
          <w:color w:val="auto"/>
        </w:rPr>
      </w:pPr>
    </w:p>
    <w:p>
      <w:pPr>
        <w:ind w:right="20" w:firstLine="877"/>
        <w:spacing w:after="0" w:line="257" w:lineRule="auto"/>
        <w:rPr>
          <w:sz w:val="20"/>
          <w:szCs w:val="20"/>
          <w:color w:val="auto"/>
        </w:rPr>
      </w:pPr>
      <w:r>
        <w:rPr>
          <w:rFonts w:ascii="Arial" w:cs="Arial" w:eastAsia="Arial" w:hAnsi="Arial"/>
          <w:sz w:val="18"/>
          <w:szCs w:val="18"/>
          <w:color w:val="auto"/>
        </w:rPr>
        <w:t>The holders of a majority of the principal amount of the notes then outstanding may waive future compliance by us with certain restrictive covenants of the indenture. The holders of at least a majority in principal amount of the notes then outstanding affected thereby may waive any past default under the indenture, except a failure by us to pay the principal of, or any premium or interest on, any notes or a provision that cannot be modified or amended without the consent of the holders of all notes then outstanding. Any such waiver may be obtained in connection with a purchase of, or tender offer or exchange offer for, notes.</w:t>
      </w:r>
    </w:p>
    <w:p>
      <w:pPr>
        <w:spacing w:after="0" w:line="80" w:lineRule="exact"/>
        <w:rPr>
          <w:sz w:val="20"/>
          <w:szCs w:val="20"/>
          <w:color w:val="auto"/>
        </w:rPr>
      </w:pPr>
    </w:p>
    <w:p>
      <w:pPr>
        <w:ind w:firstLine="877"/>
        <w:spacing w:after="0" w:line="273" w:lineRule="auto"/>
        <w:rPr>
          <w:sz w:val="20"/>
          <w:szCs w:val="20"/>
          <w:color w:val="auto"/>
        </w:rPr>
      </w:pPr>
      <w:r>
        <w:rPr>
          <w:rFonts w:ascii="Arial" w:cs="Arial" w:eastAsia="Arial" w:hAnsi="Arial"/>
          <w:sz w:val="17"/>
          <w:szCs w:val="17"/>
          <w:color w:val="auto"/>
        </w:rPr>
        <w:t>The Company will not, and the Company will not permit any of its Subsidiaries to, directly or indirectly, pay or cause to be paid any consideration, including any related tender offer consideration, whether by way of interest, fee or otherwise, to any holder of notes for or as an inducement to any consent, waiver or amendment of any of the terms or provisions of the indenture or the notes unless the same consideration is offered to be paid or agreed to be paid to all holders of the notes affected thereby that consent, waive or agree to amend such term or provision within the time period set forth in the solicitation documents relating to the consent, waiver or amendment. When determining “reasonably equivalent consideration” the Company may without limitation consider the relative trading values, remaining life and/or yield to maturity of the notes.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right="100" w:firstLine="877"/>
        <w:spacing w:after="0" w:line="286" w:lineRule="auto"/>
        <w:rPr>
          <w:sz w:val="20"/>
          <w:szCs w:val="20"/>
          <w:color w:val="auto"/>
        </w:rPr>
      </w:pPr>
      <w:r>
        <w:rPr>
          <w:rFonts w:ascii="Arial" w:cs="Arial" w:eastAsia="Arial" w:hAnsi="Arial"/>
          <w:sz w:val="16"/>
          <w:szCs w:val="16"/>
          <w:color w:val="auto"/>
        </w:rPr>
        <w:t>The indenture provides that we may be discharged from any and all obligations in respect of the notes (except for certain obligations to register the transfer or exchange of notes, to replace stolen, destroyed, lost or mutilated notes, to maintain paying agencies, to compensate and indemnify the Trustee or to furnish the Trustee (if the Trustee is not the registrar) with the names and addresses of holders of notes). We will be so discharged when (1) all of the notes have been delivered to the Trustee for cancellation or (2) all of the notes not previously delivered for cancellation (a) have become due and payable or</w:t>
      </w:r>
    </w:p>
    <w:p>
      <w:pPr>
        <w:spacing w:after="0" w:line="2" w:lineRule="exact"/>
        <w:rPr>
          <w:sz w:val="20"/>
          <w:szCs w:val="20"/>
          <w:color w:val="auto"/>
        </w:rPr>
      </w:pPr>
    </w:p>
    <w:p>
      <w:pPr>
        <w:ind w:right="40" w:firstLine="8"/>
        <w:spacing w:after="0" w:line="292" w:lineRule="auto"/>
        <w:tabs>
          <w:tab w:leader="none" w:pos="2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have been called for redemption or are to be called for redemption within one year under arrangements satisfactory to the Trustee for the giving of notice of redemption by the Trustee in our name, and at our expense, and we have irrevocably deposited or caused to be deposited with the Trustee funds in an amount sufficient, in the opinion of a nationally recognized firm of independent public accountants, to pay and discharge the entire Indebtedness on the notes not theretofore delivered to the Trustee for cancellation, for principal of, premium, if any, and interest on the notes to the date of deposit together with irrevocable instructions from the Company directing the Trustee to apply such funds to the payment thereof at maturity or redemption, as the case may be.</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8" w:right="279" w:bottom="1440" w:gutter="0" w:footer="0" w:header="0"/>
        </w:sectPr>
      </w:pPr>
    </w:p>
    <w:bookmarkStart w:id="175" w:name="page176"/>
    <w:bookmarkEnd w:id="175"/>
    <w:p>
      <w:pPr>
        <w:ind w:left="240"/>
        <w:spacing w:after="0"/>
        <w:rPr>
          <w:sz w:val="20"/>
          <w:szCs w:val="20"/>
          <w:color w:val="auto"/>
        </w:rPr>
      </w:pPr>
      <w:r>
        <w:rPr>
          <w:rFonts w:ascii="Arial" w:cs="Arial" w:eastAsia="Arial" w:hAnsi="Arial"/>
          <w:sz w:val="18"/>
          <w:szCs w:val="18"/>
          <w:b w:val="1"/>
          <w:bCs w:val="1"/>
          <w:i w:val="1"/>
          <w:iCs w:val="1"/>
          <w:color w:val="auto"/>
        </w:rPr>
        <w:t>Defeasance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indenture provides that, upon compliance with certain conditions with respect to the notes, at our election:</w:t>
      </w:r>
    </w:p>
    <w:p>
      <w:pPr>
        <w:spacing w:after="0" w:line="117" w:lineRule="exact"/>
        <w:rPr>
          <w:sz w:val="20"/>
          <w:szCs w:val="20"/>
          <w:color w:val="auto"/>
        </w:rPr>
      </w:pPr>
    </w:p>
    <w:p>
      <w:pPr>
        <w:ind w:left="1300" w:right="20" w:hanging="428"/>
        <w:spacing w:after="0" w:line="257"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may terminate all our obligations under the notes and the indenture (except as to (i) rights of registration of transfer, substitution and exchange of the notes and our right of optional redemption, (ii) rights of holders to receive payment of principal of, premium, if any, and interest on such notes (but not the purchase price referred to under “—Change of Control” and any rights of the holders with respect to such amount), (iii) the rights, obligations and immunities of the Trustee under the indenture and (iv) certain other specified provisions in the indenture) (“legal defeasance”); or</w:t>
      </w:r>
    </w:p>
    <w:p>
      <w:pPr>
        <w:spacing w:after="0" w:line="80" w:lineRule="exact"/>
        <w:rPr>
          <w:rFonts w:ascii="Arial" w:cs="Arial" w:eastAsia="Arial" w:hAnsi="Arial"/>
          <w:sz w:val="18"/>
          <w:szCs w:val="18"/>
          <w:color w:val="auto"/>
        </w:rPr>
      </w:pPr>
    </w:p>
    <w:p>
      <w:pPr>
        <w:ind w:left="1300" w:right="120" w:hanging="428"/>
        <w:spacing w:after="0" w:line="259"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may omit to comply with the covenants described under “—Certain Covenants—Restrictions on Secured Debt,” “—Certain Covenants —Restrictions on Sale and Lease-Back Transactions,” “—Certain Covenants—Future Guarantors” and “—Change of Control” (all other obligations under the notes will remain in full force and effect), and any omission to comply with those covenants will not constitute an Event of Default with respect to the notes (“covenant defeasance”).</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conditions include:</w:t>
      </w:r>
    </w:p>
    <w:p>
      <w:pPr>
        <w:spacing w:after="0" w:line="117" w:lineRule="exact"/>
        <w:rPr>
          <w:sz w:val="20"/>
          <w:szCs w:val="20"/>
          <w:color w:val="auto"/>
        </w:rPr>
      </w:pPr>
    </w:p>
    <w:p>
      <w:pPr>
        <w:ind w:left="1300" w:right="200" w:hanging="428"/>
        <w:spacing w:after="0" w:line="264"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depositing with the Trustee money and/or securities of the U.S. government in an amount sufficient, in the opinion of a nationally recognized firm of independent public accountants, to pay each installment of principal of, and any premium and interest on, the notes on the due dates for those payments in accordance with the terms of the notes; and</w:t>
      </w:r>
    </w:p>
    <w:p>
      <w:pPr>
        <w:spacing w:after="0" w:line="73" w:lineRule="exact"/>
        <w:rPr>
          <w:rFonts w:ascii="Arial" w:cs="Arial" w:eastAsia="Arial" w:hAnsi="Arial"/>
          <w:sz w:val="18"/>
          <w:szCs w:val="18"/>
          <w:color w:val="auto"/>
        </w:rPr>
      </w:pPr>
    </w:p>
    <w:p>
      <w:pPr>
        <w:ind w:left="1300" w:hanging="428"/>
        <w:spacing w:after="0" w:line="276" w:lineRule="auto"/>
        <w:tabs>
          <w:tab w:leader="none" w:pos="13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delivering to the Trustee an Opinion of Counsel to the effect that the holders of the notes will not recognize income, gain or loss for U.S. federal income tax purposes as a result of the deposit and related legal defeasance or covenant defeasance and will be subject to U.S. federal income tax on the same amounts and in the same manner and at the same times as would have been the case if the deposit and related covenant defeasance had not occurred (and, in the case of legal defeasance only, such Opinion of Counsel must be based on a ruling of the Internal Revenue Service or other change in applicable Federal income tax law).</w:t>
      </w:r>
    </w:p>
    <w:p>
      <w:pPr>
        <w:spacing w:after="0" w:line="64" w:lineRule="exact"/>
        <w:rPr>
          <w:sz w:val="20"/>
          <w:szCs w:val="20"/>
          <w:color w:val="auto"/>
        </w:rPr>
      </w:pPr>
    </w:p>
    <w:p>
      <w:pPr>
        <w:ind w:right="100" w:firstLine="877"/>
        <w:spacing w:after="0" w:line="264"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rights of discharge, legal defeasance or covenant defeasance, any Subsidiary Guarantee then in effect automatically shall be released without any further action on the part of such Subsidiary, the Company, the Trustee or any holder of notes.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Covenant Defeasance and Certain Events of Default</w:t>
      </w:r>
    </w:p>
    <w:p>
      <w:pPr>
        <w:spacing w:after="0" w:line="117" w:lineRule="exact"/>
        <w:rPr>
          <w:sz w:val="20"/>
          <w:szCs w:val="20"/>
          <w:color w:val="auto"/>
        </w:rPr>
      </w:pPr>
    </w:p>
    <w:p>
      <w:pPr>
        <w:ind w:right="120" w:firstLine="877"/>
        <w:spacing w:after="0" w:line="257" w:lineRule="auto"/>
        <w:rPr>
          <w:sz w:val="20"/>
          <w:szCs w:val="20"/>
          <w:color w:val="auto"/>
        </w:rPr>
      </w:pPr>
      <w:r>
        <w:rPr>
          <w:rFonts w:ascii="Arial" w:cs="Arial" w:eastAsia="Arial" w:hAnsi="Arial"/>
          <w:sz w:val="18"/>
          <w:szCs w:val="18"/>
          <w:color w:val="auto"/>
        </w:rPr>
        <w:t>If we exercise our option to effect a covenant defeasance with respect to the notes as described above and the notes are thereafter declared due and payable because of an Event of Default (other than an Event of Default caused by failing to comply with the covenants that are defeased), the amount of money and securities we have deposited with the Trustee would be sufficient to pay amounts due on the notes on their respective due dates but may not be sufficient to pay amounts due on the notes at the time of acceleration resulting from such Event of Default. However, we would remain liable for such payments.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and Paying Agent</w:t>
      </w:r>
    </w:p>
    <w:p>
      <w:pPr>
        <w:spacing w:after="0" w:line="121" w:lineRule="exact"/>
        <w:rPr>
          <w:sz w:val="20"/>
          <w:szCs w:val="20"/>
          <w:color w:val="auto"/>
        </w:rPr>
      </w:pPr>
    </w:p>
    <w:p>
      <w:pPr>
        <w:jc w:val="both"/>
        <w:ind w:firstLine="877"/>
        <w:spacing w:after="0" w:line="342" w:lineRule="auto"/>
        <w:rPr>
          <w:sz w:val="20"/>
          <w:szCs w:val="20"/>
          <w:color w:val="auto"/>
        </w:rPr>
      </w:pPr>
      <w:r>
        <w:rPr>
          <w:rFonts w:ascii="Arial" w:cs="Arial" w:eastAsia="Arial" w:hAnsi="Arial"/>
          <w:sz w:val="16"/>
          <w:szCs w:val="16"/>
          <w:color w:val="auto"/>
        </w:rPr>
        <w:t>U.S. Bank National Association is the Trustee under the indenture. The Trustee and its affiliates have engaged, currently are engaged, and may in the future engage in financial or other transactions with the Company and its affiliates in the ordinary course of their respective businesses, subject to the TIA.</w:t>
      </w:r>
    </w:p>
    <w:p>
      <w:pPr>
        <w:spacing w:after="0" w:line="16" w:lineRule="exact"/>
        <w:rPr>
          <w:sz w:val="20"/>
          <w:szCs w:val="20"/>
          <w:color w:val="auto"/>
        </w:rPr>
      </w:pPr>
    </w:p>
    <w:p>
      <w:pPr>
        <w:ind w:right="40" w:firstLine="877"/>
        <w:spacing w:after="0" w:line="259" w:lineRule="auto"/>
        <w:rPr>
          <w:sz w:val="20"/>
          <w:szCs w:val="20"/>
          <w:color w:val="auto"/>
        </w:rPr>
      </w:pPr>
      <w:r>
        <w:rPr>
          <w:rFonts w:ascii="Arial" w:cs="Arial" w:eastAsia="Arial" w:hAnsi="Arial"/>
          <w:sz w:val="18"/>
          <w:szCs w:val="18"/>
          <w:color w:val="auto"/>
        </w:rPr>
        <w:t>Except during the continuance of an Event of Default, the Trustee will perform only such duties as are specifically set forth in the indenture. If an Event of Default shall have occurred and continues that is actually known to the Trustee, the Trustee will exercise such of the rights and powers vested in it under the indenture and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right="80" w:firstLine="877"/>
        <w:spacing w:after="0" w:line="264" w:lineRule="auto"/>
        <w:rPr>
          <w:sz w:val="20"/>
          <w:szCs w:val="20"/>
          <w:color w:val="auto"/>
        </w:rPr>
      </w:pPr>
      <w:r>
        <w:rPr>
          <w:rFonts w:ascii="Arial" w:cs="Arial" w:eastAsia="Arial" w:hAnsi="Arial"/>
          <w:sz w:val="18"/>
          <w:szCs w:val="18"/>
          <w:color w:val="auto"/>
        </w:rPr>
        <w:t>Set forth below is a summary of certain of the defined terms used in the indenture. Reference is made to the indenture for the full definition of all such terms as well as any other capitalized terms used herein for which no definition is provided. Unless the context otherwise requires, an accounting term not otherwise defined has the meaning assigned to it in accordance with GAAP.</w:t>
      </w:r>
    </w:p>
    <w:p>
      <w:pPr>
        <w:spacing w:after="0" w:line="73" w:lineRule="exact"/>
        <w:rPr>
          <w:sz w:val="20"/>
          <w:szCs w:val="20"/>
          <w:color w:val="auto"/>
        </w:rPr>
      </w:pPr>
    </w:p>
    <w:p>
      <w:pPr>
        <w:ind w:firstLine="877"/>
        <w:spacing w:after="0" w:line="289" w:lineRule="auto"/>
        <w:rPr>
          <w:sz w:val="20"/>
          <w:szCs w:val="20"/>
          <w:color w:val="auto"/>
        </w:rPr>
      </w:pPr>
      <w:r>
        <w:rPr>
          <w:rFonts w:ascii="Arial" w:cs="Arial" w:eastAsia="Arial" w:hAnsi="Arial"/>
          <w:sz w:val="16"/>
          <w:szCs w:val="16"/>
          <w:color w:val="auto"/>
        </w:rPr>
        <w:t>“Attributable Debt” means, in the context of a Sale and Lease-Back Transaction, what we believe in good faith to be the present value, discounted at the interest rate implicit in the lease involved in such Sale and Lease-Back Transaction, of the lessee’s obligation under the lease for rental payments during the remaining term of such lease, as it has been extended. In the case of any lease that is terminable by the lessee upon the payment of a penalty, the net amount of rent will be the lesser of (x) the net amount determined assuming termination upon the first date the lease may be terminated (in which case the net amount will also include the amount of the penalty, but will not include any rent that would be required to be paid under the lease subsequent to the first date upon which it may be so terminated) or (y) the net amount determined assuming no such termination. For purposes of this definition, any amounts lessee must pay, whether or not designated as rent or additional rent, on account of maintenance and repairs, insurance, taxes, assessments, water rates or similar charges or any amounts lessee must pay under the lease contingent upon the amount of sales, maintenance and repairs, insurance, taxes, assessments, water rates or similar charges are not included in the determination of lessee’s obligations under the lease.</w:t>
      </w:r>
    </w:p>
    <w:p>
      <w:pPr>
        <w:spacing w:after="0" w:line="59" w:lineRule="exact"/>
        <w:rPr>
          <w:sz w:val="20"/>
          <w:szCs w:val="20"/>
          <w:color w:val="auto"/>
        </w:rPr>
      </w:pPr>
    </w:p>
    <w:p>
      <w:pPr>
        <w:ind w:right="120" w:firstLine="877"/>
        <w:spacing w:after="0" w:line="264" w:lineRule="auto"/>
        <w:rPr>
          <w:sz w:val="20"/>
          <w:szCs w:val="20"/>
          <w:color w:val="auto"/>
        </w:rPr>
      </w:pPr>
      <w:r>
        <w:rPr>
          <w:rFonts w:ascii="Arial" w:cs="Arial" w:eastAsia="Arial" w:hAnsi="Arial"/>
          <w:sz w:val="18"/>
          <w:szCs w:val="18"/>
          <w:color w:val="auto"/>
        </w:rPr>
        <w:t>“Board of Directors” means, as to any Person, the board of directors or supervisory board of such Person, or equivalent governing body (or, if such Person is a partnership or limited liability company, the board of directors or other governing body of the general partner or manager of such Person) or any duly authorized committee thereof.</w:t>
      </w:r>
    </w:p>
    <w:p>
      <w:pPr>
        <w:spacing w:after="0" w:line="73" w:lineRule="exact"/>
        <w:rPr>
          <w:sz w:val="20"/>
          <w:szCs w:val="20"/>
          <w:color w:val="auto"/>
        </w:rPr>
      </w:pPr>
    </w:p>
    <w:p>
      <w:pPr>
        <w:ind w:right="500" w:firstLine="877"/>
        <w:spacing w:after="0" w:line="277" w:lineRule="auto"/>
        <w:rPr>
          <w:sz w:val="20"/>
          <w:szCs w:val="20"/>
          <w:color w:val="auto"/>
        </w:rPr>
      </w:pPr>
      <w:r>
        <w:rPr>
          <w:rFonts w:ascii="Arial" w:cs="Arial" w:eastAsia="Arial" w:hAnsi="Arial"/>
          <w:sz w:val="18"/>
          <w:szCs w:val="18"/>
          <w:color w:val="auto"/>
        </w:rPr>
        <w:t>“Business Day” means any day other than a Saturday, Sunday or other day on which commercial banking institutions in New York City are authorized or required by law or executive order to close.</w:t>
      </w:r>
    </w:p>
    <w:p>
      <w:pPr>
        <w:spacing w:after="0" w:line="62" w:lineRule="exact"/>
        <w:rPr>
          <w:sz w:val="20"/>
          <w:szCs w:val="20"/>
          <w:color w:val="auto"/>
        </w:rPr>
      </w:pPr>
    </w:p>
    <w:p>
      <w:pPr>
        <w:ind w:right="60" w:firstLine="877"/>
        <w:spacing w:after="0" w:line="308" w:lineRule="auto"/>
        <w:rPr>
          <w:sz w:val="20"/>
          <w:szCs w:val="20"/>
          <w:color w:val="auto"/>
        </w:rPr>
      </w:pPr>
      <w:r>
        <w:rPr>
          <w:rFonts w:ascii="Arial" w:cs="Arial" w:eastAsia="Arial" w:hAnsi="Arial"/>
          <w:sz w:val="17"/>
          <w:szCs w:val="17"/>
          <w:color w:val="auto"/>
        </w:rPr>
        <w:t>“Capital Lease” means a lease with respect to which the lessee is required concurrently to recognize the acquisition of an asset and the incurrence of a liability in accordance with generally accepted accounting principles in effect in the United States as of the date of the indenture.</w:t>
      </w:r>
    </w:p>
    <w:p>
      <w:pPr>
        <w:spacing w:after="0" w:line="38" w:lineRule="exact"/>
        <w:rPr>
          <w:sz w:val="20"/>
          <w:szCs w:val="20"/>
          <w:color w:val="auto"/>
        </w:rPr>
      </w:pPr>
    </w:p>
    <w:p>
      <w:pPr>
        <w:ind w:right="40" w:firstLine="877"/>
        <w:spacing w:after="0" w:line="312" w:lineRule="auto"/>
        <w:rPr>
          <w:sz w:val="20"/>
          <w:szCs w:val="20"/>
          <w:color w:val="auto"/>
        </w:rPr>
      </w:pPr>
      <w:r>
        <w:rPr>
          <w:rFonts w:ascii="Arial" w:cs="Arial" w:eastAsia="Arial" w:hAnsi="Arial"/>
          <w:sz w:val="16"/>
          <w:szCs w:val="16"/>
          <w:color w:val="auto"/>
        </w:rPr>
        <w:t>“Capital Markets Debt” means any debt securities evidenced by notes, bonds or debentures (excluding, for the avoidance of doubt, any term loan, revolving loan or Qualified Receivables Financing) issued in the capital markets by the Company or any Subsidiary, whether issued in a public offering or private placement, including pursuant to Section 4(2) of the Securities Act or Rule 144A, Regulation S or Regulation D under the Securities Act.</w:t>
      </w:r>
    </w:p>
    <w:p>
      <w:pPr>
        <w:spacing w:after="0" w:line="39" w:lineRule="exact"/>
        <w:rPr>
          <w:sz w:val="20"/>
          <w:szCs w:val="20"/>
          <w:color w:val="auto"/>
        </w:rPr>
      </w:pPr>
    </w:p>
    <w:p>
      <w:pPr>
        <w:ind w:right="200" w:firstLine="877"/>
        <w:spacing w:after="0" w:line="342" w:lineRule="auto"/>
        <w:rPr>
          <w:sz w:val="20"/>
          <w:szCs w:val="20"/>
          <w:color w:val="auto"/>
        </w:rPr>
      </w:pPr>
      <w:r>
        <w:rPr>
          <w:rFonts w:ascii="Arial" w:cs="Arial" w:eastAsia="Arial" w:hAnsi="Arial"/>
          <w:sz w:val="16"/>
          <w:szCs w:val="16"/>
          <w:color w:val="auto"/>
        </w:rPr>
        <w:t>“Capital Stock” of any Person means any and all shares, interests, rights to purchase, warrants, options, participations or other equivalents of or interests in (however designated) equity of such Person, including any preferred stock, but excluding any debt securities convertible into such equity.</w:t>
      </w:r>
    </w:p>
    <w:p>
      <w:pPr>
        <w:spacing w:after="0" w:line="16" w:lineRule="exact"/>
        <w:rPr>
          <w:sz w:val="20"/>
          <w:szCs w:val="20"/>
          <w:color w:val="auto"/>
        </w:rPr>
      </w:pPr>
    </w:p>
    <w:p>
      <w:pPr>
        <w:ind w:firstLine="877"/>
        <w:spacing w:after="0" w:line="286" w:lineRule="auto"/>
        <w:rPr>
          <w:sz w:val="20"/>
          <w:szCs w:val="20"/>
          <w:color w:val="auto"/>
        </w:rPr>
      </w:pPr>
      <w:r>
        <w:rPr>
          <w:rFonts w:ascii="Arial" w:cs="Arial" w:eastAsia="Arial" w:hAnsi="Arial"/>
          <w:sz w:val="16"/>
          <w:szCs w:val="16"/>
          <w:color w:val="auto"/>
        </w:rPr>
        <w:t xml:space="preserve">“Cash Equivalents” means (a) readily marketable obligations issued or directly and fully guaranteed or insured by the United States or any agency or instrumentality thereof having maturities of not more than 360 days from the date of acquisition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full faith and credit of the United States is pledged in support thereof; (b) time deposits with, or insured certificates of deposit or bankers’ acceptances of, any commercial bank that (i)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clause (c) of this definition and (iii) has combined capital and surplus of at least $1.0 billion, in each case with maturities of not more than 180 days from the date of acquisition thereof; (c) commercial paper issued by any Person organized under the laws of any state of the United States and rated at least “Prime-1” (or the then equivalent grade) by Moody’s or at least “A-1” (or the then equivalent grade) by S&amp;P, in each case with maturities of not more than 270 days from the date of acquisition thereof; (d) investments, classified in accordance with GAAP as current assets of the Company or any of its Subsidiaries, in money market investment programs registered under the Investment Company Act of 1940 the portfolios of which are limited solely to investments of the character, quality and maturity described in clauses (a), (b) and (c) of this definition; (e) fully collateralized repurchase agreements with a term of not more than 30 days for securities described in clause (a) above and entered into with a financial institution satisfying the criteria described in clause (b) above; and (f) in the case of any Foreign Subsidiary, investments denominated in the currency of the jurisdiction in which such Subsidiary is organized, has its principal place of business or conducts business which are similar to the items specified in subsections (a) through (e) of this definition made in the ordinary course of business.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7" w:name="page178"/>
    <w:bookmarkEnd w:id="177"/>
    <w:p>
      <w:pPr>
        <w:ind w:left="88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17" w:lineRule="exact"/>
        <w:rPr>
          <w:sz w:val="20"/>
          <w:szCs w:val="20"/>
          <w:color w:val="auto"/>
        </w:rPr>
      </w:pPr>
    </w:p>
    <w:p>
      <w:pPr>
        <w:jc w:val="both"/>
        <w:ind w:left="1420" w:right="60" w:hanging="548"/>
        <w:spacing w:after="0" w:line="342" w:lineRule="auto"/>
        <w:tabs>
          <w:tab w:leader="none" w:pos="14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sale, lease or transfer, in one or a series of related transactions, of all or substantially all of the property and assets of the Company and its Subsidiaries, taken as a whole, to any Person other than the Company or any of its Subsidiaries (other than an Excluded Subsidiary); or</w:t>
      </w:r>
    </w:p>
    <w:p>
      <w:pPr>
        <w:spacing w:after="0" w:line="15" w:lineRule="exact"/>
        <w:rPr>
          <w:rFonts w:ascii="Arial" w:cs="Arial" w:eastAsia="Arial" w:hAnsi="Arial"/>
          <w:sz w:val="16"/>
          <w:szCs w:val="16"/>
          <w:color w:val="auto"/>
        </w:rPr>
      </w:pPr>
    </w:p>
    <w:p>
      <w:pPr>
        <w:ind w:left="1420" w:right="20" w:hanging="548"/>
        <w:spacing w:after="0" w:line="270" w:lineRule="auto"/>
        <w:tabs>
          <w:tab w:leader="none" w:pos="14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Company becomes aware of (by way of a report or any other filing pursuant to Section 13(d) of the Exchange Act, proxy, vote, written notice or otherwise) the acquisition by any Person or group (within the meaning of Section 13(d)(3) or 14(d)(2) of the Exchange Act, or any successor provision), including any group acting for the purpose of acquiring, holding or disposing of securities (within the meaning of Rule 13d-5(b)(1) under the Exchange Act), in a single transaction or in a related series of transactions, by way of acquisition, merger, amalgamation, consolidation, transfer, conveyance or other business combination or purchase of beneficial ownership (within the meaning of Rule 13d-3 under the Exchange Act, or any successor provision), directly or indirectly, of more than 50% of the total voting power of the Voting Stock of the Company, other than by virtue of (a) the imposition of a holding company or (b) the reincorporation of the Company in another jurisdiction, if in the case of either (a) or (b) the beneficial owners of the Voting Stock of the Company immediately prior to such transaction directly or indirectly hold a majority of the voting power of the Voting Stock of such holding company or reincorporation entity immediately thereafter.</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“Change of Control Offer” has the meaning ascribed to such term under “—Change of Control.”</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“Change of Control Repurchase Event” means the occurrence of both a Change of Control and a Ratings Event.</w:t>
      </w:r>
    </w:p>
    <w:p>
      <w:pPr>
        <w:spacing w:after="0" w:line="117" w:lineRule="exact"/>
        <w:rPr>
          <w:sz w:val="20"/>
          <w:szCs w:val="20"/>
          <w:color w:val="auto"/>
        </w:rPr>
      </w:pPr>
    </w:p>
    <w:p>
      <w:pPr>
        <w:ind w:right="40" w:firstLine="877"/>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that would be utilized, at the time of selection and in accordance with customary financial practice, in pricing new issues of corporate debt securities of comparable maturity to the remaining term of the notes.</w:t>
      </w:r>
    </w:p>
    <w:p>
      <w:pPr>
        <w:spacing w:after="0" w:line="73" w:lineRule="exact"/>
        <w:rPr>
          <w:sz w:val="20"/>
          <w:szCs w:val="20"/>
          <w:color w:val="auto"/>
        </w:rPr>
      </w:pPr>
    </w:p>
    <w:p>
      <w:pPr>
        <w:ind w:right="20" w:firstLine="877"/>
        <w:spacing w:after="0" w:line="264" w:lineRule="auto"/>
        <w:rPr>
          <w:sz w:val="20"/>
          <w:szCs w:val="20"/>
          <w:color w:val="auto"/>
        </w:rPr>
      </w:pPr>
      <w:r>
        <w:rPr>
          <w:rFonts w:ascii="Arial" w:cs="Arial" w:eastAsia="Arial" w:hAnsi="Arial"/>
          <w:sz w:val="18"/>
          <w:szCs w:val="18"/>
          <w:color w:val="auto"/>
        </w:rPr>
        <w:t>“Comparable Treasury Price” means, with respect to any date of redemption, (1) the average of two Reference Treasury Dealer Quotations for the date of redemption, after excluding the highest and lowest Reference Treasury Dealer Quotations or (2) if the Quotation Agent obtains fewer than four Reference Treasury Dealer Quotations, the average of all such Reference Treasury Dealer Quotations.</w:t>
      </w:r>
    </w:p>
    <w:p>
      <w:pPr>
        <w:spacing w:after="0" w:line="73" w:lineRule="exact"/>
        <w:rPr>
          <w:sz w:val="20"/>
          <w:szCs w:val="20"/>
          <w:color w:val="auto"/>
        </w:rPr>
      </w:pPr>
    </w:p>
    <w:p>
      <w:pPr>
        <w:ind w:right="480" w:firstLine="877"/>
        <w:spacing w:after="0" w:line="312" w:lineRule="auto"/>
        <w:rPr>
          <w:sz w:val="20"/>
          <w:szCs w:val="20"/>
          <w:color w:val="auto"/>
        </w:rPr>
      </w:pPr>
      <w:r>
        <w:rPr>
          <w:rFonts w:ascii="Arial" w:cs="Arial" w:eastAsia="Arial" w:hAnsi="Arial"/>
          <w:sz w:val="16"/>
          <w:szCs w:val="16"/>
          <w:color w:val="auto"/>
        </w:rPr>
        <w:t>“Consolidated EBITDA” means, in respect of any Person for any period, the consolidated operating income plus consolidated depreciation, amortization and other non-cash charges and losses and minus consolidated non-cash credits, gains and income, in each case of such Person and its Subsidiaries for such period; it being understood that such amounts may be determined on a combined basis for a disposed group.</w:t>
      </w:r>
    </w:p>
    <w:p>
      <w:pPr>
        <w:spacing w:after="0" w:line="39" w:lineRule="exact"/>
        <w:rPr>
          <w:sz w:val="20"/>
          <w:szCs w:val="20"/>
          <w:color w:val="auto"/>
        </w:rPr>
      </w:pPr>
    </w:p>
    <w:p>
      <w:pPr>
        <w:ind w:right="40" w:firstLine="877"/>
        <w:spacing w:after="0" w:line="257" w:lineRule="auto"/>
        <w:rPr>
          <w:sz w:val="20"/>
          <w:szCs w:val="20"/>
          <w:color w:val="auto"/>
        </w:rPr>
      </w:pPr>
      <w:r>
        <w:rPr>
          <w:rFonts w:ascii="Arial" w:cs="Arial" w:eastAsia="Arial" w:hAnsi="Arial"/>
          <w:sz w:val="18"/>
          <w:szCs w:val="18"/>
          <w:color w:val="auto"/>
        </w:rPr>
        <w:t xml:space="preserve">“Consolidated Net Leverage Ratio” means the ratio of the aggregate of all consolidated Indebtedness of such Person and its Subsidiaries (less any unrestricted cash and Cash Equivalents) at the end of the most recent fiscal period for which financial information in respect thereof is available immediately preceding the date of the transaction giving rise to the need to calculate such amount to the aggregate Consolidated EBITDA of such Person for the prior four fiscal quarters (treated as one period) for which financial information in respect thereof is available immediately preceding such date, and in each case,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w:t>
      </w:r>
    </w:p>
    <w:p>
      <w:pPr>
        <w:spacing w:after="0" w:line="80"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 xml:space="preserve">“Consolidated Net Tangible Assets” means, with respect to any Person, the Total Assets of such Person and its Subsidiaries less goodwill and intangibles (other than intangibles arising from, or relating to, intellectual property, licenses or permits (including, but not limited to, emissions rights) of such Person), in each case calculated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such Person or any of its Subsidiaries assumes or acquires any assets in connection with the acquisition by such Person and its Subsidiaries of another Person subsequent to the commencement of the period for which the Consolidated Net Tangible Assets is being calculated but prior to the event for which the calculation of the Consolidated Net Tangible Assets is made, then the Consolidated Net Tangible Assets shall be calculated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assumption or acquisition of assets, as if the same had occurred at the beginning of the applicable period.</w:t>
      </w:r>
    </w:p>
    <w:p>
      <w:pPr>
        <w:spacing w:after="0" w:line="81" w:lineRule="exact"/>
        <w:rPr>
          <w:sz w:val="20"/>
          <w:szCs w:val="20"/>
          <w:color w:val="auto"/>
        </w:rPr>
      </w:pPr>
    </w:p>
    <w:p>
      <w:pPr>
        <w:ind w:right="160" w:firstLine="877"/>
        <w:spacing w:after="0" w:line="255" w:lineRule="auto"/>
        <w:rPr>
          <w:sz w:val="20"/>
          <w:szCs w:val="20"/>
          <w:color w:val="auto"/>
        </w:rPr>
      </w:pPr>
      <w:r>
        <w:rPr>
          <w:rFonts w:ascii="Arial" w:cs="Arial" w:eastAsia="Arial" w:hAnsi="Arial"/>
          <w:sz w:val="18"/>
          <w:szCs w:val="18"/>
          <w:color w:val="auto"/>
        </w:rPr>
        <w:t>“Credit Agreement” means (x) the credit agreement, dated as of August 23, 2011, among the Company, the lenders party thereto, The Bank of Nova Scotia, as administrative agent, swing line lender and L/C issuer and the other agents, arrangers and lenders party thereto, together with any related documents (including any security documents and guarantee agreements), as the same may be amended, modified, supplemented, extended, renewed, refinanced, replaced or substituted from time to time and (y) any other Indebtedness of the Company, in an aggregate amount outstanding at any time under clauses (x) and (y) not to exceed the greater of (A) $4,150.0 million and (B) an amount such that the Consolidated Net Leverage Ratio of the Company shall not exceed 2.50:1.00.</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8" w:name="page179"/>
    <w:bookmarkEnd w:id="178"/>
    <w:p>
      <w:pPr>
        <w:ind w:left="880"/>
        <w:spacing w:after="0"/>
        <w:rPr>
          <w:sz w:val="20"/>
          <w:szCs w:val="20"/>
          <w:color w:val="auto"/>
        </w:rPr>
      </w:pPr>
      <w:r>
        <w:rPr>
          <w:rFonts w:ascii="Arial" w:cs="Arial" w:eastAsia="Arial" w:hAnsi="Arial"/>
          <w:sz w:val="18"/>
          <w:szCs w:val="18"/>
          <w:color w:val="auto"/>
        </w:rPr>
        <w:t>“Default” means any event which is, or after notice or passage of time or both would be, an Event of Default.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“Domestic Subsidiary” means a Subsidiary that is not a Foreign Subsidiary.</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“DTC” means The Depository Trust Company.</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“Event of Default” has the meaning set forth under “—Events of Default.”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“Exchange Act” means the Securities Exchange Act of 1934, as amended, and the rules and regulations of the SEC promulgated thereunder.</w:t>
      </w:r>
    </w:p>
    <w:p>
      <w:pPr>
        <w:spacing w:after="0" w:line="140" w:lineRule="exact"/>
        <w:rPr>
          <w:sz w:val="20"/>
          <w:szCs w:val="20"/>
          <w:color w:val="auto"/>
        </w:rPr>
      </w:pPr>
    </w:p>
    <w:p>
      <w:pPr>
        <w:ind w:right="240" w:firstLine="877"/>
        <w:spacing w:after="0" w:line="277" w:lineRule="auto"/>
        <w:rPr>
          <w:sz w:val="20"/>
          <w:szCs w:val="20"/>
          <w:color w:val="auto"/>
        </w:rPr>
      </w:pPr>
      <w:r>
        <w:rPr>
          <w:rFonts w:ascii="Arial" w:cs="Arial" w:eastAsia="Arial" w:hAnsi="Arial"/>
          <w:sz w:val="18"/>
          <w:szCs w:val="18"/>
          <w:color w:val="auto"/>
        </w:rPr>
        <w:t>“Excluded Subsidiary” means (i) any Receivables Subsidiary, (ii) any Qualified Non-Recourse Subsidiary, (iii) any Special Purpose Subsidiary and (iv) any Foreign Subsidiary.</w:t>
      </w:r>
    </w:p>
    <w:p>
      <w:pPr>
        <w:spacing w:after="0" w:line="62" w:lineRule="exact"/>
        <w:rPr>
          <w:sz w:val="20"/>
          <w:szCs w:val="20"/>
          <w:color w:val="auto"/>
        </w:rPr>
      </w:pPr>
    </w:p>
    <w:p>
      <w:pPr>
        <w:ind w:right="40" w:firstLine="877"/>
        <w:spacing w:after="0" w:line="277" w:lineRule="auto"/>
        <w:rPr>
          <w:sz w:val="20"/>
          <w:szCs w:val="20"/>
          <w:color w:val="auto"/>
        </w:rPr>
      </w:pPr>
      <w:r>
        <w:rPr>
          <w:rFonts w:ascii="Arial" w:cs="Arial" w:eastAsia="Arial" w:hAnsi="Arial"/>
          <w:sz w:val="18"/>
          <w:szCs w:val="18"/>
          <w:color w:val="auto"/>
        </w:rPr>
        <w:t>“Foreign Subsidiary” means a Subsidiary not organized or existing under the laws of the United States of America or any state or territory thereof or the District of Columbia and any direct or indirect Subsidiary of such Subsidiary.</w:t>
      </w:r>
    </w:p>
    <w:p>
      <w:pPr>
        <w:spacing w:after="0" w:line="62" w:lineRule="exact"/>
        <w:rPr>
          <w:sz w:val="20"/>
          <w:szCs w:val="20"/>
          <w:color w:val="auto"/>
        </w:rPr>
      </w:pPr>
    </w:p>
    <w:p>
      <w:pPr>
        <w:ind w:firstLine="877"/>
        <w:spacing w:after="0" w:line="293" w:lineRule="auto"/>
        <w:rPr>
          <w:sz w:val="20"/>
          <w:szCs w:val="20"/>
          <w:color w:val="auto"/>
        </w:rPr>
      </w:pPr>
      <w:r>
        <w:rPr>
          <w:rFonts w:ascii="Arial" w:cs="Arial" w:eastAsia="Arial" w:hAnsi="Arial"/>
          <w:sz w:val="16"/>
          <w:szCs w:val="16"/>
          <w:color w:val="auto"/>
        </w:rPr>
        <w:t>“GAAP”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 At any time after the Issue Date, the Company may irrevocably elect to apply International Financial Reporting Standards (“IFRS”) as issued by the International Accounting Standards Board in lieu of GAAP and, upon any such election, references in this indenture to GAAP shall thereafter be construed to mean IFRS as in effect from time to time. The Company shall give notice of any such election to the Trustee.</w:t>
      </w:r>
    </w:p>
    <w:p>
      <w:pPr>
        <w:spacing w:after="0" w:line="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“Indebtedness” means indebtedness for borrowed money.</w:t>
      </w:r>
    </w:p>
    <w:p>
      <w:pPr>
        <w:spacing w:after="0" w:line="117"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“Investment Grade Rating” means a rating equal to or higher than Baa3 (or the equivalent) by Moody’s or BBB- (or the equivalent) by S&amp;P, or an equivalent rating by any other Rating Agency.</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“Issue Date” means August 7, 2012.</w:t>
      </w:r>
    </w:p>
    <w:p>
      <w:pPr>
        <w:spacing w:after="0" w:line="117" w:lineRule="exact"/>
        <w:rPr>
          <w:sz w:val="20"/>
          <w:szCs w:val="20"/>
          <w:color w:val="auto"/>
        </w:rPr>
      </w:pPr>
    </w:p>
    <w:p>
      <w:pPr>
        <w:ind w:right="320" w:firstLine="877"/>
        <w:spacing w:after="0" w:line="342" w:lineRule="auto"/>
        <w:rPr>
          <w:sz w:val="20"/>
          <w:szCs w:val="20"/>
          <w:color w:val="auto"/>
        </w:rPr>
      </w:pPr>
      <w:r>
        <w:rPr>
          <w:rFonts w:ascii="Arial" w:cs="Arial" w:eastAsia="Arial" w:hAnsi="Arial"/>
          <w:sz w:val="16"/>
          <w:szCs w:val="16"/>
          <w:color w:val="auto"/>
        </w:rPr>
        <w:t>“Joint Venture” means any joint venture entity, whether a company, unincorporated firm, association, partnership or any other entity which, in each case, is not a Subsidiary or any of its Subsidiaries but in which the Company or a Subsidiary has a direct or indirect equity or similar interest.</w:t>
      </w:r>
    </w:p>
    <w:p>
      <w:pPr>
        <w:spacing w:after="0" w:line="16" w:lineRule="exact"/>
        <w:rPr>
          <w:sz w:val="20"/>
          <w:szCs w:val="20"/>
          <w:color w:val="auto"/>
        </w:rPr>
      </w:pPr>
    </w:p>
    <w:p>
      <w:pPr>
        <w:ind w:right="80" w:firstLine="877"/>
        <w:spacing w:after="0" w:line="277" w:lineRule="auto"/>
        <w:rPr>
          <w:sz w:val="20"/>
          <w:szCs w:val="20"/>
          <w:color w:val="auto"/>
        </w:rPr>
      </w:pPr>
      <w:r>
        <w:rPr>
          <w:rFonts w:ascii="Arial" w:cs="Arial" w:eastAsia="Arial" w:hAnsi="Arial"/>
          <w:sz w:val="18"/>
          <w:szCs w:val="18"/>
          <w:color w:val="auto"/>
        </w:rPr>
        <w:t>“Long-Term Indebtedness” means any Indebtedness maturing by its terms more than one year from its date of issuance (notwithstanding that any portion of such Indebtedness is included in current liabilities).</w:t>
      </w:r>
    </w:p>
    <w:p>
      <w:pPr>
        <w:spacing w:after="0" w:line="62" w:lineRule="exact"/>
        <w:rPr>
          <w:sz w:val="20"/>
          <w:szCs w:val="20"/>
          <w:color w:val="auto"/>
        </w:rPr>
      </w:pPr>
    </w:p>
    <w:p>
      <w:pPr>
        <w:ind w:right="180" w:firstLine="877"/>
        <w:spacing w:after="0" w:line="277" w:lineRule="auto"/>
        <w:rPr>
          <w:sz w:val="20"/>
          <w:szCs w:val="20"/>
          <w:color w:val="auto"/>
        </w:rPr>
      </w:pPr>
      <w:r>
        <w:rPr>
          <w:rFonts w:ascii="Arial" w:cs="Arial" w:eastAsia="Arial" w:hAnsi="Arial"/>
          <w:sz w:val="18"/>
          <w:szCs w:val="18"/>
          <w:color w:val="auto"/>
        </w:rPr>
        <w:t>“Moody’s” means Moody’s Investors Service, Inc. or any successor to the rating agency business thereof. “Mortgage” has the meaning set forth under “—Certain Covenants—Restrictions on Secured Debt.”</w:t>
      </w:r>
    </w:p>
    <w:p>
      <w:pPr>
        <w:spacing w:after="0" w:line="62" w:lineRule="exact"/>
        <w:rPr>
          <w:sz w:val="20"/>
          <w:szCs w:val="20"/>
          <w:color w:val="auto"/>
        </w:rPr>
      </w:pPr>
    </w:p>
    <w:p>
      <w:pPr>
        <w:ind w:right="60" w:firstLine="877"/>
        <w:spacing w:after="0" w:line="259" w:lineRule="auto"/>
        <w:rPr>
          <w:sz w:val="20"/>
          <w:szCs w:val="20"/>
          <w:color w:val="auto"/>
        </w:rPr>
      </w:pPr>
      <w:r>
        <w:rPr>
          <w:rFonts w:ascii="Arial" w:cs="Arial" w:eastAsia="Arial" w:hAnsi="Arial"/>
          <w:sz w:val="18"/>
          <w:szCs w:val="18"/>
          <w:color w:val="auto"/>
        </w:rPr>
        <w:t>“Officer” means the Chairman of the Board, Chief Executive Officer, Chief Financial Officer, President, any Executive Vice President, Senior Vice President or Vice President, the Treasurer, any Assistant Treasurer, any Financial Director or the Secretary or Assistant Secretary of any Person (or, with respect to a Person that is a limited partnership, the general partner of such Person), or any other officer designated by the Board of Directors serving in a similar capacity.</w:t>
      </w:r>
    </w:p>
    <w:p>
      <w:pPr>
        <w:spacing w:after="0" w:line="79" w:lineRule="exact"/>
        <w:rPr>
          <w:sz w:val="20"/>
          <w:szCs w:val="20"/>
          <w:color w:val="auto"/>
        </w:rPr>
      </w:pPr>
    </w:p>
    <w:p>
      <w:pPr>
        <w:ind w:right="260" w:firstLine="877"/>
        <w:spacing w:after="0" w:line="264" w:lineRule="auto"/>
        <w:rPr>
          <w:sz w:val="20"/>
          <w:szCs w:val="20"/>
          <w:color w:val="auto"/>
        </w:rPr>
      </w:pPr>
      <w:r>
        <w:rPr>
          <w:rFonts w:ascii="Arial" w:cs="Arial" w:eastAsia="Arial" w:hAnsi="Arial"/>
          <w:sz w:val="18"/>
          <w:szCs w:val="18"/>
          <w:color w:val="auto"/>
        </w:rPr>
        <w:t>“Officer’s Certificate” means a certificate signed on behalf of any Person by an Officer of such Person, who must fulfill the function of the principal executive officer, the principal financial officer, the treasurer or the principal accounting officer of such Person, which meets the requirements set forth in the indenture.</w:t>
      </w:r>
    </w:p>
    <w:p>
      <w:pPr>
        <w:spacing w:after="0" w:line="73" w:lineRule="exact"/>
        <w:rPr>
          <w:sz w:val="20"/>
          <w:szCs w:val="20"/>
          <w:color w:val="auto"/>
        </w:rPr>
      </w:pPr>
    </w:p>
    <w:p>
      <w:pPr>
        <w:ind w:right="120" w:firstLine="877"/>
        <w:spacing w:after="0" w:line="277" w:lineRule="auto"/>
        <w:rPr>
          <w:sz w:val="20"/>
          <w:szCs w:val="20"/>
          <w:color w:val="auto"/>
        </w:rPr>
      </w:pPr>
      <w:r>
        <w:rPr>
          <w:rFonts w:ascii="Arial" w:cs="Arial" w:eastAsia="Arial" w:hAnsi="Arial"/>
          <w:sz w:val="18"/>
          <w:szCs w:val="18"/>
          <w:color w:val="auto"/>
        </w:rPr>
        <w:t>“Opinion of Counsel” means a written opinion from legal counsel who is reasonably acceptable to the Trustee. The counsel may be an employee of or counsel to the Company or to the Trustee.</w:t>
      </w:r>
    </w:p>
    <w:p>
      <w:pPr>
        <w:spacing w:after="0" w:line="62" w:lineRule="exact"/>
        <w:rPr>
          <w:sz w:val="20"/>
          <w:szCs w:val="20"/>
          <w:color w:val="auto"/>
        </w:rPr>
      </w:pPr>
    </w:p>
    <w:p>
      <w:pPr>
        <w:ind w:right="680" w:firstLine="877"/>
        <w:spacing w:after="0" w:line="277" w:lineRule="auto"/>
        <w:rPr>
          <w:sz w:val="20"/>
          <w:szCs w:val="20"/>
          <w:color w:val="auto"/>
        </w:rPr>
      </w:pPr>
      <w:r>
        <w:rPr>
          <w:rFonts w:ascii="Arial" w:cs="Arial" w:eastAsia="Arial" w:hAnsi="Arial"/>
          <w:sz w:val="18"/>
          <w:szCs w:val="18"/>
          <w:color w:val="auto"/>
        </w:rPr>
        <w:t>“Person” means any individual, corporation, partnership, limited liability company, joint venture, association, joint-stock company, trust, unincorporated organization, government or any agency or political subdivision thereof or any other entity.</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has the meaning set forth under “—Certain Covenants—Restrictions on Secured Debt.”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9" w:name="page180"/>
    <w:bookmarkEnd w:id="179"/>
    <w:p>
      <w:pPr>
        <w:ind w:firstLine="877"/>
        <w:spacing w:after="0" w:line="257" w:lineRule="auto"/>
        <w:rPr>
          <w:sz w:val="20"/>
          <w:szCs w:val="20"/>
          <w:color w:val="auto"/>
        </w:rPr>
      </w:pPr>
      <w:r>
        <w:rPr>
          <w:rFonts w:ascii="Arial" w:cs="Arial" w:eastAsia="Arial" w:hAnsi="Arial"/>
          <w:sz w:val="18"/>
          <w:szCs w:val="18"/>
          <w:color w:val="auto"/>
        </w:rPr>
        <w:t>“Qualified Non-Recourse Debt” means Indebtedness that (1) is (a) incurred by a Qualified Non-Recourse Subsidiary to finance (whether prior to or within one year after) the acquisition, lease, construction, repair, replacement or improvement of any Property (real or personal) or equipment (whether through the direct purchase of Property or the Capital Stock of any Person owning such Property and whether in a single acquisition or a series of related acquisitions) or (b) assumed by a Qualified Non-Recourse Subsidiary, (2) is non-recourse to the Company and (3) is non-recourse to any Subsidiary that is not a Qualified Non-Recourse Subsidiary.</w:t>
      </w:r>
    </w:p>
    <w:p>
      <w:pPr>
        <w:spacing w:after="0" w:line="80" w:lineRule="exact"/>
        <w:rPr>
          <w:sz w:val="20"/>
          <w:szCs w:val="20"/>
          <w:color w:val="auto"/>
        </w:rPr>
      </w:pPr>
    </w:p>
    <w:p>
      <w:pPr>
        <w:ind w:right="60" w:firstLine="877"/>
        <w:spacing w:after="0" w:line="264" w:lineRule="auto"/>
        <w:rPr>
          <w:sz w:val="20"/>
          <w:szCs w:val="20"/>
          <w:color w:val="auto"/>
        </w:rPr>
      </w:pPr>
      <w:r>
        <w:rPr>
          <w:rFonts w:ascii="Arial" w:cs="Arial" w:eastAsia="Arial" w:hAnsi="Arial"/>
          <w:sz w:val="18"/>
          <w:szCs w:val="18"/>
          <w:color w:val="auto"/>
        </w:rPr>
        <w:t>“Qualified Non-Recourse Subsidiary” means (1) a Subsidiary that is formed or created after the Issue Date in order to finance an acquisition, lease, construction, repair, replacement or improvement of any Property or equipment (directly or through one of its Subsidiaries) that secures Qualified Non-Recourse Debt and (2) any Subsidiary of a Qualified Non-Recourse Subsidiary.</w:t>
      </w:r>
    </w:p>
    <w:p>
      <w:pPr>
        <w:spacing w:after="0" w:line="73" w:lineRule="exact"/>
        <w:rPr>
          <w:sz w:val="20"/>
          <w:szCs w:val="20"/>
          <w:color w:val="auto"/>
        </w:rPr>
      </w:pPr>
    </w:p>
    <w:p>
      <w:pPr>
        <w:jc w:val="both"/>
        <w:ind w:right="320" w:firstLine="877"/>
        <w:spacing w:after="0" w:line="312" w:lineRule="auto"/>
        <w:rPr>
          <w:sz w:val="20"/>
          <w:szCs w:val="20"/>
          <w:color w:val="auto"/>
        </w:rPr>
      </w:pPr>
      <w:r>
        <w:rPr>
          <w:rFonts w:ascii="Arial" w:cs="Arial" w:eastAsia="Arial" w:hAnsi="Arial"/>
          <w:sz w:val="16"/>
          <w:szCs w:val="16"/>
          <w:color w:val="auto"/>
        </w:rPr>
        <w:t>“Qualified Receivables Financing” means the securitization of accounts receivables and related assets of the Company and its Subsidiaries on customary market terms (including, without limitation, Standard Securitization Undertakings and a Receivables Repurchase Obligation) as determined in good faith by the Company to be in the aggregate commercially fair and reasonable to the Company and its Subsidiaries taken as a whole.</w:t>
      </w:r>
    </w:p>
    <w:p>
      <w:pPr>
        <w:spacing w:after="0" w:line="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“Quotation Agent” means one of the Reference Treasury Dealers appointed by the Company as Quotation Agent.</w:t>
      </w:r>
    </w:p>
    <w:p>
      <w:pPr>
        <w:spacing w:after="0" w:line="117" w:lineRule="exact"/>
        <w:rPr>
          <w:sz w:val="20"/>
          <w:szCs w:val="20"/>
          <w:color w:val="auto"/>
        </w:rPr>
      </w:pPr>
    </w:p>
    <w:p>
      <w:pPr>
        <w:ind w:right="300" w:firstLine="877"/>
        <w:spacing w:after="0" w:line="308" w:lineRule="auto"/>
        <w:rPr>
          <w:sz w:val="20"/>
          <w:szCs w:val="20"/>
          <w:color w:val="auto"/>
        </w:rPr>
      </w:pPr>
      <w:r>
        <w:rPr>
          <w:rFonts w:ascii="Arial" w:cs="Arial" w:eastAsia="Arial" w:hAnsi="Arial"/>
          <w:sz w:val="17"/>
          <w:szCs w:val="17"/>
          <w:color w:val="auto"/>
        </w:rPr>
        <w:t>“Rating Agency” means (1) S&amp;P, (2) Moody’s or (3) if either of S&amp;P or Moody’s shall not then exist, a nationally recognized securities rating agency or agencies, as the case may be, selected by the Company, which shall be substituted for S&amp;P or Moody’s, as the case may be.</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“Ratings Event” means with respect to the notes at any time from or after the occurrence of a Change of Control and until the earlier to occur of</w:t>
      </w:r>
    </w:p>
    <w:p>
      <w:pPr>
        <w:spacing w:after="0" w:line="46" w:lineRule="exact"/>
        <w:rPr>
          <w:sz w:val="20"/>
          <w:szCs w:val="20"/>
          <w:color w:val="auto"/>
        </w:rPr>
      </w:pPr>
    </w:p>
    <w:p>
      <w:pPr>
        <w:ind w:right="60" w:firstLine="8"/>
        <w:spacing w:after="0" w:line="254" w:lineRule="auto"/>
        <w:tabs>
          <w:tab w:leader="none" w:pos="2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60 days after the later of (i) the occurrence of a Change of Control or (ii) public notice of the occurrence of a Change of Control (which period shall be extended so long as the rating of the notes is under publicly announced consideration for a possible downgrade by either of the Rating Agencies) and (y) both Rating Agencies publicly issuing or reaffirming an Investment Grade Rating on the notes following such Change of Control, the notes have a below Investment Grade Rating by both Rating Agencies.</w:t>
      </w:r>
    </w:p>
    <w:p>
      <w:pPr>
        <w:spacing w:after="0" w:line="82" w:lineRule="exact"/>
        <w:rPr>
          <w:sz w:val="20"/>
          <w:szCs w:val="20"/>
          <w:color w:val="auto"/>
        </w:rPr>
      </w:pPr>
    </w:p>
    <w:p>
      <w:pPr>
        <w:ind w:right="220" w:firstLine="877"/>
        <w:spacing w:after="0" w:line="259" w:lineRule="auto"/>
        <w:rPr>
          <w:sz w:val="20"/>
          <w:szCs w:val="20"/>
          <w:color w:val="auto"/>
        </w:rPr>
      </w:pPr>
      <w:r>
        <w:rPr>
          <w:rFonts w:ascii="Arial" w:cs="Arial" w:eastAsia="Arial" w:hAnsi="Arial"/>
          <w:sz w:val="18"/>
          <w:szCs w:val="18"/>
          <w:color w:val="auto"/>
        </w:rPr>
        <w:t>“Receivables Repurchase Obligation” means any obligation of a seller of receivables in a Qualified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79" w:lineRule="exact"/>
        <w:rPr>
          <w:sz w:val="20"/>
          <w:szCs w:val="20"/>
          <w:color w:val="auto"/>
        </w:rPr>
      </w:pPr>
    </w:p>
    <w:p>
      <w:pPr>
        <w:ind w:right="120" w:firstLine="877"/>
        <w:spacing w:after="0" w:line="297" w:lineRule="auto"/>
        <w:rPr>
          <w:sz w:val="20"/>
          <w:szCs w:val="20"/>
          <w:color w:val="auto"/>
        </w:rPr>
      </w:pPr>
      <w:r>
        <w:rPr>
          <w:rFonts w:ascii="Arial" w:cs="Arial" w:eastAsia="Arial" w:hAnsi="Arial"/>
          <w:sz w:val="16"/>
          <w:szCs w:val="16"/>
          <w:color w:val="auto"/>
        </w:rPr>
        <w:t>“Receivables Subsidiary” means a Subsidiary of the Company (or another Person formed for the purposes of engaging in Qualified Receivables Financing with the Company in which the Company or any Subsidiary makes an investment and to which the Company or any Subsidiary transfers accounts receivable and related assets) which engages in no activities other than in connection with the financing of accounts receivable of the Company and its Subsidiaries, all proceeds thereof and all rights (contractual or other), collateral and other assets relating thereto, and any business or activities incidental or related to such business, and which is designated by the Company (as provided below) as a Receivables Subsidiary and:</w:t>
      </w:r>
    </w:p>
    <w:p>
      <w:pPr>
        <w:spacing w:after="0" w:line="50" w:lineRule="exact"/>
        <w:rPr>
          <w:sz w:val="20"/>
          <w:szCs w:val="20"/>
          <w:color w:val="auto"/>
        </w:rPr>
      </w:pPr>
    </w:p>
    <w:p>
      <w:pPr>
        <w:ind w:left="1420" w:right="60" w:hanging="548"/>
        <w:spacing w:after="0" w:line="297" w:lineRule="auto"/>
        <w:tabs>
          <w:tab w:leader="none" w:pos="14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 portion of the Indebtedness or any other obligations (contingent or otherwise) of which (i) is guaranteed by the Company or any other Subsidiary (excluding guarantees of obligations (other than the principal of and interest on, Indebtedness) pursuant to Standard Securitization Undertakings), (ii) is recourse to or obligates the Company or any other Subsidiary in any way other than pursuant to Standard Securitization Undertakings, or (iii) subjects any property or asset of the Company or any other Subsidiary, directly or indirectly, contingently or otherwise, to the satisfaction thereof, other than pursuant to Standard Securitization Undertakings;</w:t>
      </w:r>
    </w:p>
    <w:p>
      <w:pPr>
        <w:spacing w:after="0" w:line="50" w:lineRule="exact"/>
        <w:rPr>
          <w:rFonts w:ascii="Arial" w:cs="Arial" w:eastAsia="Arial" w:hAnsi="Arial"/>
          <w:sz w:val="16"/>
          <w:szCs w:val="16"/>
          <w:color w:val="auto"/>
        </w:rPr>
      </w:pPr>
    </w:p>
    <w:p>
      <w:pPr>
        <w:ind w:left="1420" w:right="120" w:hanging="548"/>
        <w:spacing w:after="0" w:line="264"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 which neither the Company nor any other Subsidiary has any material contract, agreement, arrangement or understanding other than on terms which the Company reasonably believes to be no less favorable to the Company or such Subsidiary than those that might be obtained at the time from Persons that are not affiliates of the Company; and</w:t>
      </w:r>
    </w:p>
    <w:p>
      <w:pPr>
        <w:spacing w:after="0" w:line="73" w:lineRule="exact"/>
        <w:rPr>
          <w:rFonts w:ascii="Arial" w:cs="Arial" w:eastAsia="Arial" w:hAnsi="Arial"/>
          <w:sz w:val="18"/>
          <w:szCs w:val="18"/>
          <w:color w:val="auto"/>
        </w:rPr>
      </w:pPr>
    </w:p>
    <w:p>
      <w:pPr>
        <w:ind w:left="1420" w:right="380" w:hanging="548"/>
        <w:spacing w:after="0" w:line="277"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which neither the Company nor any other Subsidiary has any obligation to maintain or preserve such entity’s financial condition or cause such entity to achieve certain levels of operating results.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0" w:name="page181"/>
    <w:bookmarkEnd w:id="180"/>
    <w:p>
      <w:pPr>
        <w:ind w:firstLine="877"/>
        <w:spacing w:after="0" w:line="302" w:lineRule="auto"/>
        <w:rPr>
          <w:sz w:val="20"/>
          <w:szCs w:val="20"/>
          <w:color w:val="auto"/>
        </w:rPr>
      </w:pPr>
      <w:r>
        <w:rPr>
          <w:rFonts w:ascii="Arial" w:cs="Arial" w:eastAsia="Arial" w:hAnsi="Arial"/>
          <w:sz w:val="16"/>
          <w:szCs w:val="16"/>
          <w:color w:val="auto"/>
        </w:rPr>
        <w:t>The foregoing conditions shall not be violated by reason of any contractual obligation on the part of the Company to maintain the solvency of any Receivables Subsidiary on terms that the Company has determined in good faith to be reasonably necessary to facilitate a Qualified Receivables Financing. Any such designation by the Company shall be evidenced to the Trustee by filing with the Trustee a certified copy of the resolution of the Board of Directors of the Company giving effect to such designation and an Officer’s Certificate certifying that such designation complied with the foregoing conditions.</w:t>
      </w:r>
    </w:p>
    <w:p>
      <w:pPr>
        <w:spacing w:after="0" w:line="46" w:lineRule="exact"/>
        <w:rPr>
          <w:sz w:val="20"/>
          <w:szCs w:val="20"/>
          <w:color w:val="auto"/>
        </w:rPr>
      </w:pPr>
    </w:p>
    <w:p>
      <w:pPr>
        <w:ind w:right="320" w:firstLine="877"/>
        <w:spacing w:after="0" w:line="264" w:lineRule="auto"/>
        <w:rPr>
          <w:sz w:val="20"/>
          <w:szCs w:val="20"/>
          <w:color w:val="auto"/>
        </w:rPr>
      </w:pPr>
      <w:r>
        <w:rPr>
          <w:rFonts w:ascii="Arial" w:cs="Arial" w:eastAsia="Arial" w:hAnsi="Arial"/>
          <w:sz w:val="18"/>
          <w:szCs w:val="18"/>
          <w:color w:val="auto"/>
        </w:rPr>
        <w:t>“Reference Treasury Dealer” means (1) Citigroup Global Markets Inc. and its successors, unless any of them ceases to be a primary U.S. Government securities dealer in New York City (a “Primary Treasury Dealer”), in which case we shall substitute another Primary Treasury Dealer and (2) three other Primary Treasury Dealers selected by the Company.</w:t>
      </w:r>
    </w:p>
    <w:p>
      <w:pPr>
        <w:spacing w:after="0" w:line="73" w:lineRule="exact"/>
        <w:rPr>
          <w:sz w:val="20"/>
          <w:szCs w:val="20"/>
          <w:color w:val="auto"/>
        </w:rPr>
      </w:pPr>
    </w:p>
    <w:p>
      <w:pPr>
        <w:ind w:right="140" w:firstLine="877"/>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that Reference Treasury Dealer at 5:00 p.m., New York City time, on the third Business Day preceding that redemption date.</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“S&amp;P” means Standard &amp; Poor’s Ratings Group or any successor to the rating agency business thereof.</w:t>
      </w:r>
    </w:p>
    <w:p>
      <w:pPr>
        <w:spacing w:after="0" w:line="117" w:lineRule="exact"/>
        <w:rPr>
          <w:sz w:val="20"/>
          <w:szCs w:val="20"/>
          <w:color w:val="auto"/>
        </w:rPr>
      </w:pPr>
    </w:p>
    <w:p>
      <w:pPr>
        <w:ind w:right="60" w:firstLine="877"/>
        <w:spacing w:after="0" w:line="259" w:lineRule="auto"/>
        <w:rPr>
          <w:sz w:val="20"/>
          <w:szCs w:val="20"/>
          <w:color w:val="auto"/>
        </w:rPr>
      </w:pPr>
      <w:r>
        <w:rPr>
          <w:rFonts w:ascii="Arial" w:cs="Arial" w:eastAsia="Arial" w:hAnsi="Arial"/>
          <w:sz w:val="18"/>
          <w:szCs w:val="18"/>
          <w:color w:val="auto"/>
        </w:rPr>
        <w:t>“Sale and Lease-Back Transaction” means the leasing by the Company or any Subsidiary of any Property, whether owned at the date of the indenture or acquired after the date of the indenture (except for temporary leases for a term, including any renewal term, of up to three years and except for leases between us and any Subsidiary or between Subsidiaries), which Property has been or is to be sold or transferred by the Company or such Subsidiary to any party with the intention of taking back a lease of such Property.</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 means the U.S. Securities and Exchange Commission.</w:t>
      </w:r>
    </w:p>
    <w:p>
      <w:pPr>
        <w:spacing w:after="0" w:line="117"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“Special Purpose Subsidiary” means any Subsidiary whose material assets are comprised solely of the Capital Stock of a Joint Venture, where the pledge of such Capital Stock would be prohibited by any contractual requirement pertaining to such Joint Venture.</w:t>
      </w:r>
    </w:p>
    <w:p>
      <w:pPr>
        <w:spacing w:after="0" w:line="62" w:lineRule="exact"/>
        <w:rPr>
          <w:sz w:val="20"/>
          <w:szCs w:val="20"/>
          <w:color w:val="auto"/>
        </w:rPr>
      </w:pPr>
    </w:p>
    <w:p>
      <w:pPr>
        <w:ind w:right="140" w:firstLine="877"/>
        <w:spacing w:after="0" w:line="342" w:lineRule="auto"/>
        <w:rPr>
          <w:sz w:val="20"/>
          <w:szCs w:val="20"/>
          <w:color w:val="auto"/>
        </w:rPr>
      </w:pPr>
      <w:r>
        <w:rPr>
          <w:rFonts w:ascii="Arial" w:cs="Arial" w:eastAsia="Arial" w:hAnsi="Arial"/>
          <w:sz w:val="16"/>
          <w:szCs w:val="16"/>
          <w:color w:val="auto"/>
        </w:rPr>
        <w:t>“Standard Securitization Undertakings” means representations, warranties, undertakings, covenants, indemnities and guarantees of performance entered into by the Company or any Subsidiary which the Company has determined in good faith to be customary in a Qualified Receivables Financing.</w:t>
      </w:r>
    </w:p>
    <w:p>
      <w:pPr>
        <w:spacing w:after="0" w:line="16" w:lineRule="exact"/>
        <w:rPr>
          <w:sz w:val="20"/>
          <w:szCs w:val="20"/>
          <w:color w:val="auto"/>
        </w:rPr>
      </w:pPr>
    </w:p>
    <w:p>
      <w:pPr>
        <w:ind w:firstLine="877"/>
        <w:spacing w:after="0" w:line="290" w:lineRule="auto"/>
        <w:rPr>
          <w:sz w:val="20"/>
          <w:szCs w:val="20"/>
          <w:color w:val="auto"/>
        </w:rPr>
      </w:pPr>
      <w:r>
        <w:rPr>
          <w:rFonts w:ascii="Arial" w:cs="Arial" w:eastAsia="Arial" w:hAnsi="Arial"/>
          <w:sz w:val="16"/>
          <w:szCs w:val="16"/>
          <w:color w:val="auto"/>
        </w:rPr>
        <w:t>“Subsidiary” means, with respect to any Person, (1) any corporation, association or other business entity (other than a partnership, joint venture or limited liability company) of which more than 50% of the total voting power of shares of Voting Stock thereof is at the time of determination owned or controlled, directly or indirectly, by such Person or one or more of the other Subsidiaries of that Person or a combination thereof; or (2) any partnership, joint venture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 Unless otherwise qualified, all references to a “Subsidiary” or to “Subsidiaries” in this “Description of the 2022 Notes” shall refer to a Subsidiary or Subsidiaries of the Company.</w:t>
      </w:r>
    </w:p>
    <w:p>
      <w:pPr>
        <w:spacing w:after="0" w:line="58" w:lineRule="exact"/>
        <w:rPr>
          <w:sz w:val="20"/>
          <w:szCs w:val="20"/>
          <w:color w:val="auto"/>
        </w:rPr>
      </w:pPr>
    </w:p>
    <w:p>
      <w:pPr>
        <w:jc w:val="both"/>
        <w:ind w:right="240" w:firstLine="877"/>
        <w:spacing w:after="0" w:line="264" w:lineRule="auto"/>
        <w:rPr>
          <w:sz w:val="20"/>
          <w:szCs w:val="20"/>
          <w:color w:val="auto"/>
        </w:rPr>
      </w:pPr>
      <w:r>
        <w:rPr>
          <w:rFonts w:ascii="Arial" w:cs="Arial" w:eastAsia="Arial" w:hAnsi="Arial"/>
          <w:sz w:val="18"/>
          <w:szCs w:val="18"/>
          <w:color w:val="auto"/>
        </w:rPr>
        <w:t>“Total Assets” means, with respect to any Person, the total consolidated assets of such Person and its Subsidiaries, without giving effect to any amortization of the amount of intangible assets since the Issue Date, (x) as shown on the most recent balance sheet of such Person, or (y) in regards to the Company only, as shown on the most recent balance sheet of the Company.”</w:t>
      </w:r>
    </w:p>
    <w:p>
      <w:pPr>
        <w:spacing w:after="0" w:line="73" w:lineRule="exact"/>
        <w:rPr>
          <w:sz w:val="20"/>
          <w:szCs w:val="20"/>
          <w:color w:val="auto"/>
        </w:rPr>
      </w:pPr>
    </w:p>
    <w:p>
      <w:pPr>
        <w:jc w:val="both"/>
        <w:ind w:right="160" w:firstLine="877"/>
        <w:spacing w:after="0" w:line="264" w:lineRule="auto"/>
        <w:rPr>
          <w:sz w:val="20"/>
          <w:szCs w:val="20"/>
          <w:color w:val="auto"/>
        </w:rPr>
      </w:pPr>
      <w:r>
        <w:rPr>
          <w:rFonts w:ascii="Arial" w:cs="Arial" w:eastAsia="Arial" w:hAnsi="Arial"/>
          <w:sz w:val="18"/>
          <w:szCs w:val="18"/>
          <w:color w:val="auto"/>
        </w:rPr>
        <w:t>“Tranche B Term Loan” means a senior secured term loan of the Company syndicated in the institutional term loan “B” market, substantially as such market exists on the Issue Date, and having terms consistent with the Company’s existing Term Loan B under the Credit Agreement as in existence on the Issue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1" w:name="page182"/>
    <w:bookmarkEnd w:id="181"/>
    <w:p>
      <w:pPr>
        <w:ind w:firstLine="877"/>
        <w:spacing w:after="0" w:line="270" w:lineRule="auto"/>
        <w:rPr>
          <w:sz w:val="20"/>
          <w:szCs w:val="20"/>
          <w:color w:val="auto"/>
        </w:rPr>
      </w:pPr>
      <w:r>
        <w:rPr>
          <w:rFonts w:ascii="Arial" w:cs="Arial" w:eastAsia="Arial" w:hAnsi="Arial"/>
          <w:sz w:val="17"/>
          <w:szCs w:val="17"/>
          <w:color w:val="auto"/>
        </w:rPr>
        <w:t xml:space="preserve">“Treasury Rate” means, with respect to any date of redemption, the rate per year equal to: (1)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applicable Comparable Treasury Issue;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no maturity is within three months before or after the remaining term of the notes to be redeemed, yields for the two published maturities most closely corresponding to the applicable Comparable Treasury Issue shall be determined and the Treasury Rate shall be interpolated or extrapolated from those yields on a straight-line basis, rounding to the nearest month; or (2) if such release (or any successor release) is not published during the week preceding the calculation date or does not contain such yields, the rate per year equal to the semi-annual equivalent yield to maturity of the applicable Comparable Treasury Issue, calculated using a price for the applicable Comparable Treasury Issue (expressed as a percentage of its principal amount) equal to the Comparable Treasury Price for that date of redemption.</w:t>
      </w:r>
    </w:p>
    <w:p>
      <w:pPr>
        <w:spacing w:after="0" w:line="70" w:lineRule="exact"/>
        <w:rPr>
          <w:sz w:val="20"/>
          <w:szCs w:val="20"/>
          <w:color w:val="auto"/>
        </w:rPr>
      </w:pPr>
    </w:p>
    <w:p>
      <w:pPr>
        <w:ind w:right="120" w:firstLine="877"/>
        <w:spacing w:after="0" w:line="277" w:lineRule="auto"/>
        <w:rPr>
          <w:sz w:val="20"/>
          <w:szCs w:val="20"/>
          <w:color w:val="auto"/>
        </w:rPr>
      </w:pPr>
      <w:r>
        <w:rPr>
          <w:rFonts w:ascii="Arial" w:cs="Arial" w:eastAsia="Arial" w:hAnsi="Arial"/>
          <w:sz w:val="18"/>
          <w:szCs w:val="18"/>
          <w:color w:val="auto"/>
        </w:rPr>
        <w:t>“Voting Stock” of any Person means the Capital Stock of such person that is at the time entitled to vote generally in the election of the Board of Directors of such Person.</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“Wholly Owned Domestic Subsidiary” means any Wholly Owned Subsidiary that is a Domestic Subsidiary.</w:t>
      </w:r>
    </w:p>
    <w:p>
      <w:pPr>
        <w:spacing w:after="0" w:line="117" w:lineRule="exact"/>
        <w:rPr>
          <w:sz w:val="20"/>
          <w:szCs w:val="20"/>
          <w:color w:val="auto"/>
        </w:rPr>
      </w:pPr>
    </w:p>
    <w:p>
      <w:pPr>
        <w:jc w:val="both"/>
        <w:ind w:right="380" w:firstLine="877"/>
        <w:spacing w:after="0" w:line="264" w:lineRule="auto"/>
        <w:rPr>
          <w:sz w:val="20"/>
          <w:szCs w:val="20"/>
          <w:color w:val="auto"/>
        </w:rPr>
      </w:pPr>
      <w:r>
        <w:rPr>
          <w:rFonts w:ascii="Arial" w:cs="Arial" w:eastAsia="Arial" w:hAnsi="Arial"/>
          <w:sz w:val="18"/>
          <w:szCs w:val="18"/>
          <w:color w:val="auto"/>
        </w:rPr>
        <w:t>“Wholly Owned Subsidiary” of any Person means a Subsidiary of such Person 100% of the outstanding Capital Stock of which (other than directors’ qualifying shares or shares required to be held by others in Foreign Subsidiaries) shall at the time be owned by such Person or by one or more Wholly Owned Subsidiaries of such Person.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341" w:right="319" w:bottom="1440" w:gutter="0" w:footer="0" w:header="0"/>
        </w:sectPr>
      </w:pPr>
    </w:p>
    <w:bookmarkStart w:id="182" w:name="page183"/>
    <w:bookmarkEnd w:id="182"/>
    <w:p>
      <w:pPr>
        <w:jc w:val="right"/>
        <w:spacing w:after="0"/>
        <w:rPr>
          <w:sz w:val="20"/>
          <w:szCs w:val="20"/>
          <w:color w:val="auto"/>
        </w:rPr>
      </w:pPr>
      <w:r>
        <w:rPr>
          <w:rFonts w:ascii="Arial" w:cs="Arial" w:eastAsia="Arial" w:hAnsi="Arial"/>
          <w:sz w:val="22"/>
          <w:szCs w:val="22"/>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ASHLAND GLOBAL HOLDINGS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SUPPLEMENTAL DEFINED CONTRIBUTION PLAN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 CERTAIN EMPLOYEES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as of May 22, 2019)</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4540" w:type="dxa"/>
            <w:vAlign w:val="bottom"/>
          </w:tcPr>
          <w:p>
            <w:pPr>
              <w:ind w:left="3360"/>
              <w:spacing w:after="0"/>
              <w:rPr>
                <w:sz w:val="20"/>
                <w:szCs w:val="20"/>
                <w:color w:val="auto"/>
              </w:rPr>
            </w:pPr>
            <w:r>
              <w:rPr>
                <w:rFonts w:ascii="Arial" w:cs="Arial" w:eastAsia="Arial" w:hAnsi="Arial"/>
                <w:sz w:val="22"/>
                <w:szCs w:val="22"/>
                <w:color w:val="auto"/>
                <w:w w:val="91"/>
              </w:rPr>
              <w:t>Exhibit 10.39</w:t>
            </w:r>
          </w:p>
        </w:tc>
      </w:tr>
      <w:tr>
        <w:trPr>
          <w:trHeight w:val="230"/>
        </w:trPr>
        <w:tc>
          <w:tcPr>
            <w:tcW w:w="6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32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96"/>
              </w:rPr>
              <w:t>TABLE OF CONTENTS</w:t>
            </w:r>
          </w:p>
        </w:tc>
        <w:tc>
          <w:tcPr>
            <w:tcW w:w="4540" w:type="dxa"/>
            <w:vAlign w:val="bottom"/>
          </w:tcPr>
          <w:p>
            <w:pPr>
              <w:spacing w:after="0"/>
              <w:rPr>
                <w:sz w:val="20"/>
                <w:szCs w:val="20"/>
                <w:color w:val="auto"/>
              </w:rPr>
            </w:pPr>
          </w:p>
        </w:tc>
      </w:tr>
      <w:tr>
        <w:trPr>
          <w:trHeight w:val="490"/>
        </w:trPr>
        <w:tc>
          <w:tcPr>
            <w:tcW w:w="4560" w:type="dxa"/>
            <w:vAlign w:val="bottom"/>
            <w:gridSpan w:val="2"/>
          </w:tcPr>
          <w:p>
            <w:pPr>
              <w:spacing w:after="0"/>
              <w:rPr>
                <w:sz w:val="20"/>
                <w:szCs w:val="20"/>
                <w:color w:val="auto"/>
              </w:rPr>
            </w:pPr>
            <w:r>
              <w:rPr>
                <w:rFonts w:ascii="Arial" w:cs="Arial" w:eastAsia="Arial" w:hAnsi="Arial"/>
                <w:sz w:val="22"/>
                <w:szCs w:val="22"/>
                <w:color w:val="auto"/>
                <w:w w:val="95"/>
              </w:rPr>
              <w:t>ARTICLE 1. PURPOSE AND EFFECTIVE DATE</w:t>
            </w:r>
          </w:p>
        </w:tc>
        <w:tc>
          <w:tcPr>
            <w:tcW w:w="6860" w:type="dxa"/>
            <w:vAlign w:val="bottom"/>
            <w:gridSpan w:val="2"/>
          </w:tcPr>
          <w:p>
            <w:pPr>
              <w:ind w:left="6160"/>
              <w:spacing w:after="0"/>
              <w:rPr>
                <w:sz w:val="20"/>
                <w:szCs w:val="20"/>
                <w:color w:val="auto"/>
              </w:rPr>
            </w:pPr>
            <w:r>
              <w:rPr>
                <w:rFonts w:ascii="Arial" w:cs="Arial" w:eastAsia="Arial" w:hAnsi="Arial"/>
                <w:sz w:val="20"/>
                <w:szCs w:val="20"/>
                <w:color w:val="auto"/>
              </w:rPr>
              <w:t>1</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1.1</w:t>
            </w:r>
          </w:p>
        </w:tc>
        <w:tc>
          <w:tcPr>
            <w:tcW w:w="3900" w:type="dxa"/>
            <w:vAlign w:val="bottom"/>
          </w:tcPr>
          <w:p>
            <w:pPr>
              <w:ind w:left="280"/>
              <w:spacing w:after="0"/>
              <w:rPr>
                <w:sz w:val="20"/>
                <w:szCs w:val="20"/>
                <w:color w:val="auto"/>
              </w:rPr>
            </w:pPr>
            <w:r>
              <w:rPr>
                <w:rFonts w:ascii="Arial" w:cs="Arial" w:eastAsia="Arial" w:hAnsi="Arial"/>
                <w:sz w:val="22"/>
                <w:szCs w:val="22"/>
                <w:color w:val="auto"/>
              </w:rPr>
              <w:t>Purpose</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1</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1.2</w:t>
            </w:r>
          </w:p>
        </w:tc>
        <w:tc>
          <w:tcPr>
            <w:tcW w:w="3900" w:type="dxa"/>
            <w:vAlign w:val="bottom"/>
          </w:tcPr>
          <w:p>
            <w:pPr>
              <w:ind w:left="280"/>
              <w:spacing w:after="0"/>
              <w:rPr>
                <w:sz w:val="20"/>
                <w:szCs w:val="20"/>
                <w:color w:val="auto"/>
              </w:rPr>
            </w:pPr>
            <w:r>
              <w:rPr>
                <w:rFonts w:ascii="Arial" w:cs="Arial" w:eastAsia="Arial" w:hAnsi="Arial"/>
                <w:sz w:val="22"/>
                <w:szCs w:val="22"/>
                <w:color w:val="auto"/>
              </w:rPr>
              <w:t>Restatement</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1</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1.3</w:t>
            </w:r>
          </w:p>
        </w:tc>
        <w:tc>
          <w:tcPr>
            <w:tcW w:w="3900" w:type="dxa"/>
            <w:vAlign w:val="bottom"/>
          </w:tcPr>
          <w:p>
            <w:pPr>
              <w:ind w:left="280"/>
              <w:spacing w:after="0"/>
              <w:rPr>
                <w:sz w:val="20"/>
                <w:szCs w:val="20"/>
                <w:color w:val="auto"/>
              </w:rPr>
            </w:pPr>
            <w:r>
              <w:rPr>
                <w:rFonts w:ascii="Arial" w:cs="Arial" w:eastAsia="Arial" w:hAnsi="Arial"/>
                <w:sz w:val="22"/>
                <w:szCs w:val="22"/>
                <w:color w:val="auto"/>
              </w:rPr>
              <w:t>Effective Date</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1</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1.4</w:t>
            </w:r>
          </w:p>
        </w:tc>
        <w:tc>
          <w:tcPr>
            <w:tcW w:w="3900" w:type="dxa"/>
            <w:vAlign w:val="bottom"/>
          </w:tcPr>
          <w:p>
            <w:pPr>
              <w:ind w:left="280"/>
              <w:spacing w:after="0"/>
              <w:rPr>
                <w:sz w:val="20"/>
                <w:szCs w:val="20"/>
                <w:color w:val="auto"/>
              </w:rPr>
            </w:pPr>
            <w:r>
              <w:rPr>
                <w:rFonts w:ascii="Arial" w:cs="Arial" w:eastAsia="Arial" w:hAnsi="Arial"/>
                <w:sz w:val="22"/>
                <w:szCs w:val="22"/>
                <w:color w:val="auto"/>
              </w:rPr>
              <w:t>Assignment and Assumption..</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1</w:t>
            </w:r>
          </w:p>
        </w:tc>
      </w:tr>
      <w:tr>
        <w:trPr>
          <w:trHeight w:val="338"/>
        </w:trPr>
        <w:tc>
          <w:tcPr>
            <w:tcW w:w="4560" w:type="dxa"/>
            <w:vAlign w:val="bottom"/>
            <w:gridSpan w:val="2"/>
          </w:tcPr>
          <w:p>
            <w:pPr>
              <w:spacing w:after="0"/>
              <w:rPr>
                <w:sz w:val="20"/>
                <w:szCs w:val="20"/>
                <w:color w:val="auto"/>
              </w:rPr>
            </w:pPr>
            <w:r>
              <w:rPr>
                <w:rFonts w:ascii="Arial" w:cs="Arial" w:eastAsia="Arial" w:hAnsi="Arial"/>
                <w:sz w:val="22"/>
                <w:szCs w:val="22"/>
                <w:color w:val="auto"/>
              </w:rPr>
              <w:t>ARTICLE 2. DEFINITIONS</w:t>
            </w:r>
          </w:p>
        </w:tc>
        <w:tc>
          <w:tcPr>
            <w:tcW w:w="6860" w:type="dxa"/>
            <w:vAlign w:val="bottom"/>
            <w:gridSpan w:val="2"/>
          </w:tcPr>
          <w:p>
            <w:pPr>
              <w:ind w:left="6160"/>
              <w:spacing w:after="0"/>
              <w:rPr>
                <w:sz w:val="20"/>
                <w:szCs w:val="20"/>
                <w:color w:val="auto"/>
              </w:rPr>
            </w:pPr>
            <w:r>
              <w:rPr>
                <w:rFonts w:ascii="Arial" w:cs="Arial" w:eastAsia="Arial" w:hAnsi="Arial"/>
                <w:sz w:val="20"/>
                <w:szCs w:val="20"/>
                <w:color w:val="auto"/>
              </w:rPr>
              <w:t>2</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2.1</w:t>
            </w:r>
          </w:p>
        </w:tc>
        <w:tc>
          <w:tcPr>
            <w:tcW w:w="3900" w:type="dxa"/>
            <w:vAlign w:val="bottom"/>
          </w:tcPr>
          <w:p>
            <w:pPr>
              <w:ind w:left="280"/>
              <w:spacing w:after="0"/>
              <w:rPr>
                <w:sz w:val="20"/>
                <w:szCs w:val="20"/>
                <w:color w:val="auto"/>
              </w:rPr>
            </w:pPr>
            <w:r>
              <w:rPr>
                <w:rFonts w:ascii="Arial" w:cs="Arial" w:eastAsia="Arial" w:hAnsi="Arial"/>
                <w:sz w:val="22"/>
                <w:szCs w:val="22"/>
                <w:color w:val="auto"/>
              </w:rPr>
              <w:t>“Account”</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2</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2.2</w:t>
            </w:r>
          </w:p>
        </w:tc>
        <w:tc>
          <w:tcPr>
            <w:tcW w:w="3900" w:type="dxa"/>
            <w:vAlign w:val="bottom"/>
          </w:tcPr>
          <w:p>
            <w:pPr>
              <w:ind w:left="280"/>
              <w:spacing w:after="0"/>
              <w:rPr>
                <w:sz w:val="20"/>
                <w:szCs w:val="20"/>
                <w:color w:val="auto"/>
              </w:rPr>
            </w:pPr>
            <w:r>
              <w:rPr>
                <w:rFonts w:ascii="Arial" w:cs="Arial" w:eastAsia="Arial" w:hAnsi="Arial"/>
                <w:sz w:val="22"/>
                <w:szCs w:val="22"/>
                <w:color w:val="auto"/>
              </w:rPr>
              <w:t>“Ashland”</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2</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2.3</w:t>
            </w:r>
          </w:p>
        </w:tc>
        <w:tc>
          <w:tcPr>
            <w:tcW w:w="3900" w:type="dxa"/>
            <w:vAlign w:val="bottom"/>
          </w:tcPr>
          <w:p>
            <w:pPr>
              <w:ind w:left="280"/>
              <w:spacing w:after="0"/>
              <w:rPr>
                <w:sz w:val="20"/>
                <w:szCs w:val="20"/>
                <w:color w:val="auto"/>
              </w:rPr>
            </w:pPr>
            <w:r>
              <w:rPr>
                <w:rFonts w:ascii="Arial" w:cs="Arial" w:eastAsia="Arial" w:hAnsi="Arial"/>
                <w:sz w:val="22"/>
                <w:szCs w:val="22"/>
                <w:color w:val="auto"/>
              </w:rPr>
              <w:t>“Base Compensation”</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2</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2.4</w:t>
            </w:r>
          </w:p>
        </w:tc>
        <w:tc>
          <w:tcPr>
            <w:tcW w:w="3900" w:type="dxa"/>
            <w:vAlign w:val="bottom"/>
          </w:tcPr>
          <w:p>
            <w:pPr>
              <w:ind w:left="280"/>
              <w:spacing w:after="0"/>
              <w:rPr>
                <w:sz w:val="20"/>
                <w:szCs w:val="20"/>
                <w:color w:val="auto"/>
              </w:rPr>
            </w:pPr>
            <w:r>
              <w:rPr>
                <w:rFonts w:ascii="Arial" w:cs="Arial" w:eastAsia="Arial" w:hAnsi="Arial"/>
                <w:sz w:val="22"/>
                <w:szCs w:val="22"/>
                <w:color w:val="auto"/>
              </w:rPr>
              <w:t>“Base Compensation Deferrals”</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2</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2.5</w:t>
            </w:r>
          </w:p>
        </w:tc>
        <w:tc>
          <w:tcPr>
            <w:tcW w:w="3900" w:type="dxa"/>
            <w:vAlign w:val="bottom"/>
          </w:tcPr>
          <w:p>
            <w:pPr>
              <w:ind w:left="280"/>
              <w:spacing w:after="0"/>
              <w:rPr>
                <w:sz w:val="20"/>
                <w:szCs w:val="20"/>
                <w:color w:val="auto"/>
              </w:rPr>
            </w:pPr>
            <w:r>
              <w:rPr>
                <w:rFonts w:ascii="Arial" w:cs="Arial" w:eastAsia="Arial" w:hAnsi="Arial"/>
                <w:sz w:val="22"/>
                <w:szCs w:val="22"/>
                <w:color w:val="auto"/>
              </w:rPr>
              <w:t>“Basic Retirement Contribution”</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2</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2.6</w:t>
            </w:r>
          </w:p>
        </w:tc>
        <w:tc>
          <w:tcPr>
            <w:tcW w:w="3900" w:type="dxa"/>
            <w:vAlign w:val="bottom"/>
          </w:tcPr>
          <w:p>
            <w:pPr>
              <w:ind w:left="280"/>
              <w:spacing w:after="0"/>
              <w:rPr>
                <w:sz w:val="20"/>
                <w:szCs w:val="20"/>
                <w:color w:val="auto"/>
              </w:rPr>
            </w:pPr>
            <w:r>
              <w:rPr>
                <w:rFonts w:ascii="Arial" w:cs="Arial" w:eastAsia="Arial" w:hAnsi="Arial"/>
                <w:sz w:val="22"/>
                <w:szCs w:val="22"/>
                <w:color w:val="auto"/>
              </w:rPr>
              <w:t>“Beneficiary”</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2</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2.7</w:t>
            </w:r>
          </w:p>
        </w:tc>
        <w:tc>
          <w:tcPr>
            <w:tcW w:w="3900" w:type="dxa"/>
            <w:vAlign w:val="bottom"/>
          </w:tcPr>
          <w:p>
            <w:pPr>
              <w:ind w:left="280"/>
              <w:spacing w:after="0"/>
              <w:rPr>
                <w:sz w:val="20"/>
                <w:szCs w:val="20"/>
                <w:color w:val="auto"/>
              </w:rPr>
            </w:pPr>
            <w:r>
              <w:rPr>
                <w:rFonts w:ascii="Arial" w:cs="Arial" w:eastAsia="Arial" w:hAnsi="Arial"/>
                <w:sz w:val="22"/>
                <w:szCs w:val="22"/>
                <w:color w:val="auto"/>
              </w:rPr>
              <w:t>“Board”</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2</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2.8</w:t>
            </w:r>
          </w:p>
        </w:tc>
        <w:tc>
          <w:tcPr>
            <w:tcW w:w="3900" w:type="dxa"/>
            <w:vAlign w:val="bottom"/>
          </w:tcPr>
          <w:p>
            <w:pPr>
              <w:ind w:left="280"/>
              <w:spacing w:after="0"/>
              <w:rPr>
                <w:sz w:val="20"/>
                <w:szCs w:val="20"/>
                <w:color w:val="auto"/>
              </w:rPr>
            </w:pPr>
            <w:r>
              <w:rPr>
                <w:rFonts w:ascii="Arial" w:cs="Arial" w:eastAsia="Arial" w:hAnsi="Arial"/>
                <w:sz w:val="22"/>
                <w:szCs w:val="22"/>
                <w:color w:val="auto"/>
              </w:rPr>
              <w:t>“Cause”</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2</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2.9</w:t>
            </w:r>
          </w:p>
        </w:tc>
        <w:tc>
          <w:tcPr>
            <w:tcW w:w="3900" w:type="dxa"/>
            <w:vAlign w:val="bottom"/>
          </w:tcPr>
          <w:p>
            <w:pPr>
              <w:ind w:left="280"/>
              <w:spacing w:after="0"/>
              <w:rPr>
                <w:sz w:val="20"/>
                <w:szCs w:val="20"/>
                <w:color w:val="auto"/>
              </w:rPr>
            </w:pPr>
            <w:r>
              <w:rPr>
                <w:rFonts w:ascii="Arial" w:cs="Arial" w:eastAsia="Arial" w:hAnsi="Arial"/>
                <w:sz w:val="22"/>
                <w:szCs w:val="22"/>
                <w:color w:val="auto"/>
              </w:rPr>
              <w:t>“Change in Control”</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2</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2.10</w:t>
            </w:r>
          </w:p>
        </w:tc>
        <w:tc>
          <w:tcPr>
            <w:tcW w:w="3900" w:type="dxa"/>
            <w:vAlign w:val="bottom"/>
          </w:tcPr>
          <w:p>
            <w:pPr>
              <w:ind w:left="280"/>
              <w:spacing w:after="0"/>
              <w:rPr>
                <w:sz w:val="20"/>
                <w:szCs w:val="20"/>
                <w:color w:val="auto"/>
              </w:rPr>
            </w:pPr>
            <w:r>
              <w:rPr>
                <w:rFonts w:ascii="Arial" w:cs="Arial" w:eastAsia="Arial" w:hAnsi="Arial"/>
                <w:sz w:val="22"/>
                <w:szCs w:val="22"/>
                <w:color w:val="auto"/>
              </w:rPr>
              <w:t>“Code”</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3</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2.11</w:t>
            </w:r>
          </w:p>
        </w:tc>
        <w:tc>
          <w:tcPr>
            <w:tcW w:w="3900" w:type="dxa"/>
            <w:vAlign w:val="bottom"/>
          </w:tcPr>
          <w:p>
            <w:pPr>
              <w:ind w:left="280"/>
              <w:spacing w:after="0"/>
              <w:rPr>
                <w:sz w:val="20"/>
                <w:szCs w:val="20"/>
                <w:color w:val="auto"/>
              </w:rPr>
            </w:pPr>
            <w:r>
              <w:rPr>
                <w:rFonts w:ascii="Arial" w:cs="Arial" w:eastAsia="Arial" w:hAnsi="Arial"/>
                <w:sz w:val="22"/>
                <w:szCs w:val="22"/>
                <w:color w:val="auto"/>
              </w:rPr>
              <w:t>“Committee”</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3</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2.12</w:t>
            </w:r>
          </w:p>
        </w:tc>
        <w:tc>
          <w:tcPr>
            <w:tcW w:w="3900" w:type="dxa"/>
            <w:vAlign w:val="bottom"/>
          </w:tcPr>
          <w:p>
            <w:pPr>
              <w:ind w:left="280"/>
              <w:spacing w:after="0"/>
              <w:rPr>
                <w:sz w:val="20"/>
                <w:szCs w:val="20"/>
                <w:color w:val="auto"/>
              </w:rPr>
            </w:pPr>
            <w:r>
              <w:rPr>
                <w:rFonts w:ascii="Arial" w:cs="Arial" w:eastAsia="Arial" w:hAnsi="Arial"/>
                <w:sz w:val="22"/>
                <w:szCs w:val="22"/>
                <w:color w:val="auto"/>
              </w:rPr>
              <w:t>“Credited Service”</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3</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2.13</w:t>
            </w:r>
          </w:p>
        </w:tc>
        <w:tc>
          <w:tcPr>
            <w:tcW w:w="3900" w:type="dxa"/>
            <w:vAlign w:val="bottom"/>
          </w:tcPr>
          <w:p>
            <w:pPr>
              <w:ind w:left="280"/>
              <w:spacing w:after="0"/>
              <w:rPr>
                <w:sz w:val="20"/>
                <w:szCs w:val="20"/>
                <w:color w:val="auto"/>
              </w:rPr>
            </w:pPr>
            <w:r>
              <w:rPr>
                <w:rFonts w:ascii="Arial" w:cs="Arial" w:eastAsia="Arial" w:hAnsi="Arial"/>
                <w:sz w:val="22"/>
                <w:szCs w:val="22"/>
                <w:color w:val="auto"/>
              </w:rPr>
              <w:t>“Deferred Compensation Plan”</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3</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2.14</w:t>
            </w:r>
          </w:p>
        </w:tc>
        <w:tc>
          <w:tcPr>
            <w:tcW w:w="3900" w:type="dxa"/>
            <w:vAlign w:val="bottom"/>
          </w:tcPr>
          <w:p>
            <w:pPr>
              <w:ind w:left="280"/>
              <w:spacing w:after="0"/>
              <w:rPr>
                <w:sz w:val="20"/>
                <w:szCs w:val="20"/>
                <w:color w:val="auto"/>
              </w:rPr>
            </w:pPr>
            <w:r>
              <w:rPr>
                <w:rFonts w:ascii="Arial" w:cs="Arial" w:eastAsia="Arial" w:hAnsi="Arial"/>
                <w:sz w:val="22"/>
                <w:szCs w:val="22"/>
                <w:color w:val="auto"/>
              </w:rPr>
              <w:t>“Disabled” or “Disability”</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3</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2.15</w:t>
            </w:r>
          </w:p>
        </w:tc>
        <w:tc>
          <w:tcPr>
            <w:tcW w:w="3900" w:type="dxa"/>
            <w:vAlign w:val="bottom"/>
          </w:tcPr>
          <w:p>
            <w:pPr>
              <w:ind w:left="280"/>
              <w:spacing w:after="0"/>
              <w:rPr>
                <w:sz w:val="20"/>
                <w:szCs w:val="20"/>
                <w:color w:val="auto"/>
              </w:rPr>
            </w:pPr>
            <w:r>
              <w:rPr>
                <w:rFonts w:ascii="Arial" w:cs="Arial" w:eastAsia="Arial" w:hAnsi="Arial"/>
                <w:sz w:val="22"/>
                <w:szCs w:val="22"/>
                <w:color w:val="auto"/>
              </w:rPr>
              <w:t>“Effective Date”</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4</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2.16</w:t>
            </w:r>
          </w:p>
        </w:tc>
        <w:tc>
          <w:tcPr>
            <w:tcW w:w="3900" w:type="dxa"/>
            <w:vAlign w:val="bottom"/>
          </w:tcPr>
          <w:p>
            <w:pPr>
              <w:ind w:left="280"/>
              <w:spacing w:after="0"/>
              <w:rPr>
                <w:sz w:val="20"/>
                <w:szCs w:val="20"/>
                <w:color w:val="auto"/>
              </w:rPr>
            </w:pPr>
            <w:r>
              <w:rPr>
                <w:rFonts w:ascii="Arial" w:cs="Arial" w:eastAsia="Arial" w:hAnsi="Arial"/>
                <w:sz w:val="22"/>
                <w:szCs w:val="22"/>
                <w:color w:val="auto"/>
              </w:rPr>
              <w:t>“Effective Retirement Date”</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4</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2.17</w:t>
            </w:r>
          </w:p>
        </w:tc>
        <w:tc>
          <w:tcPr>
            <w:tcW w:w="3900" w:type="dxa"/>
            <w:vAlign w:val="bottom"/>
          </w:tcPr>
          <w:p>
            <w:pPr>
              <w:ind w:left="280"/>
              <w:spacing w:after="0"/>
              <w:rPr>
                <w:sz w:val="20"/>
                <w:szCs w:val="20"/>
                <w:color w:val="auto"/>
              </w:rPr>
            </w:pPr>
            <w:r>
              <w:rPr>
                <w:rFonts w:ascii="Arial" w:cs="Arial" w:eastAsia="Arial" w:hAnsi="Arial"/>
                <w:sz w:val="22"/>
                <w:szCs w:val="22"/>
                <w:color w:val="auto"/>
              </w:rPr>
              <w:t>“Election”</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4</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2.18</w:t>
            </w:r>
          </w:p>
        </w:tc>
        <w:tc>
          <w:tcPr>
            <w:tcW w:w="3900" w:type="dxa"/>
            <w:vAlign w:val="bottom"/>
          </w:tcPr>
          <w:p>
            <w:pPr>
              <w:ind w:left="280"/>
              <w:spacing w:after="0"/>
              <w:rPr>
                <w:sz w:val="20"/>
                <w:szCs w:val="20"/>
                <w:color w:val="auto"/>
              </w:rPr>
            </w:pPr>
            <w:r>
              <w:rPr>
                <w:rFonts w:ascii="Arial" w:cs="Arial" w:eastAsia="Arial" w:hAnsi="Arial"/>
                <w:sz w:val="22"/>
                <w:szCs w:val="22"/>
                <w:color w:val="auto"/>
              </w:rPr>
              <w:t>“Eligible Employee”</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4</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2.19</w:t>
            </w:r>
          </w:p>
        </w:tc>
        <w:tc>
          <w:tcPr>
            <w:tcW w:w="3900" w:type="dxa"/>
            <w:vAlign w:val="bottom"/>
          </w:tcPr>
          <w:p>
            <w:pPr>
              <w:ind w:left="280"/>
              <w:spacing w:after="0"/>
              <w:rPr>
                <w:sz w:val="20"/>
                <w:szCs w:val="20"/>
                <w:color w:val="auto"/>
              </w:rPr>
            </w:pPr>
            <w:r>
              <w:rPr>
                <w:rFonts w:ascii="Arial" w:cs="Arial" w:eastAsia="Arial" w:hAnsi="Arial"/>
                <w:sz w:val="22"/>
                <w:szCs w:val="22"/>
                <w:color w:val="auto"/>
              </w:rPr>
              <w:t>“Employer”</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4</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2.20</w:t>
            </w:r>
          </w:p>
        </w:tc>
        <w:tc>
          <w:tcPr>
            <w:tcW w:w="3900" w:type="dxa"/>
            <w:vAlign w:val="bottom"/>
          </w:tcPr>
          <w:p>
            <w:pPr>
              <w:ind w:left="280"/>
              <w:spacing w:after="0"/>
              <w:rPr>
                <w:sz w:val="20"/>
                <w:szCs w:val="20"/>
                <w:color w:val="auto"/>
              </w:rPr>
            </w:pPr>
            <w:r>
              <w:rPr>
                <w:rFonts w:ascii="Arial" w:cs="Arial" w:eastAsia="Arial" w:hAnsi="Arial"/>
                <w:sz w:val="22"/>
                <w:szCs w:val="22"/>
                <w:color w:val="auto"/>
              </w:rPr>
              <w:t>“Employer Contribution”</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4</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2.21</w:t>
            </w:r>
          </w:p>
        </w:tc>
        <w:tc>
          <w:tcPr>
            <w:tcW w:w="3900" w:type="dxa"/>
            <w:vAlign w:val="bottom"/>
          </w:tcPr>
          <w:p>
            <w:pPr>
              <w:ind w:left="280"/>
              <w:spacing w:after="0"/>
              <w:rPr>
                <w:sz w:val="20"/>
                <w:szCs w:val="20"/>
                <w:color w:val="auto"/>
              </w:rPr>
            </w:pPr>
            <w:r>
              <w:rPr>
                <w:rFonts w:ascii="Arial" w:cs="Arial" w:eastAsia="Arial" w:hAnsi="Arial"/>
                <w:sz w:val="22"/>
                <w:szCs w:val="22"/>
                <w:color w:val="auto"/>
              </w:rPr>
              <w:t>“ERISA”</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4</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2.22</w:t>
            </w:r>
          </w:p>
        </w:tc>
        <w:tc>
          <w:tcPr>
            <w:tcW w:w="3900" w:type="dxa"/>
            <w:vAlign w:val="bottom"/>
          </w:tcPr>
          <w:p>
            <w:pPr>
              <w:ind w:left="280"/>
              <w:spacing w:after="0"/>
              <w:rPr>
                <w:sz w:val="20"/>
                <w:szCs w:val="20"/>
                <w:color w:val="auto"/>
              </w:rPr>
            </w:pPr>
            <w:r>
              <w:rPr>
                <w:rFonts w:ascii="Arial" w:cs="Arial" w:eastAsia="Arial" w:hAnsi="Arial"/>
                <w:sz w:val="22"/>
                <w:szCs w:val="22"/>
                <w:color w:val="auto"/>
              </w:rPr>
              <w:t>“Excess Base Compensation”</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4</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2.23</w:t>
            </w:r>
          </w:p>
        </w:tc>
        <w:tc>
          <w:tcPr>
            <w:tcW w:w="3900" w:type="dxa"/>
            <w:vAlign w:val="bottom"/>
          </w:tcPr>
          <w:p>
            <w:pPr>
              <w:ind w:left="280"/>
              <w:spacing w:after="0"/>
              <w:rPr>
                <w:sz w:val="20"/>
                <w:szCs w:val="20"/>
                <w:color w:val="auto"/>
              </w:rPr>
            </w:pPr>
            <w:r>
              <w:rPr>
                <w:rFonts w:ascii="Arial" w:cs="Arial" w:eastAsia="Arial" w:hAnsi="Arial"/>
                <w:sz w:val="22"/>
                <w:szCs w:val="22"/>
                <w:color w:val="auto"/>
                <w:w w:val="93"/>
              </w:rPr>
              <w:t>“Excess Base Compensation Deferrals”</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4</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2.24</w:t>
            </w:r>
          </w:p>
        </w:tc>
        <w:tc>
          <w:tcPr>
            <w:tcW w:w="3900" w:type="dxa"/>
            <w:vAlign w:val="bottom"/>
          </w:tcPr>
          <w:p>
            <w:pPr>
              <w:ind w:left="280"/>
              <w:spacing w:after="0"/>
              <w:rPr>
                <w:sz w:val="20"/>
                <w:szCs w:val="20"/>
                <w:color w:val="auto"/>
              </w:rPr>
            </w:pPr>
            <w:r>
              <w:rPr>
                <w:rFonts w:ascii="Arial" w:cs="Arial" w:eastAsia="Arial" w:hAnsi="Arial"/>
                <w:sz w:val="22"/>
                <w:szCs w:val="22"/>
                <w:color w:val="auto"/>
              </w:rPr>
              <w:t>“Grandfathered Employee”</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5</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2.25</w:t>
            </w:r>
          </w:p>
        </w:tc>
        <w:tc>
          <w:tcPr>
            <w:tcW w:w="3900" w:type="dxa"/>
            <w:vAlign w:val="bottom"/>
          </w:tcPr>
          <w:p>
            <w:pPr>
              <w:ind w:left="280"/>
              <w:spacing w:after="0"/>
              <w:rPr>
                <w:sz w:val="20"/>
                <w:szCs w:val="20"/>
                <w:color w:val="auto"/>
              </w:rPr>
            </w:pPr>
            <w:r>
              <w:rPr>
                <w:rFonts w:ascii="Arial" w:cs="Arial" w:eastAsia="Arial" w:hAnsi="Arial"/>
                <w:sz w:val="22"/>
                <w:szCs w:val="22"/>
                <w:color w:val="auto"/>
              </w:rPr>
              <w:t>“Hercules Employee”</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5</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2.26</w:t>
            </w:r>
          </w:p>
        </w:tc>
        <w:tc>
          <w:tcPr>
            <w:tcW w:w="3900" w:type="dxa"/>
            <w:vAlign w:val="bottom"/>
          </w:tcPr>
          <w:p>
            <w:pPr>
              <w:ind w:left="280"/>
              <w:spacing w:after="0"/>
              <w:rPr>
                <w:sz w:val="20"/>
                <w:szCs w:val="20"/>
                <w:color w:val="auto"/>
              </w:rPr>
            </w:pPr>
            <w:r>
              <w:rPr>
                <w:rFonts w:ascii="Arial" w:cs="Arial" w:eastAsia="Arial" w:hAnsi="Arial"/>
                <w:sz w:val="22"/>
                <w:szCs w:val="22"/>
                <w:color w:val="auto"/>
              </w:rPr>
              <w:t>“Identification Date”</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5</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2.27</w:t>
            </w:r>
          </w:p>
        </w:tc>
        <w:tc>
          <w:tcPr>
            <w:tcW w:w="3900" w:type="dxa"/>
            <w:vAlign w:val="bottom"/>
          </w:tcPr>
          <w:p>
            <w:pPr>
              <w:ind w:left="280"/>
              <w:spacing w:after="0"/>
              <w:rPr>
                <w:sz w:val="20"/>
                <w:szCs w:val="20"/>
                <w:color w:val="auto"/>
              </w:rPr>
            </w:pPr>
            <w:r>
              <w:rPr>
                <w:rFonts w:ascii="Arial" w:cs="Arial" w:eastAsia="Arial" w:hAnsi="Arial"/>
                <w:sz w:val="22"/>
                <w:szCs w:val="22"/>
                <w:color w:val="auto"/>
              </w:rPr>
              <w:t>“Incentive Compensation”</w:t>
            </w:r>
          </w:p>
        </w:tc>
        <w:tc>
          <w:tcPr>
            <w:tcW w:w="6860" w:type="dxa"/>
            <w:vAlign w:val="bottom"/>
            <w:gridSpan w:val="2"/>
          </w:tcPr>
          <w:p>
            <w:pPr>
              <w:ind w:left="6160"/>
              <w:spacing w:after="0"/>
              <w:rPr>
                <w:sz w:val="20"/>
                <w:szCs w:val="20"/>
                <w:color w:val="auto"/>
              </w:rPr>
            </w:pPr>
            <w:r>
              <w:rPr>
                <w:rFonts w:ascii="Arial" w:cs="Arial" w:eastAsia="Arial" w:hAnsi="Arial"/>
                <w:sz w:val="22"/>
                <w:szCs w:val="22"/>
                <w:color w:val="auto"/>
              </w:rPr>
              <w:t>5</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2" w:right="2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75"/>
        </w:trPr>
        <w:tc>
          <w:tcPr>
            <w:tcW w:w="660" w:type="dxa"/>
            <w:vAlign w:val="bottom"/>
          </w:tcPr>
          <w:p>
            <w:pPr>
              <w:spacing w:after="0"/>
              <w:rPr>
                <w:sz w:val="20"/>
                <w:szCs w:val="20"/>
                <w:color w:val="auto"/>
              </w:rPr>
            </w:pPr>
            <w:r>
              <w:rPr>
                <w:rFonts w:ascii="Arial" w:cs="Arial" w:eastAsia="Arial" w:hAnsi="Arial"/>
                <w:sz w:val="22"/>
                <w:szCs w:val="22"/>
                <w:color w:val="auto"/>
              </w:rPr>
              <w:t>2.28</w:t>
            </w:r>
          </w:p>
        </w:tc>
        <w:tc>
          <w:tcPr>
            <w:tcW w:w="7660" w:type="dxa"/>
            <w:vAlign w:val="bottom"/>
          </w:tcPr>
          <w:p>
            <w:pPr>
              <w:ind w:left="280"/>
              <w:spacing w:after="0"/>
              <w:rPr>
                <w:sz w:val="20"/>
                <w:szCs w:val="20"/>
                <w:color w:val="auto"/>
              </w:rPr>
            </w:pPr>
            <w:r>
              <w:rPr>
                <w:rFonts w:ascii="Arial" w:cs="Arial" w:eastAsia="Arial" w:hAnsi="Arial"/>
                <w:sz w:val="22"/>
                <w:szCs w:val="22"/>
                <w:color w:val="auto"/>
              </w:rPr>
              <w:t>“Incentive Compensation Deferrals”</w:t>
            </w:r>
          </w:p>
        </w:tc>
        <w:tc>
          <w:tcPr>
            <w:tcW w:w="2620" w:type="dxa"/>
            <w:vAlign w:val="bottom"/>
          </w:tcPr>
          <w:p>
            <w:pPr>
              <w:ind w:left="2400"/>
              <w:spacing w:after="0"/>
              <w:rPr>
                <w:sz w:val="20"/>
                <w:szCs w:val="20"/>
                <w:color w:val="auto"/>
              </w:rPr>
            </w:pPr>
            <w:r>
              <w:rPr>
                <w:rFonts w:ascii="Arial" w:cs="Arial" w:eastAsia="Arial" w:hAnsi="Arial"/>
                <w:sz w:val="22"/>
                <w:szCs w:val="22"/>
                <w:color w:val="auto"/>
              </w:rPr>
              <w:t>5</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2.29</w:t>
            </w:r>
          </w:p>
        </w:tc>
        <w:tc>
          <w:tcPr>
            <w:tcW w:w="7660" w:type="dxa"/>
            <w:vAlign w:val="bottom"/>
          </w:tcPr>
          <w:p>
            <w:pPr>
              <w:ind w:left="280"/>
              <w:spacing w:after="0"/>
              <w:rPr>
                <w:sz w:val="20"/>
                <w:szCs w:val="20"/>
                <w:color w:val="auto"/>
              </w:rPr>
            </w:pPr>
            <w:r>
              <w:rPr>
                <w:rFonts w:ascii="Arial" w:cs="Arial" w:eastAsia="Arial" w:hAnsi="Arial"/>
                <w:sz w:val="22"/>
                <w:szCs w:val="22"/>
                <w:color w:val="auto"/>
              </w:rPr>
              <w:t>“Key Employee”</w:t>
            </w:r>
          </w:p>
        </w:tc>
        <w:tc>
          <w:tcPr>
            <w:tcW w:w="2620" w:type="dxa"/>
            <w:vAlign w:val="bottom"/>
          </w:tcPr>
          <w:p>
            <w:pPr>
              <w:ind w:left="2400"/>
              <w:spacing w:after="0"/>
              <w:rPr>
                <w:sz w:val="20"/>
                <w:szCs w:val="20"/>
                <w:color w:val="auto"/>
              </w:rPr>
            </w:pPr>
            <w:r>
              <w:rPr>
                <w:rFonts w:ascii="Arial" w:cs="Arial" w:eastAsia="Arial" w:hAnsi="Arial"/>
                <w:sz w:val="22"/>
                <w:szCs w:val="22"/>
                <w:color w:val="auto"/>
              </w:rPr>
              <w:t>5</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2.30</w:t>
            </w:r>
          </w:p>
        </w:tc>
        <w:tc>
          <w:tcPr>
            <w:tcW w:w="7660" w:type="dxa"/>
            <w:vAlign w:val="bottom"/>
          </w:tcPr>
          <w:p>
            <w:pPr>
              <w:ind w:left="280"/>
              <w:spacing w:after="0"/>
              <w:rPr>
                <w:sz w:val="20"/>
                <w:szCs w:val="20"/>
                <w:color w:val="auto"/>
              </w:rPr>
            </w:pPr>
            <w:r>
              <w:rPr>
                <w:rFonts w:ascii="Arial" w:cs="Arial" w:eastAsia="Arial" w:hAnsi="Arial"/>
                <w:sz w:val="22"/>
                <w:szCs w:val="22"/>
                <w:color w:val="auto"/>
              </w:rPr>
              <w:t>“Participant”</w:t>
            </w:r>
          </w:p>
        </w:tc>
        <w:tc>
          <w:tcPr>
            <w:tcW w:w="2620" w:type="dxa"/>
            <w:vAlign w:val="bottom"/>
          </w:tcPr>
          <w:p>
            <w:pPr>
              <w:ind w:left="2400"/>
              <w:spacing w:after="0"/>
              <w:rPr>
                <w:sz w:val="20"/>
                <w:szCs w:val="20"/>
                <w:color w:val="auto"/>
              </w:rPr>
            </w:pPr>
            <w:r>
              <w:rPr>
                <w:rFonts w:ascii="Arial" w:cs="Arial" w:eastAsia="Arial" w:hAnsi="Arial"/>
                <w:sz w:val="22"/>
                <w:szCs w:val="22"/>
                <w:color w:val="auto"/>
              </w:rPr>
              <w:t>5</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2.31</w:t>
            </w:r>
          </w:p>
        </w:tc>
        <w:tc>
          <w:tcPr>
            <w:tcW w:w="7660" w:type="dxa"/>
            <w:vAlign w:val="bottom"/>
          </w:tcPr>
          <w:p>
            <w:pPr>
              <w:ind w:left="280"/>
              <w:spacing w:after="0"/>
              <w:rPr>
                <w:sz w:val="20"/>
                <w:szCs w:val="20"/>
                <w:color w:val="auto"/>
              </w:rPr>
            </w:pPr>
            <w:r>
              <w:rPr>
                <w:rFonts w:ascii="Arial" w:cs="Arial" w:eastAsia="Arial" w:hAnsi="Arial"/>
                <w:sz w:val="22"/>
                <w:szCs w:val="22"/>
                <w:color w:val="auto"/>
              </w:rPr>
              <w:t>“Performance Retirement Contribution”</w:t>
            </w:r>
          </w:p>
        </w:tc>
        <w:tc>
          <w:tcPr>
            <w:tcW w:w="2620" w:type="dxa"/>
            <w:vAlign w:val="bottom"/>
          </w:tcPr>
          <w:p>
            <w:pPr>
              <w:ind w:left="2400"/>
              <w:spacing w:after="0"/>
              <w:rPr>
                <w:sz w:val="20"/>
                <w:szCs w:val="20"/>
                <w:color w:val="auto"/>
              </w:rPr>
            </w:pPr>
            <w:r>
              <w:rPr>
                <w:rFonts w:ascii="Arial" w:cs="Arial" w:eastAsia="Arial" w:hAnsi="Arial"/>
                <w:sz w:val="22"/>
                <w:szCs w:val="22"/>
                <w:color w:val="auto"/>
              </w:rPr>
              <w:t>5</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2.32</w:t>
            </w:r>
          </w:p>
        </w:tc>
        <w:tc>
          <w:tcPr>
            <w:tcW w:w="7660" w:type="dxa"/>
            <w:vAlign w:val="bottom"/>
          </w:tcPr>
          <w:p>
            <w:pPr>
              <w:ind w:left="280"/>
              <w:spacing w:after="0"/>
              <w:rPr>
                <w:sz w:val="20"/>
                <w:szCs w:val="20"/>
                <w:color w:val="auto"/>
              </w:rPr>
            </w:pPr>
            <w:r>
              <w:rPr>
                <w:rFonts w:ascii="Arial" w:cs="Arial" w:eastAsia="Arial" w:hAnsi="Arial"/>
                <w:sz w:val="22"/>
                <w:szCs w:val="22"/>
                <w:color w:val="auto"/>
              </w:rPr>
              <w:t>“Period of Service”</w:t>
            </w:r>
          </w:p>
        </w:tc>
        <w:tc>
          <w:tcPr>
            <w:tcW w:w="2620" w:type="dxa"/>
            <w:vAlign w:val="bottom"/>
          </w:tcPr>
          <w:p>
            <w:pPr>
              <w:ind w:left="2400"/>
              <w:spacing w:after="0"/>
              <w:rPr>
                <w:sz w:val="20"/>
                <w:szCs w:val="20"/>
                <w:color w:val="auto"/>
              </w:rPr>
            </w:pPr>
            <w:r>
              <w:rPr>
                <w:rFonts w:ascii="Arial" w:cs="Arial" w:eastAsia="Arial" w:hAnsi="Arial"/>
                <w:sz w:val="22"/>
                <w:szCs w:val="22"/>
                <w:color w:val="auto"/>
              </w:rPr>
              <w:t>5</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2.33</w:t>
            </w:r>
          </w:p>
        </w:tc>
        <w:tc>
          <w:tcPr>
            <w:tcW w:w="7660" w:type="dxa"/>
            <w:vAlign w:val="bottom"/>
          </w:tcPr>
          <w:p>
            <w:pPr>
              <w:ind w:left="280"/>
              <w:spacing w:after="0"/>
              <w:rPr>
                <w:sz w:val="20"/>
                <w:szCs w:val="20"/>
                <w:color w:val="auto"/>
              </w:rPr>
            </w:pPr>
            <w:r>
              <w:rPr>
                <w:rFonts w:ascii="Arial" w:cs="Arial" w:eastAsia="Arial" w:hAnsi="Arial"/>
                <w:sz w:val="22"/>
                <w:szCs w:val="22"/>
                <w:color w:val="auto"/>
              </w:rPr>
              <w:t>“Plan”</w:t>
            </w:r>
          </w:p>
        </w:tc>
        <w:tc>
          <w:tcPr>
            <w:tcW w:w="2620" w:type="dxa"/>
            <w:vAlign w:val="bottom"/>
          </w:tcPr>
          <w:p>
            <w:pPr>
              <w:ind w:left="2400"/>
              <w:spacing w:after="0"/>
              <w:rPr>
                <w:sz w:val="20"/>
                <w:szCs w:val="20"/>
                <w:color w:val="auto"/>
              </w:rPr>
            </w:pPr>
            <w:r>
              <w:rPr>
                <w:rFonts w:ascii="Arial" w:cs="Arial" w:eastAsia="Arial" w:hAnsi="Arial"/>
                <w:sz w:val="22"/>
                <w:szCs w:val="22"/>
                <w:color w:val="auto"/>
              </w:rPr>
              <w:t>5</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2.34</w:t>
            </w:r>
          </w:p>
        </w:tc>
        <w:tc>
          <w:tcPr>
            <w:tcW w:w="7660" w:type="dxa"/>
            <w:vAlign w:val="bottom"/>
          </w:tcPr>
          <w:p>
            <w:pPr>
              <w:ind w:left="280"/>
              <w:spacing w:after="0"/>
              <w:rPr>
                <w:sz w:val="20"/>
                <w:szCs w:val="20"/>
                <w:color w:val="auto"/>
              </w:rPr>
            </w:pPr>
            <w:r>
              <w:rPr>
                <w:rFonts w:ascii="Arial" w:cs="Arial" w:eastAsia="Arial" w:hAnsi="Arial"/>
                <w:sz w:val="22"/>
                <w:szCs w:val="22"/>
                <w:color w:val="auto"/>
              </w:rPr>
              <w:t>“Plan Year”</w:t>
            </w:r>
          </w:p>
        </w:tc>
        <w:tc>
          <w:tcPr>
            <w:tcW w:w="2620" w:type="dxa"/>
            <w:vAlign w:val="bottom"/>
          </w:tcPr>
          <w:p>
            <w:pPr>
              <w:ind w:left="2400"/>
              <w:spacing w:after="0"/>
              <w:rPr>
                <w:sz w:val="20"/>
                <w:szCs w:val="20"/>
                <w:color w:val="auto"/>
              </w:rPr>
            </w:pPr>
            <w:r>
              <w:rPr>
                <w:rFonts w:ascii="Arial" w:cs="Arial" w:eastAsia="Arial" w:hAnsi="Arial"/>
                <w:sz w:val="22"/>
                <w:szCs w:val="22"/>
                <w:color w:val="auto"/>
              </w:rPr>
              <w:t>5</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2.35</w:t>
            </w:r>
          </w:p>
        </w:tc>
        <w:tc>
          <w:tcPr>
            <w:tcW w:w="7660" w:type="dxa"/>
            <w:vAlign w:val="bottom"/>
          </w:tcPr>
          <w:p>
            <w:pPr>
              <w:ind w:left="280"/>
              <w:spacing w:after="0"/>
              <w:rPr>
                <w:sz w:val="20"/>
                <w:szCs w:val="20"/>
                <w:color w:val="auto"/>
              </w:rPr>
            </w:pPr>
            <w:r>
              <w:rPr>
                <w:rFonts w:ascii="Arial" w:cs="Arial" w:eastAsia="Arial" w:hAnsi="Arial"/>
                <w:sz w:val="22"/>
                <w:szCs w:val="22"/>
                <w:color w:val="auto"/>
              </w:rPr>
              <w:t>“Related Employer”</w:t>
            </w:r>
          </w:p>
        </w:tc>
        <w:tc>
          <w:tcPr>
            <w:tcW w:w="2620" w:type="dxa"/>
            <w:vAlign w:val="bottom"/>
          </w:tcPr>
          <w:p>
            <w:pPr>
              <w:ind w:left="2400"/>
              <w:spacing w:after="0"/>
              <w:rPr>
                <w:sz w:val="20"/>
                <w:szCs w:val="20"/>
                <w:color w:val="auto"/>
              </w:rPr>
            </w:pPr>
            <w:r>
              <w:rPr>
                <w:rFonts w:ascii="Arial" w:cs="Arial" w:eastAsia="Arial" w:hAnsi="Arial"/>
                <w:sz w:val="22"/>
                <w:szCs w:val="22"/>
                <w:color w:val="auto"/>
              </w:rPr>
              <w:t>5</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2.36</w:t>
            </w:r>
          </w:p>
        </w:tc>
        <w:tc>
          <w:tcPr>
            <w:tcW w:w="7660" w:type="dxa"/>
            <w:vAlign w:val="bottom"/>
          </w:tcPr>
          <w:p>
            <w:pPr>
              <w:ind w:left="280"/>
              <w:spacing w:after="0"/>
              <w:rPr>
                <w:sz w:val="20"/>
                <w:szCs w:val="20"/>
                <w:color w:val="auto"/>
              </w:rPr>
            </w:pPr>
            <w:r>
              <w:rPr>
                <w:rFonts w:ascii="Arial" w:cs="Arial" w:eastAsia="Arial" w:hAnsi="Arial"/>
                <w:sz w:val="22"/>
                <w:szCs w:val="22"/>
                <w:color w:val="auto"/>
              </w:rPr>
              <w:t>“Savings Plan”</w:t>
            </w:r>
          </w:p>
        </w:tc>
        <w:tc>
          <w:tcPr>
            <w:tcW w:w="2620" w:type="dxa"/>
            <w:vAlign w:val="bottom"/>
          </w:tcPr>
          <w:p>
            <w:pPr>
              <w:ind w:left="2400"/>
              <w:spacing w:after="0"/>
              <w:rPr>
                <w:sz w:val="20"/>
                <w:szCs w:val="20"/>
                <w:color w:val="auto"/>
              </w:rPr>
            </w:pPr>
            <w:r>
              <w:rPr>
                <w:rFonts w:ascii="Arial" w:cs="Arial" w:eastAsia="Arial" w:hAnsi="Arial"/>
                <w:sz w:val="22"/>
                <w:szCs w:val="22"/>
                <w:color w:val="auto"/>
              </w:rPr>
              <w:t>5</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2.37</w:t>
            </w:r>
          </w:p>
        </w:tc>
        <w:tc>
          <w:tcPr>
            <w:tcW w:w="7660" w:type="dxa"/>
            <w:vAlign w:val="bottom"/>
          </w:tcPr>
          <w:p>
            <w:pPr>
              <w:ind w:left="280"/>
              <w:spacing w:after="0"/>
              <w:rPr>
                <w:sz w:val="20"/>
                <w:szCs w:val="20"/>
                <w:color w:val="auto"/>
              </w:rPr>
            </w:pPr>
            <w:r>
              <w:rPr>
                <w:rFonts w:ascii="Arial" w:cs="Arial" w:eastAsia="Arial" w:hAnsi="Arial"/>
                <w:sz w:val="22"/>
                <w:szCs w:val="22"/>
                <w:color w:val="auto"/>
              </w:rPr>
              <w:t>“Separation from Service”</w:t>
            </w:r>
          </w:p>
        </w:tc>
        <w:tc>
          <w:tcPr>
            <w:tcW w:w="2620" w:type="dxa"/>
            <w:vAlign w:val="bottom"/>
          </w:tcPr>
          <w:p>
            <w:pPr>
              <w:ind w:left="2400"/>
              <w:spacing w:after="0"/>
              <w:rPr>
                <w:sz w:val="20"/>
                <w:szCs w:val="20"/>
                <w:color w:val="auto"/>
              </w:rPr>
            </w:pPr>
            <w:r>
              <w:rPr>
                <w:rFonts w:ascii="Arial" w:cs="Arial" w:eastAsia="Arial" w:hAnsi="Arial"/>
                <w:sz w:val="22"/>
                <w:szCs w:val="22"/>
                <w:color w:val="auto"/>
              </w:rPr>
              <w:t>5</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2.38</w:t>
            </w:r>
          </w:p>
        </w:tc>
        <w:tc>
          <w:tcPr>
            <w:tcW w:w="7660" w:type="dxa"/>
            <w:vAlign w:val="bottom"/>
          </w:tcPr>
          <w:p>
            <w:pPr>
              <w:ind w:left="280"/>
              <w:spacing w:after="0"/>
              <w:rPr>
                <w:sz w:val="20"/>
                <w:szCs w:val="20"/>
                <w:color w:val="auto"/>
              </w:rPr>
            </w:pPr>
            <w:r>
              <w:rPr>
                <w:rFonts w:ascii="Arial" w:cs="Arial" w:eastAsia="Arial" w:hAnsi="Arial"/>
                <w:sz w:val="22"/>
                <w:szCs w:val="22"/>
                <w:color w:val="auto"/>
              </w:rPr>
              <w:t>“SERP”</w:t>
            </w:r>
          </w:p>
        </w:tc>
        <w:tc>
          <w:tcPr>
            <w:tcW w:w="2620" w:type="dxa"/>
            <w:vAlign w:val="bottom"/>
          </w:tcPr>
          <w:p>
            <w:pPr>
              <w:ind w:left="2400"/>
              <w:spacing w:after="0"/>
              <w:rPr>
                <w:sz w:val="20"/>
                <w:szCs w:val="20"/>
                <w:color w:val="auto"/>
              </w:rPr>
            </w:pPr>
            <w:r>
              <w:rPr>
                <w:rFonts w:ascii="Arial" w:cs="Arial" w:eastAsia="Arial" w:hAnsi="Arial"/>
                <w:sz w:val="22"/>
                <w:szCs w:val="22"/>
                <w:color w:val="auto"/>
              </w:rPr>
              <w:t>6</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2.39</w:t>
            </w:r>
          </w:p>
        </w:tc>
        <w:tc>
          <w:tcPr>
            <w:tcW w:w="7660" w:type="dxa"/>
            <w:vAlign w:val="bottom"/>
          </w:tcPr>
          <w:p>
            <w:pPr>
              <w:ind w:left="280"/>
              <w:spacing w:after="0"/>
              <w:rPr>
                <w:sz w:val="20"/>
                <w:szCs w:val="20"/>
                <w:color w:val="auto"/>
              </w:rPr>
            </w:pPr>
            <w:r>
              <w:rPr>
                <w:rFonts w:ascii="Arial" w:cs="Arial" w:eastAsia="Arial" w:hAnsi="Arial"/>
                <w:sz w:val="22"/>
                <w:szCs w:val="22"/>
                <w:color w:val="auto"/>
              </w:rPr>
              <w:t>“Substitute Contribution”</w:t>
            </w:r>
          </w:p>
        </w:tc>
        <w:tc>
          <w:tcPr>
            <w:tcW w:w="2620" w:type="dxa"/>
            <w:vAlign w:val="bottom"/>
          </w:tcPr>
          <w:p>
            <w:pPr>
              <w:ind w:left="2400"/>
              <w:spacing w:after="0"/>
              <w:rPr>
                <w:sz w:val="20"/>
                <w:szCs w:val="20"/>
                <w:color w:val="auto"/>
              </w:rPr>
            </w:pPr>
            <w:r>
              <w:rPr>
                <w:rFonts w:ascii="Arial" w:cs="Arial" w:eastAsia="Arial" w:hAnsi="Arial"/>
                <w:sz w:val="22"/>
                <w:szCs w:val="22"/>
                <w:color w:val="auto"/>
              </w:rPr>
              <w:t>6</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2.40</w:t>
            </w:r>
          </w:p>
        </w:tc>
        <w:tc>
          <w:tcPr>
            <w:tcW w:w="7660" w:type="dxa"/>
            <w:vAlign w:val="bottom"/>
          </w:tcPr>
          <w:p>
            <w:pPr>
              <w:ind w:left="280"/>
              <w:spacing w:after="0"/>
              <w:rPr>
                <w:sz w:val="20"/>
                <w:szCs w:val="20"/>
                <w:color w:val="auto"/>
              </w:rPr>
            </w:pPr>
            <w:r>
              <w:rPr>
                <w:rFonts w:ascii="Arial" w:cs="Arial" w:eastAsia="Arial" w:hAnsi="Arial"/>
                <w:sz w:val="22"/>
                <w:szCs w:val="22"/>
                <w:color w:val="auto"/>
              </w:rPr>
              <w:t>“Unforeseeable Emergency”</w:t>
            </w:r>
          </w:p>
        </w:tc>
        <w:tc>
          <w:tcPr>
            <w:tcW w:w="2620" w:type="dxa"/>
            <w:vAlign w:val="bottom"/>
          </w:tcPr>
          <w:p>
            <w:pPr>
              <w:ind w:left="2400"/>
              <w:spacing w:after="0"/>
              <w:rPr>
                <w:sz w:val="20"/>
                <w:szCs w:val="20"/>
                <w:color w:val="auto"/>
              </w:rPr>
            </w:pPr>
            <w:r>
              <w:rPr>
                <w:rFonts w:ascii="Arial" w:cs="Arial" w:eastAsia="Arial" w:hAnsi="Arial"/>
                <w:sz w:val="22"/>
                <w:szCs w:val="22"/>
                <w:color w:val="auto"/>
              </w:rPr>
              <w:t>6</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2.41</w:t>
            </w:r>
          </w:p>
        </w:tc>
        <w:tc>
          <w:tcPr>
            <w:tcW w:w="7660" w:type="dxa"/>
            <w:vAlign w:val="bottom"/>
          </w:tcPr>
          <w:p>
            <w:pPr>
              <w:ind w:left="280"/>
              <w:spacing w:after="0"/>
              <w:rPr>
                <w:sz w:val="20"/>
                <w:szCs w:val="20"/>
                <w:color w:val="auto"/>
              </w:rPr>
            </w:pPr>
            <w:r>
              <w:rPr>
                <w:rFonts w:ascii="Arial" w:cs="Arial" w:eastAsia="Arial" w:hAnsi="Arial"/>
                <w:sz w:val="22"/>
                <w:szCs w:val="22"/>
                <w:color w:val="auto"/>
              </w:rPr>
              <w:t>“Valuation Date”</w:t>
            </w:r>
          </w:p>
        </w:tc>
        <w:tc>
          <w:tcPr>
            <w:tcW w:w="2620" w:type="dxa"/>
            <w:vAlign w:val="bottom"/>
          </w:tcPr>
          <w:p>
            <w:pPr>
              <w:ind w:left="2400"/>
              <w:spacing w:after="0"/>
              <w:rPr>
                <w:sz w:val="20"/>
                <w:szCs w:val="20"/>
                <w:color w:val="auto"/>
              </w:rPr>
            </w:pPr>
            <w:r>
              <w:rPr>
                <w:rFonts w:ascii="Arial" w:cs="Arial" w:eastAsia="Arial" w:hAnsi="Arial"/>
                <w:sz w:val="22"/>
                <w:szCs w:val="22"/>
                <w:color w:val="auto"/>
              </w:rPr>
              <w:t>6</w:t>
            </w:r>
          </w:p>
        </w:tc>
      </w:tr>
      <w:tr>
        <w:trPr>
          <w:trHeight w:val="338"/>
        </w:trPr>
        <w:tc>
          <w:tcPr>
            <w:tcW w:w="8320" w:type="dxa"/>
            <w:vAlign w:val="bottom"/>
            <w:gridSpan w:val="2"/>
          </w:tcPr>
          <w:p>
            <w:pPr>
              <w:spacing w:after="0"/>
              <w:rPr>
                <w:sz w:val="20"/>
                <w:szCs w:val="20"/>
                <w:color w:val="auto"/>
              </w:rPr>
            </w:pPr>
            <w:r>
              <w:rPr>
                <w:rFonts w:ascii="Arial" w:cs="Arial" w:eastAsia="Arial" w:hAnsi="Arial"/>
                <w:sz w:val="22"/>
                <w:szCs w:val="22"/>
                <w:color w:val="auto"/>
              </w:rPr>
              <w:t>ARTICLE 3. PARTICIPATION</w:t>
            </w:r>
          </w:p>
        </w:tc>
        <w:tc>
          <w:tcPr>
            <w:tcW w:w="2620" w:type="dxa"/>
            <w:vAlign w:val="bottom"/>
          </w:tcPr>
          <w:p>
            <w:pPr>
              <w:ind w:left="2400"/>
              <w:spacing w:after="0"/>
              <w:rPr>
                <w:sz w:val="20"/>
                <w:szCs w:val="20"/>
                <w:color w:val="auto"/>
              </w:rPr>
            </w:pPr>
            <w:r>
              <w:rPr>
                <w:rFonts w:ascii="Arial" w:cs="Arial" w:eastAsia="Arial" w:hAnsi="Arial"/>
                <w:sz w:val="20"/>
                <w:szCs w:val="20"/>
                <w:color w:val="auto"/>
              </w:rPr>
              <w:t>7</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3.1</w:t>
            </w:r>
          </w:p>
        </w:tc>
        <w:tc>
          <w:tcPr>
            <w:tcW w:w="7660" w:type="dxa"/>
            <w:vAlign w:val="bottom"/>
          </w:tcPr>
          <w:p>
            <w:pPr>
              <w:ind w:left="280"/>
              <w:spacing w:after="0"/>
              <w:rPr>
                <w:sz w:val="20"/>
                <w:szCs w:val="20"/>
                <w:color w:val="auto"/>
              </w:rPr>
            </w:pPr>
            <w:r>
              <w:rPr>
                <w:rFonts w:ascii="Arial" w:cs="Arial" w:eastAsia="Arial" w:hAnsi="Arial"/>
                <w:sz w:val="22"/>
                <w:szCs w:val="22"/>
                <w:color w:val="auto"/>
              </w:rPr>
              <w:t>Participation</w:t>
            </w:r>
          </w:p>
        </w:tc>
        <w:tc>
          <w:tcPr>
            <w:tcW w:w="2620" w:type="dxa"/>
            <w:vAlign w:val="bottom"/>
          </w:tcPr>
          <w:p>
            <w:pPr>
              <w:ind w:left="2400"/>
              <w:spacing w:after="0"/>
              <w:rPr>
                <w:sz w:val="20"/>
                <w:szCs w:val="20"/>
                <w:color w:val="auto"/>
              </w:rPr>
            </w:pPr>
            <w:r>
              <w:rPr>
                <w:rFonts w:ascii="Arial" w:cs="Arial" w:eastAsia="Arial" w:hAnsi="Arial"/>
                <w:sz w:val="22"/>
                <w:szCs w:val="22"/>
                <w:color w:val="auto"/>
              </w:rPr>
              <w:t>7</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3.2</w:t>
            </w:r>
          </w:p>
        </w:tc>
        <w:tc>
          <w:tcPr>
            <w:tcW w:w="7660" w:type="dxa"/>
            <w:vAlign w:val="bottom"/>
          </w:tcPr>
          <w:p>
            <w:pPr>
              <w:ind w:left="280"/>
              <w:spacing w:after="0"/>
              <w:rPr>
                <w:sz w:val="20"/>
                <w:szCs w:val="20"/>
                <w:color w:val="auto"/>
              </w:rPr>
            </w:pPr>
            <w:r>
              <w:rPr>
                <w:rFonts w:ascii="Arial" w:cs="Arial" w:eastAsia="Arial" w:hAnsi="Arial"/>
                <w:sz w:val="22"/>
                <w:szCs w:val="22"/>
                <w:color w:val="auto"/>
              </w:rPr>
              <w:t>Termination of Participation</w:t>
            </w:r>
          </w:p>
        </w:tc>
        <w:tc>
          <w:tcPr>
            <w:tcW w:w="2620" w:type="dxa"/>
            <w:vAlign w:val="bottom"/>
          </w:tcPr>
          <w:p>
            <w:pPr>
              <w:ind w:left="2400"/>
              <w:spacing w:after="0"/>
              <w:rPr>
                <w:sz w:val="20"/>
                <w:szCs w:val="20"/>
                <w:color w:val="auto"/>
              </w:rPr>
            </w:pPr>
            <w:r>
              <w:rPr>
                <w:rFonts w:ascii="Arial" w:cs="Arial" w:eastAsia="Arial" w:hAnsi="Arial"/>
                <w:sz w:val="22"/>
                <w:szCs w:val="22"/>
                <w:color w:val="auto"/>
              </w:rPr>
              <w:t>7</w:t>
            </w:r>
          </w:p>
        </w:tc>
      </w:tr>
      <w:tr>
        <w:trPr>
          <w:trHeight w:val="338"/>
        </w:trPr>
        <w:tc>
          <w:tcPr>
            <w:tcW w:w="8320" w:type="dxa"/>
            <w:vAlign w:val="bottom"/>
            <w:gridSpan w:val="2"/>
          </w:tcPr>
          <w:p>
            <w:pPr>
              <w:spacing w:after="0"/>
              <w:rPr>
                <w:sz w:val="20"/>
                <w:szCs w:val="20"/>
                <w:color w:val="auto"/>
              </w:rPr>
            </w:pPr>
            <w:r>
              <w:rPr>
                <w:rFonts w:ascii="Arial" w:cs="Arial" w:eastAsia="Arial" w:hAnsi="Arial"/>
                <w:sz w:val="22"/>
                <w:szCs w:val="22"/>
                <w:color w:val="auto"/>
              </w:rPr>
              <w:t>ARTICLE 4. EMPLOYER CONTRIBUTIONS</w:t>
            </w:r>
          </w:p>
        </w:tc>
        <w:tc>
          <w:tcPr>
            <w:tcW w:w="2620" w:type="dxa"/>
            <w:vAlign w:val="bottom"/>
          </w:tcPr>
          <w:p>
            <w:pPr>
              <w:ind w:left="2400"/>
              <w:spacing w:after="0"/>
              <w:rPr>
                <w:sz w:val="20"/>
                <w:szCs w:val="20"/>
                <w:color w:val="auto"/>
              </w:rPr>
            </w:pPr>
            <w:r>
              <w:rPr>
                <w:rFonts w:ascii="Arial" w:cs="Arial" w:eastAsia="Arial" w:hAnsi="Arial"/>
                <w:sz w:val="20"/>
                <w:szCs w:val="20"/>
                <w:color w:val="auto"/>
              </w:rPr>
              <w:t>8</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4.1</w:t>
            </w:r>
          </w:p>
        </w:tc>
        <w:tc>
          <w:tcPr>
            <w:tcW w:w="7660" w:type="dxa"/>
            <w:vAlign w:val="bottom"/>
          </w:tcPr>
          <w:p>
            <w:pPr>
              <w:ind w:left="280"/>
              <w:spacing w:after="0"/>
              <w:rPr>
                <w:sz w:val="20"/>
                <w:szCs w:val="20"/>
                <w:color w:val="auto"/>
              </w:rPr>
            </w:pPr>
            <w:r>
              <w:rPr>
                <w:rFonts w:ascii="Arial" w:cs="Arial" w:eastAsia="Arial" w:hAnsi="Arial"/>
                <w:sz w:val="22"/>
                <w:szCs w:val="22"/>
                <w:color w:val="auto"/>
              </w:rPr>
              <w:t>Substitute Contribution.</w:t>
            </w:r>
          </w:p>
        </w:tc>
        <w:tc>
          <w:tcPr>
            <w:tcW w:w="2620" w:type="dxa"/>
            <w:vAlign w:val="bottom"/>
          </w:tcPr>
          <w:p>
            <w:pPr>
              <w:ind w:left="2400"/>
              <w:spacing w:after="0"/>
              <w:rPr>
                <w:sz w:val="20"/>
                <w:szCs w:val="20"/>
                <w:color w:val="auto"/>
              </w:rPr>
            </w:pPr>
            <w:r>
              <w:rPr>
                <w:rFonts w:ascii="Arial" w:cs="Arial" w:eastAsia="Arial" w:hAnsi="Arial"/>
                <w:sz w:val="22"/>
                <w:szCs w:val="22"/>
                <w:color w:val="auto"/>
              </w:rPr>
              <w:t>8</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4.2</w:t>
            </w:r>
          </w:p>
        </w:tc>
        <w:tc>
          <w:tcPr>
            <w:tcW w:w="7660" w:type="dxa"/>
            <w:vAlign w:val="bottom"/>
          </w:tcPr>
          <w:p>
            <w:pPr>
              <w:ind w:left="280"/>
              <w:spacing w:after="0"/>
              <w:rPr>
                <w:sz w:val="20"/>
                <w:szCs w:val="20"/>
                <w:color w:val="auto"/>
              </w:rPr>
            </w:pPr>
            <w:r>
              <w:rPr>
                <w:rFonts w:ascii="Arial" w:cs="Arial" w:eastAsia="Arial" w:hAnsi="Arial"/>
                <w:sz w:val="22"/>
                <w:szCs w:val="22"/>
                <w:color w:val="auto"/>
              </w:rPr>
              <w:t>Other Employer Contributions.</w:t>
            </w:r>
          </w:p>
        </w:tc>
        <w:tc>
          <w:tcPr>
            <w:tcW w:w="2620" w:type="dxa"/>
            <w:vAlign w:val="bottom"/>
          </w:tcPr>
          <w:p>
            <w:pPr>
              <w:ind w:left="2400"/>
              <w:spacing w:after="0"/>
              <w:rPr>
                <w:sz w:val="20"/>
                <w:szCs w:val="20"/>
                <w:color w:val="auto"/>
              </w:rPr>
            </w:pPr>
            <w:r>
              <w:rPr>
                <w:rFonts w:ascii="Arial" w:cs="Arial" w:eastAsia="Arial" w:hAnsi="Arial"/>
                <w:sz w:val="22"/>
                <w:szCs w:val="22"/>
                <w:color w:val="auto"/>
              </w:rPr>
              <w:t>8</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4.3</w:t>
            </w:r>
          </w:p>
        </w:tc>
        <w:tc>
          <w:tcPr>
            <w:tcW w:w="7660" w:type="dxa"/>
            <w:vAlign w:val="bottom"/>
          </w:tcPr>
          <w:p>
            <w:pPr>
              <w:ind w:left="280"/>
              <w:spacing w:after="0"/>
              <w:rPr>
                <w:sz w:val="20"/>
                <w:szCs w:val="20"/>
                <w:color w:val="auto"/>
              </w:rPr>
            </w:pPr>
            <w:r>
              <w:rPr>
                <w:rFonts w:ascii="Arial" w:cs="Arial" w:eastAsia="Arial" w:hAnsi="Arial"/>
                <w:sz w:val="22"/>
                <w:szCs w:val="22"/>
                <w:color w:val="auto"/>
              </w:rPr>
              <w:t>Crediting Employer Contributions</w:t>
            </w:r>
          </w:p>
        </w:tc>
        <w:tc>
          <w:tcPr>
            <w:tcW w:w="2620" w:type="dxa"/>
            <w:vAlign w:val="bottom"/>
          </w:tcPr>
          <w:p>
            <w:pPr>
              <w:ind w:left="2400"/>
              <w:spacing w:after="0"/>
              <w:rPr>
                <w:sz w:val="20"/>
                <w:szCs w:val="20"/>
                <w:color w:val="auto"/>
              </w:rPr>
            </w:pPr>
            <w:r>
              <w:rPr>
                <w:rFonts w:ascii="Arial" w:cs="Arial" w:eastAsia="Arial" w:hAnsi="Arial"/>
                <w:sz w:val="22"/>
                <w:szCs w:val="22"/>
                <w:color w:val="auto"/>
              </w:rPr>
              <w:t>9</w:t>
            </w:r>
          </w:p>
        </w:tc>
      </w:tr>
      <w:tr>
        <w:trPr>
          <w:trHeight w:val="338"/>
        </w:trPr>
        <w:tc>
          <w:tcPr>
            <w:tcW w:w="8320" w:type="dxa"/>
            <w:vAlign w:val="bottom"/>
            <w:gridSpan w:val="2"/>
          </w:tcPr>
          <w:p>
            <w:pPr>
              <w:spacing w:after="0"/>
              <w:rPr>
                <w:sz w:val="20"/>
                <w:szCs w:val="20"/>
                <w:color w:val="auto"/>
              </w:rPr>
            </w:pPr>
            <w:r>
              <w:rPr>
                <w:rFonts w:ascii="Arial" w:cs="Arial" w:eastAsia="Arial" w:hAnsi="Arial"/>
                <w:sz w:val="22"/>
                <w:szCs w:val="22"/>
                <w:color w:val="auto"/>
              </w:rPr>
              <w:t>ARTICLE 5. PAYMENT SCHEDULE AND FORM OF PAYMENT</w:t>
            </w:r>
          </w:p>
        </w:tc>
        <w:tc>
          <w:tcPr>
            <w:tcW w:w="2620" w:type="dxa"/>
            <w:vAlign w:val="bottom"/>
          </w:tcPr>
          <w:p>
            <w:pPr>
              <w:ind w:left="2400"/>
              <w:spacing w:after="0"/>
              <w:rPr>
                <w:sz w:val="20"/>
                <w:szCs w:val="20"/>
                <w:color w:val="auto"/>
              </w:rPr>
            </w:pPr>
            <w:r>
              <w:rPr>
                <w:rFonts w:ascii="Arial" w:cs="Arial" w:eastAsia="Arial" w:hAnsi="Arial"/>
                <w:sz w:val="20"/>
                <w:szCs w:val="20"/>
                <w:color w:val="auto"/>
                <w:w w:val="89"/>
              </w:rPr>
              <w:t>10</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5.1</w:t>
            </w:r>
          </w:p>
        </w:tc>
        <w:tc>
          <w:tcPr>
            <w:tcW w:w="7660" w:type="dxa"/>
            <w:vAlign w:val="bottom"/>
          </w:tcPr>
          <w:p>
            <w:pPr>
              <w:ind w:left="280"/>
              <w:spacing w:after="0"/>
              <w:rPr>
                <w:sz w:val="20"/>
                <w:szCs w:val="20"/>
                <w:color w:val="auto"/>
              </w:rPr>
            </w:pPr>
            <w:r>
              <w:rPr>
                <w:rFonts w:ascii="Arial" w:cs="Arial" w:eastAsia="Arial" w:hAnsi="Arial"/>
                <w:sz w:val="22"/>
                <w:szCs w:val="22"/>
                <w:color w:val="auto"/>
              </w:rPr>
              <w:t>Payment Schedule and Form of Payment</w:t>
            </w:r>
          </w:p>
        </w:tc>
        <w:tc>
          <w:tcPr>
            <w:tcW w:w="2620" w:type="dxa"/>
            <w:vAlign w:val="bottom"/>
          </w:tcPr>
          <w:p>
            <w:pPr>
              <w:ind w:left="2400"/>
              <w:spacing w:after="0"/>
              <w:rPr>
                <w:sz w:val="20"/>
                <w:szCs w:val="20"/>
                <w:color w:val="auto"/>
              </w:rPr>
            </w:pPr>
            <w:r>
              <w:rPr>
                <w:rFonts w:ascii="Arial" w:cs="Arial" w:eastAsia="Arial" w:hAnsi="Arial"/>
                <w:sz w:val="22"/>
                <w:szCs w:val="22"/>
                <w:color w:val="auto"/>
                <w:w w:val="81"/>
              </w:rPr>
              <w:t>10</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5.2</w:t>
            </w:r>
          </w:p>
        </w:tc>
        <w:tc>
          <w:tcPr>
            <w:tcW w:w="7660" w:type="dxa"/>
            <w:vAlign w:val="bottom"/>
          </w:tcPr>
          <w:p>
            <w:pPr>
              <w:ind w:left="280"/>
              <w:spacing w:after="0"/>
              <w:rPr>
                <w:sz w:val="20"/>
                <w:szCs w:val="20"/>
                <w:color w:val="auto"/>
              </w:rPr>
            </w:pPr>
            <w:r>
              <w:rPr>
                <w:rFonts w:ascii="Arial" w:cs="Arial" w:eastAsia="Arial" w:hAnsi="Arial"/>
                <w:sz w:val="22"/>
                <w:szCs w:val="22"/>
                <w:color w:val="auto"/>
              </w:rPr>
              <w:t>Time of Distribution or Transfer</w:t>
            </w:r>
          </w:p>
        </w:tc>
        <w:tc>
          <w:tcPr>
            <w:tcW w:w="2620" w:type="dxa"/>
            <w:vAlign w:val="bottom"/>
          </w:tcPr>
          <w:p>
            <w:pPr>
              <w:ind w:left="2400"/>
              <w:spacing w:after="0"/>
              <w:rPr>
                <w:sz w:val="20"/>
                <w:szCs w:val="20"/>
                <w:color w:val="auto"/>
              </w:rPr>
            </w:pPr>
            <w:r>
              <w:rPr>
                <w:rFonts w:ascii="Arial" w:cs="Arial" w:eastAsia="Arial" w:hAnsi="Arial"/>
                <w:sz w:val="22"/>
                <w:szCs w:val="22"/>
                <w:color w:val="auto"/>
                <w:w w:val="81"/>
              </w:rPr>
              <w:t>10</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5.3</w:t>
            </w:r>
          </w:p>
        </w:tc>
        <w:tc>
          <w:tcPr>
            <w:tcW w:w="7660" w:type="dxa"/>
            <w:vAlign w:val="bottom"/>
          </w:tcPr>
          <w:p>
            <w:pPr>
              <w:ind w:left="280"/>
              <w:spacing w:after="0"/>
              <w:rPr>
                <w:sz w:val="20"/>
                <w:szCs w:val="20"/>
                <w:color w:val="auto"/>
              </w:rPr>
            </w:pPr>
            <w:r>
              <w:rPr>
                <w:rFonts w:ascii="Arial" w:cs="Arial" w:eastAsia="Arial" w:hAnsi="Arial"/>
                <w:sz w:val="22"/>
                <w:szCs w:val="22"/>
                <w:color w:val="auto"/>
              </w:rPr>
              <w:t>Death Before Payment</w:t>
            </w:r>
          </w:p>
        </w:tc>
        <w:tc>
          <w:tcPr>
            <w:tcW w:w="2620" w:type="dxa"/>
            <w:vAlign w:val="bottom"/>
          </w:tcPr>
          <w:p>
            <w:pPr>
              <w:ind w:left="2400"/>
              <w:spacing w:after="0"/>
              <w:rPr>
                <w:sz w:val="20"/>
                <w:szCs w:val="20"/>
                <w:color w:val="auto"/>
              </w:rPr>
            </w:pPr>
            <w:r>
              <w:rPr>
                <w:rFonts w:ascii="Arial" w:cs="Arial" w:eastAsia="Arial" w:hAnsi="Arial"/>
                <w:sz w:val="22"/>
                <w:szCs w:val="22"/>
                <w:color w:val="auto"/>
                <w:w w:val="81"/>
              </w:rPr>
              <w:t>10</w:t>
            </w:r>
          </w:p>
        </w:tc>
      </w:tr>
      <w:tr>
        <w:trPr>
          <w:trHeight w:val="338"/>
        </w:trPr>
        <w:tc>
          <w:tcPr>
            <w:tcW w:w="8320" w:type="dxa"/>
            <w:vAlign w:val="bottom"/>
            <w:gridSpan w:val="2"/>
          </w:tcPr>
          <w:p>
            <w:pPr>
              <w:spacing w:after="0"/>
              <w:rPr>
                <w:sz w:val="20"/>
                <w:szCs w:val="20"/>
                <w:color w:val="auto"/>
              </w:rPr>
            </w:pPr>
            <w:r>
              <w:rPr>
                <w:rFonts w:ascii="Arial" w:cs="Arial" w:eastAsia="Arial" w:hAnsi="Arial"/>
                <w:sz w:val="22"/>
                <w:szCs w:val="22"/>
                <w:color w:val="auto"/>
              </w:rPr>
              <w:t>ARTICLE 6. ACCOUNTS AND CREDITS AND FUNDING</w:t>
            </w:r>
          </w:p>
        </w:tc>
        <w:tc>
          <w:tcPr>
            <w:tcW w:w="2620" w:type="dxa"/>
            <w:vAlign w:val="bottom"/>
          </w:tcPr>
          <w:p>
            <w:pPr>
              <w:ind w:left="2400"/>
              <w:spacing w:after="0"/>
              <w:rPr>
                <w:sz w:val="20"/>
                <w:szCs w:val="20"/>
                <w:color w:val="auto"/>
              </w:rPr>
            </w:pPr>
            <w:r>
              <w:rPr>
                <w:rFonts w:ascii="Arial" w:cs="Arial" w:eastAsia="Arial" w:hAnsi="Arial"/>
                <w:sz w:val="20"/>
                <w:szCs w:val="20"/>
                <w:color w:val="auto"/>
                <w:w w:val="89"/>
              </w:rPr>
              <w:t>11</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6.1</w:t>
            </w:r>
          </w:p>
        </w:tc>
        <w:tc>
          <w:tcPr>
            <w:tcW w:w="7660" w:type="dxa"/>
            <w:vAlign w:val="bottom"/>
          </w:tcPr>
          <w:p>
            <w:pPr>
              <w:ind w:left="280"/>
              <w:spacing w:after="0"/>
              <w:rPr>
                <w:sz w:val="20"/>
                <w:szCs w:val="20"/>
                <w:color w:val="auto"/>
              </w:rPr>
            </w:pPr>
            <w:r>
              <w:rPr>
                <w:rFonts w:ascii="Arial" w:cs="Arial" w:eastAsia="Arial" w:hAnsi="Arial"/>
                <w:sz w:val="22"/>
                <w:szCs w:val="22"/>
                <w:color w:val="auto"/>
              </w:rPr>
              <w:t>Contribution Credits to Account</w:t>
            </w:r>
          </w:p>
        </w:tc>
        <w:tc>
          <w:tcPr>
            <w:tcW w:w="2620" w:type="dxa"/>
            <w:vAlign w:val="bottom"/>
          </w:tcPr>
          <w:p>
            <w:pPr>
              <w:ind w:left="2400"/>
              <w:spacing w:after="0"/>
              <w:rPr>
                <w:sz w:val="20"/>
                <w:szCs w:val="20"/>
                <w:color w:val="auto"/>
              </w:rPr>
            </w:pPr>
            <w:r>
              <w:rPr>
                <w:rFonts w:ascii="Arial" w:cs="Arial" w:eastAsia="Arial" w:hAnsi="Arial"/>
                <w:sz w:val="22"/>
                <w:szCs w:val="22"/>
                <w:color w:val="auto"/>
                <w:w w:val="81"/>
              </w:rPr>
              <w:t>11</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6.2</w:t>
            </w:r>
          </w:p>
        </w:tc>
        <w:tc>
          <w:tcPr>
            <w:tcW w:w="7660" w:type="dxa"/>
            <w:vAlign w:val="bottom"/>
          </w:tcPr>
          <w:p>
            <w:pPr>
              <w:ind w:left="280"/>
              <w:spacing w:after="0"/>
              <w:rPr>
                <w:sz w:val="20"/>
                <w:szCs w:val="20"/>
                <w:color w:val="auto"/>
              </w:rPr>
            </w:pPr>
            <w:r>
              <w:rPr>
                <w:rFonts w:ascii="Arial" w:cs="Arial" w:eastAsia="Arial" w:hAnsi="Arial"/>
                <w:sz w:val="22"/>
                <w:szCs w:val="22"/>
                <w:color w:val="auto"/>
              </w:rPr>
              <w:t>Earnings Credits to Account</w:t>
            </w:r>
          </w:p>
        </w:tc>
        <w:tc>
          <w:tcPr>
            <w:tcW w:w="2620" w:type="dxa"/>
            <w:vAlign w:val="bottom"/>
          </w:tcPr>
          <w:p>
            <w:pPr>
              <w:ind w:left="2400"/>
              <w:spacing w:after="0"/>
              <w:rPr>
                <w:sz w:val="20"/>
                <w:szCs w:val="20"/>
                <w:color w:val="auto"/>
              </w:rPr>
            </w:pPr>
            <w:r>
              <w:rPr>
                <w:rFonts w:ascii="Arial" w:cs="Arial" w:eastAsia="Arial" w:hAnsi="Arial"/>
                <w:sz w:val="22"/>
                <w:szCs w:val="22"/>
                <w:color w:val="auto"/>
                <w:w w:val="81"/>
              </w:rPr>
              <w:t>11</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6.3</w:t>
            </w:r>
          </w:p>
        </w:tc>
        <w:tc>
          <w:tcPr>
            <w:tcW w:w="7660" w:type="dxa"/>
            <w:vAlign w:val="bottom"/>
          </w:tcPr>
          <w:p>
            <w:pPr>
              <w:ind w:left="280"/>
              <w:spacing w:after="0"/>
              <w:rPr>
                <w:sz w:val="20"/>
                <w:szCs w:val="20"/>
                <w:color w:val="auto"/>
              </w:rPr>
            </w:pPr>
            <w:r>
              <w:rPr>
                <w:rFonts w:ascii="Arial" w:cs="Arial" w:eastAsia="Arial" w:hAnsi="Arial"/>
                <w:sz w:val="22"/>
                <w:szCs w:val="22"/>
                <w:color w:val="auto"/>
              </w:rPr>
              <w:t>Adjustment of Accounts</w:t>
            </w:r>
          </w:p>
        </w:tc>
        <w:tc>
          <w:tcPr>
            <w:tcW w:w="2620" w:type="dxa"/>
            <w:vAlign w:val="bottom"/>
          </w:tcPr>
          <w:p>
            <w:pPr>
              <w:ind w:left="2400"/>
              <w:spacing w:after="0"/>
              <w:rPr>
                <w:sz w:val="20"/>
                <w:szCs w:val="20"/>
                <w:color w:val="auto"/>
              </w:rPr>
            </w:pPr>
            <w:r>
              <w:rPr>
                <w:rFonts w:ascii="Arial" w:cs="Arial" w:eastAsia="Arial" w:hAnsi="Arial"/>
                <w:sz w:val="22"/>
                <w:szCs w:val="22"/>
                <w:color w:val="auto"/>
                <w:w w:val="81"/>
              </w:rPr>
              <w:t>11</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6.4</w:t>
            </w:r>
          </w:p>
        </w:tc>
        <w:tc>
          <w:tcPr>
            <w:tcW w:w="7660" w:type="dxa"/>
            <w:vAlign w:val="bottom"/>
          </w:tcPr>
          <w:p>
            <w:pPr>
              <w:ind w:left="280"/>
              <w:spacing w:after="0"/>
              <w:rPr>
                <w:sz w:val="20"/>
                <w:szCs w:val="20"/>
                <w:color w:val="auto"/>
              </w:rPr>
            </w:pPr>
            <w:r>
              <w:rPr>
                <w:rFonts w:ascii="Arial" w:cs="Arial" w:eastAsia="Arial" w:hAnsi="Arial"/>
                <w:sz w:val="22"/>
                <w:szCs w:val="22"/>
                <w:color w:val="auto"/>
              </w:rPr>
              <w:t>Establishment of Trust for Funding</w:t>
            </w:r>
          </w:p>
        </w:tc>
        <w:tc>
          <w:tcPr>
            <w:tcW w:w="2620" w:type="dxa"/>
            <w:vAlign w:val="bottom"/>
          </w:tcPr>
          <w:p>
            <w:pPr>
              <w:ind w:left="2400"/>
              <w:spacing w:after="0"/>
              <w:rPr>
                <w:sz w:val="20"/>
                <w:szCs w:val="20"/>
                <w:color w:val="auto"/>
              </w:rPr>
            </w:pPr>
            <w:r>
              <w:rPr>
                <w:rFonts w:ascii="Arial" w:cs="Arial" w:eastAsia="Arial" w:hAnsi="Arial"/>
                <w:sz w:val="22"/>
                <w:szCs w:val="22"/>
                <w:color w:val="auto"/>
                <w:w w:val="81"/>
              </w:rPr>
              <w:t>11</w:t>
            </w:r>
          </w:p>
        </w:tc>
      </w:tr>
      <w:tr>
        <w:trPr>
          <w:trHeight w:val="338"/>
        </w:trPr>
        <w:tc>
          <w:tcPr>
            <w:tcW w:w="8320" w:type="dxa"/>
            <w:vAlign w:val="bottom"/>
            <w:gridSpan w:val="2"/>
          </w:tcPr>
          <w:p>
            <w:pPr>
              <w:spacing w:after="0"/>
              <w:rPr>
                <w:sz w:val="20"/>
                <w:szCs w:val="20"/>
                <w:color w:val="auto"/>
              </w:rPr>
            </w:pPr>
            <w:r>
              <w:rPr>
                <w:rFonts w:ascii="Arial" w:cs="Arial" w:eastAsia="Arial" w:hAnsi="Arial"/>
                <w:sz w:val="22"/>
                <w:szCs w:val="22"/>
                <w:color w:val="auto"/>
              </w:rPr>
              <w:t>ARTICLE 7. RIGHT TO BENEFITS</w:t>
            </w:r>
          </w:p>
        </w:tc>
        <w:tc>
          <w:tcPr>
            <w:tcW w:w="2620" w:type="dxa"/>
            <w:vAlign w:val="bottom"/>
          </w:tcPr>
          <w:p>
            <w:pPr>
              <w:ind w:left="2400"/>
              <w:spacing w:after="0"/>
              <w:rPr>
                <w:sz w:val="20"/>
                <w:szCs w:val="20"/>
                <w:color w:val="auto"/>
              </w:rPr>
            </w:pPr>
            <w:r>
              <w:rPr>
                <w:rFonts w:ascii="Arial" w:cs="Arial" w:eastAsia="Arial" w:hAnsi="Arial"/>
                <w:sz w:val="20"/>
                <w:szCs w:val="20"/>
                <w:color w:val="auto"/>
                <w:w w:val="89"/>
              </w:rPr>
              <w:t>12</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7.1</w:t>
            </w:r>
          </w:p>
        </w:tc>
        <w:tc>
          <w:tcPr>
            <w:tcW w:w="7660" w:type="dxa"/>
            <w:vAlign w:val="bottom"/>
          </w:tcPr>
          <w:p>
            <w:pPr>
              <w:ind w:left="280"/>
              <w:spacing w:after="0"/>
              <w:rPr>
                <w:sz w:val="20"/>
                <w:szCs w:val="20"/>
                <w:color w:val="auto"/>
              </w:rPr>
            </w:pPr>
            <w:r>
              <w:rPr>
                <w:rFonts w:ascii="Arial" w:cs="Arial" w:eastAsia="Arial" w:hAnsi="Arial"/>
                <w:sz w:val="22"/>
                <w:szCs w:val="22"/>
                <w:color w:val="auto"/>
              </w:rPr>
              <w:t>Vesting</w:t>
            </w:r>
          </w:p>
        </w:tc>
        <w:tc>
          <w:tcPr>
            <w:tcW w:w="2620" w:type="dxa"/>
            <w:vAlign w:val="bottom"/>
          </w:tcPr>
          <w:p>
            <w:pPr>
              <w:ind w:left="2400"/>
              <w:spacing w:after="0"/>
              <w:rPr>
                <w:sz w:val="20"/>
                <w:szCs w:val="20"/>
                <w:color w:val="auto"/>
              </w:rPr>
            </w:pPr>
            <w:r>
              <w:rPr>
                <w:rFonts w:ascii="Arial" w:cs="Arial" w:eastAsia="Arial" w:hAnsi="Arial"/>
                <w:sz w:val="22"/>
                <w:szCs w:val="22"/>
                <w:color w:val="auto"/>
                <w:w w:val="81"/>
              </w:rPr>
              <w:t>12</w:t>
            </w:r>
          </w:p>
        </w:tc>
      </w:tr>
      <w:tr>
        <w:trPr>
          <w:trHeight w:val="338"/>
        </w:trPr>
        <w:tc>
          <w:tcPr>
            <w:tcW w:w="660" w:type="dxa"/>
            <w:vAlign w:val="bottom"/>
          </w:tcPr>
          <w:p>
            <w:pPr>
              <w:spacing w:after="0"/>
              <w:rPr>
                <w:sz w:val="20"/>
                <w:szCs w:val="20"/>
                <w:color w:val="auto"/>
              </w:rPr>
            </w:pPr>
            <w:r>
              <w:rPr>
                <w:rFonts w:ascii="Arial" w:cs="Arial" w:eastAsia="Arial" w:hAnsi="Arial"/>
                <w:sz w:val="22"/>
                <w:szCs w:val="22"/>
                <w:color w:val="auto"/>
              </w:rPr>
              <w:t>7.2</w:t>
            </w:r>
          </w:p>
        </w:tc>
        <w:tc>
          <w:tcPr>
            <w:tcW w:w="7660" w:type="dxa"/>
            <w:vAlign w:val="bottom"/>
          </w:tcPr>
          <w:p>
            <w:pPr>
              <w:ind w:left="280"/>
              <w:spacing w:after="0"/>
              <w:rPr>
                <w:sz w:val="20"/>
                <w:szCs w:val="20"/>
                <w:color w:val="auto"/>
              </w:rPr>
            </w:pPr>
            <w:r>
              <w:rPr>
                <w:rFonts w:ascii="Arial" w:cs="Arial" w:eastAsia="Arial" w:hAnsi="Arial"/>
                <w:sz w:val="22"/>
                <w:szCs w:val="22"/>
                <w:color w:val="auto"/>
              </w:rPr>
              <w:t>Amount of Benefits</w:t>
            </w:r>
          </w:p>
        </w:tc>
        <w:tc>
          <w:tcPr>
            <w:tcW w:w="2620" w:type="dxa"/>
            <w:vAlign w:val="bottom"/>
          </w:tcPr>
          <w:p>
            <w:pPr>
              <w:ind w:left="2400"/>
              <w:spacing w:after="0"/>
              <w:rPr>
                <w:sz w:val="20"/>
                <w:szCs w:val="20"/>
                <w:color w:val="auto"/>
              </w:rPr>
            </w:pPr>
            <w:r>
              <w:rPr>
                <w:rFonts w:ascii="Arial" w:cs="Arial" w:eastAsia="Arial" w:hAnsi="Arial"/>
                <w:sz w:val="22"/>
                <w:szCs w:val="22"/>
                <w:color w:val="auto"/>
                <w:w w:val="81"/>
              </w:rPr>
              <w:t>12</w:t>
            </w:r>
          </w:p>
        </w:tc>
      </w:tr>
      <w:tr>
        <w:trPr>
          <w:trHeight w:val="338"/>
        </w:trPr>
        <w:tc>
          <w:tcPr>
            <w:tcW w:w="8320" w:type="dxa"/>
            <w:vAlign w:val="bottom"/>
            <w:gridSpan w:val="2"/>
          </w:tcPr>
          <w:p>
            <w:pPr>
              <w:spacing w:after="0"/>
              <w:rPr>
                <w:sz w:val="20"/>
                <w:szCs w:val="20"/>
                <w:color w:val="auto"/>
              </w:rPr>
            </w:pPr>
            <w:r>
              <w:rPr>
                <w:rFonts w:ascii="Arial" w:cs="Arial" w:eastAsia="Arial" w:hAnsi="Arial"/>
                <w:sz w:val="22"/>
                <w:szCs w:val="22"/>
                <w:color w:val="auto"/>
              </w:rPr>
              <w:t>ARTICLE 8. DISTRIBUTION OF BENEFITS</w:t>
            </w:r>
          </w:p>
        </w:tc>
        <w:tc>
          <w:tcPr>
            <w:tcW w:w="2620" w:type="dxa"/>
            <w:vAlign w:val="bottom"/>
          </w:tcPr>
          <w:p>
            <w:pPr>
              <w:ind w:left="2400"/>
              <w:spacing w:after="0"/>
              <w:rPr>
                <w:sz w:val="20"/>
                <w:szCs w:val="20"/>
                <w:color w:val="auto"/>
              </w:rPr>
            </w:pPr>
            <w:r>
              <w:rPr>
                <w:rFonts w:ascii="Arial" w:cs="Arial" w:eastAsia="Arial" w:hAnsi="Arial"/>
                <w:sz w:val="20"/>
                <w:szCs w:val="20"/>
                <w:color w:val="auto"/>
                <w:w w:val="89"/>
              </w:rPr>
              <w:t>13</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40"/>
          </w:cols>
          <w:pgMar w:left="240" w:top="361" w:right="71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8.1</w:t>
            </w:r>
          </w:p>
        </w:tc>
        <w:tc>
          <w:tcPr>
            <w:tcW w:w="7120" w:type="dxa"/>
            <w:vAlign w:val="bottom"/>
          </w:tcPr>
          <w:p>
            <w:pPr>
              <w:ind w:left="220"/>
              <w:spacing w:after="0"/>
              <w:rPr>
                <w:sz w:val="20"/>
                <w:szCs w:val="20"/>
                <w:color w:val="auto"/>
              </w:rPr>
            </w:pPr>
            <w:r>
              <w:rPr>
                <w:rFonts w:ascii="Arial" w:cs="Arial" w:eastAsia="Arial" w:hAnsi="Arial"/>
                <w:sz w:val="22"/>
                <w:szCs w:val="22"/>
                <w:color w:val="auto"/>
              </w:rPr>
              <w:t>Method and Timing of Distributions</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13</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8.2</w:t>
            </w:r>
          </w:p>
        </w:tc>
        <w:tc>
          <w:tcPr>
            <w:tcW w:w="7120" w:type="dxa"/>
            <w:vAlign w:val="bottom"/>
          </w:tcPr>
          <w:p>
            <w:pPr>
              <w:ind w:left="220"/>
              <w:spacing w:after="0"/>
              <w:rPr>
                <w:sz w:val="20"/>
                <w:szCs w:val="20"/>
                <w:color w:val="auto"/>
              </w:rPr>
            </w:pPr>
            <w:r>
              <w:rPr>
                <w:rFonts w:ascii="Arial" w:cs="Arial" w:eastAsia="Arial" w:hAnsi="Arial"/>
                <w:sz w:val="22"/>
                <w:szCs w:val="22"/>
                <w:color w:val="auto"/>
              </w:rPr>
              <w:t>Unforeseeable Emergency</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13</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8.3</w:t>
            </w:r>
          </w:p>
        </w:tc>
        <w:tc>
          <w:tcPr>
            <w:tcW w:w="7120" w:type="dxa"/>
            <w:vAlign w:val="bottom"/>
          </w:tcPr>
          <w:p>
            <w:pPr>
              <w:ind w:left="220"/>
              <w:spacing w:after="0"/>
              <w:rPr>
                <w:sz w:val="20"/>
                <w:szCs w:val="20"/>
                <w:color w:val="auto"/>
              </w:rPr>
            </w:pPr>
            <w:r>
              <w:rPr>
                <w:rFonts w:ascii="Arial" w:cs="Arial" w:eastAsia="Arial" w:hAnsi="Arial"/>
                <w:sz w:val="22"/>
                <w:szCs w:val="22"/>
                <w:color w:val="auto"/>
              </w:rPr>
              <w:t>Disability</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13</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8.4</w:t>
            </w:r>
          </w:p>
        </w:tc>
        <w:tc>
          <w:tcPr>
            <w:tcW w:w="7120" w:type="dxa"/>
            <w:vAlign w:val="bottom"/>
          </w:tcPr>
          <w:p>
            <w:pPr>
              <w:ind w:left="220"/>
              <w:spacing w:after="0"/>
              <w:rPr>
                <w:sz w:val="20"/>
                <w:szCs w:val="20"/>
                <w:color w:val="auto"/>
              </w:rPr>
            </w:pPr>
            <w:r>
              <w:rPr>
                <w:rFonts w:ascii="Arial" w:cs="Arial" w:eastAsia="Arial" w:hAnsi="Arial"/>
                <w:sz w:val="22"/>
                <w:szCs w:val="22"/>
                <w:color w:val="auto"/>
              </w:rPr>
              <w:t>Prohibition on Acceleration</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13</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8.5</w:t>
            </w:r>
          </w:p>
        </w:tc>
        <w:tc>
          <w:tcPr>
            <w:tcW w:w="7120" w:type="dxa"/>
            <w:vAlign w:val="bottom"/>
          </w:tcPr>
          <w:p>
            <w:pPr>
              <w:ind w:left="220"/>
              <w:spacing w:after="0"/>
              <w:rPr>
                <w:sz w:val="20"/>
                <w:szCs w:val="20"/>
                <w:color w:val="auto"/>
              </w:rPr>
            </w:pPr>
            <w:r>
              <w:rPr>
                <w:rFonts w:ascii="Arial" w:cs="Arial" w:eastAsia="Arial" w:hAnsi="Arial"/>
                <w:sz w:val="22"/>
                <w:szCs w:val="22"/>
                <w:color w:val="auto"/>
              </w:rPr>
              <w:t>Key Employees</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13</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8.6</w:t>
            </w:r>
          </w:p>
        </w:tc>
        <w:tc>
          <w:tcPr>
            <w:tcW w:w="7120" w:type="dxa"/>
            <w:vAlign w:val="bottom"/>
          </w:tcPr>
          <w:p>
            <w:pPr>
              <w:ind w:left="220"/>
              <w:spacing w:after="0"/>
              <w:rPr>
                <w:sz w:val="20"/>
                <w:szCs w:val="20"/>
                <w:color w:val="auto"/>
              </w:rPr>
            </w:pPr>
            <w:r>
              <w:rPr>
                <w:rFonts w:ascii="Arial" w:cs="Arial" w:eastAsia="Arial" w:hAnsi="Arial"/>
                <w:sz w:val="22"/>
                <w:szCs w:val="22"/>
                <w:color w:val="auto"/>
              </w:rPr>
              <w:t>Permissible Delays in Payment</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14</w:t>
            </w:r>
          </w:p>
        </w:tc>
      </w:tr>
      <w:tr>
        <w:trPr>
          <w:trHeight w:val="338"/>
        </w:trPr>
        <w:tc>
          <w:tcPr>
            <w:tcW w:w="7840" w:type="dxa"/>
            <w:vAlign w:val="bottom"/>
            <w:gridSpan w:val="2"/>
          </w:tcPr>
          <w:p>
            <w:pPr>
              <w:spacing w:after="0"/>
              <w:rPr>
                <w:sz w:val="20"/>
                <w:szCs w:val="20"/>
                <w:color w:val="auto"/>
              </w:rPr>
            </w:pPr>
            <w:r>
              <w:rPr>
                <w:rFonts w:ascii="Arial" w:cs="Arial" w:eastAsia="Arial" w:hAnsi="Arial"/>
                <w:sz w:val="22"/>
                <w:szCs w:val="22"/>
                <w:color w:val="auto"/>
              </w:rPr>
              <w:t>ARTICLE 9. AMENDMENT AND TERMINATION</w:t>
            </w:r>
          </w:p>
        </w:tc>
        <w:tc>
          <w:tcPr>
            <w:tcW w:w="3100" w:type="dxa"/>
            <w:vAlign w:val="bottom"/>
          </w:tcPr>
          <w:p>
            <w:pPr>
              <w:ind w:left="2880"/>
              <w:spacing w:after="0"/>
              <w:rPr>
                <w:sz w:val="20"/>
                <w:szCs w:val="20"/>
                <w:color w:val="auto"/>
              </w:rPr>
            </w:pPr>
            <w:r>
              <w:rPr>
                <w:rFonts w:ascii="Arial" w:cs="Arial" w:eastAsia="Arial" w:hAnsi="Arial"/>
                <w:sz w:val="20"/>
                <w:szCs w:val="20"/>
                <w:color w:val="auto"/>
                <w:w w:val="89"/>
              </w:rPr>
              <w:t>16</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9.1</w:t>
            </w:r>
          </w:p>
        </w:tc>
        <w:tc>
          <w:tcPr>
            <w:tcW w:w="7120" w:type="dxa"/>
            <w:vAlign w:val="bottom"/>
          </w:tcPr>
          <w:p>
            <w:pPr>
              <w:ind w:left="220"/>
              <w:spacing w:after="0"/>
              <w:rPr>
                <w:sz w:val="20"/>
                <w:szCs w:val="20"/>
                <w:color w:val="auto"/>
              </w:rPr>
            </w:pPr>
            <w:r>
              <w:rPr>
                <w:rFonts w:ascii="Arial" w:cs="Arial" w:eastAsia="Arial" w:hAnsi="Arial"/>
                <w:sz w:val="22"/>
                <w:szCs w:val="22"/>
                <w:color w:val="auto"/>
              </w:rPr>
              <w:t>Amendment by Employer</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16</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9.2</w:t>
            </w:r>
          </w:p>
        </w:tc>
        <w:tc>
          <w:tcPr>
            <w:tcW w:w="7120" w:type="dxa"/>
            <w:vAlign w:val="bottom"/>
          </w:tcPr>
          <w:p>
            <w:pPr>
              <w:ind w:left="220"/>
              <w:spacing w:after="0"/>
              <w:rPr>
                <w:sz w:val="20"/>
                <w:szCs w:val="20"/>
                <w:color w:val="auto"/>
              </w:rPr>
            </w:pPr>
            <w:r>
              <w:rPr>
                <w:rFonts w:ascii="Arial" w:cs="Arial" w:eastAsia="Arial" w:hAnsi="Arial"/>
                <w:sz w:val="22"/>
                <w:szCs w:val="22"/>
                <w:color w:val="auto"/>
              </w:rPr>
              <w:t>Retroactive Amendments</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16</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9.3</w:t>
            </w:r>
          </w:p>
        </w:tc>
        <w:tc>
          <w:tcPr>
            <w:tcW w:w="7120" w:type="dxa"/>
            <w:vAlign w:val="bottom"/>
          </w:tcPr>
          <w:p>
            <w:pPr>
              <w:ind w:left="220"/>
              <w:spacing w:after="0"/>
              <w:rPr>
                <w:sz w:val="20"/>
                <w:szCs w:val="20"/>
                <w:color w:val="auto"/>
              </w:rPr>
            </w:pPr>
            <w:r>
              <w:rPr>
                <w:rFonts w:ascii="Arial" w:cs="Arial" w:eastAsia="Arial" w:hAnsi="Arial"/>
                <w:sz w:val="22"/>
                <w:szCs w:val="22"/>
                <w:color w:val="auto"/>
              </w:rPr>
              <w:t>Plan Termination</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16</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9.4</w:t>
            </w:r>
          </w:p>
        </w:tc>
        <w:tc>
          <w:tcPr>
            <w:tcW w:w="7120" w:type="dxa"/>
            <w:vAlign w:val="bottom"/>
          </w:tcPr>
          <w:p>
            <w:pPr>
              <w:ind w:left="220"/>
              <w:spacing w:after="0"/>
              <w:rPr>
                <w:sz w:val="20"/>
                <w:szCs w:val="20"/>
                <w:color w:val="auto"/>
              </w:rPr>
            </w:pPr>
            <w:r>
              <w:rPr>
                <w:rFonts w:ascii="Arial" w:cs="Arial" w:eastAsia="Arial" w:hAnsi="Arial"/>
                <w:sz w:val="22"/>
                <w:szCs w:val="22"/>
                <w:color w:val="auto"/>
              </w:rPr>
              <w:t>Distribution Upon Termination of the Plan</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17</w:t>
            </w:r>
          </w:p>
        </w:tc>
      </w:tr>
      <w:tr>
        <w:trPr>
          <w:trHeight w:val="338"/>
        </w:trPr>
        <w:tc>
          <w:tcPr>
            <w:tcW w:w="7840" w:type="dxa"/>
            <w:vAlign w:val="bottom"/>
            <w:gridSpan w:val="2"/>
          </w:tcPr>
          <w:p>
            <w:pPr>
              <w:spacing w:after="0"/>
              <w:rPr>
                <w:sz w:val="20"/>
                <w:szCs w:val="20"/>
                <w:color w:val="auto"/>
              </w:rPr>
            </w:pPr>
            <w:r>
              <w:rPr>
                <w:rFonts w:ascii="Arial" w:cs="Arial" w:eastAsia="Arial" w:hAnsi="Arial"/>
                <w:sz w:val="22"/>
                <w:szCs w:val="22"/>
                <w:color w:val="auto"/>
              </w:rPr>
              <w:t>ARTICLE 10. PLAN ADMINISTRATION</w:t>
            </w:r>
          </w:p>
        </w:tc>
        <w:tc>
          <w:tcPr>
            <w:tcW w:w="3100" w:type="dxa"/>
            <w:vAlign w:val="bottom"/>
          </w:tcPr>
          <w:p>
            <w:pPr>
              <w:ind w:left="2880"/>
              <w:spacing w:after="0"/>
              <w:rPr>
                <w:sz w:val="20"/>
                <w:szCs w:val="20"/>
                <w:color w:val="auto"/>
              </w:rPr>
            </w:pPr>
            <w:r>
              <w:rPr>
                <w:rFonts w:ascii="Arial" w:cs="Arial" w:eastAsia="Arial" w:hAnsi="Arial"/>
                <w:sz w:val="20"/>
                <w:szCs w:val="20"/>
                <w:color w:val="auto"/>
                <w:w w:val="89"/>
              </w:rPr>
              <w:t>18</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10.1</w:t>
            </w:r>
          </w:p>
        </w:tc>
        <w:tc>
          <w:tcPr>
            <w:tcW w:w="7120" w:type="dxa"/>
            <w:vAlign w:val="bottom"/>
          </w:tcPr>
          <w:p>
            <w:pPr>
              <w:ind w:left="220"/>
              <w:spacing w:after="0"/>
              <w:rPr>
                <w:sz w:val="20"/>
                <w:szCs w:val="20"/>
                <w:color w:val="auto"/>
              </w:rPr>
            </w:pPr>
            <w:r>
              <w:rPr>
                <w:rFonts w:ascii="Arial" w:cs="Arial" w:eastAsia="Arial" w:hAnsi="Arial"/>
                <w:sz w:val="22"/>
                <w:szCs w:val="22"/>
                <w:color w:val="auto"/>
              </w:rPr>
              <w:t>Powers and Responsibilities of the Employer</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18</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10.2</w:t>
            </w:r>
          </w:p>
        </w:tc>
        <w:tc>
          <w:tcPr>
            <w:tcW w:w="7120" w:type="dxa"/>
            <w:vAlign w:val="bottom"/>
          </w:tcPr>
          <w:p>
            <w:pPr>
              <w:ind w:left="220"/>
              <w:spacing w:after="0"/>
              <w:rPr>
                <w:sz w:val="20"/>
                <w:szCs w:val="20"/>
                <w:color w:val="auto"/>
              </w:rPr>
            </w:pPr>
            <w:r>
              <w:rPr>
                <w:rFonts w:ascii="Arial" w:cs="Arial" w:eastAsia="Arial" w:hAnsi="Arial"/>
                <w:sz w:val="22"/>
                <w:szCs w:val="22"/>
                <w:color w:val="auto"/>
              </w:rPr>
              <w:t>Powers and Responsibilities of the Committee</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18</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10.3</w:t>
            </w:r>
          </w:p>
        </w:tc>
        <w:tc>
          <w:tcPr>
            <w:tcW w:w="7120" w:type="dxa"/>
            <w:vAlign w:val="bottom"/>
          </w:tcPr>
          <w:p>
            <w:pPr>
              <w:ind w:left="220"/>
              <w:spacing w:after="0"/>
              <w:rPr>
                <w:sz w:val="20"/>
                <w:szCs w:val="20"/>
                <w:color w:val="auto"/>
              </w:rPr>
            </w:pPr>
            <w:r>
              <w:rPr>
                <w:rFonts w:ascii="Arial" w:cs="Arial" w:eastAsia="Arial" w:hAnsi="Arial"/>
                <w:sz w:val="22"/>
                <w:szCs w:val="22"/>
                <w:color w:val="auto"/>
              </w:rPr>
              <w:t>Claims and Review Procedures.</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18</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10.4</w:t>
            </w:r>
          </w:p>
        </w:tc>
        <w:tc>
          <w:tcPr>
            <w:tcW w:w="7120" w:type="dxa"/>
            <w:vAlign w:val="bottom"/>
          </w:tcPr>
          <w:p>
            <w:pPr>
              <w:ind w:left="220"/>
              <w:spacing w:after="0"/>
              <w:rPr>
                <w:sz w:val="20"/>
                <w:szCs w:val="20"/>
                <w:color w:val="auto"/>
              </w:rPr>
            </w:pPr>
            <w:r>
              <w:rPr>
                <w:rFonts w:ascii="Arial" w:cs="Arial" w:eastAsia="Arial" w:hAnsi="Arial"/>
                <w:sz w:val="22"/>
                <w:szCs w:val="22"/>
                <w:color w:val="auto"/>
              </w:rPr>
              <w:t>Plan Administrative Costs</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19</w:t>
            </w:r>
          </w:p>
        </w:tc>
      </w:tr>
      <w:tr>
        <w:trPr>
          <w:trHeight w:val="338"/>
        </w:trPr>
        <w:tc>
          <w:tcPr>
            <w:tcW w:w="7840" w:type="dxa"/>
            <w:vAlign w:val="bottom"/>
            <w:gridSpan w:val="2"/>
          </w:tcPr>
          <w:p>
            <w:pPr>
              <w:spacing w:after="0"/>
              <w:rPr>
                <w:sz w:val="20"/>
                <w:szCs w:val="20"/>
                <w:color w:val="auto"/>
              </w:rPr>
            </w:pPr>
            <w:r>
              <w:rPr>
                <w:rFonts w:ascii="Arial" w:cs="Arial" w:eastAsia="Arial" w:hAnsi="Arial"/>
                <w:sz w:val="22"/>
                <w:szCs w:val="22"/>
                <w:color w:val="auto"/>
              </w:rPr>
              <w:t>ARTICLE 11. MISCELLANEOUS</w:t>
            </w:r>
          </w:p>
        </w:tc>
        <w:tc>
          <w:tcPr>
            <w:tcW w:w="3100" w:type="dxa"/>
            <w:vAlign w:val="bottom"/>
          </w:tcPr>
          <w:p>
            <w:pPr>
              <w:ind w:left="2880"/>
              <w:spacing w:after="0"/>
              <w:rPr>
                <w:sz w:val="20"/>
                <w:szCs w:val="20"/>
                <w:color w:val="auto"/>
              </w:rPr>
            </w:pPr>
            <w:r>
              <w:rPr>
                <w:rFonts w:ascii="Arial" w:cs="Arial" w:eastAsia="Arial" w:hAnsi="Arial"/>
                <w:sz w:val="20"/>
                <w:szCs w:val="20"/>
                <w:color w:val="auto"/>
                <w:w w:val="89"/>
              </w:rPr>
              <w:t>20</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11.1</w:t>
            </w:r>
          </w:p>
        </w:tc>
        <w:tc>
          <w:tcPr>
            <w:tcW w:w="7120" w:type="dxa"/>
            <w:vAlign w:val="bottom"/>
          </w:tcPr>
          <w:p>
            <w:pPr>
              <w:ind w:left="220"/>
              <w:spacing w:after="0"/>
              <w:rPr>
                <w:sz w:val="20"/>
                <w:szCs w:val="20"/>
                <w:color w:val="auto"/>
              </w:rPr>
            </w:pPr>
            <w:r>
              <w:rPr>
                <w:rFonts w:ascii="Arial" w:cs="Arial" w:eastAsia="Arial" w:hAnsi="Arial"/>
                <w:sz w:val="22"/>
                <w:szCs w:val="22"/>
                <w:color w:val="auto"/>
              </w:rPr>
              <w:t>Unsecured General Creditor of the Employer</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20</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11.2</w:t>
            </w:r>
          </w:p>
        </w:tc>
        <w:tc>
          <w:tcPr>
            <w:tcW w:w="7120" w:type="dxa"/>
            <w:vAlign w:val="bottom"/>
          </w:tcPr>
          <w:p>
            <w:pPr>
              <w:ind w:left="220"/>
              <w:spacing w:after="0"/>
              <w:rPr>
                <w:sz w:val="20"/>
                <w:szCs w:val="20"/>
                <w:color w:val="auto"/>
              </w:rPr>
            </w:pPr>
            <w:r>
              <w:rPr>
                <w:rFonts w:ascii="Arial" w:cs="Arial" w:eastAsia="Arial" w:hAnsi="Arial"/>
                <w:sz w:val="22"/>
                <w:szCs w:val="22"/>
                <w:color w:val="auto"/>
              </w:rPr>
              <w:t>Employer’s Liability</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20</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11.3</w:t>
            </w:r>
          </w:p>
        </w:tc>
        <w:tc>
          <w:tcPr>
            <w:tcW w:w="7120" w:type="dxa"/>
            <w:vAlign w:val="bottom"/>
          </w:tcPr>
          <w:p>
            <w:pPr>
              <w:ind w:left="220"/>
              <w:spacing w:after="0"/>
              <w:rPr>
                <w:sz w:val="20"/>
                <w:szCs w:val="20"/>
                <w:color w:val="auto"/>
              </w:rPr>
            </w:pPr>
            <w:r>
              <w:rPr>
                <w:rFonts w:ascii="Arial" w:cs="Arial" w:eastAsia="Arial" w:hAnsi="Arial"/>
                <w:sz w:val="22"/>
                <w:szCs w:val="22"/>
                <w:color w:val="auto"/>
              </w:rPr>
              <w:t>Limitation of Rights</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20</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11.4</w:t>
            </w:r>
          </w:p>
        </w:tc>
        <w:tc>
          <w:tcPr>
            <w:tcW w:w="7120" w:type="dxa"/>
            <w:vAlign w:val="bottom"/>
          </w:tcPr>
          <w:p>
            <w:pPr>
              <w:ind w:left="220"/>
              <w:spacing w:after="0"/>
              <w:rPr>
                <w:sz w:val="20"/>
                <w:szCs w:val="20"/>
                <w:color w:val="auto"/>
              </w:rPr>
            </w:pPr>
            <w:r>
              <w:rPr>
                <w:rFonts w:ascii="Arial" w:cs="Arial" w:eastAsia="Arial" w:hAnsi="Arial"/>
                <w:sz w:val="22"/>
                <w:szCs w:val="22"/>
                <w:color w:val="auto"/>
              </w:rPr>
              <w:t>Anti-Assignment</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20</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11.5</w:t>
            </w:r>
          </w:p>
        </w:tc>
        <w:tc>
          <w:tcPr>
            <w:tcW w:w="7120" w:type="dxa"/>
            <w:vAlign w:val="bottom"/>
          </w:tcPr>
          <w:p>
            <w:pPr>
              <w:ind w:left="220"/>
              <w:spacing w:after="0"/>
              <w:rPr>
                <w:sz w:val="20"/>
                <w:szCs w:val="20"/>
                <w:color w:val="auto"/>
              </w:rPr>
            </w:pPr>
            <w:r>
              <w:rPr>
                <w:rFonts w:ascii="Arial" w:cs="Arial" w:eastAsia="Arial" w:hAnsi="Arial"/>
                <w:sz w:val="22"/>
                <w:szCs w:val="22"/>
                <w:color w:val="auto"/>
              </w:rPr>
              <w:t>Facility of Payment</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20</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11.6</w:t>
            </w:r>
          </w:p>
        </w:tc>
        <w:tc>
          <w:tcPr>
            <w:tcW w:w="7120" w:type="dxa"/>
            <w:vAlign w:val="bottom"/>
          </w:tcPr>
          <w:p>
            <w:pPr>
              <w:ind w:left="220"/>
              <w:spacing w:after="0"/>
              <w:rPr>
                <w:sz w:val="20"/>
                <w:szCs w:val="20"/>
                <w:color w:val="auto"/>
              </w:rPr>
            </w:pPr>
            <w:r>
              <w:rPr>
                <w:rFonts w:ascii="Arial" w:cs="Arial" w:eastAsia="Arial" w:hAnsi="Arial"/>
                <w:sz w:val="22"/>
                <w:szCs w:val="22"/>
                <w:color w:val="auto"/>
              </w:rPr>
              <w:t>Notices</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21</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11.7</w:t>
            </w:r>
          </w:p>
        </w:tc>
        <w:tc>
          <w:tcPr>
            <w:tcW w:w="7120" w:type="dxa"/>
            <w:vAlign w:val="bottom"/>
          </w:tcPr>
          <w:p>
            <w:pPr>
              <w:ind w:left="220"/>
              <w:spacing w:after="0"/>
              <w:rPr>
                <w:sz w:val="20"/>
                <w:szCs w:val="20"/>
                <w:color w:val="auto"/>
              </w:rPr>
            </w:pPr>
            <w:r>
              <w:rPr>
                <w:rFonts w:ascii="Arial" w:cs="Arial" w:eastAsia="Arial" w:hAnsi="Arial"/>
                <w:sz w:val="22"/>
                <w:szCs w:val="22"/>
                <w:color w:val="auto"/>
              </w:rPr>
              <w:t>Tax Withholding</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21</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11.8</w:t>
            </w:r>
          </w:p>
        </w:tc>
        <w:tc>
          <w:tcPr>
            <w:tcW w:w="7120" w:type="dxa"/>
            <w:vAlign w:val="bottom"/>
          </w:tcPr>
          <w:p>
            <w:pPr>
              <w:ind w:left="220"/>
              <w:spacing w:after="0"/>
              <w:rPr>
                <w:sz w:val="20"/>
                <w:szCs w:val="20"/>
                <w:color w:val="auto"/>
              </w:rPr>
            </w:pPr>
            <w:r>
              <w:rPr>
                <w:rFonts w:ascii="Arial" w:cs="Arial" w:eastAsia="Arial" w:hAnsi="Arial"/>
                <w:sz w:val="22"/>
                <w:szCs w:val="22"/>
                <w:color w:val="auto"/>
              </w:rPr>
              <w:t>Indemnification</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21</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11.9</w:t>
            </w:r>
          </w:p>
        </w:tc>
        <w:tc>
          <w:tcPr>
            <w:tcW w:w="7120" w:type="dxa"/>
            <w:vAlign w:val="bottom"/>
          </w:tcPr>
          <w:p>
            <w:pPr>
              <w:ind w:left="220"/>
              <w:spacing w:after="0"/>
              <w:rPr>
                <w:sz w:val="20"/>
                <w:szCs w:val="20"/>
                <w:color w:val="auto"/>
              </w:rPr>
            </w:pPr>
            <w:r>
              <w:rPr>
                <w:rFonts w:ascii="Arial" w:cs="Arial" w:eastAsia="Arial" w:hAnsi="Arial"/>
                <w:sz w:val="22"/>
                <w:szCs w:val="22"/>
                <w:color w:val="auto"/>
              </w:rPr>
              <w:t>Permitted Acceleration of Payment</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21</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11.10</w:t>
            </w:r>
          </w:p>
        </w:tc>
        <w:tc>
          <w:tcPr>
            <w:tcW w:w="7120" w:type="dxa"/>
            <w:vAlign w:val="bottom"/>
          </w:tcPr>
          <w:p>
            <w:pPr>
              <w:ind w:left="220"/>
              <w:spacing w:after="0"/>
              <w:rPr>
                <w:sz w:val="20"/>
                <w:szCs w:val="20"/>
                <w:color w:val="auto"/>
              </w:rPr>
            </w:pPr>
            <w:r>
              <w:rPr>
                <w:rFonts w:ascii="Arial" w:cs="Arial" w:eastAsia="Arial" w:hAnsi="Arial"/>
                <w:sz w:val="22"/>
                <w:szCs w:val="22"/>
                <w:color w:val="auto"/>
              </w:rPr>
              <w:t>No Guarantee or Employment or Participation</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22</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11.11</w:t>
            </w:r>
          </w:p>
        </w:tc>
        <w:tc>
          <w:tcPr>
            <w:tcW w:w="7120" w:type="dxa"/>
            <w:vAlign w:val="bottom"/>
          </w:tcPr>
          <w:p>
            <w:pPr>
              <w:ind w:left="220"/>
              <w:spacing w:after="0"/>
              <w:rPr>
                <w:sz w:val="20"/>
                <w:szCs w:val="20"/>
                <w:color w:val="auto"/>
              </w:rPr>
            </w:pPr>
            <w:r>
              <w:rPr>
                <w:rFonts w:ascii="Arial" w:cs="Arial" w:eastAsia="Arial" w:hAnsi="Arial"/>
                <w:sz w:val="22"/>
                <w:szCs w:val="22"/>
                <w:color w:val="auto"/>
              </w:rPr>
              <w:t>Unclaimed Benefit</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22</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11.12</w:t>
            </w:r>
          </w:p>
        </w:tc>
        <w:tc>
          <w:tcPr>
            <w:tcW w:w="7120" w:type="dxa"/>
            <w:vAlign w:val="bottom"/>
          </w:tcPr>
          <w:p>
            <w:pPr>
              <w:ind w:left="220"/>
              <w:spacing w:after="0"/>
              <w:rPr>
                <w:sz w:val="20"/>
                <w:szCs w:val="20"/>
                <w:color w:val="auto"/>
              </w:rPr>
            </w:pPr>
            <w:r>
              <w:rPr>
                <w:rFonts w:ascii="Arial" w:cs="Arial" w:eastAsia="Arial" w:hAnsi="Arial"/>
                <w:sz w:val="22"/>
                <w:szCs w:val="22"/>
                <w:color w:val="auto"/>
              </w:rPr>
              <w:t>Governing Law</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23</w:t>
            </w:r>
          </w:p>
        </w:tc>
      </w:tr>
      <w:tr>
        <w:trPr>
          <w:trHeight w:val="338"/>
        </w:trPr>
        <w:tc>
          <w:tcPr>
            <w:tcW w:w="720" w:type="dxa"/>
            <w:vAlign w:val="bottom"/>
          </w:tcPr>
          <w:p>
            <w:pPr>
              <w:spacing w:after="0"/>
              <w:rPr>
                <w:sz w:val="20"/>
                <w:szCs w:val="20"/>
                <w:color w:val="auto"/>
              </w:rPr>
            </w:pPr>
            <w:r>
              <w:rPr>
                <w:rFonts w:ascii="Arial" w:cs="Arial" w:eastAsia="Arial" w:hAnsi="Arial"/>
                <w:sz w:val="22"/>
                <w:szCs w:val="22"/>
                <w:color w:val="auto"/>
              </w:rPr>
              <w:t>11.13</w:t>
            </w:r>
          </w:p>
        </w:tc>
        <w:tc>
          <w:tcPr>
            <w:tcW w:w="7120" w:type="dxa"/>
            <w:vAlign w:val="bottom"/>
          </w:tcPr>
          <w:p>
            <w:pPr>
              <w:ind w:left="220"/>
              <w:spacing w:after="0"/>
              <w:rPr>
                <w:sz w:val="20"/>
                <w:szCs w:val="20"/>
                <w:color w:val="auto"/>
              </w:rPr>
            </w:pPr>
            <w:r>
              <w:rPr>
                <w:rFonts w:ascii="Arial" w:cs="Arial" w:eastAsia="Arial" w:hAnsi="Arial"/>
                <w:sz w:val="22"/>
                <w:szCs w:val="22"/>
                <w:color w:val="auto"/>
              </w:rPr>
              <w:t>Erroneous Payment</w:t>
            </w:r>
          </w:p>
        </w:tc>
        <w:tc>
          <w:tcPr>
            <w:tcW w:w="3100" w:type="dxa"/>
            <w:vAlign w:val="bottom"/>
          </w:tcPr>
          <w:p>
            <w:pPr>
              <w:ind w:left="2880"/>
              <w:spacing w:after="0"/>
              <w:rPr>
                <w:sz w:val="20"/>
                <w:szCs w:val="20"/>
                <w:color w:val="auto"/>
              </w:rPr>
            </w:pPr>
            <w:r>
              <w:rPr>
                <w:rFonts w:ascii="Arial" w:cs="Arial" w:eastAsia="Arial" w:hAnsi="Arial"/>
                <w:sz w:val="22"/>
                <w:szCs w:val="22"/>
                <w:color w:val="auto"/>
                <w:w w:val="81"/>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40"/>
          </w:cols>
          <w:pgMar w:left="240" w:top="361" w:right="719" w:bottom="1440" w:gutter="0" w:footer="0" w:header="0"/>
        </w:sectPr>
      </w:pPr>
    </w:p>
    <w:bookmarkStart w:id="186" w:name="page187"/>
    <w:bookmarkEnd w:id="186"/>
    <w:tbl>
      <w:tblPr>
        <w:tblLayout w:type="fixed"/>
        <w:tblInd w:w="8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9620" w:type="dxa"/>
            <w:vAlign w:val="bottom"/>
          </w:tcPr>
          <w:p>
            <w:pPr>
              <w:ind w:left="1540"/>
              <w:spacing w:after="0"/>
              <w:rPr>
                <w:sz w:val="20"/>
                <w:szCs w:val="20"/>
                <w:color w:val="auto"/>
              </w:rPr>
            </w:pPr>
            <w:r>
              <w:rPr>
                <w:rFonts w:ascii="Arial" w:cs="Arial" w:eastAsia="Arial" w:hAnsi="Arial"/>
                <w:sz w:val="22"/>
                <w:szCs w:val="22"/>
                <w:b w:val="1"/>
                <w:bCs w:val="1"/>
                <w:color w:val="010000"/>
              </w:rPr>
              <w:t xml:space="preserve">ARTICLE 1. </w:t>
            </w:r>
            <w:r>
              <w:rPr>
                <w:rFonts w:ascii="Arial" w:cs="Arial" w:eastAsia="Arial" w:hAnsi="Arial"/>
                <w:sz w:val="22"/>
                <w:szCs w:val="22"/>
                <w:b w:val="1"/>
                <w:bCs w:val="1"/>
                <w:color w:val="000000"/>
              </w:rPr>
              <w:t>PURPOSE AND EFFECTIVE DATE</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010000"/>
                <w:w w:val="84"/>
              </w:rPr>
              <w:t>1.1</w:t>
            </w:r>
          </w:p>
        </w:tc>
        <w:tc>
          <w:tcPr>
            <w:tcW w:w="9620" w:type="dxa"/>
            <w:vAlign w:val="bottom"/>
          </w:tcPr>
          <w:p>
            <w:pPr>
              <w:ind w:left="660"/>
              <w:spacing w:after="0"/>
              <w:rPr>
                <w:sz w:val="20"/>
                <w:szCs w:val="20"/>
                <w:color w:val="auto"/>
              </w:rPr>
            </w:pPr>
            <w:r>
              <w:rPr>
                <w:rFonts w:ascii="Arial" w:cs="Arial" w:eastAsia="Arial" w:hAnsi="Arial"/>
                <w:sz w:val="22"/>
                <w:szCs w:val="22"/>
                <w:b w:val="1"/>
                <w:bCs w:val="1"/>
                <w:u w:val="single" w:color="auto"/>
                <w:color w:val="auto"/>
                <w:w w:val="91"/>
              </w:rPr>
              <w:t>Purpose</w:t>
            </w:r>
            <w:r>
              <w:rPr>
                <w:rFonts w:ascii="Arial" w:cs="Arial" w:eastAsia="Arial" w:hAnsi="Arial"/>
                <w:sz w:val="22"/>
                <w:szCs w:val="22"/>
                <w:color w:val="auto"/>
                <w:w w:val="91"/>
              </w:rPr>
              <w:t>.  The purpose of this Plan is to provide benefits for certain employees that supplements the</w:t>
            </w:r>
          </w:p>
        </w:tc>
      </w:tr>
    </w:tbl>
    <w:p>
      <w:pPr>
        <w:jc w:val="both"/>
        <w:spacing w:after="0" w:line="234" w:lineRule="auto"/>
        <w:rPr>
          <w:sz w:val="20"/>
          <w:szCs w:val="20"/>
          <w:color w:val="auto"/>
        </w:rPr>
      </w:pPr>
      <w:r>
        <w:rPr>
          <w:rFonts w:ascii="Arial" w:cs="Arial" w:eastAsia="Arial" w:hAnsi="Arial"/>
          <w:sz w:val="22"/>
          <w:szCs w:val="22"/>
          <w:color w:val="auto"/>
        </w:rPr>
        <w:t>limitation on compensation imposed by Section 401(a)(17) of the Code (including successor provisions thereto) on the Savings Plan. It is intended that the Plan be maintained primarily for a select group of management or highly compensated employees and be exempt from the Employee Retirement Income Security Act of 1974, as amended.</w:t>
      </w:r>
    </w:p>
    <w:p>
      <w:pPr>
        <w:spacing w:after="0" w:line="181"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19"/>
          <w:szCs w:val="19"/>
          <w:b w:val="1"/>
          <w:bCs w:val="1"/>
          <w:color w:val="010000"/>
        </w:rPr>
        <w:t xml:space="preserve">1.2 </w:t>
      </w:r>
      <w:r>
        <w:rPr>
          <w:rFonts w:ascii="Arial" w:cs="Arial" w:eastAsia="Arial" w:hAnsi="Arial"/>
          <w:sz w:val="19"/>
          <w:szCs w:val="19"/>
          <w:b w:val="1"/>
          <w:bCs w:val="1"/>
          <w:u w:val="single" w:color="auto"/>
          <w:color w:val="000000"/>
        </w:rPr>
        <w:t>Restatement</w:t>
      </w:r>
      <w:r>
        <w:rPr>
          <w:rFonts w:ascii="Arial" w:cs="Arial" w:eastAsia="Arial" w:hAnsi="Arial"/>
          <w:sz w:val="19"/>
          <w:szCs w:val="19"/>
          <w:color w:val="000000"/>
        </w:rPr>
        <w:t>. The Ashland Global Holdings Inc. Supplemental Defined Contributions Plan for Certain</w:t>
      </w:r>
      <w:r>
        <w:rPr>
          <w:rFonts w:ascii="Arial" w:cs="Arial" w:eastAsia="Arial" w:hAnsi="Arial"/>
          <w:sz w:val="19"/>
          <w:szCs w:val="19"/>
          <w:b w:val="1"/>
          <w:bCs w:val="1"/>
          <w:color w:val="010000"/>
        </w:rPr>
        <w:t xml:space="preserve"> </w:t>
      </w:r>
      <w:r>
        <w:rPr>
          <w:rFonts w:ascii="Arial" w:cs="Arial" w:eastAsia="Arial" w:hAnsi="Arial"/>
          <w:sz w:val="19"/>
          <w:szCs w:val="19"/>
          <w:color w:val="000000"/>
        </w:rPr>
        <w:t>Employees was amended and restated on January 1, 2015, and further amended on September 30, 2016, and is hereby further</w:t>
      </w:r>
    </w:p>
    <w:tbl>
      <w:tblPr>
        <w:tblLayout w:type="fixed"/>
        <w:tblInd w:w="0" w:type="dxa"/>
        <w:tblCellMar>
          <w:top w:w="0" w:type="dxa"/>
          <w:left w:w="0" w:type="dxa"/>
          <w:bottom w:w="0" w:type="dxa"/>
          <w:right w:w="0" w:type="dxa"/>
        </w:tblCellMar>
      </w:tblPr>
      <w:tr>
        <w:trPr>
          <w:trHeight w:val="206"/>
        </w:trPr>
        <w:tc>
          <w:tcPr>
            <w:tcW w:w="2860" w:type="dxa"/>
            <w:vAlign w:val="bottom"/>
            <w:gridSpan w:val="2"/>
          </w:tcPr>
          <w:p>
            <w:pPr>
              <w:spacing w:after="0" w:line="206" w:lineRule="exact"/>
              <w:rPr>
                <w:sz w:val="20"/>
                <w:szCs w:val="20"/>
                <w:color w:val="auto"/>
              </w:rPr>
            </w:pPr>
            <w:r>
              <w:rPr>
                <w:rFonts w:ascii="Arial" w:cs="Arial" w:eastAsia="Arial" w:hAnsi="Arial"/>
                <w:sz w:val="22"/>
                <w:szCs w:val="22"/>
                <w:color w:val="auto"/>
                <w:w w:val="88"/>
              </w:rPr>
              <w:t>amended and restated as of May</w:t>
            </w:r>
          </w:p>
        </w:tc>
        <w:tc>
          <w:tcPr>
            <w:tcW w:w="420" w:type="dxa"/>
            <w:vAlign w:val="bottom"/>
            <w:tcBorders>
              <w:bottom w:val="single" w:sz="8" w:color="auto"/>
            </w:tcBorders>
          </w:tcPr>
          <w:p>
            <w:pPr>
              <w:spacing w:after="0"/>
              <w:rPr>
                <w:sz w:val="17"/>
                <w:szCs w:val="17"/>
                <w:color w:val="auto"/>
              </w:rPr>
            </w:pPr>
          </w:p>
        </w:tc>
        <w:tc>
          <w:tcPr>
            <w:tcW w:w="1820" w:type="dxa"/>
            <w:vAlign w:val="bottom"/>
            <w:gridSpan w:val="2"/>
          </w:tcPr>
          <w:p>
            <w:pPr>
              <w:jc w:val="right"/>
              <w:ind w:right="1000"/>
              <w:spacing w:after="0" w:line="206" w:lineRule="exact"/>
              <w:rPr>
                <w:sz w:val="20"/>
                <w:szCs w:val="20"/>
                <w:color w:val="auto"/>
              </w:rPr>
            </w:pPr>
            <w:r>
              <w:rPr>
                <w:rFonts w:ascii="Arial" w:cs="Arial" w:eastAsia="Arial" w:hAnsi="Arial"/>
                <w:sz w:val="22"/>
                <w:szCs w:val="22"/>
                <w:color w:val="auto"/>
                <w:w w:val="87"/>
              </w:rPr>
              <w:t>22, 2019.</w:t>
            </w:r>
          </w:p>
        </w:tc>
        <w:tc>
          <w:tcPr>
            <w:tcW w:w="6320" w:type="dxa"/>
            <w:vAlign w:val="bottom"/>
          </w:tcPr>
          <w:p>
            <w:pPr>
              <w:spacing w:after="0"/>
              <w:rPr>
                <w:sz w:val="17"/>
                <w:szCs w:val="17"/>
                <w:color w:val="auto"/>
              </w:rPr>
            </w:pPr>
          </w:p>
        </w:tc>
      </w:tr>
      <w:tr>
        <w:trPr>
          <w:trHeight w:val="439"/>
        </w:trPr>
        <w:tc>
          <w:tcPr>
            <w:tcW w:w="2460" w:type="dxa"/>
            <w:vAlign w:val="bottom"/>
          </w:tcPr>
          <w:p>
            <w:pPr>
              <w:jc w:val="right"/>
              <w:ind w:right="1192"/>
              <w:spacing w:after="0"/>
              <w:rPr>
                <w:sz w:val="20"/>
                <w:szCs w:val="20"/>
                <w:color w:val="auto"/>
              </w:rPr>
            </w:pPr>
            <w:r>
              <w:rPr>
                <w:rFonts w:ascii="Arial" w:cs="Arial" w:eastAsia="Arial" w:hAnsi="Arial"/>
                <w:sz w:val="22"/>
                <w:szCs w:val="22"/>
                <w:b w:val="1"/>
                <w:bCs w:val="1"/>
                <w:color w:val="010000"/>
              </w:rPr>
              <w:t>1.3</w:t>
            </w:r>
          </w:p>
        </w:tc>
        <w:tc>
          <w:tcPr>
            <w:tcW w:w="8960" w:type="dxa"/>
            <w:vAlign w:val="bottom"/>
            <w:gridSpan w:val="5"/>
          </w:tcPr>
          <w:p>
            <w:pPr>
              <w:spacing w:after="0"/>
              <w:rPr>
                <w:sz w:val="20"/>
                <w:szCs w:val="20"/>
                <w:color w:val="auto"/>
              </w:rPr>
            </w:pPr>
            <w:r>
              <w:rPr>
                <w:rFonts w:ascii="Arial" w:cs="Arial" w:eastAsia="Arial" w:hAnsi="Arial"/>
                <w:sz w:val="22"/>
                <w:szCs w:val="22"/>
                <w:b w:val="1"/>
                <w:bCs w:val="1"/>
                <w:color w:val="auto"/>
                <w:w w:val="97"/>
              </w:rPr>
              <w:t>Effective Date</w:t>
            </w:r>
            <w:r>
              <w:rPr>
                <w:rFonts w:ascii="Arial" w:cs="Arial" w:eastAsia="Arial" w:hAnsi="Arial"/>
                <w:sz w:val="22"/>
                <w:szCs w:val="22"/>
                <w:color w:val="auto"/>
                <w:w w:val="97"/>
              </w:rPr>
              <w:t>.  This Plan is effective January 1, 2015 except where a special effective date is</w:t>
            </w:r>
          </w:p>
        </w:tc>
      </w:tr>
      <w:tr>
        <w:trPr>
          <w:trHeight w:val="274"/>
        </w:trPr>
        <w:tc>
          <w:tcPr>
            <w:tcW w:w="2460" w:type="dxa"/>
            <w:vAlign w:val="bottom"/>
          </w:tcPr>
          <w:p>
            <w:pPr>
              <w:spacing w:after="0"/>
              <w:rPr>
                <w:sz w:val="20"/>
                <w:szCs w:val="20"/>
                <w:color w:val="auto"/>
              </w:rPr>
            </w:pPr>
            <w:r>
              <w:rPr>
                <w:rFonts w:ascii="Arial" w:cs="Arial" w:eastAsia="Arial" w:hAnsi="Arial"/>
                <w:sz w:val="22"/>
                <w:szCs w:val="22"/>
                <w:color w:val="auto"/>
              </w:rPr>
              <w:t>indicated herein.</w:t>
            </w:r>
          </w:p>
        </w:tc>
        <w:tc>
          <w:tcPr>
            <w:tcW w:w="4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6320" w:type="dxa"/>
            <w:vAlign w:val="bottom"/>
          </w:tcPr>
          <w:p>
            <w:pPr>
              <w:spacing w:after="0"/>
              <w:rPr>
                <w:sz w:val="23"/>
                <w:szCs w:val="23"/>
                <w:color w:val="auto"/>
              </w:rPr>
            </w:pPr>
          </w:p>
        </w:tc>
      </w:tr>
      <w:tr>
        <w:trPr>
          <w:trHeight w:val="409"/>
        </w:trPr>
        <w:tc>
          <w:tcPr>
            <w:tcW w:w="2460" w:type="dxa"/>
            <w:vAlign w:val="bottom"/>
          </w:tcPr>
          <w:p>
            <w:pPr>
              <w:jc w:val="right"/>
              <w:ind w:right="1192"/>
              <w:spacing w:after="0"/>
              <w:rPr>
                <w:sz w:val="20"/>
                <w:szCs w:val="20"/>
                <w:color w:val="auto"/>
              </w:rPr>
            </w:pPr>
            <w:r>
              <w:rPr>
                <w:rFonts w:ascii="Arial" w:cs="Arial" w:eastAsia="Arial" w:hAnsi="Arial"/>
                <w:sz w:val="22"/>
                <w:szCs w:val="22"/>
                <w:b w:val="1"/>
                <w:bCs w:val="1"/>
                <w:color w:val="010000"/>
              </w:rPr>
              <w:t>1.4</w:t>
            </w:r>
          </w:p>
        </w:tc>
        <w:tc>
          <w:tcPr>
            <w:tcW w:w="8960" w:type="dxa"/>
            <w:vAlign w:val="bottom"/>
            <w:gridSpan w:val="5"/>
          </w:tcPr>
          <w:p>
            <w:pPr>
              <w:spacing w:after="0"/>
              <w:rPr>
                <w:sz w:val="20"/>
                <w:szCs w:val="20"/>
                <w:color w:val="auto"/>
              </w:rPr>
            </w:pPr>
            <w:r>
              <w:rPr>
                <w:rFonts w:ascii="Arial" w:cs="Arial" w:eastAsia="Arial" w:hAnsi="Arial"/>
                <w:sz w:val="22"/>
                <w:szCs w:val="22"/>
                <w:b w:val="1"/>
                <w:bCs w:val="1"/>
                <w:color w:val="auto"/>
                <w:w w:val="87"/>
              </w:rPr>
              <w:t>Assignment and Assumption</w:t>
            </w:r>
            <w:r>
              <w:rPr>
                <w:rFonts w:ascii="Arial" w:cs="Arial" w:eastAsia="Arial" w:hAnsi="Arial"/>
                <w:sz w:val="22"/>
                <w:szCs w:val="22"/>
                <w:color w:val="auto"/>
                <w:w w:val="87"/>
              </w:rPr>
              <w:t>. The Plan was assumed by Ashland Global Holdings Inc. pursuant to the</w:t>
            </w:r>
          </w:p>
        </w:tc>
      </w:tr>
      <w:tr>
        <w:trPr>
          <w:trHeight w:val="20"/>
        </w:trPr>
        <w:tc>
          <w:tcPr>
            <w:tcW w:w="2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Assignment and Assumption Agreement, dated September 16, 2016 by and between Ashland Inc. and Ashland Global Holdings Inc.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22"/>
          <w:szCs w:val="22"/>
          <w:b w:val="1"/>
          <w:bCs w:val="1"/>
          <w:color w:val="010000"/>
        </w:rPr>
        <w:t xml:space="preserve">ARTICLE 2. </w:t>
      </w:r>
      <w:r>
        <w:rPr>
          <w:rFonts w:ascii="Arial" w:cs="Arial" w:eastAsia="Arial" w:hAnsi="Arial"/>
          <w:sz w:val="22"/>
          <w:szCs w:val="22"/>
          <w:b w:val="1"/>
          <w:bCs w:val="1"/>
          <w:color w:val="000000"/>
        </w:rPr>
        <w:t>DEFINITIONS</w:t>
      </w:r>
    </w:p>
    <w:p>
      <w:pPr>
        <w:spacing w:after="0" w:line="21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Pronouns used in the Plan are in the masculine gender but include the feminine gender unless the context clearly indicates otherwise. Wherever used herein, the following terms have the meanings set forth below, unless a different meaning is clearly required by the context:</w:t>
      </w:r>
    </w:p>
    <w:p>
      <w:pPr>
        <w:spacing w:after="0" w:line="180"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22"/>
          <w:szCs w:val="22"/>
          <w:b w:val="1"/>
          <w:bCs w:val="1"/>
          <w:color w:val="010000"/>
        </w:rPr>
        <w:t xml:space="preserve">2.1 </w:t>
      </w:r>
      <w:r>
        <w:rPr>
          <w:rFonts w:ascii="Arial" w:cs="Arial" w:eastAsia="Arial" w:hAnsi="Arial"/>
          <w:sz w:val="22"/>
          <w:szCs w:val="22"/>
          <w:b w:val="1"/>
          <w:bCs w:val="1"/>
          <w:color w:val="000000"/>
        </w:rPr>
        <w:t>“Account”</w:t>
      </w:r>
      <w:r>
        <w:rPr>
          <w:rFonts w:ascii="Arial" w:cs="Arial" w:eastAsia="Arial" w:hAnsi="Arial"/>
          <w:sz w:val="22"/>
          <w:szCs w:val="22"/>
          <w:b w:val="1"/>
          <w:bCs w:val="1"/>
          <w:color w:val="010000"/>
        </w:rPr>
        <w:t xml:space="preserve"> </w:t>
      </w:r>
      <w:r>
        <w:rPr>
          <w:rFonts w:ascii="Arial" w:cs="Arial" w:eastAsia="Arial" w:hAnsi="Arial"/>
          <w:sz w:val="22"/>
          <w:szCs w:val="22"/>
          <w:color w:val="000000"/>
        </w:rPr>
        <w:t>means an account established for the purpose of recording amounts credited on behalf of a</w:t>
      </w:r>
      <w:r>
        <w:rPr>
          <w:rFonts w:ascii="Arial" w:cs="Arial" w:eastAsia="Arial" w:hAnsi="Arial"/>
          <w:sz w:val="22"/>
          <w:szCs w:val="22"/>
          <w:b w:val="1"/>
          <w:bCs w:val="1"/>
          <w:color w:val="010000"/>
        </w:rPr>
        <w:t xml:space="preserve"> </w:t>
      </w:r>
      <w:r>
        <w:rPr>
          <w:rFonts w:ascii="Arial" w:cs="Arial" w:eastAsia="Arial" w:hAnsi="Arial"/>
          <w:sz w:val="22"/>
          <w:szCs w:val="22"/>
          <w:color w:val="000000"/>
        </w:rPr>
        <w:t>Participant and any income, expenses, gains, losses or distributions included thereon. The Account shall be a bookkeeping entry only and shall be utilized solely as a device for the measurement and determination of the amounts to be paid to a Participant pursuant to the Plan. Separate Accounts shall be established for a Participant by Plan Year and by type of contribution to the Participant.</w:t>
      </w:r>
    </w:p>
    <w:p>
      <w:pPr>
        <w:spacing w:after="0" w:line="183"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010000"/>
                <w:w w:val="84"/>
              </w:rPr>
              <w:t>2.2</w:t>
            </w:r>
          </w:p>
        </w:tc>
        <w:tc>
          <w:tcPr>
            <w:tcW w:w="9600" w:type="dxa"/>
            <w:vAlign w:val="bottom"/>
          </w:tcPr>
          <w:p>
            <w:pPr>
              <w:ind w:left="660"/>
              <w:spacing w:after="0"/>
              <w:rPr>
                <w:sz w:val="20"/>
                <w:szCs w:val="20"/>
                <w:color w:val="auto"/>
              </w:rPr>
            </w:pPr>
            <w:r>
              <w:rPr>
                <w:rFonts w:ascii="Arial" w:cs="Arial" w:eastAsia="Arial" w:hAnsi="Arial"/>
                <w:sz w:val="22"/>
                <w:szCs w:val="22"/>
                <w:b w:val="1"/>
                <w:bCs w:val="1"/>
                <w:color w:val="auto"/>
              </w:rPr>
              <w:t xml:space="preserve">“Ashland” </w:t>
            </w:r>
            <w:r>
              <w:rPr>
                <w:rFonts w:ascii="Arial" w:cs="Arial" w:eastAsia="Arial" w:hAnsi="Arial"/>
                <w:sz w:val="22"/>
                <w:szCs w:val="22"/>
                <w:color w:val="auto"/>
              </w:rPr>
              <w:t>means Ashland Global Holdings Inc. and all of its present or future subsidiaries.</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010000"/>
                <w:w w:val="84"/>
              </w:rPr>
              <w:t>2.3</w:t>
            </w:r>
          </w:p>
        </w:tc>
        <w:tc>
          <w:tcPr>
            <w:tcW w:w="9600" w:type="dxa"/>
            <w:vAlign w:val="bottom"/>
          </w:tcPr>
          <w:p>
            <w:pPr>
              <w:ind w:left="660"/>
              <w:spacing w:after="0"/>
              <w:rPr>
                <w:sz w:val="20"/>
                <w:szCs w:val="20"/>
                <w:color w:val="auto"/>
              </w:rPr>
            </w:pPr>
            <w:r>
              <w:rPr>
                <w:rFonts w:ascii="Arial" w:cs="Arial" w:eastAsia="Arial" w:hAnsi="Arial"/>
                <w:sz w:val="22"/>
                <w:szCs w:val="22"/>
                <w:b w:val="1"/>
                <w:bCs w:val="1"/>
                <w:color w:val="auto"/>
                <w:w w:val="90"/>
              </w:rPr>
              <w:t xml:space="preserve">“Base Compensation” </w:t>
            </w:r>
            <w:r>
              <w:rPr>
                <w:rFonts w:ascii="Arial" w:cs="Arial" w:eastAsia="Arial" w:hAnsi="Arial"/>
                <w:sz w:val="22"/>
                <w:szCs w:val="22"/>
                <w:color w:val="auto"/>
                <w:w w:val="90"/>
              </w:rPr>
              <w:t>means compensation paid to a Participant that is included in the definition of</w:t>
            </w:r>
          </w:p>
        </w:tc>
      </w:tr>
    </w:tbl>
    <w:p>
      <w:pPr>
        <w:jc w:val="both"/>
        <w:ind w:right="20"/>
        <w:spacing w:after="0" w:line="237" w:lineRule="auto"/>
        <w:rPr>
          <w:sz w:val="20"/>
          <w:szCs w:val="20"/>
          <w:color w:val="auto"/>
        </w:rPr>
      </w:pPr>
      <w:r>
        <w:rPr>
          <w:rFonts w:ascii="Arial" w:cs="Arial" w:eastAsia="Arial" w:hAnsi="Arial"/>
          <w:sz w:val="22"/>
          <w:szCs w:val="22"/>
          <w:color w:val="auto"/>
        </w:rPr>
        <w:t>Compensation for deferral purposes in the Savings Plan without giving effect to any reduction required by Code Section 401(a)(17) and which is not Incentive Compensation.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00" w:type="dxa"/>
            <w:vAlign w:val="bottom"/>
          </w:tcPr>
          <w:p>
            <w:pPr>
              <w:jc w:val="right"/>
              <w:ind w:right="832"/>
              <w:spacing w:after="0"/>
              <w:rPr>
                <w:sz w:val="20"/>
                <w:szCs w:val="20"/>
                <w:color w:val="auto"/>
              </w:rPr>
            </w:pPr>
            <w:r>
              <w:rPr>
                <w:rFonts w:ascii="Arial" w:cs="Arial" w:eastAsia="Arial" w:hAnsi="Arial"/>
                <w:sz w:val="22"/>
                <w:szCs w:val="22"/>
                <w:b w:val="1"/>
                <w:bCs w:val="1"/>
                <w:color w:val="010000"/>
              </w:rPr>
              <w:t>2.4</w:t>
            </w:r>
          </w:p>
        </w:tc>
        <w:tc>
          <w:tcPr>
            <w:tcW w:w="9320" w:type="dxa"/>
            <w:vAlign w:val="bottom"/>
          </w:tcPr>
          <w:p>
            <w:pPr>
              <w:ind w:left="360"/>
              <w:spacing w:after="0"/>
              <w:rPr>
                <w:sz w:val="20"/>
                <w:szCs w:val="20"/>
                <w:color w:val="auto"/>
              </w:rPr>
            </w:pPr>
            <w:r>
              <w:rPr>
                <w:rFonts w:ascii="Arial" w:cs="Arial" w:eastAsia="Arial" w:hAnsi="Arial"/>
                <w:sz w:val="22"/>
                <w:szCs w:val="22"/>
                <w:b w:val="1"/>
                <w:bCs w:val="1"/>
                <w:color w:val="auto"/>
                <w:w w:val="95"/>
              </w:rPr>
              <w:t xml:space="preserve">“Base Compensation Deferrals” </w:t>
            </w:r>
            <w:r>
              <w:rPr>
                <w:rFonts w:ascii="Arial" w:cs="Arial" w:eastAsia="Arial" w:hAnsi="Arial"/>
                <w:sz w:val="22"/>
                <w:szCs w:val="22"/>
                <w:color w:val="auto"/>
                <w:w w:val="95"/>
              </w:rPr>
              <w:t>means Base Compensation that is deferred into the Deferred</w:t>
            </w:r>
          </w:p>
        </w:tc>
      </w:tr>
      <w:tr>
        <w:trPr>
          <w:trHeight w:val="275"/>
        </w:trPr>
        <w:tc>
          <w:tcPr>
            <w:tcW w:w="2100" w:type="dxa"/>
            <w:vAlign w:val="bottom"/>
          </w:tcPr>
          <w:p>
            <w:pPr>
              <w:spacing w:after="0"/>
              <w:rPr>
                <w:sz w:val="20"/>
                <w:szCs w:val="20"/>
                <w:color w:val="auto"/>
              </w:rPr>
            </w:pPr>
            <w:r>
              <w:rPr>
                <w:rFonts w:ascii="Arial" w:cs="Arial" w:eastAsia="Arial" w:hAnsi="Arial"/>
                <w:sz w:val="22"/>
                <w:szCs w:val="22"/>
                <w:color w:val="auto"/>
              </w:rPr>
              <w:t>Compensation Plan.</w:t>
            </w:r>
          </w:p>
        </w:tc>
        <w:tc>
          <w:tcPr>
            <w:tcW w:w="9320" w:type="dxa"/>
            <w:vAlign w:val="bottom"/>
          </w:tcPr>
          <w:p>
            <w:pPr>
              <w:spacing w:after="0"/>
              <w:rPr>
                <w:sz w:val="23"/>
                <w:szCs w:val="23"/>
                <w:color w:val="auto"/>
              </w:rPr>
            </w:pPr>
          </w:p>
        </w:tc>
      </w:tr>
      <w:tr>
        <w:trPr>
          <w:trHeight w:val="428"/>
        </w:trPr>
        <w:tc>
          <w:tcPr>
            <w:tcW w:w="2100" w:type="dxa"/>
            <w:vAlign w:val="bottom"/>
          </w:tcPr>
          <w:p>
            <w:pPr>
              <w:jc w:val="right"/>
              <w:ind w:right="832"/>
              <w:spacing w:after="0"/>
              <w:rPr>
                <w:sz w:val="20"/>
                <w:szCs w:val="20"/>
                <w:color w:val="auto"/>
              </w:rPr>
            </w:pPr>
            <w:r>
              <w:rPr>
                <w:rFonts w:ascii="Arial" w:cs="Arial" w:eastAsia="Arial" w:hAnsi="Arial"/>
                <w:sz w:val="22"/>
                <w:szCs w:val="22"/>
                <w:b w:val="1"/>
                <w:bCs w:val="1"/>
                <w:color w:val="010000"/>
              </w:rPr>
              <w:t>2.5</w:t>
            </w:r>
          </w:p>
        </w:tc>
        <w:tc>
          <w:tcPr>
            <w:tcW w:w="9320" w:type="dxa"/>
            <w:vAlign w:val="bottom"/>
          </w:tcPr>
          <w:p>
            <w:pPr>
              <w:ind w:left="360"/>
              <w:spacing w:after="0"/>
              <w:rPr>
                <w:sz w:val="20"/>
                <w:szCs w:val="20"/>
                <w:color w:val="auto"/>
              </w:rPr>
            </w:pPr>
            <w:r>
              <w:rPr>
                <w:rFonts w:ascii="Arial" w:cs="Arial" w:eastAsia="Arial" w:hAnsi="Arial"/>
                <w:sz w:val="22"/>
                <w:szCs w:val="22"/>
                <w:b w:val="1"/>
                <w:bCs w:val="1"/>
                <w:color w:val="auto"/>
                <w:w w:val="89"/>
              </w:rPr>
              <w:t xml:space="preserve">“Basic Retirement Contribution” </w:t>
            </w:r>
            <w:r>
              <w:rPr>
                <w:rFonts w:ascii="Arial" w:cs="Arial" w:eastAsia="Arial" w:hAnsi="Arial"/>
                <w:sz w:val="22"/>
                <w:szCs w:val="22"/>
                <w:color w:val="auto"/>
                <w:w w:val="89"/>
              </w:rPr>
              <w:t>means the Basic Retirement Contribution as defined in the Savings</w:t>
            </w:r>
          </w:p>
        </w:tc>
      </w:tr>
      <w:tr>
        <w:trPr>
          <w:trHeight w:val="275"/>
        </w:trPr>
        <w:tc>
          <w:tcPr>
            <w:tcW w:w="2100" w:type="dxa"/>
            <w:vAlign w:val="bottom"/>
          </w:tcPr>
          <w:p>
            <w:pPr>
              <w:spacing w:after="0"/>
              <w:rPr>
                <w:sz w:val="20"/>
                <w:szCs w:val="20"/>
                <w:color w:val="auto"/>
              </w:rPr>
            </w:pPr>
            <w:r>
              <w:rPr>
                <w:rFonts w:ascii="Arial" w:cs="Arial" w:eastAsia="Arial" w:hAnsi="Arial"/>
                <w:sz w:val="22"/>
                <w:szCs w:val="22"/>
                <w:color w:val="auto"/>
              </w:rPr>
              <w:t>Plan.</w:t>
            </w:r>
          </w:p>
        </w:tc>
        <w:tc>
          <w:tcPr>
            <w:tcW w:w="9320" w:type="dxa"/>
            <w:vAlign w:val="bottom"/>
          </w:tcPr>
          <w:p>
            <w:pPr>
              <w:spacing w:after="0"/>
              <w:rPr>
                <w:sz w:val="23"/>
                <w:szCs w:val="23"/>
                <w:color w:val="auto"/>
              </w:rPr>
            </w:pPr>
          </w:p>
        </w:tc>
      </w:tr>
      <w:tr>
        <w:trPr>
          <w:trHeight w:val="446"/>
        </w:trPr>
        <w:tc>
          <w:tcPr>
            <w:tcW w:w="2100" w:type="dxa"/>
            <w:vAlign w:val="bottom"/>
          </w:tcPr>
          <w:p>
            <w:pPr>
              <w:jc w:val="right"/>
              <w:ind w:right="832"/>
              <w:spacing w:after="0"/>
              <w:rPr>
                <w:sz w:val="20"/>
                <w:szCs w:val="20"/>
                <w:color w:val="auto"/>
              </w:rPr>
            </w:pPr>
            <w:r>
              <w:rPr>
                <w:rFonts w:ascii="Arial" w:cs="Arial" w:eastAsia="Arial" w:hAnsi="Arial"/>
                <w:sz w:val="22"/>
                <w:szCs w:val="22"/>
                <w:b w:val="1"/>
                <w:bCs w:val="1"/>
                <w:color w:val="010000"/>
              </w:rPr>
              <w:t>2.6</w:t>
            </w:r>
          </w:p>
        </w:tc>
        <w:tc>
          <w:tcPr>
            <w:tcW w:w="9320" w:type="dxa"/>
            <w:vAlign w:val="bottom"/>
          </w:tcPr>
          <w:p>
            <w:pPr>
              <w:ind w:left="360"/>
              <w:spacing w:after="0"/>
              <w:rPr>
                <w:sz w:val="20"/>
                <w:szCs w:val="20"/>
                <w:color w:val="auto"/>
              </w:rPr>
            </w:pPr>
            <w:r>
              <w:rPr>
                <w:rFonts w:ascii="Arial" w:cs="Arial" w:eastAsia="Arial" w:hAnsi="Arial"/>
                <w:sz w:val="22"/>
                <w:szCs w:val="22"/>
                <w:b w:val="1"/>
                <w:bCs w:val="1"/>
                <w:color w:val="auto"/>
                <w:w w:val="88"/>
              </w:rPr>
              <w:t xml:space="preserve">“Beneficiary” </w:t>
            </w:r>
            <w:r>
              <w:rPr>
                <w:rFonts w:ascii="Arial" w:cs="Arial" w:eastAsia="Arial" w:hAnsi="Arial"/>
                <w:sz w:val="22"/>
                <w:szCs w:val="22"/>
                <w:color w:val="auto"/>
                <w:w w:val="88"/>
              </w:rPr>
              <w:t>means the persons, trusts, estates or other entities designated in writing by a Participant,</w:t>
            </w:r>
          </w:p>
        </w:tc>
      </w:tr>
    </w:tbl>
    <w:p>
      <w:pPr>
        <w:jc w:val="both"/>
        <w:spacing w:after="0" w:line="234" w:lineRule="auto"/>
        <w:rPr>
          <w:sz w:val="20"/>
          <w:szCs w:val="20"/>
          <w:color w:val="auto"/>
        </w:rPr>
      </w:pPr>
      <w:r>
        <w:rPr>
          <w:rFonts w:ascii="Arial" w:cs="Arial" w:eastAsia="Arial" w:hAnsi="Arial"/>
          <w:sz w:val="22"/>
          <w:szCs w:val="22"/>
          <w:color w:val="auto"/>
        </w:rPr>
        <w:t>or otherwise entitled to receive benefits under the Plan upon the death of a Participant. If a Participant fails to designate a Beneficiary, then the Participant’s Beneficiary shall be the Participant’s spouse or, if the Participant does not have a spouse on the Participant’s date of death, the Participant’s estate.</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010000"/>
                <w:w w:val="84"/>
              </w:rPr>
              <w:t>2.7</w:t>
            </w:r>
          </w:p>
        </w:tc>
        <w:tc>
          <w:tcPr>
            <w:tcW w:w="9620" w:type="dxa"/>
            <w:vAlign w:val="bottom"/>
          </w:tcPr>
          <w:p>
            <w:pPr>
              <w:ind w:left="660"/>
              <w:spacing w:after="0"/>
              <w:rPr>
                <w:sz w:val="20"/>
                <w:szCs w:val="20"/>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means the Board of Directors of Ashland Global Holdings Inc.</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010000"/>
                <w:w w:val="84"/>
              </w:rPr>
              <w:t>2.8</w:t>
            </w:r>
          </w:p>
        </w:tc>
        <w:tc>
          <w:tcPr>
            <w:tcW w:w="9620" w:type="dxa"/>
            <w:vAlign w:val="bottom"/>
          </w:tcPr>
          <w:p>
            <w:pPr>
              <w:ind w:left="660"/>
              <w:spacing w:after="0"/>
              <w:rPr>
                <w:sz w:val="20"/>
                <w:szCs w:val="20"/>
                <w:color w:val="auto"/>
              </w:rPr>
            </w:pPr>
            <w:r>
              <w:rPr>
                <w:rFonts w:ascii="Arial" w:cs="Arial" w:eastAsia="Arial" w:hAnsi="Arial"/>
                <w:sz w:val="22"/>
                <w:szCs w:val="22"/>
                <w:b w:val="1"/>
                <w:bCs w:val="1"/>
                <w:color w:val="auto"/>
                <w:w w:val="90"/>
              </w:rPr>
              <w:t>“Cause”</w:t>
            </w:r>
            <w:r>
              <w:rPr>
                <w:rFonts w:ascii="Arial" w:cs="Arial" w:eastAsia="Arial" w:hAnsi="Arial"/>
                <w:sz w:val="22"/>
                <w:szCs w:val="22"/>
                <w:color w:val="auto"/>
                <w:w w:val="90"/>
              </w:rPr>
              <w:t>, for Participants without a Change in Control agreement with Ashland, as defined by Section</w:t>
            </w:r>
          </w:p>
        </w:tc>
      </w:tr>
    </w:tbl>
    <w:p>
      <w:pPr>
        <w:jc w:val="both"/>
        <w:spacing w:after="0" w:line="237" w:lineRule="auto"/>
        <w:rPr>
          <w:sz w:val="20"/>
          <w:szCs w:val="20"/>
          <w:color w:val="auto"/>
        </w:rPr>
      </w:pPr>
      <w:r>
        <w:rPr>
          <w:rFonts w:ascii="Arial" w:cs="Arial" w:eastAsia="Arial" w:hAnsi="Arial"/>
          <w:sz w:val="22"/>
          <w:szCs w:val="22"/>
          <w:color w:val="auto"/>
        </w:rPr>
        <w:t>3.02 of the SERP, and, for Participants with a Change in Control agreement with Ashland, as defined by the Participant’s Change in Control agreement.</w:t>
      </w:r>
    </w:p>
    <w:p>
      <w:pPr>
        <w:spacing w:after="0" w:line="179" w:lineRule="exact"/>
        <w:rPr>
          <w:sz w:val="20"/>
          <w:szCs w:val="20"/>
          <w:color w:val="auto"/>
        </w:rPr>
      </w:pPr>
    </w:p>
    <w:p>
      <w:pPr>
        <w:ind w:right="40" w:firstLine="877"/>
        <w:spacing w:after="0" w:line="248" w:lineRule="auto"/>
        <w:rPr>
          <w:sz w:val="20"/>
          <w:szCs w:val="20"/>
          <w:color w:val="auto"/>
        </w:rPr>
      </w:pPr>
      <w:r>
        <w:rPr>
          <w:rFonts w:ascii="Arial" w:cs="Arial" w:eastAsia="Arial" w:hAnsi="Arial"/>
          <w:sz w:val="21"/>
          <w:szCs w:val="21"/>
          <w:b w:val="1"/>
          <w:bCs w:val="1"/>
          <w:color w:val="010000"/>
        </w:rPr>
        <w:t xml:space="preserve">2.9 </w:t>
      </w:r>
      <w:r>
        <w:rPr>
          <w:rFonts w:ascii="Arial" w:cs="Arial" w:eastAsia="Arial" w:hAnsi="Arial"/>
          <w:sz w:val="21"/>
          <w:szCs w:val="21"/>
          <w:b w:val="1"/>
          <w:bCs w:val="1"/>
          <w:color w:val="000000"/>
        </w:rPr>
        <w:t>“Change in Control”</w:t>
      </w:r>
      <w:r>
        <w:rPr>
          <w:rFonts w:ascii="Arial" w:cs="Arial" w:eastAsia="Arial" w:hAnsi="Arial"/>
          <w:sz w:val="21"/>
          <w:szCs w:val="21"/>
          <w:b w:val="1"/>
          <w:bCs w:val="1"/>
          <w:color w:val="010000"/>
        </w:rPr>
        <w:t xml:space="preserve"> </w:t>
      </w:r>
      <w:r>
        <w:rPr>
          <w:rFonts w:ascii="Arial" w:cs="Arial" w:eastAsia="Arial" w:hAnsi="Arial"/>
          <w:sz w:val="21"/>
          <w:szCs w:val="21"/>
          <w:color w:val="000000"/>
        </w:rPr>
        <w:t>shall be deemed to occur (1) upon approval of the shareholders of Ashland (or if</w:t>
      </w:r>
      <w:r>
        <w:rPr>
          <w:rFonts w:ascii="Arial" w:cs="Arial" w:eastAsia="Arial" w:hAnsi="Arial"/>
          <w:sz w:val="21"/>
          <w:szCs w:val="21"/>
          <w:b w:val="1"/>
          <w:bCs w:val="1"/>
          <w:color w:val="010000"/>
        </w:rPr>
        <w:t xml:space="preserve"> </w:t>
      </w:r>
      <w:r>
        <w:rPr>
          <w:rFonts w:ascii="Arial" w:cs="Arial" w:eastAsia="Arial" w:hAnsi="Arial"/>
          <w:sz w:val="21"/>
          <w:szCs w:val="21"/>
          <w:color w:val="000000"/>
        </w:rPr>
        <w:t>such approval is not required, upon the approval of the Board) of (A) any consolidation or merger of Ashland (a “Business Combination”), other than a consolidation or merger of Ashland into or with a direct or indirect wholly-owned subsidiary, in which the shareholders of Ashland own, directly or indirectly, less than 50% of the then outstanding membership interests or shares of the Business Combination that are entitled to vote generally for the election of directors of the Business Combination or pursuant to which shares of Ashland would be converted into cash, securities or other property, other than a merger of Ashland in which the holders of the Ashland shares immediately prior to the merger have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8" w:name="page189"/>
    <w:bookmarkEnd w:id="188"/>
    <w:p>
      <w:pPr>
        <w:spacing w:after="0"/>
        <w:rPr>
          <w:sz w:val="20"/>
          <w:szCs w:val="20"/>
          <w:color w:val="auto"/>
        </w:rPr>
      </w:pPr>
      <w:r>
        <w:rPr>
          <w:rFonts w:ascii="Arial" w:cs="Arial" w:eastAsia="Arial" w:hAnsi="Arial"/>
          <w:sz w:val="19"/>
          <w:szCs w:val="19"/>
          <w:color w:val="auto"/>
        </w:rPr>
        <w:t>substantially the same proportionate ownership of membership interests of the surviving company immediately after the merger,</w:t>
      </w:r>
    </w:p>
    <w:p>
      <w:pPr>
        <w:spacing w:after="0" w:line="43" w:lineRule="exact"/>
        <w:rPr>
          <w:sz w:val="20"/>
          <w:szCs w:val="20"/>
          <w:color w:val="auto"/>
        </w:rPr>
      </w:pPr>
    </w:p>
    <w:p>
      <w:pPr>
        <w:ind w:right="60" w:firstLine="8"/>
        <w:spacing w:after="0" w:line="271" w:lineRule="auto"/>
        <w:tabs>
          <w:tab w:leader="none" w:pos="342" w:val="left"/>
        </w:tabs>
        <w:numPr>
          <w:ilvl w:val="0"/>
          <w:numId w:val="97"/>
        </w:numPr>
        <w:rPr>
          <w:rFonts w:ascii="Arial" w:cs="Arial" w:eastAsia="Arial" w:hAnsi="Arial"/>
          <w:sz w:val="19"/>
          <w:szCs w:val="19"/>
          <w:color w:val="auto"/>
        </w:rPr>
      </w:pPr>
      <w:r>
        <w:rPr>
          <w:rFonts w:ascii="Arial" w:cs="Arial" w:eastAsia="Arial" w:hAnsi="Arial"/>
          <w:sz w:val="19"/>
          <w:szCs w:val="19"/>
          <w:color w:val="auto"/>
        </w:rPr>
        <w:t>any sale, lease, exchange, or other transfer (in one transaction or a series of related transactions) of all or substantially all the assets of Ashland, provided, however, that no sale, lease, exchange or other transfer of all or substantially all the assets of Ashland shall be deemed to occur unless assets constituting 80% of the total assets of Ashland are transferred pursuant to such sale, lease exchange or other transfer, or (C) adoption of any plan or proposal for the liquidation or dissolution of Ashland, (2) when any person (as defined in Section 3(a)(9) or 13(d) of the Exchange Act), other than Ashland or any subsidiary or employee benefit plan or trust maintained by Ashland, shall become the beneficial owner (as defined in Rule 13d-3 under the Exchange Act), directly or indirectly, of more than 25% of Ashland’s shares outstanding at the time, without the approval of the Board, or (3) at any time during a period of two consecutive years, individuals who at the beginning of such period constituted the Board shall cease for any reason to constitute at least a majority thereof, unless the election or the nomination for election by Ashland’s shareholders of each new director during such two-year period was approved by a vote of at least two-thirds of the directors then still in office who were directors at the beginning of such two-year period.</w:t>
      </w:r>
    </w:p>
    <w:p>
      <w:pPr>
        <w:spacing w:after="0" w:line="152"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20" w:type="dxa"/>
            <w:vAlign w:val="bottom"/>
          </w:tcPr>
          <w:p>
            <w:pPr>
              <w:spacing w:after="0"/>
              <w:rPr>
                <w:sz w:val="20"/>
                <w:szCs w:val="20"/>
                <w:color w:val="auto"/>
              </w:rPr>
            </w:pPr>
            <w:r>
              <w:rPr>
                <w:rFonts w:ascii="Arial" w:cs="Arial" w:eastAsia="Arial" w:hAnsi="Arial"/>
                <w:sz w:val="22"/>
                <w:szCs w:val="22"/>
                <w:b w:val="1"/>
                <w:bCs w:val="1"/>
                <w:color w:val="010000"/>
              </w:rPr>
              <w:t>2.10</w:t>
            </w:r>
          </w:p>
        </w:tc>
        <w:tc>
          <w:tcPr>
            <w:tcW w:w="9500" w:type="dxa"/>
            <w:vAlign w:val="bottom"/>
          </w:tcPr>
          <w:p>
            <w:pPr>
              <w:ind w:left="660"/>
              <w:spacing w:after="0"/>
              <w:rPr>
                <w:sz w:val="20"/>
                <w:szCs w:val="20"/>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means the Internal Revenue Code of 1986, as amended.</w:t>
            </w:r>
          </w:p>
        </w:tc>
      </w:tr>
      <w:tr>
        <w:trPr>
          <w:trHeight w:val="459"/>
        </w:trPr>
        <w:tc>
          <w:tcPr>
            <w:tcW w:w="1020" w:type="dxa"/>
            <w:vAlign w:val="bottom"/>
          </w:tcPr>
          <w:p>
            <w:pPr>
              <w:spacing w:after="0"/>
              <w:rPr>
                <w:sz w:val="20"/>
                <w:szCs w:val="20"/>
                <w:color w:val="auto"/>
              </w:rPr>
            </w:pPr>
            <w:r>
              <w:rPr>
                <w:rFonts w:ascii="Arial" w:cs="Arial" w:eastAsia="Arial" w:hAnsi="Arial"/>
                <w:sz w:val="22"/>
                <w:szCs w:val="22"/>
                <w:b w:val="1"/>
                <w:bCs w:val="1"/>
                <w:color w:val="010000"/>
              </w:rPr>
              <w:t>2.11</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rPr>
              <w:t xml:space="preserve">“Committee” </w:t>
            </w:r>
            <w:r>
              <w:rPr>
                <w:rFonts w:ascii="Arial" w:cs="Arial" w:eastAsia="Arial" w:hAnsi="Arial"/>
                <w:sz w:val="22"/>
                <w:szCs w:val="22"/>
                <w:color w:val="auto"/>
              </w:rPr>
              <w:t>means the Compensation Committee of the Board and its designees.</w:t>
            </w:r>
          </w:p>
        </w:tc>
      </w:tr>
      <w:tr>
        <w:trPr>
          <w:trHeight w:val="446"/>
        </w:trPr>
        <w:tc>
          <w:tcPr>
            <w:tcW w:w="1020" w:type="dxa"/>
            <w:vAlign w:val="bottom"/>
          </w:tcPr>
          <w:p>
            <w:pPr>
              <w:spacing w:after="0"/>
              <w:rPr>
                <w:sz w:val="20"/>
                <w:szCs w:val="20"/>
                <w:color w:val="auto"/>
              </w:rPr>
            </w:pPr>
            <w:r>
              <w:rPr>
                <w:rFonts w:ascii="Arial" w:cs="Arial" w:eastAsia="Arial" w:hAnsi="Arial"/>
                <w:sz w:val="22"/>
                <w:szCs w:val="22"/>
                <w:b w:val="1"/>
                <w:bCs w:val="1"/>
                <w:color w:val="010000"/>
              </w:rPr>
              <w:t>2.12</w:t>
            </w:r>
          </w:p>
        </w:tc>
        <w:tc>
          <w:tcPr>
            <w:tcW w:w="9500" w:type="dxa"/>
            <w:vAlign w:val="bottom"/>
          </w:tcPr>
          <w:p>
            <w:pPr>
              <w:ind w:left="660"/>
              <w:spacing w:after="0"/>
              <w:rPr>
                <w:sz w:val="20"/>
                <w:szCs w:val="20"/>
                <w:color w:val="auto"/>
              </w:rPr>
            </w:pPr>
            <w:r>
              <w:rPr>
                <w:rFonts w:ascii="Arial" w:cs="Arial" w:eastAsia="Arial" w:hAnsi="Arial"/>
                <w:sz w:val="22"/>
                <w:szCs w:val="22"/>
                <w:b w:val="1"/>
                <w:bCs w:val="1"/>
                <w:color w:val="auto"/>
                <w:w w:val="93"/>
              </w:rPr>
              <w:t xml:space="preserve">“Credited Service” </w:t>
            </w:r>
            <w:r>
              <w:rPr>
                <w:rFonts w:ascii="Arial" w:cs="Arial" w:eastAsia="Arial" w:hAnsi="Arial"/>
                <w:sz w:val="22"/>
                <w:szCs w:val="22"/>
                <w:color w:val="auto"/>
                <w:w w:val="93"/>
              </w:rPr>
              <w:t>means a period of employment with the Employer or a Related Employer for</w:t>
            </w:r>
          </w:p>
        </w:tc>
      </w:tr>
    </w:tbl>
    <w:p>
      <w:pPr>
        <w:jc w:val="both"/>
        <w:spacing w:after="0" w:line="237" w:lineRule="auto"/>
        <w:rPr>
          <w:sz w:val="20"/>
          <w:szCs w:val="20"/>
          <w:color w:val="auto"/>
        </w:rPr>
      </w:pPr>
      <w:r>
        <w:rPr>
          <w:rFonts w:ascii="Arial" w:cs="Arial" w:eastAsia="Arial" w:hAnsi="Arial"/>
          <w:sz w:val="22"/>
          <w:szCs w:val="22"/>
          <w:color w:val="auto"/>
        </w:rPr>
        <w:t>which credit is given under the Employer’s Adjusted Service Date policy in effect when the Employee suffers a Separation from Service.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010000"/>
              </w:rPr>
              <w:t>2.13</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w w:val="91"/>
              </w:rPr>
              <w:t xml:space="preserve">“Deferred Compensation Plan” </w:t>
            </w:r>
            <w:r>
              <w:rPr>
                <w:rFonts w:ascii="Arial" w:cs="Arial" w:eastAsia="Arial" w:hAnsi="Arial"/>
                <w:sz w:val="22"/>
                <w:szCs w:val="22"/>
                <w:color w:val="auto"/>
                <w:w w:val="91"/>
              </w:rPr>
              <w:t>means the Ashland Global Holdings Inc. Deferred Compensation</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Plan for Employees, as may be amended from time to time.</w:t>
            </w:r>
          </w:p>
        </w:tc>
      </w:tr>
      <w:tr>
        <w:trPr>
          <w:trHeight w:val="446"/>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010000"/>
              </w:rPr>
              <w:t>2.14</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w w:val="92"/>
              </w:rPr>
              <w:t xml:space="preserve">“Disabled” or “Disability” </w:t>
            </w:r>
            <w:r>
              <w:rPr>
                <w:rFonts w:ascii="Arial" w:cs="Arial" w:eastAsia="Arial" w:hAnsi="Arial"/>
                <w:sz w:val="22"/>
                <w:szCs w:val="22"/>
                <w:color w:val="auto"/>
                <w:w w:val="92"/>
              </w:rPr>
              <w:t>means a determination by Ashland that the Participant is, by reason of</w:t>
            </w:r>
          </w:p>
        </w:tc>
      </w:tr>
    </w:tbl>
    <w:p>
      <w:pPr>
        <w:jc w:val="both"/>
        <w:spacing w:after="0" w:line="244" w:lineRule="auto"/>
        <w:rPr>
          <w:sz w:val="20"/>
          <w:szCs w:val="20"/>
          <w:color w:val="auto"/>
        </w:rPr>
      </w:pPr>
      <w:r>
        <w:rPr>
          <w:rFonts w:ascii="Arial" w:cs="Arial" w:eastAsia="Arial" w:hAnsi="Arial"/>
          <w:sz w:val="21"/>
          <w:szCs w:val="21"/>
          <w:color w:val="auto"/>
        </w:rPr>
        <w:t>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Ashland or any Related Employer. A Participant also will be considered disabled if he is determined (a) to be totally disabled by the Social Security Administration, or (b) to be disabled in accordance with a disability insurance program, provided that the definition of disability applied under such disability insurance program complies with the requirements of Treasury Regulation Section 1.409A-3(i)(4). The Committee or its delegate shall determine whether a Participant has incurred a Disability.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280" w:type="dxa"/>
            <w:vAlign w:val="bottom"/>
          </w:tcPr>
          <w:p>
            <w:pPr>
              <w:jc w:val="right"/>
              <w:ind w:right="912"/>
              <w:spacing w:after="0"/>
              <w:rPr>
                <w:sz w:val="20"/>
                <w:szCs w:val="20"/>
                <w:color w:val="auto"/>
              </w:rPr>
            </w:pPr>
            <w:r>
              <w:rPr>
                <w:rFonts w:ascii="Arial" w:cs="Arial" w:eastAsia="Arial" w:hAnsi="Arial"/>
                <w:sz w:val="22"/>
                <w:szCs w:val="22"/>
                <w:b w:val="1"/>
                <w:bCs w:val="1"/>
                <w:color w:val="010000"/>
              </w:rPr>
              <w:t>2.15</w:t>
            </w:r>
          </w:p>
        </w:tc>
        <w:tc>
          <w:tcPr>
            <w:tcW w:w="9120" w:type="dxa"/>
            <w:vAlign w:val="bottom"/>
            <w:gridSpan w:val="3"/>
          </w:tcPr>
          <w:p>
            <w:pPr>
              <w:ind w:left="280"/>
              <w:spacing w:after="0"/>
              <w:rPr>
                <w:sz w:val="20"/>
                <w:szCs w:val="20"/>
                <w:color w:val="auto"/>
              </w:rPr>
            </w:pPr>
            <w:r>
              <w:rPr>
                <w:rFonts w:ascii="Arial" w:cs="Arial" w:eastAsia="Arial" w:hAnsi="Arial"/>
                <w:sz w:val="22"/>
                <w:szCs w:val="22"/>
                <w:b w:val="1"/>
                <w:bCs w:val="1"/>
                <w:color w:val="auto"/>
                <w:w w:val="91"/>
              </w:rPr>
              <w:t xml:space="preserve">“Effective Date” </w:t>
            </w:r>
            <w:r>
              <w:rPr>
                <w:rFonts w:ascii="Arial" w:cs="Arial" w:eastAsia="Arial" w:hAnsi="Arial"/>
                <w:sz w:val="22"/>
                <w:szCs w:val="22"/>
                <w:color w:val="auto"/>
                <w:w w:val="91"/>
              </w:rPr>
              <w:t>means January 1, 2015 except where a special effective date is indicated herein.</w:t>
            </w:r>
          </w:p>
        </w:tc>
      </w:tr>
      <w:tr>
        <w:trPr>
          <w:trHeight w:val="459"/>
        </w:trPr>
        <w:tc>
          <w:tcPr>
            <w:tcW w:w="2280" w:type="dxa"/>
            <w:vAlign w:val="bottom"/>
          </w:tcPr>
          <w:p>
            <w:pPr>
              <w:jc w:val="right"/>
              <w:ind w:right="912"/>
              <w:spacing w:after="0"/>
              <w:rPr>
                <w:sz w:val="20"/>
                <w:szCs w:val="20"/>
                <w:color w:val="auto"/>
              </w:rPr>
            </w:pPr>
            <w:r>
              <w:rPr>
                <w:rFonts w:ascii="Arial" w:cs="Arial" w:eastAsia="Arial" w:hAnsi="Arial"/>
                <w:sz w:val="22"/>
                <w:szCs w:val="22"/>
                <w:b w:val="1"/>
                <w:bCs w:val="1"/>
                <w:color w:val="010000"/>
              </w:rPr>
              <w:t>2.16</w:t>
            </w:r>
          </w:p>
        </w:tc>
        <w:tc>
          <w:tcPr>
            <w:tcW w:w="9120" w:type="dxa"/>
            <w:vAlign w:val="bottom"/>
            <w:gridSpan w:val="3"/>
          </w:tcPr>
          <w:p>
            <w:pPr>
              <w:ind w:left="280"/>
              <w:spacing w:after="0"/>
              <w:rPr>
                <w:sz w:val="20"/>
                <w:szCs w:val="20"/>
                <w:color w:val="auto"/>
              </w:rPr>
            </w:pPr>
            <w:r>
              <w:rPr>
                <w:rFonts w:ascii="Arial" w:cs="Arial" w:eastAsia="Arial" w:hAnsi="Arial"/>
                <w:sz w:val="22"/>
                <w:szCs w:val="22"/>
                <w:b w:val="1"/>
                <w:bCs w:val="1"/>
                <w:color w:val="auto"/>
              </w:rPr>
              <w:t xml:space="preserve">“Effective Retirement Date” </w:t>
            </w:r>
            <w:r>
              <w:rPr>
                <w:rFonts w:ascii="Arial" w:cs="Arial" w:eastAsia="Arial" w:hAnsi="Arial"/>
                <w:sz w:val="22"/>
                <w:szCs w:val="22"/>
                <w:color w:val="auto"/>
              </w:rPr>
              <w:t>means:</w:t>
            </w:r>
          </w:p>
        </w:tc>
      </w:tr>
      <w:tr>
        <w:trPr>
          <w:trHeight w:val="409"/>
        </w:trPr>
        <w:tc>
          <w:tcPr>
            <w:tcW w:w="2280" w:type="dxa"/>
            <w:vAlign w:val="bottom"/>
          </w:tcPr>
          <w:p>
            <w:pPr>
              <w:jc w:val="right"/>
              <w:ind w:right="172"/>
              <w:spacing w:after="0"/>
              <w:rPr>
                <w:sz w:val="20"/>
                <w:szCs w:val="20"/>
                <w:color w:val="auto"/>
              </w:rPr>
            </w:pPr>
            <w:r>
              <w:rPr>
                <w:rFonts w:ascii="Arial" w:cs="Arial" w:eastAsia="Arial" w:hAnsi="Arial"/>
                <w:sz w:val="22"/>
                <w:szCs w:val="22"/>
                <w:color w:val="010000"/>
              </w:rPr>
              <w:t>(a)</w:t>
            </w:r>
          </w:p>
        </w:tc>
        <w:tc>
          <w:tcPr>
            <w:tcW w:w="1660" w:type="dxa"/>
            <w:vAlign w:val="bottom"/>
          </w:tcPr>
          <w:p>
            <w:pPr>
              <w:spacing w:after="0"/>
              <w:rPr>
                <w:sz w:val="24"/>
                <w:szCs w:val="24"/>
                <w:color w:val="auto"/>
              </w:rPr>
            </w:pPr>
          </w:p>
        </w:tc>
        <w:tc>
          <w:tcPr>
            <w:tcW w:w="7460" w:type="dxa"/>
            <w:vAlign w:val="bottom"/>
            <w:gridSpan w:val="2"/>
          </w:tcPr>
          <w:p>
            <w:pPr>
              <w:jc w:val="right"/>
              <w:spacing w:after="0"/>
              <w:rPr>
                <w:sz w:val="20"/>
                <w:szCs w:val="20"/>
                <w:color w:val="auto"/>
              </w:rPr>
            </w:pPr>
            <w:r>
              <w:rPr>
                <w:rFonts w:ascii="Arial" w:cs="Arial" w:eastAsia="Arial" w:hAnsi="Arial"/>
                <w:sz w:val="22"/>
                <w:szCs w:val="22"/>
                <w:b w:val="1"/>
                <w:bCs w:val="1"/>
                <w:color w:val="auto"/>
                <w:w w:val="89"/>
              </w:rPr>
              <w:t>In General</w:t>
            </w:r>
            <w:r>
              <w:rPr>
                <w:rFonts w:ascii="Arial" w:cs="Arial" w:eastAsia="Arial" w:hAnsi="Arial"/>
                <w:sz w:val="22"/>
                <w:szCs w:val="22"/>
                <w:color w:val="auto"/>
                <w:w w:val="89"/>
              </w:rPr>
              <w:t>. The Effective Retirement Date of an Employee that is a Participant under</w:t>
            </w:r>
          </w:p>
        </w:tc>
      </w:tr>
      <w:tr>
        <w:trPr>
          <w:trHeight w:val="274"/>
        </w:trPr>
        <w:tc>
          <w:tcPr>
            <w:tcW w:w="2280" w:type="dxa"/>
            <w:vAlign w:val="bottom"/>
          </w:tcPr>
          <w:p>
            <w:pPr>
              <w:jc w:val="right"/>
              <w:ind w:right="632"/>
              <w:spacing w:after="0"/>
              <w:rPr>
                <w:sz w:val="20"/>
                <w:szCs w:val="20"/>
                <w:color w:val="auto"/>
              </w:rPr>
            </w:pPr>
            <w:r>
              <w:rPr>
                <w:rFonts w:ascii="Arial" w:cs="Arial" w:eastAsia="Arial" w:hAnsi="Arial"/>
                <w:sz w:val="22"/>
                <w:szCs w:val="22"/>
                <w:color w:val="auto"/>
                <w:w w:val="88"/>
              </w:rPr>
              <w:t>this Plan is when:</w:t>
            </w:r>
          </w:p>
        </w:tc>
        <w:tc>
          <w:tcPr>
            <w:tcW w:w="1660" w:type="dxa"/>
            <w:vAlign w:val="bottom"/>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6460" w:type="dxa"/>
            <w:vAlign w:val="bottom"/>
          </w:tcPr>
          <w:p>
            <w:pPr>
              <w:spacing w:after="0"/>
              <w:rPr>
                <w:sz w:val="23"/>
                <w:szCs w:val="23"/>
                <w:color w:val="auto"/>
              </w:rPr>
            </w:pPr>
          </w:p>
        </w:tc>
      </w:tr>
      <w:tr>
        <w:trPr>
          <w:trHeight w:val="459"/>
        </w:trPr>
        <w:tc>
          <w:tcPr>
            <w:tcW w:w="2280" w:type="dxa"/>
            <w:vAlign w:val="bottom"/>
          </w:tcPr>
          <w:p>
            <w:pPr>
              <w:spacing w:after="0"/>
              <w:rPr>
                <w:sz w:val="24"/>
                <w:szCs w:val="24"/>
                <w:color w:val="auto"/>
              </w:rPr>
            </w:pPr>
          </w:p>
        </w:tc>
        <w:tc>
          <w:tcPr>
            <w:tcW w:w="9120" w:type="dxa"/>
            <w:vAlign w:val="bottom"/>
            <w:gridSpan w:val="3"/>
          </w:tcPr>
          <w:p>
            <w:pPr>
              <w:jc w:val="right"/>
              <w:ind w:right="5640"/>
              <w:spacing w:after="0"/>
              <w:rPr>
                <w:sz w:val="20"/>
                <w:szCs w:val="20"/>
                <w:color w:val="auto"/>
              </w:rPr>
            </w:pPr>
            <w:r>
              <w:rPr>
                <w:rFonts w:ascii="Arial" w:cs="Arial" w:eastAsia="Arial" w:hAnsi="Arial"/>
                <w:sz w:val="22"/>
                <w:szCs w:val="22"/>
                <w:color w:val="auto"/>
              </w:rPr>
              <w:t>3</w:t>
            </w:r>
          </w:p>
        </w:tc>
      </w:tr>
    </w:tbl>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75"/>
        </w:trPr>
        <w:tc>
          <w:tcPr>
            <w:tcW w:w="3960" w:type="dxa"/>
            <w:vAlign w:val="bottom"/>
          </w:tcPr>
          <w:p>
            <w:pPr>
              <w:ind w:left="2640"/>
              <w:spacing w:after="0"/>
              <w:rPr>
                <w:sz w:val="20"/>
                <w:szCs w:val="20"/>
                <w:color w:val="auto"/>
              </w:rPr>
            </w:pPr>
            <w:r>
              <w:rPr>
                <w:rFonts w:ascii="Arial" w:cs="Arial" w:eastAsia="Arial" w:hAnsi="Arial"/>
                <w:sz w:val="22"/>
                <w:szCs w:val="22"/>
                <w:color w:val="010000"/>
              </w:rPr>
              <w:t>(1)</w:t>
            </w:r>
          </w:p>
        </w:tc>
        <w:tc>
          <w:tcPr>
            <w:tcW w:w="7460" w:type="dxa"/>
            <w:vAlign w:val="bottom"/>
            <w:gridSpan w:val="2"/>
          </w:tcPr>
          <w:p>
            <w:pPr>
              <w:jc w:val="right"/>
              <w:ind w:right="1260"/>
              <w:spacing w:after="0"/>
              <w:rPr>
                <w:sz w:val="20"/>
                <w:szCs w:val="20"/>
                <w:color w:val="auto"/>
              </w:rPr>
            </w:pPr>
            <w:r>
              <w:rPr>
                <w:rFonts w:ascii="Arial" w:cs="Arial" w:eastAsia="Arial" w:hAnsi="Arial"/>
                <w:sz w:val="22"/>
                <w:szCs w:val="22"/>
                <w:color w:val="auto"/>
              </w:rPr>
              <w:t>the Participant has at least five years of Credited Service; and</w:t>
            </w:r>
          </w:p>
        </w:tc>
      </w:tr>
      <w:tr>
        <w:trPr>
          <w:trHeight w:val="428"/>
        </w:trPr>
        <w:tc>
          <w:tcPr>
            <w:tcW w:w="3960" w:type="dxa"/>
            <w:vAlign w:val="bottom"/>
          </w:tcPr>
          <w:p>
            <w:pPr>
              <w:ind w:left="2640"/>
              <w:spacing w:after="0"/>
              <w:rPr>
                <w:sz w:val="20"/>
                <w:szCs w:val="20"/>
                <w:color w:val="auto"/>
              </w:rPr>
            </w:pPr>
            <w:r>
              <w:rPr>
                <w:rFonts w:ascii="Arial" w:cs="Arial" w:eastAsia="Arial" w:hAnsi="Arial"/>
                <w:sz w:val="22"/>
                <w:szCs w:val="22"/>
                <w:color w:val="010000"/>
              </w:rPr>
              <w:t>(2)</w:t>
            </w:r>
          </w:p>
        </w:tc>
        <w:tc>
          <w:tcPr>
            <w:tcW w:w="7460" w:type="dxa"/>
            <w:vAlign w:val="bottom"/>
            <w:gridSpan w:val="2"/>
          </w:tcPr>
          <w:p>
            <w:pPr>
              <w:jc w:val="right"/>
              <w:spacing w:after="0"/>
              <w:rPr>
                <w:sz w:val="20"/>
                <w:szCs w:val="20"/>
                <w:color w:val="auto"/>
              </w:rPr>
            </w:pPr>
            <w:r>
              <w:rPr>
                <w:rFonts w:ascii="Arial" w:cs="Arial" w:eastAsia="Arial" w:hAnsi="Arial"/>
                <w:sz w:val="22"/>
                <w:szCs w:val="22"/>
                <w:color w:val="auto"/>
              </w:rPr>
              <w:t>attained the first day of the month following the date the Participant</w:t>
            </w:r>
          </w:p>
        </w:tc>
      </w:tr>
      <w:tr>
        <w:trPr>
          <w:trHeight w:val="275"/>
        </w:trPr>
        <w:tc>
          <w:tcPr>
            <w:tcW w:w="3960" w:type="dxa"/>
            <w:vAlign w:val="bottom"/>
          </w:tcPr>
          <w:p>
            <w:pPr>
              <w:spacing w:after="0"/>
              <w:rPr>
                <w:sz w:val="20"/>
                <w:szCs w:val="20"/>
                <w:color w:val="auto"/>
              </w:rPr>
            </w:pPr>
            <w:r>
              <w:rPr>
                <w:rFonts w:ascii="Arial" w:cs="Arial" w:eastAsia="Arial" w:hAnsi="Arial"/>
                <w:sz w:val="22"/>
                <w:szCs w:val="22"/>
                <w:color w:val="auto"/>
              </w:rPr>
              <w:t>incurred a Separation from Service –</w:t>
            </w:r>
          </w:p>
        </w:tc>
        <w:tc>
          <w:tcPr>
            <w:tcW w:w="1800" w:type="dxa"/>
            <w:vAlign w:val="bottom"/>
          </w:tcPr>
          <w:p>
            <w:pPr>
              <w:spacing w:after="0"/>
              <w:rPr>
                <w:sz w:val="23"/>
                <w:szCs w:val="23"/>
                <w:color w:val="auto"/>
              </w:rPr>
            </w:pPr>
          </w:p>
        </w:tc>
        <w:tc>
          <w:tcPr>
            <w:tcW w:w="5660" w:type="dxa"/>
            <w:vAlign w:val="bottom"/>
          </w:tcPr>
          <w:p>
            <w:pPr>
              <w:spacing w:after="0"/>
              <w:rPr>
                <w:sz w:val="23"/>
                <w:szCs w:val="23"/>
                <w:color w:val="auto"/>
              </w:rPr>
            </w:pPr>
          </w:p>
        </w:tc>
      </w:tr>
      <w:tr>
        <w:trPr>
          <w:trHeight w:val="428"/>
        </w:trPr>
        <w:tc>
          <w:tcPr>
            <w:tcW w:w="3960" w:type="dxa"/>
            <w:vAlign w:val="bottom"/>
          </w:tcPr>
          <w:p>
            <w:pPr>
              <w:ind w:left="2640"/>
              <w:spacing w:after="0"/>
              <w:rPr>
                <w:sz w:val="20"/>
                <w:szCs w:val="20"/>
                <w:color w:val="auto"/>
              </w:rPr>
            </w:pPr>
            <w:r>
              <w:rPr>
                <w:rFonts w:ascii="Arial" w:cs="Arial" w:eastAsia="Arial" w:hAnsi="Arial"/>
                <w:sz w:val="22"/>
                <w:szCs w:val="22"/>
                <w:color w:val="010000"/>
              </w:rPr>
              <w:t>(i)</w:t>
            </w:r>
          </w:p>
        </w:tc>
        <w:tc>
          <w:tcPr>
            <w:tcW w:w="7460" w:type="dxa"/>
            <w:vAlign w:val="bottom"/>
            <w:gridSpan w:val="2"/>
          </w:tcPr>
          <w:p>
            <w:pPr>
              <w:jc w:val="right"/>
              <w:spacing w:after="0"/>
              <w:rPr>
                <w:sz w:val="20"/>
                <w:szCs w:val="20"/>
                <w:color w:val="auto"/>
              </w:rPr>
            </w:pPr>
            <w:r>
              <w:rPr>
                <w:rFonts w:ascii="Arial" w:cs="Arial" w:eastAsia="Arial" w:hAnsi="Arial"/>
                <w:sz w:val="22"/>
                <w:szCs w:val="22"/>
                <w:color w:val="auto"/>
              </w:rPr>
              <w:t>on or after the date the sum of the Participant’s Age and Credited</w:t>
            </w:r>
          </w:p>
        </w:tc>
      </w:tr>
      <w:tr>
        <w:trPr>
          <w:trHeight w:val="275"/>
        </w:trPr>
        <w:tc>
          <w:tcPr>
            <w:tcW w:w="3960" w:type="dxa"/>
            <w:vAlign w:val="bottom"/>
          </w:tcPr>
          <w:p>
            <w:pPr>
              <w:spacing w:after="0"/>
              <w:rPr>
                <w:sz w:val="20"/>
                <w:szCs w:val="20"/>
                <w:color w:val="auto"/>
              </w:rPr>
            </w:pPr>
            <w:r>
              <w:rPr>
                <w:rFonts w:ascii="Arial" w:cs="Arial" w:eastAsia="Arial" w:hAnsi="Arial"/>
                <w:sz w:val="22"/>
                <w:szCs w:val="22"/>
                <w:color w:val="auto"/>
              </w:rPr>
              <w:t>Service is 80; or</w:t>
            </w:r>
          </w:p>
        </w:tc>
        <w:tc>
          <w:tcPr>
            <w:tcW w:w="1800" w:type="dxa"/>
            <w:vAlign w:val="bottom"/>
          </w:tcPr>
          <w:p>
            <w:pPr>
              <w:spacing w:after="0"/>
              <w:rPr>
                <w:sz w:val="23"/>
                <w:szCs w:val="23"/>
                <w:color w:val="auto"/>
              </w:rPr>
            </w:pPr>
          </w:p>
        </w:tc>
        <w:tc>
          <w:tcPr>
            <w:tcW w:w="5660" w:type="dxa"/>
            <w:vAlign w:val="bottom"/>
          </w:tcPr>
          <w:p>
            <w:pPr>
              <w:spacing w:after="0"/>
              <w:rPr>
                <w:sz w:val="23"/>
                <w:szCs w:val="23"/>
                <w:color w:val="auto"/>
              </w:rPr>
            </w:pPr>
          </w:p>
        </w:tc>
      </w:tr>
      <w:tr>
        <w:trPr>
          <w:trHeight w:val="459"/>
        </w:trPr>
        <w:tc>
          <w:tcPr>
            <w:tcW w:w="3960" w:type="dxa"/>
            <w:vAlign w:val="bottom"/>
          </w:tcPr>
          <w:p>
            <w:pPr>
              <w:ind w:left="2640"/>
              <w:spacing w:after="0"/>
              <w:rPr>
                <w:sz w:val="20"/>
                <w:szCs w:val="20"/>
                <w:color w:val="auto"/>
              </w:rPr>
            </w:pPr>
            <w:r>
              <w:rPr>
                <w:rFonts w:ascii="Arial" w:cs="Arial" w:eastAsia="Arial" w:hAnsi="Arial"/>
                <w:sz w:val="22"/>
                <w:szCs w:val="22"/>
                <w:color w:val="010000"/>
              </w:rPr>
              <w:t>(ii)</w:t>
            </w:r>
          </w:p>
        </w:tc>
        <w:tc>
          <w:tcPr>
            <w:tcW w:w="7460" w:type="dxa"/>
            <w:vAlign w:val="bottom"/>
            <w:gridSpan w:val="2"/>
          </w:tcPr>
          <w:p>
            <w:pPr>
              <w:jc w:val="right"/>
              <w:ind w:right="1620"/>
              <w:spacing w:after="0"/>
              <w:rPr>
                <w:sz w:val="20"/>
                <w:szCs w:val="20"/>
                <w:color w:val="auto"/>
              </w:rPr>
            </w:pPr>
            <w:r>
              <w:rPr>
                <w:rFonts w:ascii="Arial" w:cs="Arial" w:eastAsia="Arial" w:hAnsi="Arial"/>
                <w:sz w:val="22"/>
                <w:szCs w:val="22"/>
                <w:color w:val="auto"/>
              </w:rPr>
              <w:t>on or after the date the Participant attains Age 55.</w:t>
            </w:r>
          </w:p>
        </w:tc>
      </w:tr>
      <w:tr>
        <w:trPr>
          <w:trHeight w:val="409"/>
        </w:trPr>
        <w:tc>
          <w:tcPr>
            <w:tcW w:w="3960" w:type="dxa"/>
            <w:vAlign w:val="bottom"/>
          </w:tcPr>
          <w:p>
            <w:pPr>
              <w:ind w:left="1760"/>
              <w:spacing w:after="0"/>
              <w:rPr>
                <w:sz w:val="20"/>
                <w:szCs w:val="20"/>
                <w:color w:val="auto"/>
              </w:rPr>
            </w:pPr>
            <w:r>
              <w:rPr>
                <w:rFonts w:ascii="Arial" w:cs="Arial" w:eastAsia="Arial" w:hAnsi="Arial"/>
                <w:sz w:val="22"/>
                <w:szCs w:val="22"/>
                <w:color w:val="010000"/>
              </w:rPr>
              <w:t>(b)</w:t>
            </w:r>
          </w:p>
        </w:tc>
        <w:tc>
          <w:tcPr>
            <w:tcW w:w="7460" w:type="dxa"/>
            <w:vAlign w:val="bottom"/>
            <w:gridSpan w:val="2"/>
          </w:tcPr>
          <w:p>
            <w:pPr>
              <w:jc w:val="right"/>
              <w:spacing w:after="0"/>
              <w:rPr>
                <w:sz w:val="20"/>
                <w:szCs w:val="20"/>
                <w:color w:val="auto"/>
              </w:rPr>
            </w:pPr>
            <w:r>
              <w:rPr>
                <w:rFonts w:ascii="Arial" w:cs="Arial" w:eastAsia="Arial" w:hAnsi="Arial"/>
                <w:sz w:val="22"/>
                <w:szCs w:val="22"/>
                <w:b w:val="1"/>
                <w:bCs w:val="1"/>
                <w:color w:val="auto"/>
                <w:w w:val="97"/>
              </w:rPr>
              <w:t>Change in Control</w:t>
            </w:r>
            <w:r>
              <w:rPr>
                <w:rFonts w:ascii="Arial" w:cs="Arial" w:eastAsia="Arial" w:hAnsi="Arial"/>
                <w:sz w:val="22"/>
                <w:szCs w:val="22"/>
                <w:color w:val="auto"/>
                <w:w w:val="97"/>
              </w:rPr>
              <w:t>. The Effective Retirement Date in the event of a Change in</w:t>
            </w:r>
          </w:p>
        </w:tc>
      </w:tr>
      <w:tr>
        <w:trPr>
          <w:trHeight w:val="20"/>
        </w:trPr>
        <w:tc>
          <w:tcPr>
            <w:tcW w:w="39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Control of a Participant who has a Change in Control agreement with Ashland shall be the first day of the month following (i) such Participant’s termination for reasons other than Cause or (ii) such Participant’s resignation for “Good Reason” (as that term is defined in the applicable Change in Control agreement). The Effective Retirement Date in the event of a Change in Control of a Participant who does not have a Change in Control agreement, shall be the first day of the month following such Participant’s termination for reasons other than Cause.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010000"/>
              </w:rPr>
              <w:t>2.17</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w w:val="91"/>
              </w:rPr>
              <w:t xml:space="preserve">“Election” </w:t>
            </w:r>
            <w:r>
              <w:rPr>
                <w:rFonts w:ascii="Arial" w:cs="Arial" w:eastAsia="Arial" w:hAnsi="Arial"/>
                <w:sz w:val="22"/>
                <w:szCs w:val="22"/>
                <w:color w:val="auto"/>
                <w:w w:val="91"/>
              </w:rPr>
              <w:t>means a Participant’s delivery of a notice of election, in writing or electronically, to defer</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payment of all or a portion of his Employer Contributions.</w:t>
            </w:r>
          </w:p>
        </w:tc>
      </w:tr>
      <w:tr>
        <w:trPr>
          <w:trHeight w:val="446"/>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010000"/>
              </w:rPr>
              <w:t>2.18</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w w:val="93"/>
              </w:rPr>
              <w:t xml:space="preserve">“Eligible Employee” </w:t>
            </w:r>
            <w:r>
              <w:rPr>
                <w:rFonts w:ascii="Arial" w:cs="Arial" w:eastAsia="Arial" w:hAnsi="Arial"/>
                <w:sz w:val="22"/>
                <w:szCs w:val="22"/>
                <w:color w:val="auto"/>
                <w:w w:val="93"/>
              </w:rPr>
              <w:t>means an employee of Ashland who is determined by the Employer to be a</w:t>
            </w:r>
          </w:p>
        </w:tc>
      </w:tr>
    </w:tbl>
    <w:p>
      <w:pPr>
        <w:jc w:val="both"/>
        <w:spacing w:after="0" w:line="234" w:lineRule="auto"/>
        <w:rPr>
          <w:sz w:val="20"/>
          <w:szCs w:val="20"/>
          <w:color w:val="auto"/>
        </w:rPr>
      </w:pPr>
      <w:r>
        <w:rPr>
          <w:rFonts w:ascii="Arial" w:cs="Arial" w:eastAsia="Arial" w:hAnsi="Arial"/>
          <w:sz w:val="22"/>
          <w:szCs w:val="22"/>
          <w:color w:val="auto"/>
        </w:rPr>
        <w:t>member of a select group of management or highly compensated employees within the meaning of Sections 201(2), 301(a)(3) and 401(a)(1) of ERISA, and who are classified in base salary and grades 21 and above and are not eligible for the SERP as of the Effective Date.</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010000"/>
                <w:w w:val="83"/>
              </w:rPr>
              <w:t>2.19</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rPr>
              <w:t xml:space="preserve">“Employer” </w:t>
            </w:r>
            <w:r>
              <w:rPr>
                <w:rFonts w:ascii="Arial" w:cs="Arial" w:eastAsia="Arial" w:hAnsi="Arial"/>
                <w:sz w:val="22"/>
                <w:szCs w:val="22"/>
                <w:color w:val="auto"/>
              </w:rPr>
              <w:t>means Ashland Global Holdings Inc., or any successor entity thereto.</w:t>
            </w:r>
          </w:p>
        </w:tc>
      </w:tr>
      <w:tr>
        <w:trPr>
          <w:trHeight w:val="459"/>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010000"/>
                <w:w w:val="83"/>
              </w:rPr>
              <w:t>2.20</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rPr>
              <w:t xml:space="preserve">“Employer Contribution” </w:t>
            </w:r>
            <w:r>
              <w:rPr>
                <w:rFonts w:ascii="Arial" w:cs="Arial" w:eastAsia="Arial" w:hAnsi="Arial"/>
                <w:sz w:val="22"/>
                <w:szCs w:val="22"/>
                <w:color w:val="auto"/>
              </w:rPr>
              <w:t>means the contributions provided in ARTICLE 4.</w:t>
            </w:r>
          </w:p>
        </w:tc>
      </w:tr>
      <w:tr>
        <w:trPr>
          <w:trHeight w:val="459"/>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010000"/>
                <w:w w:val="83"/>
              </w:rPr>
              <w:t>2.21</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rPr>
              <w:t xml:space="preserve">“ERISA” </w:t>
            </w:r>
            <w:r>
              <w:rPr>
                <w:rFonts w:ascii="Arial" w:cs="Arial" w:eastAsia="Arial" w:hAnsi="Arial"/>
                <w:sz w:val="22"/>
                <w:szCs w:val="22"/>
                <w:color w:val="auto"/>
              </w:rPr>
              <w:t>means the Employee Retirement Income Security Act of 1974, as amended.</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010000"/>
                <w:w w:val="83"/>
              </w:rPr>
              <w:t>2.22</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w w:val="93"/>
              </w:rPr>
              <w:t xml:space="preserve">“Excess Base Compensation” </w:t>
            </w:r>
            <w:r>
              <w:rPr>
                <w:rFonts w:ascii="Arial" w:cs="Arial" w:eastAsia="Arial" w:hAnsi="Arial"/>
                <w:sz w:val="22"/>
                <w:szCs w:val="22"/>
                <w:color w:val="auto"/>
                <w:w w:val="93"/>
              </w:rPr>
              <w:t>means compensation paid to a Participant that is included in the</w:t>
            </w:r>
          </w:p>
        </w:tc>
      </w:tr>
    </w:tbl>
    <w:p>
      <w:pPr>
        <w:jc w:val="both"/>
        <w:spacing w:after="0" w:line="237" w:lineRule="auto"/>
        <w:rPr>
          <w:sz w:val="20"/>
          <w:szCs w:val="20"/>
          <w:color w:val="auto"/>
        </w:rPr>
      </w:pPr>
      <w:r>
        <w:rPr>
          <w:rFonts w:ascii="Arial" w:cs="Arial" w:eastAsia="Arial" w:hAnsi="Arial"/>
          <w:sz w:val="22"/>
          <w:szCs w:val="22"/>
          <w:color w:val="auto"/>
        </w:rPr>
        <w:t>definition of Compensation in the Savings Plan but that is in excess of the limitation in Code Section 401(a)(17) and which is not Incentive Compensation.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010000"/>
              </w:rPr>
              <w:t>2.23</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w w:val="94"/>
              </w:rPr>
              <w:t xml:space="preserve">“Excess Base Compensation Deferrals” </w:t>
            </w:r>
            <w:r>
              <w:rPr>
                <w:rFonts w:ascii="Arial" w:cs="Arial" w:eastAsia="Arial" w:hAnsi="Arial"/>
                <w:sz w:val="22"/>
                <w:szCs w:val="22"/>
                <w:color w:val="auto"/>
                <w:w w:val="94"/>
              </w:rPr>
              <w:t>means compensation that is deferred to the Deferred</w:t>
            </w:r>
          </w:p>
        </w:tc>
      </w:tr>
      <w:tr>
        <w:trPr>
          <w:trHeight w:val="275"/>
        </w:trPr>
        <w:tc>
          <w:tcPr>
            <w:tcW w:w="11420" w:type="dxa"/>
            <w:vAlign w:val="bottom"/>
            <w:gridSpan w:val="2"/>
          </w:tcPr>
          <w:p>
            <w:pPr>
              <w:jc w:val="right"/>
              <w:ind w:right="5612"/>
              <w:spacing w:after="0"/>
              <w:rPr>
                <w:sz w:val="20"/>
                <w:szCs w:val="20"/>
                <w:color w:val="auto"/>
              </w:rPr>
            </w:pPr>
            <w:r>
              <w:rPr>
                <w:rFonts w:ascii="Arial" w:cs="Arial" w:eastAsia="Arial" w:hAnsi="Arial"/>
                <w:sz w:val="22"/>
                <w:szCs w:val="22"/>
                <w:color w:val="auto"/>
                <w:w w:val="88"/>
              </w:rPr>
              <w:t>Compensation Plan other than Incentive Compensation Deferrals.</w:t>
            </w: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010000"/>
              </w:rPr>
              <w:t>2.24</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w w:val="92"/>
              </w:rPr>
              <w:t xml:space="preserve">“Grandfathered Employee” </w:t>
            </w:r>
            <w:r>
              <w:rPr>
                <w:rFonts w:ascii="Arial" w:cs="Arial" w:eastAsia="Arial" w:hAnsi="Arial"/>
                <w:sz w:val="22"/>
                <w:szCs w:val="22"/>
                <w:color w:val="auto"/>
                <w:w w:val="92"/>
              </w:rPr>
              <w:t>means the Grandfathered Employee as defined in the Savings Plan.</w:t>
            </w: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010000"/>
              </w:rPr>
              <w:t>2.25</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rPr>
              <w:t xml:space="preserve">“Hercules Employee” </w:t>
            </w:r>
            <w:r>
              <w:rPr>
                <w:rFonts w:ascii="Arial" w:cs="Arial" w:eastAsia="Arial" w:hAnsi="Arial"/>
                <w:sz w:val="22"/>
                <w:szCs w:val="22"/>
                <w:color w:val="auto"/>
              </w:rPr>
              <w:t>means the Hercules Employee as defined in the Savings Plan.</w:t>
            </w:r>
          </w:p>
        </w:tc>
      </w:tr>
      <w:tr>
        <w:trPr>
          <w:trHeight w:val="459"/>
        </w:trPr>
        <w:tc>
          <w:tcPr>
            <w:tcW w:w="1920" w:type="dxa"/>
            <w:vAlign w:val="bottom"/>
          </w:tcPr>
          <w:p>
            <w:pPr>
              <w:spacing w:after="0"/>
              <w:rPr>
                <w:sz w:val="24"/>
                <w:szCs w:val="24"/>
                <w:color w:val="auto"/>
              </w:rPr>
            </w:pPr>
          </w:p>
        </w:tc>
        <w:tc>
          <w:tcPr>
            <w:tcW w:w="9500" w:type="dxa"/>
            <w:vAlign w:val="bottom"/>
          </w:tcPr>
          <w:p>
            <w:pPr>
              <w:jc w:val="right"/>
              <w:ind w:right="5552"/>
              <w:spacing w:after="0"/>
              <w:rPr>
                <w:sz w:val="20"/>
                <w:szCs w:val="20"/>
                <w:color w:val="auto"/>
              </w:rPr>
            </w:pPr>
            <w:r>
              <w:rPr>
                <w:rFonts w:ascii="Arial" w:cs="Arial" w:eastAsia="Arial" w:hAnsi="Arial"/>
                <w:sz w:val="22"/>
                <w:szCs w:val="22"/>
                <w:color w:val="auto"/>
              </w:rPr>
              <w:t>4</w:t>
            </w:r>
          </w:p>
        </w:tc>
      </w:tr>
    </w:tbl>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0" w:name="page191"/>
    <w:bookmarkEnd w:id="190"/>
    <w:p>
      <w:pPr>
        <w:jc w:val="both"/>
        <w:ind w:firstLine="877"/>
        <w:spacing w:after="0" w:line="243" w:lineRule="auto"/>
        <w:rPr>
          <w:sz w:val="20"/>
          <w:szCs w:val="20"/>
          <w:color w:val="auto"/>
        </w:rPr>
      </w:pPr>
      <w:r>
        <w:rPr>
          <w:rFonts w:ascii="Arial" w:cs="Arial" w:eastAsia="Arial" w:hAnsi="Arial"/>
          <w:sz w:val="22"/>
          <w:szCs w:val="22"/>
          <w:b w:val="1"/>
          <w:bCs w:val="1"/>
          <w:color w:val="010000"/>
        </w:rPr>
        <w:t xml:space="preserve">2.26 </w:t>
      </w:r>
      <w:r>
        <w:rPr>
          <w:rFonts w:ascii="Arial" w:cs="Arial" w:eastAsia="Arial" w:hAnsi="Arial"/>
          <w:sz w:val="22"/>
          <w:szCs w:val="22"/>
          <w:b w:val="1"/>
          <w:bCs w:val="1"/>
          <w:color w:val="000000"/>
        </w:rPr>
        <w:t>“Incentive Compensation”</w:t>
      </w:r>
      <w:r>
        <w:rPr>
          <w:rFonts w:ascii="Arial" w:cs="Arial" w:eastAsia="Arial" w:hAnsi="Arial"/>
          <w:sz w:val="22"/>
          <w:szCs w:val="22"/>
          <w:b w:val="1"/>
          <w:bCs w:val="1"/>
          <w:color w:val="010000"/>
        </w:rPr>
        <w:t xml:space="preserve"> </w:t>
      </w:r>
      <w:r>
        <w:rPr>
          <w:rFonts w:ascii="Arial" w:cs="Arial" w:eastAsia="Arial" w:hAnsi="Arial"/>
          <w:sz w:val="22"/>
          <w:szCs w:val="22"/>
          <w:color w:val="000000"/>
        </w:rPr>
        <w:t>means bonuses paid to Eligible Employees under any applicable</w:t>
      </w:r>
      <w:r>
        <w:rPr>
          <w:rFonts w:ascii="Arial" w:cs="Arial" w:eastAsia="Arial" w:hAnsi="Arial"/>
          <w:sz w:val="22"/>
          <w:szCs w:val="22"/>
          <w:b w:val="1"/>
          <w:bCs w:val="1"/>
          <w:color w:val="010000"/>
        </w:rPr>
        <w:t xml:space="preserve"> </w:t>
      </w:r>
      <w:r>
        <w:rPr>
          <w:rFonts w:ascii="Arial" w:cs="Arial" w:eastAsia="Arial" w:hAnsi="Arial"/>
          <w:sz w:val="22"/>
          <w:szCs w:val="22"/>
          <w:color w:val="000000"/>
        </w:rPr>
        <w:t>incentive compensation plans that are excluded from the definition of Compensation in the Savings Plan and which is not Base Compensation.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00" w:type="dxa"/>
            <w:vAlign w:val="bottom"/>
          </w:tcPr>
          <w:p>
            <w:pPr>
              <w:jc w:val="right"/>
              <w:ind w:right="1132"/>
              <w:spacing w:after="0"/>
              <w:rPr>
                <w:sz w:val="20"/>
                <w:szCs w:val="20"/>
                <w:color w:val="auto"/>
              </w:rPr>
            </w:pPr>
            <w:r>
              <w:rPr>
                <w:rFonts w:ascii="Arial" w:cs="Arial" w:eastAsia="Arial" w:hAnsi="Arial"/>
                <w:sz w:val="22"/>
                <w:szCs w:val="22"/>
                <w:b w:val="1"/>
                <w:bCs w:val="1"/>
                <w:color w:val="010000"/>
              </w:rPr>
              <w:t>2.27</w:t>
            </w:r>
          </w:p>
        </w:tc>
        <w:tc>
          <w:tcPr>
            <w:tcW w:w="8920" w:type="dxa"/>
            <w:vAlign w:val="bottom"/>
          </w:tcPr>
          <w:p>
            <w:pPr>
              <w:ind w:left="60"/>
              <w:spacing w:after="0"/>
              <w:rPr>
                <w:sz w:val="20"/>
                <w:szCs w:val="20"/>
                <w:color w:val="auto"/>
              </w:rPr>
            </w:pPr>
            <w:r>
              <w:rPr>
                <w:rFonts w:ascii="Arial" w:cs="Arial" w:eastAsia="Arial" w:hAnsi="Arial"/>
                <w:sz w:val="22"/>
                <w:szCs w:val="22"/>
                <w:b w:val="1"/>
                <w:bCs w:val="1"/>
                <w:color w:val="auto"/>
                <w:w w:val="95"/>
              </w:rPr>
              <w:t xml:space="preserve">“Incentive Compensation Deferrals” </w:t>
            </w:r>
            <w:r>
              <w:rPr>
                <w:rFonts w:ascii="Arial" w:cs="Arial" w:eastAsia="Arial" w:hAnsi="Arial"/>
                <w:sz w:val="22"/>
                <w:szCs w:val="22"/>
                <w:color w:val="auto"/>
                <w:w w:val="95"/>
              </w:rPr>
              <w:t>means Incentive Compensation that is deferred into the</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Deferred Compensation Plan.</w:t>
            </w:r>
          </w:p>
        </w:tc>
      </w:tr>
      <w:tr>
        <w:trPr>
          <w:trHeight w:val="428"/>
        </w:trPr>
        <w:tc>
          <w:tcPr>
            <w:tcW w:w="2500" w:type="dxa"/>
            <w:vAlign w:val="bottom"/>
          </w:tcPr>
          <w:p>
            <w:pPr>
              <w:jc w:val="right"/>
              <w:ind w:right="1132"/>
              <w:spacing w:after="0"/>
              <w:rPr>
                <w:sz w:val="20"/>
                <w:szCs w:val="20"/>
                <w:color w:val="auto"/>
              </w:rPr>
            </w:pPr>
            <w:r>
              <w:rPr>
                <w:rFonts w:ascii="Arial" w:cs="Arial" w:eastAsia="Arial" w:hAnsi="Arial"/>
                <w:sz w:val="22"/>
                <w:szCs w:val="22"/>
                <w:b w:val="1"/>
                <w:bCs w:val="1"/>
                <w:color w:val="010000"/>
              </w:rPr>
              <w:t>2.28</w:t>
            </w:r>
          </w:p>
        </w:tc>
        <w:tc>
          <w:tcPr>
            <w:tcW w:w="8920" w:type="dxa"/>
            <w:vAlign w:val="bottom"/>
          </w:tcPr>
          <w:p>
            <w:pPr>
              <w:ind w:left="60"/>
              <w:spacing w:after="0"/>
              <w:rPr>
                <w:sz w:val="20"/>
                <w:szCs w:val="20"/>
                <w:color w:val="auto"/>
              </w:rPr>
            </w:pPr>
            <w:r>
              <w:rPr>
                <w:rFonts w:ascii="Arial" w:cs="Arial" w:eastAsia="Arial" w:hAnsi="Arial"/>
                <w:sz w:val="22"/>
                <w:szCs w:val="22"/>
                <w:b w:val="1"/>
                <w:bCs w:val="1"/>
                <w:color w:val="auto"/>
                <w:w w:val="91"/>
              </w:rPr>
              <w:t xml:space="preserve">“Key Employee” </w:t>
            </w:r>
            <w:r>
              <w:rPr>
                <w:rFonts w:ascii="Arial" w:cs="Arial" w:eastAsia="Arial" w:hAnsi="Arial"/>
                <w:sz w:val="22"/>
                <w:szCs w:val="22"/>
                <w:color w:val="auto"/>
                <w:w w:val="91"/>
              </w:rPr>
              <w:t>means a “specified employee” within the meaning of Code Section 409A(a)(2)(B)</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(i) who satisfies the conditions set forth in Section 8.5.</w:t>
            </w:r>
          </w:p>
        </w:tc>
      </w:tr>
      <w:tr>
        <w:trPr>
          <w:trHeight w:val="428"/>
        </w:trPr>
        <w:tc>
          <w:tcPr>
            <w:tcW w:w="2500" w:type="dxa"/>
            <w:vAlign w:val="bottom"/>
          </w:tcPr>
          <w:p>
            <w:pPr>
              <w:jc w:val="right"/>
              <w:ind w:right="1132"/>
              <w:spacing w:after="0"/>
              <w:rPr>
                <w:sz w:val="20"/>
                <w:szCs w:val="20"/>
                <w:color w:val="auto"/>
              </w:rPr>
            </w:pPr>
            <w:r>
              <w:rPr>
                <w:rFonts w:ascii="Arial" w:cs="Arial" w:eastAsia="Arial" w:hAnsi="Arial"/>
                <w:sz w:val="22"/>
                <w:szCs w:val="22"/>
                <w:b w:val="1"/>
                <w:bCs w:val="1"/>
                <w:color w:val="010000"/>
              </w:rPr>
              <w:t>2.29</w:t>
            </w:r>
          </w:p>
        </w:tc>
        <w:tc>
          <w:tcPr>
            <w:tcW w:w="8920" w:type="dxa"/>
            <w:vAlign w:val="bottom"/>
          </w:tcPr>
          <w:p>
            <w:pPr>
              <w:ind w:left="60"/>
              <w:spacing w:after="0"/>
              <w:rPr>
                <w:sz w:val="20"/>
                <w:szCs w:val="20"/>
                <w:color w:val="auto"/>
              </w:rPr>
            </w:pPr>
            <w:r>
              <w:rPr>
                <w:rFonts w:ascii="Arial" w:cs="Arial" w:eastAsia="Arial" w:hAnsi="Arial"/>
                <w:sz w:val="22"/>
                <w:szCs w:val="22"/>
                <w:b w:val="1"/>
                <w:bCs w:val="1"/>
                <w:color w:val="auto"/>
                <w:w w:val="91"/>
              </w:rPr>
              <w:t xml:space="preserve">“Participant” </w:t>
            </w:r>
            <w:r>
              <w:rPr>
                <w:rFonts w:ascii="Arial" w:cs="Arial" w:eastAsia="Arial" w:hAnsi="Arial"/>
                <w:sz w:val="22"/>
                <w:szCs w:val="22"/>
                <w:color w:val="auto"/>
                <w:w w:val="91"/>
              </w:rPr>
              <w:t>means an Eligible Employee who commences participation in the Plan in accordance</w:t>
            </w:r>
          </w:p>
        </w:tc>
      </w:tr>
      <w:tr>
        <w:trPr>
          <w:trHeight w:val="275"/>
        </w:trPr>
        <w:tc>
          <w:tcPr>
            <w:tcW w:w="2500" w:type="dxa"/>
            <w:vAlign w:val="bottom"/>
          </w:tcPr>
          <w:p>
            <w:pPr>
              <w:spacing w:after="0"/>
              <w:rPr>
                <w:sz w:val="20"/>
                <w:szCs w:val="20"/>
                <w:color w:val="auto"/>
              </w:rPr>
            </w:pPr>
            <w:r>
              <w:rPr>
                <w:rFonts w:ascii="Arial" w:cs="Arial" w:eastAsia="Arial" w:hAnsi="Arial"/>
                <w:sz w:val="22"/>
                <w:szCs w:val="22"/>
                <w:color w:val="auto"/>
              </w:rPr>
              <w:t>with ARTICLE 3.</w:t>
            </w:r>
          </w:p>
        </w:tc>
        <w:tc>
          <w:tcPr>
            <w:tcW w:w="8920" w:type="dxa"/>
            <w:vAlign w:val="bottom"/>
          </w:tcPr>
          <w:p>
            <w:pPr>
              <w:spacing w:after="0"/>
              <w:rPr>
                <w:sz w:val="23"/>
                <w:szCs w:val="23"/>
                <w:color w:val="auto"/>
              </w:rPr>
            </w:pPr>
          </w:p>
        </w:tc>
      </w:tr>
      <w:tr>
        <w:trPr>
          <w:trHeight w:val="428"/>
        </w:trPr>
        <w:tc>
          <w:tcPr>
            <w:tcW w:w="2500" w:type="dxa"/>
            <w:vAlign w:val="bottom"/>
          </w:tcPr>
          <w:p>
            <w:pPr>
              <w:jc w:val="right"/>
              <w:ind w:right="1132"/>
              <w:spacing w:after="0"/>
              <w:rPr>
                <w:sz w:val="20"/>
                <w:szCs w:val="20"/>
                <w:color w:val="auto"/>
              </w:rPr>
            </w:pPr>
            <w:r>
              <w:rPr>
                <w:rFonts w:ascii="Arial" w:cs="Arial" w:eastAsia="Arial" w:hAnsi="Arial"/>
                <w:sz w:val="22"/>
                <w:szCs w:val="22"/>
                <w:b w:val="1"/>
                <w:bCs w:val="1"/>
                <w:color w:val="010000"/>
              </w:rPr>
              <w:t>2.30</w:t>
            </w:r>
          </w:p>
        </w:tc>
        <w:tc>
          <w:tcPr>
            <w:tcW w:w="8920" w:type="dxa"/>
            <w:vAlign w:val="bottom"/>
          </w:tcPr>
          <w:p>
            <w:pPr>
              <w:ind w:left="60"/>
              <w:spacing w:after="0"/>
              <w:rPr>
                <w:sz w:val="20"/>
                <w:szCs w:val="20"/>
                <w:color w:val="auto"/>
              </w:rPr>
            </w:pPr>
            <w:r>
              <w:rPr>
                <w:rFonts w:ascii="Arial" w:cs="Arial" w:eastAsia="Arial" w:hAnsi="Arial"/>
                <w:sz w:val="22"/>
                <w:szCs w:val="22"/>
                <w:b w:val="1"/>
                <w:bCs w:val="1"/>
                <w:color w:val="auto"/>
                <w:w w:val="95"/>
              </w:rPr>
              <w:t xml:space="preserve">“Performance Retirement Contribution” </w:t>
            </w:r>
            <w:r>
              <w:rPr>
                <w:rFonts w:ascii="Arial" w:cs="Arial" w:eastAsia="Arial" w:hAnsi="Arial"/>
                <w:sz w:val="22"/>
                <w:szCs w:val="22"/>
                <w:color w:val="auto"/>
                <w:w w:val="95"/>
              </w:rPr>
              <w:t>means the Performance Retirement Contribution as</w:t>
            </w:r>
          </w:p>
        </w:tc>
      </w:tr>
      <w:tr>
        <w:trPr>
          <w:trHeight w:val="275"/>
        </w:trPr>
        <w:tc>
          <w:tcPr>
            <w:tcW w:w="2500" w:type="dxa"/>
            <w:vAlign w:val="bottom"/>
          </w:tcPr>
          <w:p>
            <w:pPr>
              <w:spacing w:after="0"/>
              <w:rPr>
                <w:sz w:val="20"/>
                <w:szCs w:val="20"/>
                <w:color w:val="auto"/>
              </w:rPr>
            </w:pPr>
            <w:r>
              <w:rPr>
                <w:rFonts w:ascii="Arial" w:cs="Arial" w:eastAsia="Arial" w:hAnsi="Arial"/>
                <w:sz w:val="22"/>
                <w:szCs w:val="22"/>
                <w:color w:val="auto"/>
                <w:w w:val="90"/>
              </w:rPr>
              <w:t>defined in the Savings Plan.</w:t>
            </w:r>
          </w:p>
        </w:tc>
        <w:tc>
          <w:tcPr>
            <w:tcW w:w="8920" w:type="dxa"/>
            <w:vAlign w:val="bottom"/>
          </w:tcPr>
          <w:p>
            <w:pPr>
              <w:spacing w:after="0"/>
              <w:rPr>
                <w:sz w:val="23"/>
                <w:szCs w:val="23"/>
                <w:color w:val="auto"/>
              </w:rPr>
            </w:pPr>
          </w:p>
        </w:tc>
      </w:tr>
      <w:tr>
        <w:trPr>
          <w:trHeight w:val="446"/>
        </w:trPr>
        <w:tc>
          <w:tcPr>
            <w:tcW w:w="2500" w:type="dxa"/>
            <w:vAlign w:val="bottom"/>
          </w:tcPr>
          <w:p>
            <w:pPr>
              <w:jc w:val="right"/>
              <w:ind w:right="1132"/>
              <w:spacing w:after="0"/>
              <w:rPr>
                <w:sz w:val="20"/>
                <w:szCs w:val="20"/>
                <w:color w:val="auto"/>
              </w:rPr>
            </w:pPr>
            <w:r>
              <w:rPr>
                <w:rFonts w:ascii="Arial" w:cs="Arial" w:eastAsia="Arial" w:hAnsi="Arial"/>
                <w:sz w:val="22"/>
                <w:szCs w:val="22"/>
                <w:b w:val="1"/>
                <w:bCs w:val="1"/>
                <w:color w:val="010000"/>
              </w:rPr>
              <w:t>2.31</w:t>
            </w:r>
          </w:p>
        </w:tc>
        <w:tc>
          <w:tcPr>
            <w:tcW w:w="8920" w:type="dxa"/>
            <w:vAlign w:val="bottom"/>
          </w:tcPr>
          <w:p>
            <w:pPr>
              <w:ind w:left="60"/>
              <w:spacing w:after="0"/>
              <w:rPr>
                <w:sz w:val="20"/>
                <w:szCs w:val="20"/>
                <w:color w:val="auto"/>
              </w:rPr>
            </w:pPr>
            <w:r>
              <w:rPr>
                <w:rFonts w:ascii="Arial" w:cs="Arial" w:eastAsia="Arial" w:hAnsi="Arial"/>
                <w:sz w:val="22"/>
                <w:szCs w:val="22"/>
                <w:b w:val="1"/>
                <w:bCs w:val="1"/>
                <w:color w:val="auto"/>
                <w:w w:val="96"/>
              </w:rPr>
              <w:t xml:space="preserve">“Period of Service” </w:t>
            </w:r>
            <w:r>
              <w:rPr>
                <w:rFonts w:ascii="Arial" w:cs="Arial" w:eastAsia="Arial" w:hAnsi="Arial"/>
                <w:sz w:val="22"/>
                <w:szCs w:val="22"/>
                <w:color w:val="auto"/>
                <w:w w:val="96"/>
              </w:rPr>
              <w:t>means a period of employment with the Employer or a Related Employer</w:t>
            </w:r>
          </w:p>
        </w:tc>
      </w:tr>
    </w:tbl>
    <w:p>
      <w:pPr>
        <w:jc w:val="both"/>
        <w:spacing w:after="0" w:line="237" w:lineRule="auto"/>
        <w:rPr>
          <w:sz w:val="20"/>
          <w:szCs w:val="20"/>
          <w:color w:val="auto"/>
        </w:rPr>
      </w:pPr>
      <w:r>
        <w:rPr>
          <w:rFonts w:ascii="Arial" w:cs="Arial" w:eastAsia="Arial" w:hAnsi="Arial"/>
          <w:sz w:val="22"/>
          <w:szCs w:val="22"/>
          <w:color w:val="auto"/>
        </w:rPr>
        <w:t>commencing on the date an Employee works at least one hour for which the Employee is paid and ending on the date such Employee suffers a Separation from Service.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010000"/>
              </w:rPr>
              <w:t>2.32</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w w:val="90"/>
              </w:rPr>
              <w:t xml:space="preserve">“Plan” </w:t>
            </w:r>
            <w:r>
              <w:rPr>
                <w:rFonts w:ascii="Arial" w:cs="Arial" w:eastAsia="Arial" w:hAnsi="Arial"/>
                <w:sz w:val="22"/>
                <w:szCs w:val="22"/>
                <w:color w:val="auto"/>
                <w:w w:val="90"/>
              </w:rPr>
              <w:t>means this Ashland Global Holdings Inc. Supplemental Defined Contribution Plan for Certain</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Employees, as amended from time to time.</w:t>
            </w:r>
          </w:p>
        </w:tc>
      </w:tr>
      <w:tr>
        <w:trPr>
          <w:trHeight w:val="459"/>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010000"/>
              </w:rPr>
              <w:t>2.33</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rPr>
              <w:t xml:space="preserve">“Plan Year” </w:t>
            </w:r>
            <w:r>
              <w:rPr>
                <w:rFonts w:ascii="Arial" w:cs="Arial" w:eastAsia="Arial" w:hAnsi="Arial"/>
                <w:sz w:val="22"/>
                <w:szCs w:val="22"/>
                <w:color w:val="auto"/>
              </w:rPr>
              <w:t>means each 12 month period ending on December 31st.</w:t>
            </w:r>
          </w:p>
        </w:tc>
      </w:tr>
      <w:tr>
        <w:trPr>
          <w:trHeight w:val="446"/>
        </w:trPr>
        <w:tc>
          <w:tcPr>
            <w:tcW w:w="1920" w:type="dxa"/>
            <w:vAlign w:val="bottom"/>
          </w:tcPr>
          <w:p>
            <w:pPr>
              <w:jc w:val="right"/>
              <w:ind w:right="552"/>
              <w:spacing w:after="0"/>
              <w:rPr>
                <w:sz w:val="20"/>
                <w:szCs w:val="20"/>
                <w:color w:val="auto"/>
              </w:rPr>
            </w:pPr>
            <w:r>
              <w:rPr>
                <w:rFonts w:ascii="Arial" w:cs="Arial" w:eastAsia="Arial" w:hAnsi="Arial"/>
                <w:sz w:val="22"/>
                <w:szCs w:val="22"/>
                <w:b w:val="1"/>
                <w:bCs w:val="1"/>
                <w:color w:val="010000"/>
              </w:rPr>
              <w:t>2.34</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w w:val="91"/>
              </w:rPr>
              <w:t xml:space="preserve">“Related Employer” </w:t>
            </w:r>
            <w:r>
              <w:rPr>
                <w:rFonts w:ascii="Arial" w:cs="Arial" w:eastAsia="Arial" w:hAnsi="Arial"/>
                <w:sz w:val="22"/>
                <w:szCs w:val="22"/>
                <w:color w:val="auto"/>
                <w:w w:val="91"/>
              </w:rPr>
              <w:t>means the Employer and (a) any corporation that is a member of a controlled</w:t>
            </w:r>
          </w:p>
        </w:tc>
      </w:tr>
    </w:tbl>
    <w:p>
      <w:pPr>
        <w:jc w:val="both"/>
        <w:spacing w:after="0" w:line="237" w:lineRule="auto"/>
        <w:rPr>
          <w:sz w:val="20"/>
          <w:szCs w:val="20"/>
          <w:color w:val="auto"/>
        </w:rPr>
      </w:pPr>
      <w:r>
        <w:rPr>
          <w:rFonts w:ascii="Arial" w:cs="Arial" w:eastAsia="Arial" w:hAnsi="Arial"/>
          <w:sz w:val="22"/>
          <w:szCs w:val="22"/>
          <w:color w:val="auto"/>
        </w:rPr>
        <w:t>group of corporations as defined in Code Section 414(b) that includes the Employer, and (b) any trade or business that is under Common Control as defined in Code Section 414(c) that includes the Employer.</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010000"/>
                <w:w w:val="83"/>
              </w:rPr>
              <w:t>2.35</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w w:val="93"/>
              </w:rPr>
              <w:t xml:space="preserve">“Savings Plan” </w:t>
            </w:r>
            <w:r>
              <w:rPr>
                <w:rFonts w:ascii="Arial" w:cs="Arial" w:eastAsia="Arial" w:hAnsi="Arial"/>
                <w:sz w:val="22"/>
                <w:szCs w:val="22"/>
                <w:color w:val="auto"/>
                <w:w w:val="93"/>
              </w:rPr>
              <w:t>means the Ashland Inc. Employee Savings Plan, as amended from time to time.</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010000"/>
                <w:w w:val="83"/>
              </w:rPr>
              <w:t>2.36</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w w:val="91"/>
              </w:rPr>
              <w:t xml:space="preserve">“Separation from Service” </w:t>
            </w:r>
            <w:r>
              <w:rPr>
                <w:rFonts w:ascii="Arial" w:cs="Arial" w:eastAsia="Arial" w:hAnsi="Arial"/>
                <w:sz w:val="22"/>
                <w:szCs w:val="22"/>
                <w:color w:val="auto"/>
                <w:w w:val="91"/>
              </w:rPr>
              <w:t>means a Participant’s termination of employment with the Employer or</w:t>
            </w:r>
          </w:p>
        </w:tc>
      </w:tr>
    </w:tbl>
    <w:p>
      <w:pPr>
        <w:jc w:val="both"/>
        <w:spacing w:after="0" w:line="287" w:lineRule="auto"/>
        <w:rPr>
          <w:sz w:val="20"/>
          <w:szCs w:val="20"/>
          <w:color w:val="auto"/>
        </w:rPr>
      </w:pPr>
      <w:r>
        <w:rPr>
          <w:rFonts w:ascii="Arial" w:cs="Arial" w:eastAsia="Arial" w:hAnsi="Arial"/>
          <w:sz w:val="19"/>
          <w:szCs w:val="19"/>
          <w:color w:val="auto"/>
        </w:rPr>
        <w:t>Related Employer for any reason other than death that meets the requirements of the definition of “separation from service” set forth in Treasury Regulation Section 1.409A-1(h). For purposes of determining whether a Separation from Service has occurred, the 20% default threshold set forth in Treasury Regulation Section 1.409A-1(h)(1)(ii) shall be utilized.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tcPr>
          <w:p>
            <w:pPr>
              <w:jc w:val="right"/>
              <w:ind w:right="1112"/>
              <w:spacing w:after="0"/>
              <w:rPr>
                <w:sz w:val="20"/>
                <w:szCs w:val="20"/>
                <w:color w:val="auto"/>
              </w:rPr>
            </w:pPr>
            <w:r>
              <w:rPr>
                <w:rFonts w:ascii="Arial" w:cs="Arial" w:eastAsia="Arial" w:hAnsi="Arial"/>
                <w:sz w:val="22"/>
                <w:szCs w:val="22"/>
                <w:b w:val="1"/>
                <w:bCs w:val="1"/>
                <w:color w:val="010000"/>
              </w:rPr>
              <w:t>2.37</w:t>
            </w:r>
          </w:p>
        </w:tc>
        <w:tc>
          <w:tcPr>
            <w:tcW w:w="8940" w:type="dxa"/>
            <w:vAlign w:val="bottom"/>
          </w:tcPr>
          <w:p>
            <w:pPr>
              <w:ind w:left="80"/>
              <w:spacing w:after="0"/>
              <w:rPr>
                <w:sz w:val="20"/>
                <w:szCs w:val="20"/>
                <w:color w:val="auto"/>
              </w:rPr>
            </w:pPr>
            <w:r>
              <w:rPr>
                <w:rFonts w:ascii="Arial" w:cs="Arial" w:eastAsia="Arial" w:hAnsi="Arial"/>
                <w:sz w:val="22"/>
                <w:szCs w:val="22"/>
                <w:b w:val="1"/>
                <w:bCs w:val="1"/>
                <w:color w:val="auto"/>
                <w:w w:val="94"/>
              </w:rPr>
              <w:t xml:space="preserve">“SERP” </w:t>
            </w:r>
            <w:r>
              <w:rPr>
                <w:rFonts w:ascii="Arial" w:cs="Arial" w:eastAsia="Arial" w:hAnsi="Arial"/>
                <w:sz w:val="22"/>
                <w:szCs w:val="22"/>
                <w:color w:val="auto"/>
                <w:w w:val="94"/>
              </w:rPr>
              <w:t>means the Ashland Inc. Supplemental Early Retirement Plan for Certain Employees, as</w:t>
            </w:r>
          </w:p>
        </w:tc>
      </w:tr>
      <w:tr>
        <w:trPr>
          <w:trHeight w:val="275"/>
        </w:trPr>
        <w:tc>
          <w:tcPr>
            <w:tcW w:w="2480" w:type="dxa"/>
            <w:vAlign w:val="bottom"/>
          </w:tcPr>
          <w:p>
            <w:pPr>
              <w:jc w:val="right"/>
              <w:spacing w:after="0"/>
              <w:rPr>
                <w:sz w:val="20"/>
                <w:szCs w:val="20"/>
                <w:color w:val="auto"/>
              </w:rPr>
            </w:pPr>
            <w:r>
              <w:rPr>
                <w:rFonts w:ascii="Arial" w:cs="Arial" w:eastAsia="Arial" w:hAnsi="Arial"/>
                <w:sz w:val="22"/>
                <w:szCs w:val="22"/>
                <w:color w:val="auto"/>
                <w:w w:val="89"/>
              </w:rPr>
              <w:t>amended from time to time.</w:t>
            </w:r>
          </w:p>
        </w:tc>
        <w:tc>
          <w:tcPr>
            <w:tcW w:w="8940" w:type="dxa"/>
            <w:vAlign w:val="bottom"/>
          </w:tcPr>
          <w:p>
            <w:pPr>
              <w:spacing w:after="0"/>
              <w:rPr>
                <w:sz w:val="23"/>
                <w:szCs w:val="23"/>
                <w:color w:val="auto"/>
              </w:rPr>
            </w:pPr>
          </w:p>
        </w:tc>
      </w:tr>
      <w:tr>
        <w:trPr>
          <w:trHeight w:val="459"/>
        </w:trPr>
        <w:tc>
          <w:tcPr>
            <w:tcW w:w="2480" w:type="dxa"/>
            <w:vAlign w:val="bottom"/>
          </w:tcPr>
          <w:p>
            <w:pPr>
              <w:jc w:val="right"/>
              <w:ind w:right="1112"/>
              <w:spacing w:after="0"/>
              <w:rPr>
                <w:sz w:val="20"/>
                <w:szCs w:val="20"/>
                <w:color w:val="auto"/>
              </w:rPr>
            </w:pPr>
            <w:r>
              <w:rPr>
                <w:rFonts w:ascii="Arial" w:cs="Arial" w:eastAsia="Arial" w:hAnsi="Arial"/>
                <w:sz w:val="22"/>
                <w:szCs w:val="22"/>
                <w:b w:val="1"/>
                <w:bCs w:val="1"/>
                <w:color w:val="010000"/>
              </w:rPr>
              <w:t>2.38</w:t>
            </w:r>
          </w:p>
        </w:tc>
        <w:tc>
          <w:tcPr>
            <w:tcW w:w="8940" w:type="dxa"/>
            <w:vAlign w:val="bottom"/>
          </w:tcPr>
          <w:p>
            <w:pPr>
              <w:ind w:left="80"/>
              <w:spacing w:after="0"/>
              <w:rPr>
                <w:sz w:val="20"/>
                <w:szCs w:val="20"/>
                <w:color w:val="auto"/>
              </w:rPr>
            </w:pPr>
            <w:r>
              <w:rPr>
                <w:rFonts w:ascii="Arial" w:cs="Arial" w:eastAsia="Arial" w:hAnsi="Arial"/>
                <w:sz w:val="22"/>
                <w:szCs w:val="22"/>
                <w:b w:val="1"/>
                <w:bCs w:val="1"/>
                <w:color w:val="auto"/>
              </w:rPr>
              <w:t xml:space="preserve">“Substitute Contribution” </w:t>
            </w:r>
            <w:r>
              <w:rPr>
                <w:rFonts w:ascii="Arial" w:cs="Arial" w:eastAsia="Arial" w:hAnsi="Arial"/>
                <w:sz w:val="22"/>
                <w:szCs w:val="22"/>
                <w:color w:val="auto"/>
              </w:rPr>
              <w:t>means the Employer Contribution provided in Section 4.1.</w:t>
            </w:r>
          </w:p>
        </w:tc>
      </w:tr>
      <w:tr>
        <w:trPr>
          <w:trHeight w:val="446"/>
        </w:trPr>
        <w:tc>
          <w:tcPr>
            <w:tcW w:w="2480" w:type="dxa"/>
            <w:vAlign w:val="bottom"/>
          </w:tcPr>
          <w:p>
            <w:pPr>
              <w:jc w:val="right"/>
              <w:ind w:right="1112"/>
              <w:spacing w:after="0"/>
              <w:rPr>
                <w:sz w:val="20"/>
                <w:szCs w:val="20"/>
                <w:color w:val="auto"/>
              </w:rPr>
            </w:pPr>
            <w:r>
              <w:rPr>
                <w:rFonts w:ascii="Arial" w:cs="Arial" w:eastAsia="Arial" w:hAnsi="Arial"/>
                <w:sz w:val="22"/>
                <w:szCs w:val="22"/>
                <w:b w:val="1"/>
                <w:bCs w:val="1"/>
                <w:color w:val="010000"/>
              </w:rPr>
              <w:t>2.39</w:t>
            </w:r>
          </w:p>
        </w:tc>
        <w:tc>
          <w:tcPr>
            <w:tcW w:w="8940" w:type="dxa"/>
            <w:vAlign w:val="bottom"/>
          </w:tcPr>
          <w:p>
            <w:pPr>
              <w:ind w:left="80"/>
              <w:spacing w:after="0"/>
              <w:rPr>
                <w:sz w:val="20"/>
                <w:szCs w:val="20"/>
                <w:color w:val="auto"/>
              </w:rPr>
            </w:pPr>
            <w:r>
              <w:rPr>
                <w:rFonts w:ascii="Arial" w:cs="Arial" w:eastAsia="Arial" w:hAnsi="Arial"/>
                <w:sz w:val="22"/>
                <w:szCs w:val="22"/>
                <w:b w:val="1"/>
                <w:bCs w:val="1"/>
                <w:color w:val="auto"/>
                <w:w w:val="90"/>
              </w:rPr>
              <w:t xml:space="preserve">“Unforeseeable Emergency” </w:t>
            </w:r>
            <w:r>
              <w:rPr>
                <w:rFonts w:ascii="Arial" w:cs="Arial" w:eastAsia="Arial" w:hAnsi="Arial"/>
                <w:sz w:val="22"/>
                <w:szCs w:val="22"/>
                <w:color w:val="auto"/>
                <w:w w:val="90"/>
              </w:rPr>
              <w:t>means a severe financial hardship of the Participant resulting from an</w:t>
            </w:r>
          </w:p>
        </w:tc>
      </w:tr>
    </w:tbl>
    <w:p>
      <w:pPr>
        <w:jc w:val="both"/>
        <w:ind w:right="20"/>
        <w:spacing w:after="0" w:line="237" w:lineRule="auto"/>
        <w:rPr>
          <w:sz w:val="20"/>
          <w:szCs w:val="20"/>
          <w:color w:val="auto"/>
        </w:rPr>
      </w:pPr>
      <w:r>
        <w:rPr>
          <w:rFonts w:ascii="Arial" w:cs="Arial" w:eastAsia="Arial" w:hAnsi="Arial"/>
          <w:sz w:val="22"/>
          <w:szCs w:val="22"/>
          <w:color w:val="auto"/>
        </w:rPr>
        <w:t>illness or accident of the Participant, the Participant’s spouse, the Participant’s Beneficiary, or the Participant’s dependent (as defined in Code Section 152, without regard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1" w:name="page192"/>
    <w:bookmarkEnd w:id="191"/>
    <w:p>
      <w:pPr>
        <w:jc w:val="both"/>
        <w:spacing w:after="0" w:line="252" w:lineRule="auto"/>
        <w:rPr>
          <w:sz w:val="20"/>
          <w:szCs w:val="20"/>
          <w:color w:val="auto"/>
        </w:rPr>
      </w:pPr>
      <w:r>
        <w:rPr>
          <w:rFonts w:ascii="Arial" w:cs="Arial" w:eastAsia="Arial" w:hAnsi="Arial"/>
          <w:sz w:val="21"/>
          <w:szCs w:val="21"/>
          <w:color w:val="auto"/>
        </w:rPr>
        <w:t>Section 152(b)(1), (b)(2) and (d)(1)(B));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The purchase of a home and the payment of college tuition are not unforeseeable emergencies.</w:t>
      </w:r>
    </w:p>
    <w:p>
      <w:pPr>
        <w:spacing w:after="0" w:line="168"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010000"/>
        </w:rPr>
        <w:t>2.40</w:t>
      </w:r>
      <w:r>
        <w:rPr>
          <w:sz w:val="20"/>
          <w:szCs w:val="20"/>
          <w:color w:val="auto"/>
        </w:rPr>
        <w:tab/>
      </w:r>
      <w:r>
        <w:rPr>
          <w:rFonts w:ascii="Arial" w:cs="Arial" w:eastAsia="Arial" w:hAnsi="Arial"/>
          <w:sz w:val="19"/>
          <w:szCs w:val="19"/>
          <w:b w:val="1"/>
          <w:bCs w:val="1"/>
          <w:color w:val="auto"/>
        </w:rPr>
        <w:t xml:space="preserve">“Valuation Date” </w:t>
      </w:r>
      <w:r>
        <w:rPr>
          <w:rFonts w:ascii="Arial" w:cs="Arial" w:eastAsia="Arial" w:hAnsi="Arial"/>
          <w:sz w:val="19"/>
          <w:szCs w:val="19"/>
          <w:color w:val="auto"/>
        </w:rPr>
        <w:t>means each business day of the Plan Year.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2" w:name="page193"/>
    <w:bookmarkEnd w:id="192"/>
    <w:tbl>
      <w:tblPr>
        <w:tblLayout w:type="fixed"/>
        <w:tblInd w:w="8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9620" w:type="dxa"/>
            <w:vAlign w:val="bottom"/>
          </w:tcPr>
          <w:p>
            <w:pPr>
              <w:ind w:left="2420"/>
              <w:spacing w:after="0"/>
              <w:rPr>
                <w:sz w:val="20"/>
                <w:szCs w:val="20"/>
                <w:color w:val="auto"/>
              </w:rPr>
            </w:pPr>
            <w:r>
              <w:rPr>
                <w:rFonts w:ascii="Arial" w:cs="Arial" w:eastAsia="Arial" w:hAnsi="Arial"/>
                <w:sz w:val="22"/>
                <w:szCs w:val="22"/>
                <w:b w:val="1"/>
                <w:bCs w:val="1"/>
                <w:color w:val="010000"/>
              </w:rPr>
              <w:t xml:space="preserve">ARTICLE 3. </w:t>
            </w:r>
            <w:r>
              <w:rPr>
                <w:rFonts w:ascii="Arial" w:cs="Arial" w:eastAsia="Arial" w:hAnsi="Arial"/>
                <w:sz w:val="22"/>
                <w:szCs w:val="22"/>
                <w:b w:val="1"/>
                <w:bCs w:val="1"/>
                <w:color w:val="000000"/>
              </w:rPr>
              <w:t>PARTICIPATION</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010000"/>
                <w:w w:val="84"/>
              </w:rPr>
              <w:t>3.1</w:t>
            </w:r>
          </w:p>
        </w:tc>
        <w:tc>
          <w:tcPr>
            <w:tcW w:w="9620" w:type="dxa"/>
            <w:vAlign w:val="bottom"/>
          </w:tcPr>
          <w:p>
            <w:pPr>
              <w:ind w:left="660"/>
              <w:spacing w:after="0"/>
              <w:rPr>
                <w:sz w:val="20"/>
                <w:szCs w:val="20"/>
                <w:color w:val="auto"/>
              </w:rPr>
            </w:pPr>
            <w:r>
              <w:rPr>
                <w:rFonts w:ascii="Arial" w:cs="Arial" w:eastAsia="Arial" w:hAnsi="Arial"/>
                <w:sz w:val="22"/>
                <w:szCs w:val="22"/>
                <w:b w:val="1"/>
                <w:bCs w:val="1"/>
                <w:color w:val="auto"/>
                <w:w w:val="91"/>
              </w:rPr>
              <w:t>Participation</w:t>
            </w:r>
            <w:r>
              <w:rPr>
                <w:rFonts w:ascii="Arial" w:cs="Arial" w:eastAsia="Arial" w:hAnsi="Arial"/>
                <w:sz w:val="22"/>
                <w:szCs w:val="22"/>
                <w:color w:val="auto"/>
                <w:w w:val="91"/>
              </w:rPr>
              <w:t>. Notwithstanding the foregoing, participation in the Plan is closed and frozen as to new</w:t>
            </w:r>
          </w:p>
        </w:tc>
      </w:tr>
    </w:tbl>
    <w:p>
      <w:pPr>
        <w:spacing w:after="0"/>
        <w:rPr>
          <w:sz w:val="20"/>
          <w:szCs w:val="20"/>
          <w:color w:val="auto"/>
        </w:rPr>
      </w:pPr>
      <w:r>
        <w:rPr>
          <w:rFonts w:ascii="Arial" w:cs="Arial" w:eastAsia="Arial" w:hAnsi="Arial"/>
          <w:sz w:val="19"/>
          <w:szCs w:val="19"/>
          <w:color w:val="auto"/>
        </w:rPr>
        <w:t>Participants effective September 30, 2016, and no Eligible Employees shall commence Plan participation after September 30, 2016.</w:t>
      </w:r>
    </w:p>
    <w:p>
      <w:pPr>
        <w:spacing w:after="0" w:line="217"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010000"/>
        </w:rPr>
        <w:t xml:space="preserve">3.2 </w:t>
      </w:r>
      <w:r>
        <w:rPr>
          <w:rFonts w:ascii="Arial" w:cs="Arial" w:eastAsia="Arial" w:hAnsi="Arial"/>
          <w:sz w:val="22"/>
          <w:szCs w:val="22"/>
          <w:b w:val="1"/>
          <w:bCs w:val="1"/>
          <w:color w:val="000000"/>
        </w:rPr>
        <w:t>Termination of Participation</w:t>
      </w:r>
      <w:r>
        <w:rPr>
          <w:rFonts w:ascii="Arial" w:cs="Arial" w:eastAsia="Arial" w:hAnsi="Arial"/>
          <w:sz w:val="22"/>
          <w:szCs w:val="22"/>
          <w:color w:val="000000"/>
        </w:rPr>
        <w:t>. The Employer may terminate a Participant’s participation in the Plan,</w:t>
      </w:r>
      <w:r>
        <w:rPr>
          <w:rFonts w:ascii="Arial" w:cs="Arial" w:eastAsia="Arial" w:hAnsi="Arial"/>
          <w:sz w:val="22"/>
          <w:szCs w:val="22"/>
          <w:b w:val="1"/>
          <w:bCs w:val="1"/>
          <w:color w:val="010000"/>
        </w:rPr>
        <w:t xml:space="preserve"> </w:t>
      </w:r>
      <w:r>
        <w:rPr>
          <w:rFonts w:ascii="Arial" w:cs="Arial" w:eastAsia="Arial" w:hAnsi="Arial"/>
          <w:sz w:val="22"/>
          <w:szCs w:val="22"/>
          <w:color w:val="000000"/>
        </w:rPr>
        <w:t>provided, however, any such termination at the direction of the Employer shall not take effect until the first day of the next Plan Year.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3" w:name="page194"/>
    <w:bookmarkEnd w:id="193"/>
    <w:tbl>
      <w:tblPr>
        <w:tblLayout w:type="fixed"/>
        <w:tblInd w:w="880" w:type="dxa"/>
        <w:tblCellMar>
          <w:top w:w="0" w:type="dxa"/>
          <w:left w:w="0" w:type="dxa"/>
          <w:bottom w:w="0" w:type="dxa"/>
          <w:right w:w="0" w:type="dxa"/>
        </w:tblCellMar>
      </w:tblPr>
      <w:tr>
        <w:trPr>
          <w:trHeight w:val="281"/>
        </w:trPr>
        <w:tc>
          <w:tcPr>
            <w:tcW w:w="1340" w:type="dxa"/>
            <w:vAlign w:val="bottom"/>
          </w:tcPr>
          <w:p>
            <w:pPr>
              <w:spacing w:after="0"/>
              <w:rPr>
                <w:sz w:val="24"/>
                <w:szCs w:val="24"/>
                <w:color w:val="auto"/>
              </w:rPr>
            </w:pPr>
          </w:p>
        </w:tc>
        <w:tc>
          <w:tcPr>
            <w:tcW w:w="9200" w:type="dxa"/>
            <w:vAlign w:val="bottom"/>
            <w:gridSpan w:val="3"/>
          </w:tcPr>
          <w:p>
            <w:pPr>
              <w:ind w:left="1280"/>
              <w:spacing w:after="0"/>
              <w:rPr>
                <w:sz w:val="20"/>
                <w:szCs w:val="20"/>
                <w:color w:val="auto"/>
              </w:rPr>
            </w:pPr>
            <w:r>
              <w:rPr>
                <w:rFonts w:ascii="Arial" w:cs="Arial" w:eastAsia="Arial" w:hAnsi="Arial"/>
                <w:sz w:val="22"/>
                <w:szCs w:val="22"/>
                <w:b w:val="1"/>
                <w:bCs w:val="1"/>
                <w:color w:val="010000"/>
              </w:rPr>
              <w:t xml:space="preserve">ARTICLE 4. </w:t>
            </w:r>
            <w:r>
              <w:rPr>
                <w:rFonts w:ascii="Arial" w:cs="Arial" w:eastAsia="Arial" w:hAnsi="Arial"/>
                <w:sz w:val="22"/>
                <w:szCs w:val="22"/>
                <w:b w:val="1"/>
                <w:bCs w:val="1"/>
                <w:color w:val="000000"/>
              </w:rPr>
              <w:t>EMPLOYER CONTRIBUTIONS</w:t>
            </w:r>
          </w:p>
        </w:tc>
      </w:tr>
      <w:tr>
        <w:trPr>
          <w:trHeight w:val="459"/>
        </w:trPr>
        <w:tc>
          <w:tcPr>
            <w:tcW w:w="1340" w:type="dxa"/>
            <w:vAlign w:val="bottom"/>
          </w:tcPr>
          <w:p>
            <w:pPr>
              <w:jc w:val="right"/>
              <w:ind w:right="952"/>
              <w:spacing w:after="0"/>
              <w:rPr>
                <w:sz w:val="20"/>
                <w:szCs w:val="20"/>
                <w:color w:val="auto"/>
              </w:rPr>
            </w:pPr>
            <w:r>
              <w:rPr>
                <w:rFonts w:ascii="Arial" w:cs="Arial" w:eastAsia="Arial" w:hAnsi="Arial"/>
                <w:sz w:val="22"/>
                <w:szCs w:val="22"/>
                <w:b w:val="1"/>
                <w:bCs w:val="1"/>
                <w:color w:val="010000"/>
                <w:w w:val="84"/>
              </w:rPr>
              <w:t>4.1</w:t>
            </w:r>
          </w:p>
        </w:tc>
        <w:tc>
          <w:tcPr>
            <w:tcW w:w="9200" w:type="dxa"/>
            <w:vAlign w:val="bottom"/>
            <w:gridSpan w:val="3"/>
          </w:tcPr>
          <w:p>
            <w:pPr>
              <w:ind w:left="240"/>
              <w:spacing w:after="0"/>
              <w:rPr>
                <w:sz w:val="20"/>
                <w:szCs w:val="20"/>
                <w:color w:val="auto"/>
              </w:rPr>
            </w:pPr>
            <w:r>
              <w:rPr>
                <w:rFonts w:ascii="Arial" w:cs="Arial" w:eastAsia="Arial" w:hAnsi="Arial"/>
                <w:sz w:val="22"/>
                <w:szCs w:val="22"/>
                <w:b w:val="1"/>
                <w:bCs w:val="1"/>
                <w:color w:val="auto"/>
              </w:rPr>
              <w:t>Substitute Contribution</w:t>
            </w:r>
            <w:r>
              <w:rPr>
                <w:rFonts w:ascii="Arial" w:cs="Arial" w:eastAsia="Arial" w:hAnsi="Arial"/>
                <w:sz w:val="22"/>
                <w:szCs w:val="22"/>
                <w:color w:val="auto"/>
              </w:rPr>
              <w:t>.</w:t>
            </w:r>
          </w:p>
        </w:tc>
      </w:tr>
      <w:tr>
        <w:trPr>
          <w:trHeight w:val="409"/>
        </w:trPr>
        <w:tc>
          <w:tcPr>
            <w:tcW w:w="1340" w:type="dxa"/>
            <w:vAlign w:val="bottom"/>
          </w:tcPr>
          <w:p>
            <w:pPr>
              <w:jc w:val="right"/>
              <w:ind w:right="112"/>
              <w:spacing w:after="0"/>
              <w:rPr>
                <w:sz w:val="20"/>
                <w:szCs w:val="20"/>
                <w:color w:val="auto"/>
              </w:rPr>
            </w:pPr>
            <w:r>
              <w:rPr>
                <w:rFonts w:ascii="Arial" w:cs="Arial" w:eastAsia="Arial" w:hAnsi="Arial"/>
                <w:sz w:val="22"/>
                <w:szCs w:val="22"/>
                <w:color w:val="010000"/>
              </w:rPr>
              <w:t>(a)</w:t>
            </w:r>
          </w:p>
        </w:tc>
        <w:tc>
          <w:tcPr>
            <w:tcW w:w="1720" w:type="dxa"/>
            <w:vAlign w:val="bottom"/>
          </w:tcPr>
          <w:p>
            <w:pPr>
              <w:spacing w:after="0"/>
              <w:rPr>
                <w:sz w:val="24"/>
                <w:szCs w:val="24"/>
                <w:color w:val="auto"/>
              </w:rPr>
            </w:pPr>
          </w:p>
        </w:tc>
        <w:tc>
          <w:tcPr>
            <w:tcW w:w="7480" w:type="dxa"/>
            <w:vAlign w:val="bottom"/>
            <w:gridSpan w:val="2"/>
          </w:tcPr>
          <w:p>
            <w:pPr>
              <w:spacing w:after="0"/>
              <w:rPr>
                <w:sz w:val="20"/>
                <w:szCs w:val="20"/>
                <w:color w:val="auto"/>
              </w:rPr>
            </w:pPr>
            <w:r>
              <w:rPr>
                <w:rFonts w:ascii="Arial" w:cs="Arial" w:eastAsia="Arial" w:hAnsi="Arial"/>
                <w:sz w:val="22"/>
                <w:szCs w:val="22"/>
                <w:b w:val="1"/>
                <w:bCs w:val="1"/>
                <w:color w:val="auto"/>
                <w:w w:val="95"/>
              </w:rPr>
              <w:t>Substitute Contribution</w:t>
            </w:r>
            <w:r>
              <w:rPr>
                <w:rFonts w:ascii="Arial" w:cs="Arial" w:eastAsia="Arial" w:hAnsi="Arial"/>
                <w:sz w:val="22"/>
                <w:szCs w:val="22"/>
                <w:color w:val="auto"/>
                <w:w w:val="95"/>
              </w:rPr>
              <w:t>. The Employer will credit a Participant’s Account with a</w:t>
            </w:r>
          </w:p>
        </w:tc>
      </w:tr>
      <w:tr>
        <w:trPr>
          <w:trHeight w:val="20"/>
        </w:trPr>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Substitute Contribution in an amount equal to 4% of the Participant’s Incentive Compensation, Excess Base Compensation and Excess Base Compensation Deferrals for the Plan Year.</w:t>
      </w:r>
    </w:p>
    <w:p>
      <w:pPr>
        <w:spacing w:after="0" w:line="167"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color w:val="010000"/>
        </w:rPr>
        <w:t xml:space="preserve">(b) </w:t>
      </w:r>
      <w:r>
        <w:rPr>
          <w:rFonts w:ascii="Arial" w:cs="Arial" w:eastAsia="Arial" w:hAnsi="Arial"/>
          <w:sz w:val="22"/>
          <w:szCs w:val="22"/>
          <w:b w:val="1"/>
          <w:bCs w:val="1"/>
          <w:u w:val="single" w:color="auto"/>
          <w:color w:val="000000"/>
        </w:rPr>
        <w:t>Special Effective Date</w:t>
      </w:r>
      <w:r>
        <w:rPr>
          <w:rFonts w:ascii="Arial" w:cs="Arial" w:eastAsia="Arial" w:hAnsi="Arial"/>
          <w:sz w:val="22"/>
          <w:szCs w:val="22"/>
          <w:color w:val="000000"/>
        </w:rPr>
        <w:t>. This Section 4.1 shall be retroactively effective as of January</w:t>
      </w:r>
      <w:r>
        <w:rPr>
          <w:rFonts w:ascii="Arial" w:cs="Arial" w:eastAsia="Arial" w:hAnsi="Arial"/>
          <w:sz w:val="22"/>
          <w:szCs w:val="22"/>
          <w:color w:val="010000"/>
        </w:rPr>
        <w:t xml:space="preserve"> </w:t>
      </w:r>
      <w:r>
        <w:rPr>
          <w:rFonts w:ascii="Arial" w:cs="Arial" w:eastAsia="Arial" w:hAnsi="Arial"/>
          <w:sz w:val="22"/>
          <w:szCs w:val="22"/>
          <w:color w:val="000000"/>
        </w:rPr>
        <w:t>1, 2011. No Participant benefit is reduced as a result of this retroactive special effective date, and no matching contributions have accrued or will accrue under this Plan.</w:t>
      </w:r>
    </w:p>
    <w:p>
      <w:pPr>
        <w:spacing w:after="0" w:line="177"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21"/>
          <w:szCs w:val="21"/>
          <w:color w:val="010000"/>
        </w:rPr>
        <w:t xml:space="preserve">(c) </w:t>
      </w:r>
      <w:r>
        <w:rPr>
          <w:rFonts w:ascii="Arial" w:cs="Arial" w:eastAsia="Arial" w:hAnsi="Arial"/>
          <w:sz w:val="21"/>
          <w:szCs w:val="21"/>
          <w:b w:val="1"/>
          <w:bCs w:val="1"/>
          <w:u w:val="single" w:color="auto"/>
          <w:color w:val="000000"/>
        </w:rPr>
        <w:t>Freeze of Substitute Contribution</w:t>
      </w:r>
      <w:r>
        <w:rPr>
          <w:rFonts w:ascii="Arial" w:cs="Arial" w:eastAsia="Arial" w:hAnsi="Arial"/>
          <w:sz w:val="21"/>
          <w:szCs w:val="21"/>
          <w:color w:val="000000"/>
        </w:rPr>
        <w:t>. Notwithstanding the foregoing provisions of this</w:t>
      </w:r>
      <w:r>
        <w:rPr>
          <w:rFonts w:ascii="Arial" w:cs="Arial" w:eastAsia="Arial" w:hAnsi="Arial"/>
          <w:sz w:val="21"/>
          <w:szCs w:val="21"/>
          <w:color w:val="010000"/>
        </w:rPr>
        <w:t xml:space="preserve"> </w:t>
      </w:r>
      <w:r>
        <w:rPr>
          <w:rFonts w:ascii="Arial" w:cs="Arial" w:eastAsia="Arial" w:hAnsi="Arial"/>
          <w:sz w:val="21"/>
          <w:szCs w:val="21"/>
          <w:color w:val="000000"/>
        </w:rPr>
        <w:t>Section 4.1, no Substitute Contributions shall be credited to Participants’ Accounts with respect to Participants’ post-September 30, 2016, Incentive Compensation, Excess Base Compensation and Excess Base Compensation Deferrals.</w:t>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340" w:type="dxa"/>
            <w:vAlign w:val="bottom"/>
          </w:tcPr>
          <w:p>
            <w:pPr>
              <w:jc w:val="right"/>
              <w:ind w:right="952"/>
              <w:spacing w:after="0"/>
              <w:rPr>
                <w:sz w:val="20"/>
                <w:szCs w:val="20"/>
                <w:color w:val="auto"/>
              </w:rPr>
            </w:pPr>
            <w:r>
              <w:rPr>
                <w:rFonts w:ascii="Arial" w:cs="Arial" w:eastAsia="Arial" w:hAnsi="Arial"/>
                <w:sz w:val="22"/>
                <w:szCs w:val="22"/>
                <w:b w:val="1"/>
                <w:bCs w:val="1"/>
                <w:color w:val="010000"/>
                <w:w w:val="84"/>
              </w:rPr>
              <w:t>4.2</w:t>
            </w:r>
          </w:p>
        </w:tc>
        <w:tc>
          <w:tcPr>
            <w:tcW w:w="9180" w:type="dxa"/>
            <w:vAlign w:val="bottom"/>
            <w:gridSpan w:val="3"/>
          </w:tcPr>
          <w:p>
            <w:pPr>
              <w:ind w:left="240"/>
              <w:spacing w:after="0"/>
              <w:rPr>
                <w:sz w:val="20"/>
                <w:szCs w:val="20"/>
                <w:color w:val="auto"/>
              </w:rPr>
            </w:pPr>
            <w:r>
              <w:rPr>
                <w:rFonts w:ascii="Arial" w:cs="Arial" w:eastAsia="Arial" w:hAnsi="Arial"/>
                <w:sz w:val="22"/>
                <w:szCs w:val="22"/>
                <w:b w:val="1"/>
                <w:bCs w:val="1"/>
                <w:color w:val="auto"/>
              </w:rPr>
              <w:t>Other Employer Contributions</w:t>
            </w:r>
            <w:r>
              <w:rPr>
                <w:rFonts w:ascii="Arial" w:cs="Arial" w:eastAsia="Arial" w:hAnsi="Arial"/>
                <w:sz w:val="22"/>
                <w:szCs w:val="22"/>
                <w:color w:val="auto"/>
              </w:rPr>
              <w:t>.</w:t>
            </w:r>
          </w:p>
        </w:tc>
      </w:tr>
      <w:tr>
        <w:trPr>
          <w:trHeight w:val="409"/>
        </w:trPr>
        <w:tc>
          <w:tcPr>
            <w:tcW w:w="1340" w:type="dxa"/>
            <w:vAlign w:val="bottom"/>
          </w:tcPr>
          <w:p>
            <w:pPr>
              <w:jc w:val="right"/>
              <w:ind w:right="112"/>
              <w:spacing w:after="0"/>
              <w:rPr>
                <w:sz w:val="20"/>
                <w:szCs w:val="20"/>
                <w:color w:val="auto"/>
              </w:rPr>
            </w:pPr>
            <w:r>
              <w:rPr>
                <w:rFonts w:ascii="Arial" w:cs="Arial" w:eastAsia="Arial" w:hAnsi="Arial"/>
                <w:sz w:val="22"/>
                <w:szCs w:val="22"/>
                <w:color w:val="010000"/>
              </w:rPr>
              <w:t>(a)</w:t>
            </w:r>
          </w:p>
        </w:tc>
        <w:tc>
          <w:tcPr>
            <w:tcW w:w="172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22"/>
                <w:szCs w:val="22"/>
                <w:b w:val="1"/>
                <w:bCs w:val="1"/>
                <w:color w:val="auto"/>
                <w:w w:val="97"/>
              </w:rPr>
              <w:t>Performance Retirement Contribution</w:t>
            </w:r>
            <w:r>
              <w:rPr>
                <w:rFonts w:ascii="Arial" w:cs="Arial" w:eastAsia="Arial" w:hAnsi="Arial"/>
                <w:sz w:val="22"/>
                <w:szCs w:val="22"/>
                <w:color w:val="auto"/>
                <w:w w:val="97"/>
              </w:rPr>
              <w:t>. To the extent the Employer makes a</w:t>
            </w:r>
          </w:p>
        </w:tc>
      </w:tr>
      <w:tr>
        <w:trPr>
          <w:trHeight w:val="20"/>
        </w:trPr>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Performance Retirement Contribution under the Savings Plan for a Plan Year, the Employer shall credit each Participant’s Account with a contribution equal to the declared Performance Retirement Contribution under the Savings Plan percentage multiplied by the Participant’s Incentive Compensation, Excess Base Compensation and Excess Base Compensation Deferrals for the Plan Year. Notwithstanding the foregoing, a Performance Retirement Contribution will only be credited to a Participant’s Account if the Participant has not Separated from Service in the Plan Year. The foregoing Performance Retirement Contribution provision shall only apply to Participants’ pre-October 1, 2016, Incentive Compensation, Excess Base Compensation and Excess Base Compensation Deferrals.</w:t>
      </w:r>
    </w:p>
    <w:p>
      <w:pPr>
        <w:spacing w:after="0" w:line="162"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2200" w:type="dxa"/>
            <w:vAlign w:val="bottom"/>
          </w:tcPr>
          <w:p>
            <w:pPr>
              <w:spacing w:after="0"/>
              <w:rPr>
                <w:sz w:val="20"/>
                <w:szCs w:val="20"/>
                <w:color w:val="auto"/>
              </w:rPr>
            </w:pPr>
            <w:r>
              <w:rPr>
                <w:rFonts w:ascii="Arial" w:cs="Arial" w:eastAsia="Arial" w:hAnsi="Arial"/>
                <w:sz w:val="22"/>
                <w:szCs w:val="22"/>
                <w:color w:val="010000"/>
              </w:rPr>
              <w:t>(b)</w:t>
            </w:r>
          </w:p>
        </w:tc>
        <w:tc>
          <w:tcPr>
            <w:tcW w:w="7460" w:type="dxa"/>
            <w:vAlign w:val="bottom"/>
            <w:gridSpan w:val="2"/>
          </w:tcPr>
          <w:p>
            <w:pPr>
              <w:spacing w:after="0"/>
              <w:rPr>
                <w:sz w:val="20"/>
                <w:szCs w:val="20"/>
                <w:color w:val="auto"/>
              </w:rPr>
            </w:pPr>
            <w:r>
              <w:rPr>
                <w:rFonts w:ascii="Arial" w:cs="Arial" w:eastAsia="Arial" w:hAnsi="Arial"/>
                <w:sz w:val="22"/>
                <w:szCs w:val="22"/>
                <w:b w:val="1"/>
                <w:bCs w:val="1"/>
                <w:color w:val="auto"/>
              </w:rPr>
              <w:t>Basic Retirement Contributions</w:t>
            </w:r>
            <w:r>
              <w:rPr>
                <w:rFonts w:ascii="Arial" w:cs="Arial" w:eastAsia="Arial" w:hAnsi="Arial"/>
                <w:sz w:val="22"/>
                <w:szCs w:val="22"/>
                <w:color w:val="auto"/>
              </w:rPr>
              <w:t>.</w:t>
            </w:r>
          </w:p>
        </w:tc>
      </w:tr>
      <w:tr>
        <w:trPr>
          <w:trHeight w:val="20"/>
        </w:trPr>
        <w:tc>
          <w:tcPr>
            <w:tcW w:w="220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476"/>
        </w:trPr>
        <w:tc>
          <w:tcPr>
            <w:tcW w:w="2200" w:type="dxa"/>
            <w:vAlign w:val="bottom"/>
          </w:tcPr>
          <w:p>
            <w:pPr>
              <w:ind w:left="880"/>
              <w:spacing w:after="0"/>
              <w:rPr>
                <w:sz w:val="20"/>
                <w:szCs w:val="20"/>
                <w:color w:val="auto"/>
              </w:rPr>
            </w:pPr>
            <w:r>
              <w:rPr>
                <w:rFonts w:ascii="Arial" w:cs="Arial" w:eastAsia="Arial" w:hAnsi="Arial"/>
                <w:sz w:val="22"/>
                <w:szCs w:val="22"/>
                <w:color w:val="010000"/>
              </w:rPr>
              <w:t>(i)</w:t>
            </w:r>
          </w:p>
        </w:tc>
        <w:tc>
          <w:tcPr>
            <w:tcW w:w="7460" w:type="dxa"/>
            <w:vAlign w:val="bottom"/>
            <w:gridSpan w:val="2"/>
          </w:tcPr>
          <w:p>
            <w:pPr>
              <w:ind w:left="1480"/>
              <w:spacing w:after="0"/>
              <w:rPr>
                <w:sz w:val="20"/>
                <w:szCs w:val="20"/>
                <w:color w:val="auto"/>
              </w:rPr>
            </w:pPr>
            <w:r>
              <w:rPr>
                <w:rFonts w:ascii="Arial" w:cs="Arial" w:eastAsia="Arial" w:hAnsi="Arial"/>
                <w:sz w:val="22"/>
                <w:szCs w:val="22"/>
                <w:b w:val="1"/>
                <w:bCs w:val="1"/>
                <w:color w:val="auto"/>
                <w:w w:val="92"/>
              </w:rPr>
              <w:t>Basic Retirement Contribution for Participants Eligible for the</w:t>
            </w:r>
          </w:p>
        </w:tc>
      </w:tr>
    </w:tbl>
    <w:p>
      <w:pPr>
        <w:jc w:val="both"/>
        <w:spacing w:after="0" w:line="233" w:lineRule="auto"/>
        <w:rPr>
          <w:sz w:val="20"/>
          <w:szCs w:val="20"/>
          <w:color w:val="auto"/>
        </w:rPr>
      </w:pPr>
      <w:r>
        <w:rPr>
          <w:rFonts w:ascii="Arial" w:cs="Arial" w:eastAsia="Arial" w:hAnsi="Arial"/>
          <w:sz w:val="22"/>
          <w:szCs w:val="22"/>
          <w:b w:val="1"/>
          <w:bCs w:val="1"/>
          <w:color w:val="auto"/>
        </w:rPr>
        <w:t>Savings Plan on or after January 1, 2011</w:t>
      </w:r>
      <w:r>
        <w:rPr>
          <w:rFonts w:ascii="Arial" w:cs="Arial" w:eastAsia="Arial" w:hAnsi="Arial"/>
          <w:sz w:val="22"/>
          <w:szCs w:val="22"/>
          <w:color w:val="auto"/>
        </w:rPr>
        <w:t>. The Employer shall credit to the Account of each Participant who is either (A)(1) a</w:t>
      </w:r>
      <w:r>
        <w:rPr>
          <w:rFonts w:ascii="Arial" w:cs="Arial" w:eastAsia="Arial" w:hAnsi="Arial"/>
          <w:sz w:val="22"/>
          <w:szCs w:val="22"/>
          <w:b w:val="1"/>
          <w:bCs w:val="1"/>
          <w:color w:val="auto"/>
        </w:rPr>
        <w:t xml:space="preserve"> </w:t>
      </w:r>
      <w:r>
        <w:rPr>
          <w:rFonts w:ascii="Arial" w:cs="Arial" w:eastAsia="Arial" w:hAnsi="Arial"/>
          <w:sz w:val="22"/>
          <w:szCs w:val="22"/>
          <w:color w:val="auto"/>
        </w:rPr>
        <w:t>Hercules Employee, or (2) who became eligible for the Savings Plan on or after January 1, 2011, and (B) who is not a Grandfathered Employee, an amount equal to the Basic Retirement Contribution based on percentage of the Participant’s Incentive Compensation, Excess Base Compensation and Excess Base Compensation Deferrals determined in accordance with the following tables:</w:t>
      </w:r>
    </w:p>
    <w:p>
      <w:pPr>
        <w:spacing w:after="0" w:line="157" w:lineRule="exact"/>
        <w:rPr>
          <w:sz w:val="20"/>
          <w:szCs w:val="20"/>
          <w:color w:val="auto"/>
        </w:rPr>
      </w:pPr>
    </w:p>
    <w:tbl>
      <w:tblPr>
        <w:tblLayout w:type="fixed"/>
        <w:tblInd w:w="980" w:type="dxa"/>
        <w:tblCellMar>
          <w:top w:w="0" w:type="dxa"/>
          <w:left w:w="0" w:type="dxa"/>
          <w:bottom w:w="0" w:type="dxa"/>
          <w:right w:w="0" w:type="dxa"/>
        </w:tblCellMar>
      </w:tblPr>
      <w:tr>
        <w:trPr>
          <w:trHeight w:val="253"/>
        </w:trPr>
        <w:tc>
          <w:tcPr>
            <w:tcW w:w="3940" w:type="dxa"/>
            <w:vAlign w:val="bottom"/>
            <w:gridSpan w:val="2"/>
          </w:tcPr>
          <w:p>
            <w:pPr>
              <w:spacing w:after="0"/>
              <w:rPr>
                <w:sz w:val="20"/>
                <w:szCs w:val="20"/>
                <w:color w:val="auto"/>
              </w:rPr>
            </w:pPr>
            <w:r>
              <w:rPr>
                <w:rFonts w:ascii="Arial" w:cs="Arial" w:eastAsia="Arial" w:hAnsi="Arial"/>
                <w:sz w:val="22"/>
                <w:szCs w:val="22"/>
                <w:color w:val="auto"/>
              </w:rPr>
              <w:t>Period of Service</w:t>
            </w:r>
          </w:p>
        </w:tc>
        <w:tc>
          <w:tcPr>
            <w:tcW w:w="3480" w:type="dxa"/>
            <w:vAlign w:val="bottom"/>
          </w:tcPr>
          <w:p>
            <w:pPr>
              <w:spacing w:after="0"/>
              <w:rPr>
                <w:sz w:val="20"/>
                <w:szCs w:val="20"/>
                <w:color w:val="auto"/>
              </w:rPr>
            </w:pPr>
            <w:r>
              <w:rPr>
                <w:rFonts w:ascii="Arial" w:cs="Arial" w:eastAsia="Arial" w:hAnsi="Arial"/>
                <w:sz w:val="22"/>
                <w:szCs w:val="22"/>
                <w:color w:val="auto"/>
                <w:w w:val="88"/>
              </w:rPr>
              <w:t>Percentage of Applicable Compensation</w:t>
            </w:r>
          </w:p>
        </w:tc>
      </w:tr>
      <w:tr>
        <w:trPr>
          <w:trHeight w:val="485"/>
        </w:trPr>
        <w:tc>
          <w:tcPr>
            <w:tcW w:w="15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0-10 Years</w:t>
            </w:r>
          </w:p>
        </w:tc>
        <w:tc>
          <w:tcPr>
            <w:tcW w:w="2440" w:type="dxa"/>
            <w:vAlign w:val="bottom"/>
          </w:tcPr>
          <w:p>
            <w:pPr>
              <w:spacing w:after="0"/>
              <w:rPr>
                <w:sz w:val="24"/>
                <w:szCs w:val="24"/>
                <w:color w:val="auto"/>
              </w:rPr>
            </w:pPr>
          </w:p>
        </w:tc>
        <w:tc>
          <w:tcPr>
            <w:tcW w:w="34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1.5%</w:t>
            </w:r>
          </w:p>
        </w:tc>
      </w:tr>
      <w:tr>
        <w:trPr>
          <w:trHeight w:val="243"/>
        </w:trPr>
        <w:tc>
          <w:tcPr>
            <w:tcW w:w="3940" w:type="dxa"/>
            <w:vAlign w:val="bottom"/>
            <w:gridSpan w:val="2"/>
          </w:tcPr>
          <w:p>
            <w:pPr>
              <w:spacing w:after="0" w:line="243" w:lineRule="exact"/>
              <w:rPr>
                <w:sz w:val="20"/>
                <w:szCs w:val="20"/>
                <w:color w:val="auto"/>
              </w:rPr>
            </w:pPr>
            <w:r>
              <w:rPr>
                <w:rFonts w:ascii="Arial" w:cs="Arial" w:eastAsia="Arial" w:hAnsi="Arial"/>
                <w:sz w:val="22"/>
                <w:szCs w:val="22"/>
                <w:color w:val="auto"/>
              </w:rPr>
              <w:t>11-20 Years</w:t>
            </w:r>
          </w:p>
        </w:tc>
        <w:tc>
          <w:tcPr>
            <w:tcW w:w="3480" w:type="dxa"/>
            <w:vAlign w:val="bottom"/>
          </w:tcPr>
          <w:p>
            <w:pPr>
              <w:spacing w:after="0" w:line="243" w:lineRule="exact"/>
              <w:rPr>
                <w:sz w:val="20"/>
                <w:szCs w:val="20"/>
                <w:color w:val="auto"/>
              </w:rPr>
            </w:pPr>
            <w:r>
              <w:rPr>
                <w:rFonts w:ascii="Arial" w:cs="Arial" w:eastAsia="Arial" w:hAnsi="Arial"/>
                <w:sz w:val="22"/>
                <w:szCs w:val="22"/>
                <w:color w:val="auto"/>
              </w:rPr>
              <w:t>3.0%</w:t>
            </w:r>
          </w:p>
        </w:tc>
      </w:tr>
      <w:tr>
        <w:trPr>
          <w:trHeight w:val="275"/>
        </w:trPr>
        <w:tc>
          <w:tcPr>
            <w:tcW w:w="3940" w:type="dxa"/>
            <w:vAlign w:val="bottom"/>
            <w:gridSpan w:val="2"/>
          </w:tcPr>
          <w:p>
            <w:pPr>
              <w:spacing w:after="0"/>
              <w:rPr>
                <w:sz w:val="20"/>
                <w:szCs w:val="20"/>
                <w:color w:val="auto"/>
              </w:rPr>
            </w:pPr>
            <w:r>
              <w:rPr>
                <w:rFonts w:ascii="Arial" w:cs="Arial" w:eastAsia="Arial" w:hAnsi="Arial"/>
                <w:sz w:val="22"/>
                <w:szCs w:val="22"/>
                <w:color w:val="auto"/>
              </w:rPr>
              <w:t>21 or more Years</w:t>
            </w:r>
          </w:p>
        </w:tc>
        <w:tc>
          <w:tcPr>
            <w:tcW w:w="3480" w:type="dxa"/>
            <w:vAlign w:val="bottom"/>
          </w:tcPr>
          <w:p>
            <w:pPr>
              <w:spacing w:after="0"/>
              <w:rPr>
                <w:sz w:val="20"/>
                <w:szCs w:val="20"/>
                <w:color w:val="auto"/>
              </w:rPr>
            </w:pPr>
            <w:r>
              <w:rPr>
                <w:rFonts w:ascii="Arial" w:cs="Arial" w:eastAsia="Arial" w:hAnsi="Arial"/>
                <w:sz w:val="22"/>
                <w:szCs w:val="22"/>
                <w:color w:val="auto"/>
              </w:rPr>
              <w:t>4.5%</w:t>
            </w: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4" w:name="page195"/>
    <w:bookmarkEnd w:id="194"/>
    <w:p>
      <w:pPr>
        <w:jc w:val="both"/>
        <w:ind w:left="2640"/>
        <w:spacing w:after="0"/>
        <w:tabs>
          <w:tab w:leader="none" w:pos="5480" w:val="left"/>
        </w:tabs>
        <w:rPr>
          <w:sz w:val="20"/>
          <w:szCs w:val="20"/>
          <w:color w:val="auto"/>
        </w:rPr>
      </w:pPr>
      <w:r>
        <w:rPr>
          <w:rFonts w:ascii="Arial" w:cs="Arial" w:eastAsia="Arial" w:hAnsi="Arial"/>
          <w:sz w:val="22"/>
          <w:szCs w:val="22"/>
          <w:color w:val="010000"/>
        </w:rPr>
        <w:t>(ii)</w:t>
      </w:r>
      <w:r>
        <w:rPr>
          <w:sz w:val="20"/>
          <w:szCs w:val="20"/>
          <w:color w:val="auto"/>
        </w:rPr>
        <w:tab/>
      </w:r>
      <w:r>
        <w:rPr>
          <w:rFonts w:ascii="Arial" w:cs="Arial" w:eastAsia="Arial" w:hAnsi="Arial"/>
          <w:sz w:val="22"/>
          <w:szCs w:val="22"/>
          <w:b w:val="1"/>
          <w:bCs w:val="1"/>
          <w:color w:val="auto"/>
        </w:rPr>
        <w:t>Basic Retirement Contribution for Participants Eligible for the</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b w:val="1"/>
          <w:bCs w:val="1"/>
          <w:color w:val="auto"/>
        </w:rPr>
        <w:t>Savings Plan as of December 31, 2010</w:t>
      </w:r>
      <w:r>
        <w:rPr>
          <w:rFonts w:ascii="Arial" w:cs="Arial" w:eastAsia="Arial" w:hAnsi="Arial"/>
          <w:sz w:val="22"/>
          <w:szCs w:val="22"/>
          <w:color w:val="auto"/>
        </w:rPr>
        <w:t>. The Employer shall credit to the Account of each Participant who was eligible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Savings Plan as of December 31, 2010 and who is not a Grandfathered Employee an amount equal to a Basic Retirement Contribution based on percentage of the Participant’s Incentive Compensation, Excess Base Compensation and Excess Base Compensation Deferrals determined in accordance with the following tables: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80" w:type="dxa"/>
            <w:vAlign w:val="bottom"/>
          </w:tcPr>
          <w:p>
            <w:pPr>
              <w:spacing w:after="0"/>
              <w:rPr>
                <w:sz w:val="21"/>
                <w:szCs w:val="21"/>
                <w:color w:val="auto"/>
              </w:rPr>
            </w:pPr>
          </w:p>
        </w:tc>
        <w:tc>
          <w:tcPr>
            <w:tcW w:w="3940" w:type="dxa"/>
            <w:vAlign w:val="bottom"/>
            <w:gridSpan w:val="4"/>
          </w:tcPr>
          <w:p>
            <w:pPr>
              <w:spacing w:after="0"/>
              <w:rPr>
                <w:sz w:val="20"/>
                <w:szCs w:val="20"/>
                <w:color w:val="auto"/>
              </w:rPr>
            </w:pPr>
            <w:r>
              <w:rPr>
                <w:rFonts w:ascii="Arial" w:cs="Arial" w:eastAsia="Arial" w:hAnsi="Arial"/>
                <w:sz w:val="22"/>
                <w:szCs w:val="22"/>
                <w:color w:val="auto"/>
              </w:rPr>
              <w:t>Period of Service</w:t>
            </w:r>
          </w:p>
        </w:tc>
        <w:tc>
          <w:tcPr>
            <w:tcW w:w="6500" w:type="dxa"/>
            <w:vAlign w:val="bottom"/>
            <w:gridSpan w:val="4"/>
          </w:tcPr>
          <w:p>
            <w:pPr>
              <w:spacing w:after="0"/>
              <w:rPr>
                <w:sz w:val="20"/>
                <w:szCs w:val="20"/>
                <w:color w:val="auto"/>
              </w:rPr>
            </w:pPr>
            <w:r>
              <w:rPr>
                <w:rFonts w:ascii="Arial" w:cs="Arial" w:eastAsia="Arial" w:hAnsi="Arial"/>
                <w:sz w:val="22"/>
                <w:szCs w:val="22"/>
                <w:color w:val="auto"/>
              </w:rPr>
              <w:t>Percentage of Applicable Compensation</w:t>
            </w:r>
          </w:p>
        </w:tc>
      </w:tr>
      <w:tr>
        <w:trPr>
          <w:trHeight w:val="485"/>
        </w:trPr>
        <w:tc>
          <w:tcPr>
            <w:tcW w:w="980" w:type="dxa"/>
            <w:vAlign w:val="bottom"/>
          </w:tcPr>
          <w:p>
            <w:pPr>
              <w:spacing w:after="0"/>
              <w:rPr>
                <w:sz w:val="24"/>
                <w:szCs w:val="24"/>
                <w:color w:val="auto"/>
              </w:rPr>
            </w:pP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0-10 Years</w:t>
            </w:r>
          </w:p>
        </w:tc>
        <w:tc>
          <w:tcPr>
            <w:tcW w:w="2440" w:type="dxa"/>
            <w:vAlign w:val="bottom"/>
            <w:gridSpan w:val="2"/>
          </w:tcPr>
          <w:p>
            <w:pPr>
              <w:spacing w:after="0"/>
              <w:rPr>
                <w:sz w:val="24"/>
                <w:szCs w:val="24"/>
                <w:color w:val="auto"/>
              </w:rPr>
            </w:pPr>
          </w:p>
        </w:tc>
        <w:tc>
          <w:tcPr>
            <w:tcW w:w="348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1.5%</w:t>
            </w: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43"/>
        </w:trPr>
        <w:tc>
          <w:tcPr>
            <w:tcW w:w="980" w:type="dxa"/>
            <w:vAlign w:val="bottom"/>
          </w:tcPr>
          <w:p>
            <w:pPr>
              <w:spacing w:after="0"/>
              <w:rPr>
                <w:sz w:val="21"/>
                <w:szCs w:val="21"/>
                <w:color w:val="auto"/>
              </w:rPr>
            </w:pPr>
          </w:p>
        </w:tc>
        <w:tc>
          <w:tcPr>
            <w:tcW w:w="3940" w:type="dxa"/>
            <w:vAlign w:val="bottom"/>
            <w:gridSpan w:val="4"/>
          </w:tcPr>
          <w:p>
            <w:pPr>
              <w:spacing w:after="0" w:line="243" w:lineRule="exact"/>
              <w:rPr>
                <w:sz w:val="20"/>
                <w:szCs w:val="20"/>
                <w:color w:val="auto"/>
              </w:rPr>
            </w:pPr>
            <w:r>
              <w:rPr>
                <w:rFonts w:ascii="Arial" w:cs="Arial" w:eastAsia="Arial" w:hAnsi="Arial"/>
                <w:sz w:val="22"/>
                <w:szCs w:val="22"/>
                <w:color w:val="auto"/>
              </w:rPr>
              <w:t>11-20 Years</w:t>
            </w:r>
          </w:p>
        </w:tc>
        <w:tc>
          <w:tcPr>
            <w:tcW w:w="3480" w:type="dxa"/>
            <w:vAlign w:val="bottom"/>
            <w:gridSpan w:val="2"/>
          </w:tcPr>
          <w:p>
            <w:pPr>
              <w:spacing w:after="0" w:line="243" w:lineRule="exact"/>
              <w:rPr>
                <w:sz w:val="20"/>
                <w:szCs w:val="20"/>
                <w:color w:val="auto"/>
              </w:rPr>
            </w:pPr>
            <w:r>
              <w:rPr>
                <w:rFonts w:ascii="Arial" w:cs="Arial" w:eastAsia="Arial" w:hAnsi="Arial"/>
                <w:sz w:val="22"/>
                <w:szCs w:val="22"/>
                <w:color w:val="auto"/>
              </w:rPr>
              <w:t>3.0%</w:t>
            </w:r>
          </w:p>
        </w:tc>
        <w:tc>
          <w:tcPr>
            <w:tcW w:w="16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75"/>
        </w:trPr>
        <w:tc>
          <w:tcPr>
            <w:tcW w:w="980" w:type="dxa"/>
            <w:vAlign w:val="bottom"/>
          </w:tcPr>
          <w:p>
            <w:pPr>
              <w:spacing w:after="0"/>
              <w:rPr>
                <w:sz w:val="23"/>
                <w:szCs w:val="23"/>
                <w:color w:val="auto"/>
              </w:rPr>
            </w:pPr>
          </w:p>
        </w:tc>
        <w:tc>
          <w:tcPr>
            <w:tcW w:w="3940" w:type="dxa"/>
            <w:vAlign w:val="bottom"/>
            <w:gridSpan w:val="4"/>
          </w:tcPr>
          <w:p>
            <w:pPr>
              <w:spacing w:after="0"/>
              <w:rPr>
                <w:sz w:val="20"/>
                <w:szCs w:val="20"/>
                <w:color w:val="auto"/>
              </w:rPr>
            </w:pPr>
            <w:r>
              <w:rPr>
                <w:rFonts w:ascii="Arial" w:cs="Arial" w:eastAsia="Arial" w:hAnsi="Arial"/>
                <w:sz w:val="22"/>
                <w:szCs w:val="22"/>
                <w:color w:val="auto"/>
              </w:rPr>
              <w:t>21 or more Years</w:t>
            </w:r>
          </w:p>
        </w:tc>
        <w:tc>
          <w:tcPr>
            <w:tcW w:w="3480" w:type="dxa"/>
            <w:vAlign w:val="bottom"/>
            <w:gridSpan w:val="2"/>
          </w:tcPr>
          <w:p>
            <w:pPr>
              <w:spacing w:after="0"/>
              <w:rPr>
                <w:sz w:val="20"/>
                <w:szCs w:val="20"/>
                <w:color w:val="auto"/>
              </w:rPr>
            </w:pPr>
            <w:r>
              <w:rPr>
                <w:rFonts w:ascii="Arial" w:cs="Arial" w:eastAsia="Arial" w:hAnsi="Arial"/>
                <w:sz w:val="22"/>
                <w:szCs w:val="22"/>
                <w:color w:val="auto"/>
              </w:rPr>
              <w:t>4.5%</w:t>
            </w:r>
          </w:p>
        </w:tc>
        <w:tc>
          <w:tcPr>
            <w:tcW w:w="16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486"/>
        </w:trPr>
        <w:tc>
          <w:tcPr>
            <w:tcW w:w="4920" w:type="dxa"/>
            <w:vAlign w:val="bottom"/>
            <w:gridSpan w:val="5"/>
          </w:tcPr>
          <w:p>
            <w:pPr>
              <w:ind w:left="880"/>
              <w:spacing w:after="0"/>
              <w:rPr>
                <w:sz w:val="20"/>
                <w:szCs w:val="20"/>
                <w:color w:val="auto"/>
              </w:rPr>
            </w:pPr>
            <w:r>
              <w:rPr>
                <w:rFonts w:ascii="Arial" w:cs="Arial" w:eastAsia="Arial" w:hAnsi="Arial"/>
                <w:sz w:val="22"/>
                <w:szCs w:val="22"/>
                <w:color w:val="auto"/>
              </w:rPr>
              <w:t>plus, a transition contribution equal to:</w:t>
            </w: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09"/>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gridSpan w:val="3"/>
          </w:tcPr>
          <w:p>
            <w:pPr>
              <w:spacing w:after="0"/>
              <w:rPr>
                <w:sz w:val="20"/>
                <w:szCs w:val="20"/>
                <w:color w:val="auto"/>
              </w:rPr>
            </w:pPr>
            <w:r>
              <w:rPr>
                <w:rFonts w:ascii="Arial" w:cs="Arial" w:eastAsia="Arial" w:hAnsi="Arial"/>
                <w:sz w:val="22"/>
                <w:szCs w:val="22"/>
                <w:color w:val="auto"/>
              </w:rPr>
              <w:t>Age as of January 1, 2011</w:t>
            </w:r>
          </w:p>
        </w:tc>
        <w:tc>
          <w:tcPr>
            <w:tcW w:w="16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Arial" w:cs="Arial" w:eastAsia="Arial" w:hAnsi="Arial"/>
                <w:sz w:val="22"/>
                <w:szCs w:val="22"/>
                <w:color w:val="auto"/>
              </w:rPr>
              <w:t>Percentage of Applicable Compensation</w:t>
            </w:r>
          </w:p>
        </w:tc>
      </w:tr>
      <w:tr>
        <w:trPr>
          <w:trHeight w:val="20"/>
        </w:trPr>
        <w:tc>
          <w:tcPr>
            <w:tcW w:w="124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85"/>
        </w:trPr>
        <w:tc>
          <w:tcPr>
            <w:tcW w:w="2480" w:type="dxa"/>
            <w:vAlign w:val="bottom"/>
            <w:gridSpan w:val="3"/>
          </w:tcPr>
          <w:p>
            <w:pPr>
              <w:ind w:left="1240"/>
              <w:spacing w:after="0"/>
              <w:rPr>
                <w:sz w:val="20"/>
                <w:szCs w:val="20"/>
                <w:color w:val="auto"/>
              </w:rPr>
            </w:pPr>
            <w:r>
              <w:rPr>
                <w:rFonts w:ascii="Arial" w:cs="Arial" w:eastAsia="Arial" w:hAnsi="Arial"/>
                <w:sz w:val="22"/>
                <w:szCs w:val="22"/>
                <w:color w:val="auto"/>
              </w:rPr>
              <w:t>40-44</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80" w:type="dxa"/>
            <w:vAlign w:val="bottom"/>
            <w:gridSpan w:val="2"/>
          </w:tcPr>
          <w:p>
            <w:pPr>
              <w:ind w:left="160"/>
              <w:spacing w:after="0"/>
              <w:rPr>
                <w:sz w:val="20"/>
                <w:szCs w:val="20"/>
                <w:color w:val="auto"/>
              </w:rPr>
            </w:pPr>
            <w:r>
              <w:rPr>
                <w:rFonts w:ascii="Arial" w:cs="Arial" w:eastAsia="Arial" w:hAnsi="Arial"/>
                <w:sz w:val="22"/>
                <w:szCs w:val="22"/>
                <w:color w:val="auto"/>
              </w:rPr>
              <w:t>2.0%</w:t>
            </w: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43"/>
        </w:trPr>
        <w:tc>
          <w:tcPr>
            <w:tcW w:w="2480" w:type="dxa"/>
            <w:vAlign w:val="bottom"/>
            <w:gridSpan w:val="3"/>
          </w:tcPr>
          <w:p>
            <w:pPr>
              <w:ind w:left="1240"/>
              <w:spacing w:after="0" w:line="243" w:lineRule="exact"/>
              <w:rPr>
                <w:sz w:val="20"/>
                <w:szCs w:val="20"/>
                <w:color w:val="auto"/>
              </w:rPr>
            </w:pPr>
            <w:r>
              <w:rPr>
                <w:rFonts w:ascii="Arial" w:cs="Arial" w:eastAsia="Arial" w:hAnsi="Arial"/>
                <w:sz w:val="22"/>
                <w:szCs w:val="22"/>
                <w:color w:val="auto"/>
              </w:rPr>
              <w:t>45-49</w:t>
            </w:r>
          </w:p>
        </w:tc>
        <w:tc>
          <w:tcPr>
            <w:tcW w:w="10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8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3.0%</w:t>
            </w:r>
          </w:p>
        </w:tc>
        <w:tc>
          <w:tcPr>
            <w:tcW w:w="16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43"/>
        </w:trPr>
        <w:tc>
          <w:tcPr>
            <w:tcW w:w="2480" w:type="dxa"/>
            <w:vAlign w:val="bottom"/>
            <w:gridSpan w:val="3"/>
          </w:tcPr>
          <w:p>
            <w:pPr>
              <w:ind w:left="1240"/>
              <w:spacing w:after="0" w:line="243" w:lineRule="exact"/>
              <w:rPr>
                <w:sz w:val="20"/>
                <w:szCs w:val="20"/>
                <w:color w:val="auto"/>
              </w:rPr>
            </w:pPr>
            <w:r>
              <w:rPr>
                <w:rFonts w:ascii="Arial" w:cs="Arial" w:eastAsia="Arial" w:hAnsi="Arial"/>
                <w:sz w:val="22"/>
                <w:szCs w:val="22"/>
                <w:color w:val="auto"/>
              </w:rPr>
              <w:t>50-54</w:t>
            </w:r>
          </w:p>
        </w:tc>
        <w:tc>
          <w:tcPr>
            <w:tcW w:w="10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8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4.0%</w:t>
            </w:r>
          </w:p>
        </w:tc>
        <w:tc>
          <w:tcPr>
            <w:tcW w:w="16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75"/>
        </w:trPr>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80" w:type="dxa"/>
            <w:vAlign w:val="bottom"/>
            <w:gridSpan w:val="3"/>
          </w:tcPr>
          <w:p>
            <w:pPr>
              <w:spacing w:after="0"/>
              <w:rPr>
                <w:sz w:val="20"/>
                <w:szCs w:val="20"/>
                <w:color w:val="auto"/>
              </w:rPr>
            </w:pPr>
            <w:r>
              <w:rPr>
                <w:rFonts w:ascii="Arial" w:cs="Arial" w:eastAsia="Arial" w:hAnsi="Arial"/>
                <w:sz w:val="22"/>
                <w:szCs w:val="22"/>
                <w:color w:val="auto"/>
              </w:rPr>
              <w:t>55 or greater</w:t>
            </w:r>
          </w:p>
        </w:tc>
        <w:tc>
          <w:tcPr>
            <w:tcW w:w="3480" w:type="dxa"/>
            <w:vAlign w:val="bottom"/>
            <w:gridSpan w:val="2"/>
          </w:tcPr>
          <w:p>
            <w:pPr>
              <w:ind w:left="160"/>
              <w:spacing w:after="0"/>
              <w:rPr>
                <w:sz w:val="20"/>
                <w:szCs w:val="20"/>
                <w:color w:val="auto"/>
              </w:rPr>
            </w:pPr>
            <w:r>
              <w:rPr>
                <w:rFonts w:ascii="Arial" w:cs="Arial" w:eastAsia="Arial" w:hAnsi="Arial"/>
                <w:sz w:val="22"/>
                <w:szCs w:val="22"/>
                <w:color w:val="auto"/>
              </w:rPr>
              <w:t>5.0%</w:t>
            </w:r>
          </w:p>
        </w:tc>
        <w:tc>
          <w:tcPr>
            <w:tcW w:w="16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455"/>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40" w:type="dxa"/>
            <w:vAlign w:val="bottom"/>
            <w:gridSpan w:val="2"/>
          </w:tcPr>
          <w:p>
            <w:pPr>
              <w:ind w:left="160"/>
              <w:spacing w:after="0"/>
              <w:rPr>
                <w:sz w:val="20"/>
                <w:szCs w:val="20"/>
                <w:color w:val="auto"/>
              </w:rPr>
            </w:pPr>
            <w:r>
              <w:rPr>
                <w:rFonts w:ascii="Arial" w:cs="Arial" w:eastAsia="Arial" w:hAnsi="Arial"/>
                <w:sz w:val="22"/>
                <w:szCs w:val="22"/>
                <w:color w:val="010000"/>
              </w:rPr>
              <w:t>(iii)</w:t>
            </w:r>
          </w:p>
        </w:tc>
        <w:tc>
          <w:tcPr>
            <w:tcW w:w="160" w:type="dxa"/>
            <w:vAlign w:val="bottom"/>
          </w:tcPr>
          <w:p>
            <w:pPr>
              <w:spacing w:after="0"/>
              <w:rPr>
                <w:sz w:val="24"/>
                <w:szCs w:val="24"/>
                <w:color w:val="auto"/>
              </w:rPr>
            </w:pPr>
          </w:p>
        </w:tc>
        <w:tc>
          <w:tcPr>
            <w:tcW w:w="6340" w:type="dxa"/>
            <w:vAlign w:val="bottom"/>
            <w:gridSpan w:val="3"/>
          </w:tcPr>
          <w:p>
            <w:pPr>
              <w:ind w:left="480"/>
              <w:spacing w:after="0"/>
              <w:rPr>
                <w:sz w:val="20"/>
                <w:szCs w:val="20"/>
                <w:color w:val="auto"/>
              </w:rPr>
            </w:pPr>
            <w:r>
              <w:rPr>
                <w:rFonts w:ascii="Arial" w:cs="Arial" w:eastAsia="Arial" w:hAnsi="Arial"/>
                <w:sz w:val="22"/>
                <w:szCs w:val="22"/>
                <w:color w:val="auto"/>
              </w:rPr>
              <w:t>Any Participant other than described in subsections (i) or (ii)</w:t>
            </w:r>
          </w:p>
        </w:tc>
      </w:tr>
      <w:tr>
        <w:trPr>
          <w:trHeight w:val="275"/>
        </w:trPr>
        <w:tc>
          <w:tcPr>
            <w:tcW w:w="11420" w:type="dxa"/>
            <w:vAlign w:val="bottom"/>
            <w:gridSpan w:val="9"/>
          </w:tcPr>
          <w:p>
            <w:pPr>
              <w:spacing w:after="0"/>
              <w:rPr>
                <w:sz w:val="20"/>
                <w:szCs w:val="20"/>
                <w:color w:val="auto"/>
              </w:rPr>
            </w:pPr>
            <w:r>
              <w:rPr>
                <w:rFonts w:ascii="Arial" w:cs="Arial" w:eastAsia="Arial" w:hAnsi="Arial"/>
                <w:sz w:val="22"/>
                <w:szCs w:val="22"/>
                <w:color w:val="auto"/>
              </w:rPr>
              <w:t>immediately above, shall not be entitled to a Basic Retirement Contribution under the Plan.</w:t>
            </w:r>
          </w:p>
        </w:tc>
      </w:tr>
      <w:tr>
        <w:trPr>
          <w:trHeight w:val="446"/>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40" w:type="dxa"/>
            <w:vAlign w:val="bottom"/>
            <w:gridSpan w:val="2"/>
          </w:tcPr>
          <w:p>
            <w:pPr>
              <w:ind w:left="160"/>
              <w:spacing w:after="0"/>
              <w:rPr>
                <w:sz w:val="20"/>
                <w:szCs w:val="20"/>
                <w:color w:val="auto"/>
              </w:rPr>
            </w:pPr>
            <w:r>
              <w:rPr>
                <w:rFonts w:ascii="Arial" w:cs="Arial" w:eastAsia="Arial" w:hAnsi="Arial"/>
                <w:sz w:val="22"/>
                <w:szCs w:val="22"/>
                <w:color w:val="010000"/>
              </w:rPr>
              <w:t>(iv)</w:t>
            </w:r>
          </w:p>
        </w:tc>
        <w:tc>
          <w:tcPr>
            <w:tcW w:w="160" w:type="dxa"/>
            <w:vAlign w:val="bottom"/>
          </w:tcPr>
          <w:p>
            <w:pPr>
              <w:spacing w:after="0"/>
              <w:rPr>
                <w:sz w:val="24"/>
                <w:szCs w:val="24"/>
                <w:color w:val="auto"/>
              </w:rPr>
            </w:pPr>
          </w:p>
        </w:tc>
        <w:tc>
          <w:tcPr>
            <w:tcW w:w="6340" w:type="dxa"/>
            <w:vAlign w:val="bottom"/>
            <w:gridSpan w:val="3"/>
          </w:tcPr>
          <w:p>
            <w:pPr>
              <w:ind w:left="460"/>
              <w:spacing w:after="0"/>
              <w:rPr>
                <w:sz w:val="20"/>
                <w:szCs w:val="20"/>
                <w:color w:val="auto"/>
              </w:rPr>
            </w:pPr>
            <w:r>
              <w:rPr>
                <w:rFonts w:ascii="Arial" w:cs="Arial" w:eastAsia="Arial" w:hAnsi="Arial"/>
                <w:sz w:val="22"/>
                <w:szCs w:val="22"/>
                <w:color w:val="auto"/>
                <w:w w:val="94"/>
              </w:rPr>
              <w:t>A Participant shall only be eligible to receive a Basic Retirement</w:t>
            </w:r>
          </w:p>
        </w:tc>
      </w:tr>
    </w:tbl>
    <w:p>
      <w:pPr>
        <w:jc w:val="both"/>
        <w:spacing w:after="0" w:line="237" w:lineRule="auto"/>
        <w:rPr>
          <w:sz w:val="20"/>
          <w:szCs w:val="20"/>
          <w:color w:val="auto"/>
        </w:rPr>
      </w:pPr>
      <w:r>
        <w:rPr>
          <w:rFonts w:ascii="Arial" w:cs="Arial" w:eastAsia="Arial" w:hAnsi="Arial"/>
          <w:sz w:val="22"/>
          <w:szCs w:val="22"/>
          <w:color w:val="auto"/>
        </w:rPr>
        <w:t>Contribution under one subsection of this Section 4.2(b) during any given Plan Year. For purposes of this Section 4.2(b), Period of Service shall be determined in accordance with the provisions of the Savings Plan.</w:t>
      </w:r>
    </w:p>
    <w:p>
      <w:pPr>
        <w:spacing w:after="0" w:line="185" w:lineRule="exact"/>
        <w:rPr>
          <w:sz w:val="20"/>
          <w:szCs w:val="20"/>
          <w:color w:val="auto"/>
        </w:rPr>
      </w:pPr>
    </w:p>
    <w:p>
      <w:pPr>
        <w:jc w:val="both"/>
        <w:ind w:firstLine="2634"/>
        <w:spacing w:after="0" w:line="251" w:lineRule="auto"/>
        <w:rPr>
          <w:sz w:val="20"/>
          <w:szCs w:val="20"/>
          <w:color w:val="auto"/>
        </w:rPr>
      </w:pPr>
      <w:r>
        <w:rPr>
          <w:rFonts w:ascii="Arial" w:cs="Arial" w:eastAsia="Arial" w:hAnsi="Arial"/>
          <w:sz w:val="22"/>
          <w:szCs w:val="22"/>
          <w:color w:val="010000"/>
        </w:rPr>
        <w:t xml:space="preserve">(v) </w:t>
      </w:r>
      <w:r>
        <w:rPr>
          <w:rFonts w:ascii="Arial" w:cs="Arial" w:eastAsia="Arial" w:hAnsi="Arial"/>
          <w:sz w:val="22"/>
          <w:szCs w:val="22"/>
          <w:color w:val="000000"/>
        </w:rPr>
        <w:t>Notwithstanding the foregoing, a Basic Retirement Contribution</w:t>
      </w:r>
      <w:r>
        <w:rPr>
          <w:rFonts w:ascii="Arial" w:cs="Arial" w:eastAsia="Arial" w:hAnsi="Arial"/>
          <w:sz w:val="22"/>
          <w:szCs w:val="22"/>
          <w:color w:val="010000"/>
        </w:rPr>
        <w:t xml:space="preserve"> </w:t>
      </w:r>
      <w:r>
        <w:rPr>
          <w:rFonts w:ascii="Arial" w:cs="Arial" w:eastAsia="Arial" w:hAnsi="Arial"/>
          <w:sz w:val="22"/>
          <w:szCs w:val="22"/>
          <w:color w:val="000000"/>
        </w:rPr>
        <w:t>will only be credited to a Participant’s Account if the Participant has not Separated from Service in the Plan Year.</w:t>
      </w:r>
    </w:p>
    <w:p>
      <w:pPr>
        <w:spacing w:after="0" w:line="173" w:lineRule="exact"/>
        <w:rPr>
          <w:sz w:val="20"/>
          <w:szCs w:val="20"/>
          <w:color w:val="auto"/>
        </w:rPr>
      </w:pPr>
    </w:p>
    <w:p>
      <w:pPr>
        <w:ind w:left="2640"/>
        <w:spacing w:after="0"/>
        <w:tabs>
          <w:tab w:leader="none" w:pos="5520" w:val="left"/>
        </w:tabs>
        <w:rPr>
          <w:sz w:val="20"/>
          <w:szCs w:val="20"/>
          <w:color w:val="auto"/>
        </w:rPr>
      </w:pPr>
      <w:r>
        <w:rPr>
          <w:rFonts w:ascii="Arial" w:cs="Arial" w:eastAsia="Arial" w:hAnsi="Arial"/>
          <w:sz w:val="19"/>
          <w:szCs w:val="19"/>
          <w:color w:val="010000"/>
        </w:rPr>
        <w:t>(vi)</w:t>
      </w:r>
      <w:r>
        <w:rPr>
          <w:sz w:val="20"/>
          <w:szCs w:val="20"/>
          <w:color w:val="auto"/>
        </w:rPr>
        <w:tab/>
      </w:r>
      <w:r>
        <w:rPr>
          <w:rFonts w:ascii="Arial" w:cs="Arial" w:eastAsia="Arial" w:hAnsi="Arial"/>
          <w:sz w:val="19"/>
          <w:szCs w:val="19"/>
          <w:color w:val="auto"/>
        </w:rPr>
        <w:t>Notwithstanding the foregoing, no Basic Retirement Contributions</w:t>
      </w:r>
    </w:p>
    <w:p>
      <w:pPr>
        <w:spacing w:after="0" w:line="43" w:lineRule="exact"/>
        <w:rPr>
          <w:sz w:val="20"/>
          <w:szCs w:val="20"/>
          <w:color w:val="auto"/>
        </w:rPr>
      </w:pPr>
    </w:p>
    <w:p>
      <w:pPr>
        <w:ind w:right="140"/>
        <w:spacing w:after="0" w:line="237" w:lineRule="auto"/>
        <w:rPr>
          <w:sz w:val="20"/>
          <w:szCs w:val="20"/>
          <w:color w:val="auto"/>
        </w:rPr>
      </w:pPr>
      <w:r>
        <w:rPr>
          <w:rFonts w:ascii="Arial" w:cs="Arial" w:eastAsia="Arial" w:hAnsi="Arial"/>
          <w:sz w:val="22"/>
          <w:szCs w:val="22"/>
          <w:color w:val="auto"/>
        </w:rPr>
        <w:t>shall be credited to Participants’ Accounts with respect to Participants’ post-September 30, 2016, Incentive Compensation, Excess Base Compensation and Excess Base Compensation Deferrals.</w:t>
      </w:r>
    </w:p>
    <w:p>
      <w:pPr>
        <w:spacing w:after="0" w:line="179"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21"/>
          <w:szCs w:val="21"/>
          <w:color w:val="010000"/>
        </w:rPr>
        <w:t>(c)</w:t>
      </w:r>
      <w:r>
        <w:rPr>
          <w:sz w:val="20"/>
          <w:szCs w:val="20"/>
          <w:color w:val="auto"/>
        </w:rPr>
        <w:tab/>
      </w:r>
      <w:r>
        <w:rPr>
          <w:rFonts w:ascii="Arial" w:cs="Arial" w:eastAsia="Arial" w:hAnsi="Arial"/>
          <w:sz w:val="21"/>
          <w:szCs w:val="21"/>
          <w:b w:val="1"/>
          <w:bCs w:val="1"/>
          <w:u w:val="single" w:color="auto"/>
          <w:color w:val="auto"/>
        </w:rPr>
        <w:t>Discretionary Profit Sharing Contributions</w:t>
      </w:r>
      <w:r>
        <w:rPr>
          <w:rFonts w:ascii="Arial" w:cs="Arial" w:eastAsia="Arial" w:hAnsi="Arial"/>
          <w:sz w:val="21"/>
          <w:szCs w:val="21"/>
          <w:color w:val="auto"/>
        </w:rPr>
        <w:t>. The Discretionary Profit Sharing</w:t>
      </w:r>
    </w:p>
    <w:p>
      <w:pPr>
        <w:spacing w:after="0" w:line="2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Contribution may be made by the Employer for the benefit of one or more Participants in an amount determined solely by Employer for any Plan Year. Notwithstanding the foregoing, no Discretionary Profit Sharing Contributions shall be made after September 30, 2016.</w:t>
      </w:r>
    </w:p>
    <w:p>
      <w:pPr>
        <w:spacing w:after="0" w:line="181"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010000"/>
        </w:rPr>
        <w:t xml:space="preserve">4.3 </w:t>
      </w:r>
      <w:r>
        <w:rPr>
          <w:rFonts w:ascii="Arial" w:cs="Arial" w:eastAsia="Arial" w:hAnsi="Arial"/>
          <w:sz w:val="22"/>
          <w:szCs w:val="22"/>
          <w:b w:val="1"/>
          <w:bCs w:val="1"/>
          <w:color w:val="000000"/>
        </w:rPr>
        <w:t>Crediting Employer Contributions</w:t>
      </w:r>
      <w:r>
        <w:rPr>
          <w:rFonts w:ascii="Arial" w:cs="Arial" w:eastAsia="Arial" w:hAnsi="Arial"/>
          <w:sz w:val="22"/>
          <w:szCs w:val="22"/>
          <w:color w:val="000000"/>
        </w:rPr>
        <w:t>. Each Participant shall be credited with the applicable Employer</w:t>
      </w:r>
      <w:r>
        <w:rPr>
          <w:rFonts w:ascii="Arial" w:cs="Arial" w:eastAsia="Arial" w:hAnsi="Arial"/>
          <w:sz w:val="22"/>
          <w:szCs w:val="22"/>
          <w:b w:val="1"/>
          <w:bCs w:val="1"/>
          <w:color w:val="010000"/>
        </w:rPr>
        <w:t xml:space="preserve"> </w:t>
      </w:r>
      <w:r>
        <w:rPr>
          <w:rFonts w:ascii="Arial" w:cs="Arial" w:eastAsia="Arial" w:hAnsi="Arial"/>
          <w:sz w:val="22"/>
          <w:szCs w:val="22"/>
          <w:color w:val="000000"/>
        </w:rPr>
        <w:t>Contributions in accordance with this ARTICLE 4, as soon as administratively feasible following each Plan Year.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5" w:name="page196"/>
    <w:bookmarkEnd w:id="195"/>
    <w:tbl>
      <w:tblPr>
        <w:tblLayout w:type="fixed"/>
        <w:tblInd w:w="8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9620" w:type="dxa"/>
            <w:vAlign w:val="bottom"/>
          </w:tcPr>
          <w:p>
            <w:pPr>
              <w:ind w:left="760"/>
              <w:spacing w:after="0"/>
              <w:rPr>
                <w:sz w:val="20"/>
                <w:szCs w:val="20"/>
                <w:color w:val="auto"/>
              </w:rPr>
            </w:pPr>
            <w:r>
              <w:rPr>
                <w:rFonts w:ascii="Arial" w:cs="Arial" w:eastAsia="Arial" w:hAnsi="Arial"/>
                <w:sz w:val="22"/>
                <w:szCs w:val="22"/>
                <w:b w:val="1"/>
                <w:bCs w:val="1"/>
                <w:color w:val="010000"/>
              </w:rPr>
              <w:t xml:space="preserve">ARTICLE 5. </w:t>
            </w:r>
            <w:r>
              <w:rPr>
                <w:rFonts w:ascii="Arial" w:cs="Arial" w:eastAsia="Arial" w:hAnsi="Arial"/>
                <w:sz w:val="22"/>
                <w:szCs w:val="22"/>
                <w:b w:val="1"/>
                <w:bCs w:val="1"/>
                <w:color w:val="000000"/>
              </w:rPr>
              <w:t>PAYMENT SCHEDULE AND FORM OF PAYMENT</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010000"/>
                <w:w w:val="84"/>
              </w:rPr>
              <w:t>5.1</w:t>
            </w:r>
          </w:p>
        </w:tc>
        <w:tc>
          <w:tcPr>
            <w:tcW w:w="9620" w:type="dxa"/>
            <w:vAlign w:val="bottom"/>
          </w:tcPr>
          <w:p>
            <w:pPr>
              <w:ind w:left="660"/>
              <w:spacing w:after="0"/>
              <w:rPr>
                <w:sz w:val="20"/>
                <w:szCs w:val="20"/>
                <w:color w:val="auto"/>
              </w:rPr>
            </w:pPr>
            <w:r>
              <w:rPr>
                <w:rFonts w:ascii="Arial" w:cs="Arial" w:eastAsia="Arial" w:hAnsi="Arial"/>
                <w:sz w:val="22"/>
                <w:szCs w:val="22"/>
                <w:b w:val="1"/>
                <w:bCs w:val="1"/>
                <w:color w:val="auto"/>
                <w:w w:val="98"/>
              </w:rPr>
              <w:t>Payment Schedule and Form of Payment</w:t>
            </w:r>
            <w:r>
              <w:rPr>
                <w:rFonts w:ascii="Arial" w:cs="Arial" w:eastAsia="Arial" w:hAnsi="Arial"/>
                <w:sz w:val="22"/>
                <w:szCs w:val="22"/>
                <w:color w:val="auto"/>
                <w:w w:val="98"/>
              </w:rPr>
              <w:t>. The Participant’s benefit under the Plan shall be</w:t>
            </w:r>
          </w:p>
        </w:tc>
      </w:tr>
    </w:tbl>
    <w:p>
      <w:pPr>
        <w:jc w:val="both"/>
        <w:spacing w:after="0" w:line="233" w:lineRule="auto"/>
        <w:rPr>
          <w:sz w:val="20"/>
          <w:szCs w:val="20"/>
          <w:color w:val="auto"/>
        </w:rPr>
      </w:pPr>
      <w:r>
        <w:rPr>
          <w:rFonts w:ascii="Arial" w:cs="Arial" w:eastAsia="Arial" w:hAnsi="Arial"/>
          <w:sz w:val="22"/>
          <w:szCs w:val="22"/>
          <w:color w:val="auto"/>
        </w:rPr>
        <w:t>distributed in accordance with the Deferred Compensation Plan on the Participant’s Effective Retirement Date (or as soon thereafter as reasonably possible), and held pursuant to the terms of that the Deferred Compensation Plan. Notwithstanding anything in the Plan to the contrary, a Participant who is a Key Employee shall not have the distribution of his benefit which is made on account of Separation from Service commence on a date earlier than the first day of the seventh month following his Separation from Service.</w:t>
      </w:r>
    </w:p>
    <w:p>
      <w:pPr>
        <w:spacing w:after="0" w:line="180"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010000"/>
        </w:rPr>
        <w:t xml:space="preserve">5.2 </w:t>
      </w:r>
      <w:r>
        <w:rPr>
          <w:rFonts w:ascii="Arial" w:cs="Arial" w:eastAsia="Arial" w:hAnsi="Arial"/>
          <w:sz w:val="22"/>
          <w:szCs w:val="22"/>
          <w:b w:val="1"/>
          <w:bCs w:val="1"/>
          <w:color w:val="000000"/>
        </w:rPr>
        <w:t>Time of Distribution or Transfer</w:t>
      </w:r>
      <w:r>
        <w:rPr>
          <w:rFonts w:ascii="Arial" w:cs="Arial" w:eastAsia="Arial" w:hAnsi="Arial"/>
          <w:sz w:val="22"/>
          <w:szCs w:val="22"/>
          <w:color w:val="000000"/>
        </w:rPr>
        <w:t>. Subject to the required delay of a distribution of a Plan benefit for</w:t>
      </w:r>
      <w:r>
        <w:rPr>
          <w:rFonts w:ascii="Arial" w:cs="Arial" w:eastAsia="Arial" w:hAnsi="Arial"/>
          <w:sz w:val="22"/>
          <w:szCs w:val="22"/>
          <w:b w:val="1"/>
          <w:bCs w:val="1"/>
          <w:color w:val="010000"/>
        </w:rPr>
        <w:t xml:space="preserve"> </w:t>
      </w:r>
      <w:r>
        <w:rPr>
          <w:rFonts w:ascii="Arial" w:cs="Arial" w:eastAsia="Arial" w:hAnsi="Arial"/>
          <w:sz w:val="22"/>
          <w:szCs w:val="22"/>
          <w:color w:val="000000"/>
        </w:rPr>
        <w:t>an eligible employee who is a Key Employee, the transfer of a benefit provided in this Section shall be paid by the later of (a) the end of the calendar year in which occurs the Effective Retirement Date or (b) the 15th day of the third calendar month following such date.</w:t>
      </w:r>
    </w:p>
    <w:p>
      <w:pPr>
        <w:spacing w:after="0" w:line="181"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010000"/>
        </w:rPr>
        <w:t xml:space="preserve">5.3 </w:t>
      </w:r>
      <w:r>
        <w:rPr>
          <w:rFonts w:ascii="Arial" w:cs="Arial" w:eastAsia="Arial" w:hAnsi="Arial"/>
          <w:sz w:val="22"/>
          <w:szCs w:val="22"/>
          <w:b w:val="1"/>
          <w:bCs w:val="1"/>
          <w:color w:val="000000"/>
        </w:rPr>
        <w:t>Death Before Payment</w:t>
      </w:r>
      <w:r>
        <w:rPr>
          <w:rFonts w:ascii="Arial" w:cs="Arial" w:eastAsia="Arial" w:hAnsi="Arial"/>
          <w:sz w:val="22"/>
          <w:szCs w:val="22"/>
          <w:color w:val="000000"/>
        </w:rPr>
        <w:t>. If a Participant dies before his Effective Retirement Date, the benefit that</w:t>
      </w:r>
      <w:r>
        <w:rPr>
          <w:rFonts w:ascii="Arial" w:cs="Arial" w:eastAsia="Arial" w:hAnsi="Arial"/>
          <w:sz w:val="22"/>
          <w:szCs w:val="22"/>
          <w:b w:val="1"/>
          <w:bCs w:val="1"/>
          <w:color w:val="010000"/>
        </w:rPr>
        <w:t xml:space="preserve"> </w:t>
      </w:r>
      <w:r>
        <w:rPr>
          <w:rFonts w:ascii="Arial" w:cs="Arial" w:eastAsia="Arial" w:hAnsi="Arial"/>
          <w:sz w:val="22"/>
          <w:szCs w:val="22"/>
          <w:color w:val="000000"/>
        </w:rPr>
        <w:t>would have been paid to such Participant had he or she survived to his Effective Retirement Date shall be transferred to the Deferred Compensation Plan and paid to the Beneficiary designated by such Participant under the terms of that plan.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6" w:name="page197"/>
    <w:bookmarkEnd w:id="196"/>
    <w:tbl>
      <w:tblPr>
        <w:tblLayout w:type="fixed"/>
        <w:tblInd w:w="8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9620" w:type="dxa"/>
            <w:vAlign w:val="bottom"/>
          </w:tcPr>
          <w:p>
            <w:pPr>
              <w:ind w:left="1100"/>
              <w:spacing w:after="0"/>
              <w:rPr>
                <w:sz w:val="20"/>
                <w:szCs w:val="20"/>
                <w:color w:val="auto"/>
              </w:rPr>
            </w:pPr>
            <w:r>
              <w:rPr>
                <w:rFonts w:ascii="Arial" w:cs="Arial" w:eastAsia="Arial" w:hAnsi="Arial"/>
                <w:sz w:val="22"/>
                <w:szCs w:val="22"/>
                <w:b w:val="1"/>
                <w:bCs w:val="1"/>
                <w:color w:val="010000"/>
              </w:rPr>
              <w:t xml:space="preserve">ARTICLE 6. </w:t>
            </w:r>
            <w:r>
              <w:rPr>
                <w:rFonts w:ascii="Arial" w:cs="Arial" w:eastAsia="Arial" w:hAnsi="Arial"/>
                <w:sz w:val="22"/>
                <w:szCs w:val="22"/>
                <w:b w:val="1"/>
                <w:bCs w:val="1"/>
                <w:color w:val="000000"/>
              </w:rPr>
              <w:t>ACCOUNTS AND CREDITS AND FUNDING</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010000"/>
                <w:w w:val="84"/>
              </w:rPr>
              <w:t>6.1</w:t>
            </w:r>
          </w:p>
        </w:tc>
        <w:tc>
          <w:tcPr>
            <w:tcW w:w="9620" w:type="dxa"/>
            <w:vAlign w:val="bottom"/>
          </w:tcPr>
          <w:p>
            <w:pPr>
              <w:ind w:left="660"/>
              <w:spacing w:after="0"/>
              <w:rPr>
                <w:sz w:val="20"/>
                <w:szCs w:val="20"/>
                <w:color w:val="auto"/>
              </w:rPr>
            </w:pPr>
            <w:r>
              <w:rPr>
                <w:rFonts w:ascii="Arial" w:cs="Arial" w:eastAsia="Arial" w:hAnsi="Arial"/>
                <w:sz w:val="22"/>
                <w:szCs w:val="22"/>
                <w:b w:val="1"/>
                <w:bCs w:val="1"/>
                <w:color w:val="auto"/>
                <w:w w:val="98"/>
              </w:rPr>
              <w:t>Contribution Credits to Account</w:t>
            </w:r>
            <w:r>
              <w:rPr>
                <w:rFonts w:ascii="Arial" w:cs="Arial" w:eastAsia="Arial" w:hAnsi="Arial"/>
                <w:sz w:val="22"/>
                <w:szCs w:val="22"/>
                <w:color w:val="auto"/>
                <w:w w:val="98"/>
              </w:rPr>
              <w:t>. A Participant’s Account will be credited with the Employer</w:t>
            </w:r>
          </w:p>
        </w:tc>
      </w:tr>
    </w:tbl>
    <w:p>
      <w:pPr>
        <w:jc w:val="both"/>
        <w:spacing w:after="0" w:line="237" w:lineRule="auto"/>
        <w:rPr>
          <w:sz w:val="20"/>
          <w:szCs w:val="20"/>
          <w:color w:val="auto"/>
        </w:rPr>
      </w:pPr>
      <w:r>
        <w:rPr>
          <w:rFonts w:ascii="Arial" w:cs="Arial" w:eastAsia="Arial" w:hAnsi="Arial"/>
          <w:sz w:val="22"/>
          <w:szCs w:val="22"/>
          <w:color w:val="auto"/>
        </w:rPr>
        <w:t>Contributions credited on his behalf under ARTICLE 4. Separate Accounts shall be maintained for each Participant and for each type of contribution.</w:t>
      </w:r>
    </w:p>
    <w:p>
      <w:pPr>
        <w:spacing w:after="0" w:line="179"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b w:val="1"/>
          <w:bCs w:val="1"/>
          <w:color w:val="010000"/>
        </w:rPr>
        <w:t xml:space="preserve">6.2 </w:t>
      </w:r>
      <w:r>
        <w:rPr>
          <w:rFonts w:ascii="Arial" w:cs="Arial" w:eastAsia="Arial" w:hAnsi="Arial"/>
          <w:sz w:val="21"/>
          <w:szCs w:val="21"/>
          <w:b w:val="1"/>
          <w:bCs w:val="1"/>
          <w:color w:val="000000"/>
        </w:rPr>
        <w:t>Earnings Credits to Account</w:t>
      </w:r>
      <w:r>
        <w:rPr>
          <w:rFonts w:ascii="Arial" w:cs="Arial" w:eastAsia="Arial" w:hAnsi="Arial"/>
          <w:sz w:val="21"/>
          <w:szCs w:val="21"/>
          <w:color w:val="000000"/>
        </w:rPr>
        <w:t>. The Participant’s Account shall be credited (or debited) on each</w:t>
      </w:r>
      <w:r>
        <w:rPr>
          <w:rFonts w:ascii="Arial" w:cs="Arial" w:eastAsia="Arial" w:hAnsi="Arial"/>
          <w:sz w:val="21"/>
          <w:szCs w:val="21"/>
          <w:b w:val="1"/>
          <w:bCs w:val="1"/>
          <w:color w:val="010000"/>
        </w:rPr>
        <w:t xml:space="preserve"> </w:t>
      </w:r>
      <w:r>
        <w:rPr>
          <w:rFonts w:ascii="Arial" w:cs="Arial" w:eastAsia="Arial" w:hAnsi="Arial"/>
          <w:sz w:val="21"/>
          <w:szCs w:val="21"/>
          <w:color w:val="000000"/>
        </w:rPr>
        <w:t>Valuation Date with income (or loss) based upon a hypothetical investment in any one or more of the investment options available under the Plan, as prescribed by the Committee or its delegate, for the particular Compensation credited. The crediting or debiting on each Valuation Date of income (or loss) shall be made for the each respective Account. All investments of a Participant’s Account shall be valued at fair market value. Additionally, all distributions, investments and investment exchanges allowed and made under the Plan shall be as of the relevant Valuation Date at fair market value.</w:t>
      </w:r>
    </w:p>
    <w:p>
      <w:pPr>
        <w:spacing w:after="0" w:line="171"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010000"/>
        </w:rPr>
        <w:t xml:space="preserve">6.3 </w:t>
      </w:r>
      <w:r>
        <w:rPr>
          <w:rFonts w:ascii="Arial" w:cs="Arial" w:eastAsia="Arial" w:hAnsi="Arial"/>
          <w:sz w:val="22"/>
          <w:szCs w:val="22"/>
          <w:b w:val="1"/>
          <w:bCs w:val="1"/>
          <w:color w:val="000000"/>
        </w:rPr>
        <w:t>Adjustment of Accounts</w:t>
      </w:r>
      <w:r>
        <w:rPr>
          <w:rFonts w:ascii="Arial" w:cs="Arial" w:eastAsia="Arial" w:hAnsi="Arial"/>
          <w:sz w:val="22"/>
          <w:szCs w:val="22"/>
          <w:color w:val="000000"/>
        </w:rPr>
        <w:t>. Each Account maintained for a Participant shall be adjusted for interest</w:t>
      </w:r>
      <w:r>
        <w:rPr>
          <w:rFonts w:ascii="Arial" w:cs="Arial" w:eastAsia="Arial" w:hAnsi="Arial"/>
          <w:sz w:val="22"/>
          <w:szCs w:val="22"/>
          <w:b w:val="1"/>
          <w:bCs w:val="1"/>
          <w:color w:val="010000"/>
        </w:rPr>
        <w:t xml:space="preserve"> </w:t>
      </w:r>
      <w:r>
        <w:rPr>
          <w:rFonts w:ascii="Arial" w:cs="Arial" w:eastAsia="Arial" w:hAnsi="Arial"/>
          <w:sz w:val="22"/>
          <w:szCs w:val="22"/>
          <w:color w:val="000000"/>
        </w:rPr>
        <w:t>credits and any expenses allocable under the terms of the Plan to the Account. The Account shall be adjusted as of each Valuation Date to reflect: (a) the interest credits and expenses described in this ARTICLE 6; (b) amounts credited pursuant to ARTICLE 4; and (c) distributions or withdrawals.</w:t>
      </w:r>
    </w:p>
    <w:p>
      <w:pPr>
        <w:spacing w:after="0" w:line="181" w:lineRule="exact"/>
        <w:rPr>
          <w:sz w:val="20"/>
          <w:szCs w:val="20"/>
          <w:color w:val="auto"/>
        </w:rPr>
      </w:pPr>
    </w:p>
    <w:p>
      <w:pPr>
        <w:jc w:val="both"/>
        <w:ind w:firstLine="877"/>
        <w:spacing w:after="0" w:line="301" w:lineRule="auto"/>
        <w:rPr>
          <w:sz w:val="20"/>
          <w:szCs w:val="20"/>
          <w:color w:val="auto"/>
        </w:rPr>
      </w:pPr>
      <w:r>
        <w:rPr>
          <w:rFonts w:ascii="Arial" w:cs="Arial" w:eastAsia="Arial" w:hAnsi="Arial"/>
          <w:sz w:val="19"/>
          <w:szCs w:val="19"/>
          <w:b w:val="1"/>
          <w:bCs w:val="1"/>
          <w:color w:val="010000"/>
        </w:rPr>
        <w:t xml:space="preserve">6.4 </w:t>
      </w:r>
      <w:r>
        <w:rPr>
          <w:rFonts w:ascii="Arial" w:cs="Arial" w:eastAsia="Arial" w:hAnsi="Arial"/>
          <w:sz w:val="19"/>
          <w:szCs w:val="19"/>
          <w:b w:val="1"/>
          <w:bCs w:val="1"/>
          <w:color w:val="000000"/>
        </w:rPr>
        <w:t>Establishment of Trust for Funding</w:t>
      </w:r>
      <w:r>
        <w:rPr>
          <w:rFonts w:ascii="Arial" w:cs="Arial" w:eastAsia="Arial" w:hAnsi="Arial"/>
          <w:sz w:val="19"/>
          <w:szCs w:val="19"/>
          <w:color w:val="000000"/>
        </w:rPr>
        <w:t>. The Employer may but is not required to establish a trust to</w:t>
      </w:r>
      <w:r>
        <w:rPr>
          <w:rFonts w:ascii="Arial" w:cs="Arial" w:eastAsia="Arial" w:hAnsi="Arial"/>
          <w:sz w:val="19"/>
          <w:szCs w:val="19"/>
          <w:b w:val="1"/>
          <w:bCs w:val="1"/>
          <w:color w:val="010000"/>
        </w:rPr>
        <w:t xml:space="preserve"> </w:t>
      </w:r>
      <w:r>
        <w:rPr>
          <w:rFonts w:ascii="Arial" w:cs="Arial" w:eastAsia="Arial" w:hAnsi="Arial"/>
          <w:sz w:val="19"/>
          <w:szCs w:val="19"/>
          <w:color w:val="000000"/>
        </w:rPr>
        <w:t>hold amounts which the Employer may contribute from time to time to correspond to some or all amounts credited to Participants under this ARTICLE 6. If the Employer establishes a trust, the provisions of Sections 6.4(a) and (b) shall become operative.</w:t>
      </w:r>
    </w:p>
    <w:p>
      <w:pPr>
        <w:spacing w:after="0" w:line="123"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010000"/>
        </w:rPr>
        <w:t xml:space="preserve">(a) </w:t>
      </w:r>
      <w:r>
        <w:rPr>
          <w:rFonts w:ascii="Arial" w:cs="Arial" w:eastAsia="Arial" w:hAnsi="Arial"/>
          <w:sz w:val="21"/>
          <w:szCs w:val="21"/>
          <w:b w:val="1"/>
          <w:bCs w:val="1"/>
          <w:u w:val="single" w:color="auto"/>
          <w:color w:val="000000"/>
        </w:rPr>
        <w:t>Grantor Trust</w:t>
      </w:r>
      <w:r>
        <w:rPr>
          <w:rFonts w:ascii="Arial" w:cs="Arial" w:eastAsia="Arial" w:hAnsi="Arial"/>
          <w:sz w:val="21"/>
          <w:szCs w:val="21"/>
          <w:color w:val="000000"/>
        </w:rPr>
        <w:t>. Any trust established by the Employer shall be between the Employer</w:t>
      </w:r>
      <w:r>
        <w:rPr>
          <w:rFonts w:ascii="Arial" w:cs="Arial" w:eastAsia="Arial" w:hAnsi="Arial"/>
          <w:sz w:val="21"/>
          <w:szCs w:val="21"/>
          <w:color w:val="010000"/>
        </w:rPr>
        <w:t xml:space="preserve"> </w:t>
      </w:r>
      <w:r>
        <w:rPr>
          <w:rFonts w:ascii="Arial" w:cs="Arial" w:eastAsia="Arial" w:hAnsi="Arial"/>
          <w:sz w:val="21"/>
          <w:szCs w:val="21"/>
          <w:color w:val="000000"/>
        </w:rPr>
        <w:t>and a trustee pursuant to a separate written agreement under which assets are held, administered and managed, subject to the claims of the Employer’s creditors in the event of the Employer’s insolvency, until paid to the Participant and/or his Beneficiaries. The trust is intended to be treated as a grantor trust under the Code, and it is intended that the establishment of the trust shall not cause the Participant to realize current income on amounts contributed thereto. The Employer must notify the trustee in the event of a lawsuit regarding the Plan or regarding its bankruptcy or insolvency.</w:t>
      </w:r>
    </w:p>
    <w:p>
      <w:pPr>
        <w:spacing w:after="0" w:line="171" w:lineRule="exact"/>
        <w:rPr>
          <w:sz w:val="20"/>
          <w:szCs w:val="20"/>
          <w:color w:val="auto"/>
        </w:rPr>
      </w:pPr>
    </w:p>
    <w:p>
      <w:pPr>
        <w:jc w:val="both"/>
        <w:ind w:firstLine="1755"/>
        <w:spacing w:after="0" w:line="280" w:lineRule="auto"/>
        <w:rPr>
          <w:sz w:val="20"/>
          <w:szCs w:val="20"/>
          <w:color w:val="auto"/>
        </w:rPr>
      </w:pPr>
      <w:r>
        <w:rPr>
          <w:rFonts w:ascii="Arial" w:cs="Arial" w:eastAsia="Arial" w:hAnsi="Arial"/>
          <w:sz w:val="21"/>
          <w:szCs w:val="21"/>
          <w:color w:val="010000"/>
        </w:rPr>
        <w:t xml:space="preserve">(b) </w:t>
      </w:r>
      <w:r>
        <w:rPr>
          <w:rFonts w:ascii="Arial" w:cs="Arial" w:eastAsia="Arial" w:hAnsi="Arial"/>
          <w:sz w:val="21"/>
          <w:szCs w:val="21"/>
          <w:b w:val="1"/>
          <w:bCs w:val="1"/>
          <w:u w:val="single" w:color="auto"/>
          <w:color w:val="000000"/>
        </w:rPr>
        <w:t>Investment of Trust Funds</w:t>
      </w:r>
      <w:r>
        <w:rPr>
          <w:rFonts w:ascii="Arial" w:cs="Arial" w:eastAsia="Arial" w:hAnsi="Arial"/>
          <w:sz w:val="21"/>
          <w:szCs w:val="21"/>
          <w:color w:val="000000"/>
        </w:rPr>
        <w:t>. Any amounts contributed to the trust by the Employer</w:t>
      </w:r>
      <w:r>
        <w:rPr>
          <w:rFonts w:ascii="Arial" w:cs="Arial" w:eastAsia="Arial" w:hAnsi="Arial"/>
          <w:sz w:val="21"/>
          <w:szCs w:val="21"/>
          <w:color w:val="010000"/>
        </w:rPr>
        <w:t xml:space="preserve"> </w:t>
      </w:r>
      <w:r>
        <w:rPr>
          <w:rFonts w:ascii="Arial" w:cs="Arial" w:eastAsia="Arial" w:hAnsi="Arial"/>
          <w:sz w:val="21"/>
          <w:szCs w:val="21"/>
          <w:color w:val="000000"/>
        </w:rPr>
        <w:t>shall be invested by the trustee in accordance with the provisions of the trust and the instructions of the Committee or its delegate.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7" w:name="page198"/>
    <w:bookmarkEnd w:id="197"/>
    <w:tbl>
      <w:tblPr>
        <w:tblLayout w:type="fixed"/>
        <w:tblInd w:w="8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9620" w:type="dxa"/>
            <w:vAlign w:val="bottom"/>
          </w:tcPr>
          <w:p>
            <w:pPr>
              <w:ind w:left="2160"/>
              <w:spacing w:after="0"/>
              <w:rPr>
                <w:sz w:val="20"/>
                <w:szCs w:val="20"/>
                <w:color w:val="auto"/>
              </w:rPr>
            </w:pPr>
            <w:r>
              <w:rPr>
                <w:rFonts w:ascii="Arial" w:cs="Arial" w:eastAsia="Arial" w:hAnsi="Arial"/>
                <w:sz w:val="22"/>
                <w:szCs w:val="22"/>
                <w:b w:val="1"/>
                <w:bCs w:val="1"/>
                <w:color w:val="010000"/>
              </w:rPr>
              <w:t xml:space="preserve">ARTICLE 7. </w:t>
            </w:r>
            <w:r>
              <w:rPr>
                <w:rFonts w:ascii="Arial" w:cs="Arial" w:eastAsia="Arial" w:hAnsi="Arial"/>
                <w:sz w:val="22"/>
                <w:szCs w:val="22"/>
                <w:b w:val="1"/>
                <w:bCs w:val="1"/>
                <w:color w:val="000000"/>
              </w:rPr>
              <w:t>RIGHT TO BENEFITS</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010000"/>
                <w:w w:val="84"/>
              </w:rPr>
              <w:t>7.1</w:t>
            </w:r>
          </w:p>
        </w:tc>
        <w:tc>
          <w:tcPr>
            <w:tcW w:w="9620" w:type="dxa"/>
            <w:vAlign w:val="bottom"/>
          </w:tcPr>
          <w:p>
            <w:pPr>
              <w:ind w:left="660"/>
              <w:spacing w:after="0"/>
              <w:rPr>
                <w:sz w:val="20"/>
                <w:szCs w:val="20"/>
                <w:color w:val="auto"/>
              </w:rPr>
            </w:pPr>
            <w:r>
              <w:rPr>
                <w:rFonts w:ascii="Arial" w:cs="Arial" w:eastAsia="Arial" w:hAnsi="Arial"/>
                <w:sz w:val="22"/>
                <w:szCs w:val="22"/>
                <w:b w:val="1"/>
                <w:bCs w:val="1"/>
                <w:color w:val="auto"/>
                <w:w w:val="91"/>
              </w:rPr>
              <w:t>Vesting</w:t>
            </w:r>
            <w:r>
              <w:rPr>
                <w:rFonts w:ascii="Arial" w:cs="Arial" w:eastAsia="Arial" w:hAnsi="Arial"/>
                <w:sz w:val="22"/>
                <w:szCs w:val="22"/>
                <w:color w:val="auto"/>
                <w:w w:val="91"/>
              </w:rPr>
              <w:t>. Unless a Participant is terminated for Cause, a Participant shall have a 100% nonforfeitable</w:t>
            </w:r>
          </w:p>
        </w:tc>
      </w:tr>
    </w:tbl>
    <w:p>
      <w:pPr>
        <w:jc w:val="both"/>
        <w:spacing w:after="0" w:line="234" w:lineRule="auto"/>
        <w:rPr>
          <w:sz w:val="20"/>
          <w:szCs w:val="20"/>
          <w:color w:val="auto"/>
        </w:rPr>
      </w:pPr>
      <w:r>
        <w:rPr>
          <w:rFonts w:ascii="Arial" w:cs="Arial" w:eastAsia="Arial" w:hAnsi="Arial"/>
          <w:sz w:val="22"/>
          <w:szCs w:val="22"/>
          <w:color w:val="auto"/>
        </w:rPr>
        <w:t>right to his Accounts representing Employer Contributions upon to earlier of a Change In Control or the attainment of five years of Credited Service. Notwithstanding the preceding sentence, if a Participant is terminated for Cause, the Participant shall forfeit all rights to his Accounts representing Employer Contributions.</w:t>
      </w:r>
    </w:p>
    <w:p>
      <w:pPr>
        <w:spacing w:after="0" w:line="181"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21"/>
          <w:szCs w:val="21"/>
          <w:b w:val="1"/>
          <w:bCs w:val="1"/>
          <w:color w:val="010000"/>
        </w:rPr>
        <w:t xml:space="preserve">7.2 </w:t>
      </w:r>
      <w:r>
        <w:rPr>
          <w:rFonts w:ascii="Arial" w:cs="Arial" w:eastAsia="Arial" w:hAnsi="Arial"/>
          <w:sz w:val="21"/>
          <w:szCs w:val="21"/>
          <w:b w:val="1"/>
          <w:bCs w:val="1"/>
          <w:color w:val="000000"/>
        </w:rPr>
        <w:t>Amount of Benefits</w:t>
      </w:r>
      <w:r>
        <w:rPr>
          <w:rFonts w:ascii="Arial" w:cs="Arial" w:eastAsia="Arial" w:hAnsi="Arial"/>
          <w:sz w:val="21"/>
          <w:szCs w:val="21"/>
          <w:color w:val="000000"/>
        </w:rPr>
        <w:t>. The vested amounts credited to a Participant’s Account as determined under</w:t>
      </w:r>
      <w:r>
        <w:rPr>
          <w:rFonts w:ascii="Arial" w:cs="Arial" w:eastAsia="Arial" w:hAnsi="Arial"/>
          <w:sz w:val="21"/>
          <w:szCs w:val="21"/>
          <w:b w:val="1"/>
          <w:bCs w:val="1"/>
          <w:color w:val="010000"/>
        </w:rPr>
        <w:t xml:space="preserve"> </w:t>
      </w:r>
      <w:r>
        <w:rPr>
          <w:rFonts w:ascii="Arial" w:cs="Arial" w:eastAsia="Arial" w:hAnsi="Arial"/>
          <w:sz w:val="21"/>
          <w:szCs w:val="21"/>
          <w:color w:val="000000"/>
        </w:rPr>
        <w:t>ARTICLE 4 shall determine and constitute the basis for the value of benefits payable to the Participant under the Plan.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81"/>
        </w:trPr>
        <w:tc>
          <w:tcPr>
            <w:tcW w:w="1800" w:type="dxa"/>
            <w:vAlign w:val="bottom"/>
          </w:tcPr>
          <w:p>
            <w:pPr>
              <w:spacing w:after="0"/>
              <w:rPr>
                <w:sz w:val="24"/>
                <w:szCs w:val="24"/>
                <w:color w:val="auto"/>
              </w:rPr>
            </w:pPr>
          </w:p>
        </w:tc>
        <w:tc>
          <w:tcPr>
            <w:tcW w:w="9620" w:type="dxa"/>
            <w:vAlign w:val="bottom"/>
          </w:tcPr>
          <w:p>
            <w:pPr>
              <w:ind w:left="1720"/>
              <w:spacing w:after="0"/>
              <w:rPr>
                <w:sz w:val="20"/>
                <w:szCs w:val="20"/>
                <w:color w:val="auto"/>
              </w:rPr>
            </w:pPr>
            <w:r>
              <w:rPr>
                <w:rFonts w:ascii="Arial" w:cs="Arial" w:eastAsia="Arial" w:hAnsi="Arial"/>
                <w:sz w:val="22"/>
                <w:szCs w:val="22"/>
                <w:b w:val="1"/>
                <w:bCs w:val="1"/>
                <w:color w:val="010000"/>
              </w:rPr>
              <w:t xml:space="preserve">ARTICLE 8. </w:t>
            </w:r>
            <w:r>
              <w:rPr>
                <w:rFonts w:ascii="Arial" w:cs="Arial" w:eastAsia="Arial" w:hAnsi="Arial"/>
                <w:sz w:val="22"/>
                <w:szCs w:val="22"/>
                <w:b w:val="1"/>
                <w:bCs w:val="1"/>
                <w:color w:val="000000"/>
              </w:rPr>
              <w:t>DISTRIBUTION OF BENEFITS</w:t>
            </w:r>
          </w:p>
        </w:tc>
      </w:tr>
      <w:tr>
        <w:trPr>
          <w:trHeight w:val="428"/>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010000"/>
              </w:rPr>
              <w:t>8.1</w:t>
            </w:r>
          </w:p>
        </w:tc>
        <w:tc>
          <w:tcPr>
            <w:tcW w:w="9620" w:type="dxa"/>
            <w:vAlign w:val="bottom"/>
          </w:tcPr>
          <w:p>
            <w:pPr>
              <w:ind w:left="660"/>
              <w:spacing w:after="0"/>
              <w:rPr>
                <w:sz w:val="20"/>
                <w:szCs w:val="20"/>
                <w:color w:val="auto"/>
              </w:rPr>
            </w:pPr>
            <w:r>
              <w:rPr>
                <w:rFonts w:ascii="Arial" w:cs="Arial" w:eastAsia="Arial" w:hAnsi="Arial"/>
                <w:sz w:val="22"/>
                <w:szCs w:val="22"/>
                <w:b w:val="1"/>
                <w:bCs w:val="1"/>
                <w:color w:val="auto"/>
                <w:w w:val="93"/>
              </w:rPr>
              <w:t>Method and Timing of Distributions</w:t>
            </w:r>
            <w:r>
              <w:rPr>
                <w:rFonts w:ascii="Arial" w:cs="Arial" w:eastAsia="Arial" w:hAnsi="Arial"/>
                <w:sz w:val="22"/>
                <w:szCs w:val="22"/>
                <w:color w:val="auto"/>
                <w:w w:val="93"/>
              </w:rPr>
              <w:t>. Except as otherwise provided under the Plan, including this</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ARTICLE 8, distributions under the Plan shall be made in accordance with ARTICLE 5 of the Plan.</w:t>
            </w:r>
          </w:p>
        </w:tc>
      </w:tr>
      <w:tr>
        <w:trPr>
          <w:trHeight w:val="446"/>
        </w:trPr>
        <w:tc>
          <w:tcPr>
            <w:tcW w:w="1800" w:type="dxa"/>
            <w:vAlign w:val="bottom"/>
          </w:tcPr>
          <w:p>
            <w:pPr>
              <w:jc w:val="right"/>
              <w:ind w:right="532"/>
              <w:spacing w:after="0"/>
              <w:rPr>
                <w:sz w:val="20"/>
                <w:szCs w:val="20"/>
                <w:color w:val="auto"/>
              </w:rPr>
            </w:pPr>
            <w:r>
              <w:rPr>
                <w:rFonts w:ascii="Arial" w:cs="Arial" w:eastAsia="Arial" w:hAnsi="Arial"/>
                <w:sz w:val="22"/>
                <w:szCs w:val="22"/>
                <w:b w:val="1"/>
                <w:bCs w:val="1"/>
                <w:color w:val="010000"/>
              </w:rPr>
              <w:t>8.2</w:t>
            </w:r>
          </w:p>
        </w:tc>
        <w:tc>
          <w:tcPr>
            <w:tcW w:w="9620" w:type="dxa"/>
            <w:vAlign w:val="bottom"/>
          </w:tcPr>
          <w:p>
            <w:pPr>
              <w:ind w:left="660"/>
              <w:spacing w:after="0"/>
              <w:rPr>
                <w:sz w:val="20"/>
                <w:szCs w:val="20"/>
                <w:color w:val="auto"/>
              </w:rPr>
            </w:pPr>
            <w:r>
              <w:rPr>
                <w:rFonts w:ascii="Arial" w:cs="Arial" w:eastAsia="Arial" w:hAnsi="Arial"/>
                <w:sz w:val="22"/>
                <w:szCs w:val="22"/>
                <w:b w:val="1"/>
                <w:bCs w:val="1"/>
                <w:color w:val="auto"/>
                <w:w w:val="96"/>
              </w:rPr>
              <w:t>Unforeseeable Emergency</w:t>
            </w:r>
            <w:r>
              <w:rPr>
                <w:rFonts w:ascii="Arial" w:cs="Arial" w:eastAsia="Arial" w:hAnsi="Arial"/>
                <w:sz w:val="22"/>
                <w:szCs w:val="22"/>
                <w:color w:val="auto"/>
                <w:w w:val="96"/>
              </w:rPr>
              <w:t>. A Participant or a Participant’s legal representative may submit an</w:t>
            </w:r>
          </w:p>
        </w:tc>
      </w:tr>
    </w:tbl>
    <w:p>
      <w:pPr>
        <w:jc w:val="both"/>
        <w:spacing w:after="0" w:line="243" w:lineRule="auto"/>
        <w:rPr>
          <w:sz w:val="20"/>
          <w:szCs w:val="20"/>
          <w:color w:val="auto"/>
        </w:rPr>
      </w:pPr>
      <w:r>
        <w:rPr>
          <w:rFonts w:ascii="Arial" w:cs="Arial" w:eastAsia="Arial" w:hAnsi="Arial"/>
          <w:sz w:val="21"/>
          <w:szCs w:val="21"/>
          <w:color w:val="auto"/>
        </w:rPr>
        <w:t>application for a distribution from the Participant’s Accounts because of an Unforeseeable Emergency. The amount of the distribution shall not exceed the amount necessary to satisfy the needs of the Unforeseeable Emergency. Such distribution shall include an amount to pay taxes reasonably anticipated as a result of the distribution. The amount allowed as a distribution under this Section shall take into account the extent to which the Unforeseeable Emergency may be relieved by reimbursement, insurance or liquidation of the Participant’s assets (but only to the extent such liquidation would itself not cause a severe financial hardship). The distribution shall be made in a single sum and paid as soon as practicable after the application for the distribution on account of the Unforeseeable Emergency is approved. The provisions of this Section 8.2 shall be interpreted and administered in accordance with applicable guidance that may be issued by the Treasury.</w:t>
      </w:r>
    </w:p>
    <w:p>
      <w:pPr>
        <w:spacing w:after="0" w:line="181"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b w:val="1"/>
          <w:bCs w:val="1"/>
          <w:color w:val="010000"/>
        </w:rPr>
        <w:t xml:space="preserve">8.3 </w:t>
      </w:r>
      <w:r>
        <w:rPr>
          <w:rFonts w:ascii="Arial" w:cs="Arial" w:eastAsia="Arial" w:hAnsi="Arial"/>
          <w:sz w:val="21"/>
          <w:szCs w:val="21"/>
          <w:b w:val="1"/>
          <w:bCs w:val="1"/>
          <w:color w:val="000000"/>
        </w:rPr>
        <w:t>Disability</w:t>
      </w:r>
      <w:r>
        <w:rPr>
          <w:rFonts w:ascii="Arial" w:cs="Arial" w:eastAsia="Arial" w:hAnsi="Arial"/>
          <w:sz w:val="21"/>
          <w:szCs w:val="21"/>
          <w:color w:val="000000"/>
        </w:rPr>
        <w:t>. A Participant or a Participant’s legal representative may submit an application for a</w:t>
      </w:r>
      <w:r>
        <w:rPr>
          <w:rFonts w:ascii="Arial" w:cs="Arial" w:eastAsia="Arial" w:hAnsi="Arial"/>
          <w:sz w:val="21"/>
          <w:szCs w:val="21"/>
          <w:b w:val="1"/>
          <w:bCs w:val="1"/>
          <w:color w:val="010000"/>
        </w:rPr>
        <w:t xml:space="preserve"> </w:t>
      </w:r>
      <w:r>
        <w:rPr>
          <w:rFonts w:ascii="Arial" w:cs="Arial" w:eastAsia="Arial" w:hAnsi="Arial"/>
          <w:sz w:val="21"/>
          <w:szCs w:val="21"/>
          <w:color w:val="000000"/>
        </w:rPr>
        <w:t>distribution from the Participant’s Accounts because of the Participant’s Disability. The distribution shall be made in a single sum and paid as soon as practicable after the application for the distribution on account of the Participant’s Disability is approved. The provisions of this Section shall be interpreted and administered in accordance with applicable guidance that may be issued by the Secretary of the Treasury. If such guidance should allow an election of a period of distribution at the time of the application for a distribution on account of the Participant’s Disability then the Plan shall allow such elections.</w:t>
      </w:r>
    </w:p>
    <w:p>
      <w:pPr>
        <w:spacing w:after="0" w:line="171"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010000"/>
        </w:rPr>
        <w:t xml:space="preserve">8.4 </w:t>
      </w:r>
      <w:r>
        <w:rPr>
          <w:rFonts w:ascii="Arial" w:cs="Arial" w:eastAsia="Arial" w:hAnsi="Arial"/>
          <w:sz w:val="22"/>
          <w:szCs w:val="22"/>
          <w:b w:val="1"/>
          <w:bCs w:val="1"/>
          <w:color w:val="000000"/>
        </w:rPr>
        <w:t>Prohibition on Acceleration</w:t>
      </w:r>
      <w:r>
        <w:rPr>
          <w:rFonts w:ascii="Arial" w:cs="Arial" w:eastAsia="Arial" w:hAnsi="Arial"/>
          <w:sz w:val="22"/>
          <w:szCs w:val="22"/>
          <w:color w:val="000000"/>
        </w:rPr>
        <w:t>. Except as otherwise provided in the Plan and except as may be allowed</w:t>
      </w:r>
      <w:r>
        <w:rPr>
          <w:rFonts w:ascii="Arial" w:cs="Arial" w:eastAsia="Arial" w:hAnsi="Arial"/>
          <w:sz w:val="22"/>
          <w:szCs w:val="22"/>
          <w:b w:val="1"/>
          <w:bCs w:val="1"/>
          <w:color w:val="010000"/>
        </w:rPr>
        <w:t xml:space="preserve"> </w:t>
      </w:r>
      <w:r>
        <w:rPr>
          <w:rFonts w:ascii="Arial" w:cs="Arial" w:eastAsia="Arial" w:hAnsi="Arial"/>
          <w:sz w:val="22"/>
          <w:szCs w:val="22"/>
          <w:color w:val="000000"/>
        </w:rPr>
        <w:t>in guidance from the Secretary of the Treasury, distributions from a Participant’s Compensation Account(s) may not be made earlier than the time such amounts would otherwise be distributed pursuant to the terms of the Plan.</w:t>
      </w:r>
    </w:p>
    <w:p>
      <w:pPr>
        <w:spacing w:after="0" w:line="177"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b w:val="1"/>
          <w:bCs w:val="1"/>
          <w:color w:val="010000"/>
        </w:rPr>
        <w:t xml:space="preserve">8.5 </w:t>
      </w:r>
      <w:r>
        <w:rPr>
          <w:rFonts w:ascii="Arial" w:cs="Arial" w:eastAsia="Arial" w:hAnsi="Arial"/>
          <w:sz w:val="22"/>
          <w:szCs w:val="22"/>
          <w:b w:val="1"/>
          <w:bCs w:val="1"/>
          <w:color w:val="000000"/>
        </w:rPr>
        <w:t>Key Employees</w:t>
      </w:r>
      <w:r>
        <w:rPr>
          <w:rFonts w:ascii="Arial" w:cs="Arial" w:eastAsia="Arial" w:hAnsi="Arial"/>
          <w:sz w:val="22"/>
          <w:szCs w:val="22"/>
          <w:color w:val="000000"/>
        </w:rPr>
        <w:t>. In no event shall a distribution made to a Key Employee from his Accounts due to his</w:t>
      </w:r>
      <w:r>
        <w:rPr>
          <w:rFonts w:ascii="Arial" w:cs="Arial" w:eastAsia="Arial" w:hAnsi="Arial"/>
          <w:sz w:val="22"/>
          <w:szCs w:val="22"/>
          <w:b w:val="1"/>
          <w:bCs w:val="1"/>
          <w:color w:val="010000"/>
        </w:rPr>
        <w:t xml:space="preserve"> </w:t>
      </w:r>
      <w:r>
        <w:rPr>
          <w:rFonts w:ascii="Arial" w:cs="Arial" w:eastAsia="Arial" w:hAnsi="Arial"/>
          <w:sz w:val="22"/>
          <w:szCs w:val="22"/>
          <w:color w:val="000000"/>
        </w:rPr>
        <w:t>Separation from Service occur before the date which is six months after his Separation from Service, or, if earlier, his date of death. For purposes of this Section 8.5, a Key Employee means a “specified employee” within the meaning of Section 409A of the Code and using the identification methodology selected by the Company from time to time. Installment distributions to a Key Employee that are delayed due to the application of the requirements of this Section 8.5 shall commence as of the earliest date permitted by Code Section 409A. This Section 8.5 shall not apply to any of the following distributions: (i) a distribution upon the Participant’s Disability in accordance with Section 8.3 or upon a Change in Control, provided that the Participant’s Separation from Service did not precede such Disability or Change in Control; or (ii) an accelerated distribution made in accordance with Section 11.9.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53"/>
        </w:trPr>
        <w:tc>
          <w:tcPr>
            <w:tcW w:w="2220" w:type="dxa"/>
            <w:vAlign w:val="bottom"/>
          </w:tcPr>
          <w:p>
            <w:pPr>
              <w:jc w:val="right"/>
              <w:ind w:right="952"/>
              <w:spacing w:after="0"/>
              <w:rPr>
                <w:sz w:val="20"/>
                <w:szCs w:val="20"/>
                <w:color w:val="auto"/>
              </w:rPr>
            </w:pPr>
            <w:r>
              <w:rPr>
                <w:rFonts w:ascii="Arial" w:cs="Arial" w:eastAsia="Arial" w:hAnsi="Arial"/>
                <w:sz w:val="22"/>
                <w:szCs w:val="22"/>
                <w:b w:val="1"/>
                <w:bCs w:val="1"/>
                <w:color w:val="010000"/>
              </w:rPr>
              <w:t>8.6</w:t>
            </w:r>
          </w:p>
        </w:tc>
        <w:tc>
          <w:tcPr>
            <w:tcW w:w="6900" w:type="dxa"/>
            <w:vAlign w:val="bottom"/>
            <w:gridSpan w:val="3"/>
          </w:tcPr>
          <w:p>
            <w:pPr>
              <w:jc w:val="right"/>
              <w:ind w:right="60"/>
              <w:spacing w:after="0"/>
              <w:rPr>
                <w:sz w:val="20"/>
                <w:szCs w:val="20"/>
                <w:color w:val="auto"/>
              </w:rPr>
            </w:pPr>
            <w:r>
              <w:rPr>
                <w:rFonts w:ascii="Arial" w:cs="Arial" w:eastAsia="Arial" w:hAnsi="Arial"/>
                <w:sz w:val="22"/>
                <w:szCs w:val="22"/>
                <w:b w:val="1"/>
                <w:bCs w:val="1"/>
                <w:color w:val="auto"/>
                <w:w w:val="97"/>
              </w:rPr>
              <w:t>Permissible Delays in Payment</w:t>
            </w:r>
            <w:r>
              <w:rPr>
                <w:rFonts w:ascii="Arial" w:cs="Arial" w:eastAsia="Arial" w:hAnsi="Arial"/>
                <w:sz w:val="22"/>
                <w:szCs w:val="22"/>
                <w:color w:val="auto"/>
                <w:w w:val="97"/>
              </w:rPr>
              <w:t>. Distributions may be delayed beyond</w:t>
            </w:r>
          </w:p>
        </w:tc>
        <w:tc>
          <w:tcPr>
            <w:tcW w:w="2300" w:type="dxa"/>
            <w:vAlign w:val="bottom"/>
          </w:tcPr>
          <w:p>
            <w:pPr>
              <w:jc w:val="right"/>
              <w:spacing w:after="0"/>
              <w:rPr>
                <w:sz w:val="20"/>
                <w:szCs w:val="20"/>
                <w:color w:val="auto"/>
              </w:rPr>
            </w:pPr>
            <w:r>
              <w:rPr>
                <w:rFonts w:ascii="Arial" w:cs="Arial" w:eastAsia="Arial" w:hAnsi="Arial"/>
                <w:sz w:val="22"/>
                <w:szCs w:val="22"/>
                <w:color w:val="auto"/>
                <w:w w:val="97"/>
              </w:rPr>
              <w:t>the date payment would</w:t>
            </w:r>
          </w:p>
        </w:tc>
      </w:tr>
      <w:tr>
        <w:trPr>
          <w:trHeight w:val="275"/>
        </w:trPr>
        <w:tc>
          <w:tcPr>
            <w:tcW w:w="9120" w:type="dxa"/>
            <w:vAlign w:val="bottom"/>
            <w:gridSpan w:val="4"/>
          </w:tcPr>
          <w:p>
            <w:pPr>
              <w:jc w:val="right"/>
              <w:ind w:right="60"/>
              <w:spacing w:after="0"/>
              <w:rPr>
                <w:sz w:val="20"/>
                <w:szCs w:val="20"/>
                <w:color w:val="auto"/>
              </w:rPr>
            </w:pPr>
            <w:r>
              <w:rPr>
                <w:rFonts w:ascii="Arial" w:cs="Arial" w:eastAsia="Arial" w:hAnsi="Arial"/>
                <w:sz w:val="22"/>
                <w:szCs w:val="22"/>
                <w:color w:val="auto"/>
                <w:w w:val="90"/>
              </w:rPr>
              <w:t>otherwise occur in accordance with the provisions of ARTICLE 5 in any of the following circumstances:</w:t>
            </w:r>
          </w:p>
        </w:tc>
        <w:tc>
          <w:tcPr>
            <w:tcW w:w="2300" w:type="dxa"/>
            <w:vAlign w:val="bottom"/>
          </w:tcPr>
          <w:p>
            <w:pPr>
              <w:spacing w:after="0"/>
              <w:rPr>
                <w:sz w:val="23"/>
                <w:szCs w:val="23"/>
                <w:color w:val="auto"/>
              </w:rPr>
            </w:pPr>
          </w:p>
        </w:tc>
      </w:tr>
      <w:tr>
        <w:trPr>
          <w:trHeight w:val="409"/>
        </w:trPr>
        <w:tc>
          <w:tcPr>
            <w:tcW w:w="2220" w:type="dxa"/>
            <w:vAlign w:val="bottom"/>
          </w:tcPr>
          <w:p>
            <w:pPr>
              <w:jc w:val="right"/>
              <w:ind w:right="112"/>
              <w:spacing w:after="0"/>
              <w:rPr>
                <w:sz w:val="20"/>
                <w:szCs w:val="20"/>
                <w:color w:val="auto"/>
              </w:rPr>
            </w:pPr>
            <w:r>
              <w:rPr>
                <w:rFonts w:ascii="Arial" w:cs="Arial" w:eastAsia="Arial" w:hAnsi="Arial"/>
                <w:sz w:val="22"/>
                <w:szCs w:val="22"/>
                <w:color w:val="010000"/>
              </w:rPr>
              <w:t>(a)</w:t>
            </w:r>
          </w:p>
        </w:tc>
        <w:tc>
          <w:tcPr>
            <w:tcW w:w="1720" w:type="dxa"/>
            <w:vAlign w:val="bottom"/>
          </w:tcPr>
          <w:p>
            <w:pPr>
              <w:spacing w:after="0"/>
              <w:rPr>
                <w:sz w:val="24"/>
                <w:szCs w:val="24"/>
                <w:color w:val="auto"/>
              </w:rPr>
            </w:pPr>
          </w:p>
        </w:tc>
        <w:tc>
          <w:tcPr>
            <w:tcW w:w="7480" w:type="dxa"/>
            <w:vAlign w:val="bottom"/>
            <w:gridSpan w:val="3"/>
          </w:tcPr>
          <w:p>
            <w:pPr>
              <w:jc w:val="right"/>
              <w:spacing w:after="0"/>
              <w:rPr>
                <w:sz w:val="20"/>
                <w:szCs w:val="20"/>
                <w:color w:val="auto"/>
              </w:rPr>
            </w:pPr>
            <w:r>
              <w:rPr>
                <w:rFonts w:ascii="Arial" w:cs="Arial" w:eastAsia="Arial" w:hAnsi="Arial"/>
                <w:sz w:val="22"/>
                <w:szCs w:val="22"/>
                <w:b w:val="1"/>
                <w:bCs w:val="1"/>
                <w:color w:val="auto"/>
                <w:w w:val="90"/>
              </w:rPr>
              <w:t>Payments Subject to Code Section 162(m)</w:t>
            </w:r>
            <w:r>
              <w:rPr>
                <w:rFonts w:ascii="Arial" w:cs="Arial" w:eastAsia="Arial" w:hAnsi="Arial"/>
                <w:sz w:val="22"/>
                <w:szCs w:val="22"/>
                <w:color w:val="auto"/>
                <w:w w:val="90"/>
              </w:rPr>
              <w:t>. The Employer may delay payment if it</w:t>
            </w:r>
          </w:p>
        </w:tc>
      </w:tr>
      <w:tr>
        <w:trPr>
          <w:trHeight w:val="20"/>
        </w:trPr>
        <w:tc>
          <w:tcPr>
            <w:tcW w:w="2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reasonably anticipates that its deduction with respect to such payment would not be permitted due to the application of Code Section 162(m); provided, however, that (i) the deduction limitation of Code Section 162(m) shall be applied to all payments to similarly situated Participants on a reasonably consistent basis; (ii) the payment must be made either during the Participant’s first taxable year in which the Employer reasonably anticipates, or should reasonably anticipate, that if the payment is made during such year, the deduction of such payment will not be barred by application of Code Section 162(m) or during the period beginning with the date of the Participant’s Separation from Service (or, if the Participant is a Key Employee, beginning with the date that is six months after Separation from Service) and ending on the later of the last day of the Employer’s taxable year in which the Participant incurs a Separation from Service for the 15th day of the third month following the Participant’s Separation from Service (or, if the Participant is a Key Employee, the 15th day of the third month following the date that is six months after Separation from Service); (iii) where any payment to a particular Participant is delayed because of Code Section 162(m), the delay in payment will be treated as a subsequent deferral election under Code Section 409A, unless all scheduled payments to such Participant that could be delayed are also delayed; and (iv) no election may be provided to a Participant with respect to the timing of payment hereunder.</w:t>
      </w:r>
    </w:p>
    <w:p>
      <w:pPr>
        <w:spacing w:after="0" w:line="156"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color w:val="010000"/>
        </w:rPr>
        <w:t>(b)</w:t>
      </w:r>
      <w:r>
        <w:rPr>
          <w:sz w:val="20"/>
          <w:szCs w:val="20"/>
          <w:color w:val="auto"/>
        </w:rPr>
        <w:tab/>
      </w:r>
      <w:r>
        <w:rPr>
          <w:rFonts w:ascii="Arial" w:cs="Arial" w:eastAsia="Arial" w:hAnsi="Arial"/>
          <w:sz w:val="19"/>
          <w:szCs w:val="19"/>
          <w:b w:val="1"/>
          <w:bCs w:val="1"/>
          <w:u w:val="single" w:color="auto"/>
          <w:color w:val="auto"/>
        </w:rPr>
        <w:t>Payments that would violate Federal Securities Laws or Other Applicable Law</w:t>
      </w:r>
      <w:r>
        <w:rPr>
          <w:rFonts w:ascii="Arial" w:cs="Arial" w:eastAsia="Arial" w:hAnsi="Arial"/>
          <w:sz w:val="19"/>
          <w:szCs w:val="19"/>
          <w:color w:val="auto"/>
        </w:rPr>
        <w:t>.</w:t>
      </w:r>
    </w:p>
    <w:p>
      <w:pPr>
        <w:spacing w:after="0" w:line="4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Employer may also delay payment if it reasonably anticipates that the marking of the payment will violate Federal securities laws or other applicable laws provided payment is made at the earliest date on which the Employer reasonably anticipates that the making of the payment will not cause such violation.</w:t>
      </w:r>
    </w:p>
    <w:p>
      <w:pPr>
        <w:spacing w:after="0" w:line="181"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color w:val="010000"/>
        </w:rPr>
        <w:t xml:space="preserve">(c) </w:t>
      </w:r>
      <w:r>
        <w:rPr>
          <w:rFonts w:ascii="Arial" w:cs="Arial" w:eastAsia="Arial" w:hAnsi="Arial"/>
          <w:sz w:val="22"/>
          <w:szCs w:val="22"/>
          <w:b w:val="1"/>
          <w:bCs w:val="1"/>
          <w:u w:val="single" w:color="auto"/>
          <w:color w:val="000000"/>
        </w:rPr>
        <w:t>Other Events and Conditions</w:t>
      </w:r>
      <w:r>
        <w:rPr>
          <w:rFonts w:ascii="Arial" w:cs="Arial" w:eastAsia="Arial" w:hAnsi="Arial"/>
          <w:sz w:val="22"/>
          <w:szCs w:val="22"/>
          <w:color w:val="000000"/>
        </w:rPr>
        <w:t>. The Employer also reserves the right to delay</w:t>
      </w:r>
      <w:r>
        <w:rPr>
          <w:rFonts w:ascii="Arial" w:cs="Arial" w:eastAsia="Arial" w:hAnsi="Arial"/>
          <w:sz w:val="22"/>
          <w:szCs w:val="22"/>
          <w:color w:val="010000"/>
        </w:rPr>
        <w:t xml:space="preserve"> </w:t>
      </w:r>
      <w:r>
        <w:rPr>
          <w:rFonts w:ascii="Arial" w:cs="Arial" w:eastAsia="Arial" w:hAnsi="Arial"/>
          <w:sz w:val="22"/>
          <w:szCs w:val="22"/>
          <w:color w:val="000000"/>
        </w:rPr>
        <w:t>payment upon such other events and conditions as the Secretary of the Treasury may prescribe in generally applicable guidance published in the Internal Revenue Bulletin.</w:t>
      </w:r>
    </w:p>
    <w:p>
      <w:pPr>
        <w:spacing w:after="0" w:line="183"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Except as may be otherwise required under Code Section 409A, a payment is treated as made upon the date contemplated under the provisions of the Plan if the payment is made at such date or a later date within the same calendar year or, if later, by the 15th day of the third calendar month following the date contemplated by the Plan. If calculation of the amount of the payment is not administratively practicable due to events beyond the control of the Participant (or Participant’s Beneficiary), the payment will be treated as made upon the date contemplated by the Plan if the payment is made during the first calendar year in which the payment is administratively practicable. Similarly, if the funds of the Employer are not sufficient to make the payment at the date specified under the Plan without jeopardizing the solvency of the Employer, the payment will be treated as made upon the date contemplated by the Plan if the payment is made during the first calendar year in which the funds of the Employer are sufficient to make the payment without jeopardizing the solvency of the Employer.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00" w:name="page201"/>
    <w:bookmarkEnd w:id="200"/>
    <w:p>
      <w:pPr>
        <w:jc w:val="both"/>
        <w:ind w:firstLine="877"/>
        <w:spacing w:after="0" w:line="270" w:lineRule="auto"/>
        <w:rPr>
          <w:sz w:val="20"/>
          <w:szCs w:val="20"/>
          <w:color w:val="auto"/>
        </w:rPr>
      </w:pPr>
      <w:r>
        <w:rPr>
          <w:rFonts w:ascii="Arial" w:cs="Arial" w:eastAsia="Arial" w:hAnsi="Arial"/>
          <w:sz w:val="19"/>
          <w:szCs w:val="19"/>
          <w:color w:val="auto"/>
        </w:rPr>
        <w:t>If a payment is not made, in whole or in part, as of the date contemplated by the Plan because the Employer refuses to make such payment, the payment will be treated as made upon the date contemplated by the Plan if the Participant accepts the portion (if any) of the payment that the Employer is willing to make (unless such acceptance will result in forfeiture of the claim to all or part of the remaining account), makes prompt and reasonable, good faith efforts to collect the remaining portion of the payment and any further payment (including payment of a lesser amount that satisfies the obligation to make the payment) is made no later than the end of the first calendar year in which the Employer and the Participant enter into a legally binding settlement of such dispute, the Employer concedes that the amount is payable, or the Employer is required to make such payment pursuant to a final and nonappealable judgment or other binding decision. For purposes of this paragraph, efforts to collect the payment will be presumed not to be prompt, reasonable, good faith efforts, unless the Participant provides notice to the Employer within 90 days of the latest date upon which the payment could have been timely made in accordance with the terms of the Plan and the Treasury Regulations promulgated under Code Section 409A, and unless, if not paid, the Participant takes further enforcement measures within 180 days after such latest date. For purposes of this paragraph, the Employer is not treated as having refused to make a payment where pursuant to the terms of the Plan the Participant is required to request payment, or otherwise provide information to take any other action, and the Participant has failed to take such action. In addition, for purposes of this paragraph, the Participant is deemed to have requested that a payment not be made, rather than the Employer having refused to make such payment, where the Employer’s decision to refuse to make the payment is made by the Participant or a member of the Participant’s family (as defined in Code Section 267(c)(4) applied as if the family of an individual includes the spouse of any member of the family), or any person or group of persons over whom the Participant’s family member has effective control, or any person any portion of whose compensation is controlled by the Participant or the Participant’s family member.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1" w:name="page202"/>
    <w:bookmarkEnd w:id="201"/>
    <w:tbl>
      <w:tblPr>
        <w:tblLayout w:type="fixed"/>
        <w:tblInd w:w="880" w:type="dxa"/>
        <w:tblCellMar>
          <w:top w:w="0" w:type="dxa"/>
          <w:left w:w="0" w:type="dxa"/>
          <w:bottom w:w="0" w:type="dxa"/>
          <w:right w:w="0" w:type="dxa"/>
        </w:tblCellMar>
      </w:tblPr>
      <w:tr>
        <w:trPr>
          <w:trHeight w:val="281"/>
        </w:trPr>
        <w:tc>
          <w:tcPr>
            <w:tcW w:w="920" w:type="dxa"/>
            <w:vAlign w:val="bottom"/>
          </w:tcPr>
          <w:p>
            <w:pPr>
              <w:spacing w:after="0"/>
              <w:rPr>
                <w:sz w:val="24"/>
                <w:szCs w:val="24"/>
                <w:color w:val="auto"/>
              </w:rPr>
            </w:pPr>
          </w:p>
        </w:tc>
        <w:tc>
          <w:tcPr>
            <w:tcW w:w="9620" w:type="dxa"/>
            <w:vAlign w:val="bottom"/>
          </w:tcPr>
          <w:p>
            <w:pPr>
              <w:ind w:left="1460"/>
              <w:spacing w:after="0"/>
              <w:rPr>
                <w:sz w:val="20"/>
                <w:szCs w:val="20"/>
                <w:color w:val="auto"/>
              </w:rPr>
            </w:pPr>
            <w:r>
              <w:rPr>
                <w:rFonts w:ascii="Arial" w:cs="Arial" w:eastAsia="Arial" w:hAnsi="Arial"/>
                <w:sz w:val="22"/>
                <w:szCs w:val="22"/>
                <w:b w:val="1"/>
                <w:bCs w:val="1"/>
                <w:color w:val="010000"/>
              </w:rPr>
              <w:t xml:space="preserve">ARTICLE 9. </w:t>
            </w:r>
            <w:r>
              <w:rPr>
                <w:rFonts w:ascii="Arial" w:cs="Arial" w:eastAsia="Arial" w:hAnsi="Arial"/>
                <w:sz w:val="22"/>
                <w:szCs w:val="22"/>
                <w:b w:val="1"/>
                <w:bCs w:val="1"/>
                <w:color w:val="000000"/>
              </w:rPr>
              <w:t>AMENDMENT AND TERMINATION</w:t>
            </w:r>
          </w:p>
        </w:tc>
      </w:tr>
      <w:tr>
        <w:trPr>
          <w:trHeight w:val="446"/>
        </w:trPr>
        <w:tc>
          <w:tcPr>
            <w:tcW w:w="920" w:type="dxa"/>
            <w:vAlign w:val="bottom"/>
          </w:tcPr>
          <w:p>
            <w:pPr>
              <w:jc w:val="right"/>
              <w:ind w:right="532"/>
              <w:spacing w:after="0"/>
              <w:rPr>
                <w:sz w:val="20"/>
                <w:szCs w:val="20"/>
                <w:color w:val="auto"/>
              </w:rPr>
            </w:pPr>
            <w:r>
              <w:rPr>
                <w:rFonts w:ascii="Arial" w:cs="Arial" w:eastAsia="Arial" w:hAnsi="Arial"/>
                <w:sz w:val="22"/>
                <w:szCs w:val="22"/>
                <w:b w:val="1"/>
                <w:bCs w:val="1"/>
                <w:color w:val="010000"/>
                <w:w w:val="84"/>
              </w:rPr>
              <w:t>9.1</w:t>
            </w:r>
          </w:p>
        </w:tc>
        <w:tc>
          <w:tcPr>
            <w:tcW w:w="9620" w:type="dxa"/>
            <w:vAlign w:val="bottom"/>
          </w:tcPr>
          <w:p>
            <w:pPr>
              <w:ind w:left="660"/>
              <w:spacing w:after="0"/>
              <w:rPr>
                <w:sz w:val="20"/>
                <w:szCs w:val="20"/>
                <w:color w:val="auto"/>
              </w:rPr>
            </w:pPr>
            <w:r>
              <w:rPr>
                <w:rFonts w:ascii="Arial" w:cs="Arial" w:eastAsia="Arial" w:hAnsi="Arial"/>
                <w:sz w:val="22"/>
                <w:szCs w:val="22"/>
                <w:b w:val="1"/>
                <w:bCs w:val="1"/>
                <w:color w:val="auto"/>
                <w:w w:val="93"/>
              </w:rPr>
              <w:t>Amendment by Employer</w:t>
            </w:r>
            <w:r>
              <w:rPr>
                <w:rFonts w:ascii="Arial" w:cs="Arial" w:eastAsia="Arial" w:hAnsi="Arial"/>
                <w:sz w:val="22"/>
                <w:szCs w:val="22"/>
                <w:color w:val="auto"/>
                <w:w w:val="93"/>
              </w:rPr>
              <w:t>. The Employer reserves the sole right to amend the Plan pursuant to a</w:t>
            </w:r>
          </w:p>
        </w:tc>
      </w:tr>
    </w:tbl>
    <w:p>
      <w:pPr>
        <w:jc w:val="both"/>
        <w:spacing w:after="0" w:line="244" w:lineRule="auto"/>
        <w:rPr>
          <w:sz w:val="20"/>
          <w:szCs w:val="20"/>
          <w:color w:val="auto"/>
        </w:rPr>
      </w:pPr>
      <w:r>
        <w:rPr>
          <w:rFonts w:ascii="Arial" w:cs="Arial" w:eastAsia="Arial" w:hAnsi="Arial"/>
          <w:sz w:val="21"/>
          <w:szCs w:val="21"/>
          <w:color w:val="auto"/>
        </w:rPr>
        <w:t>resolution of the Board. An amendment must be in writing and executed by a representative of the Employer authorized to take such action. The Employer hereby reserves the right to amend the Plan without the consent of the Participants in the future, as required to comply with any present or future law, regulation or rule applicable to the Plan, including, but not limited to Code Section 409A and all applicable guidance promulgated thereunder, and to prevent any Participant from becoming subject to any additional tax or penalty under Code Section 409A. No amendment can directly or indirectly deprive any current or former Participant or Beneficiary of all or any portion of his vested Account which had accrued prior to the amendment, except to the extent required by the Code or other applicable law.</w:t>
      </w:r>
    </w:p>
    <w:p>
      <w:pPr>
        <w:spacing w:after="0" w:line="175"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010000"/>
        </w:rPr>
        <w:t xml:space="preserve">9.2 </w:t>
      </w:r>
      <w:r>
        <w:rPr>
          <w:rFonts w:ascii="Arial" w:cs="Arial" w:eastAsia="Arial" w:hAnsi="Arial"/>
          <w:sz w:val="22"/>
          <w:szCs w:val="22"/>
          <w:b w:val="1"/>
          <w:bCs w:val="1"/>
          <w:color w:val="000000"/>
        </w:rPr>
        <w:t>Retroactive Amendments</w:t>
      </w:r>
      <w:r>
        <w:rPr>
          <w:rFonts w:ascii="Arial" w:cs="Arial" w:eastAsia="Arial" w:hAnsi="Arial"/>
          <w:sz w:val="22"/>
          <w:szCs w:val="22"/>
          <w:color w:val="000000"/>
        </w:rPr>
        <w:t>. An Amendment made by the Employer in accordance with Section 9.1</w:t>
      </w:r>
      <w:r>
        <w:rPr>
          <w:rFonts w:ascii="Arial" w:cs="Arial" w:eastAsia="Arial" w:hAnsi="Arial"/>
          <w:sz w:val="22"/>
          <w:szCs w:val="22"/>
          <w:b w:val="1"/>
          <w:bCs w:val="1"/>
          <w:color w:val="010000"/>
        </w:rPr>
        <w:t xml:space="preserve"> </w:t>
      </w:r>
      <w:r>
        <w:rPr>
          <w:rFonts w:ascii="Arial" w:cs="Arial" w:eastAsia="Arial" w:hAnsi="Arial"/>
          <w:sz w:val="22"/>
          <w:szCs w:val="22"/>
          <w:color w:val="000000"/>
        </w:rPr>
        <w:t>may be made effective on a date prior to the first day of the Plan Year in which it is adopted. Any retroactive amendment by the Employer shall be subject to the provisions of Section 9.1.</w:t>
      </w:r>
    </w:p>
    <w:p>
      <w:pPr>
        <w:sectPr>
          <w:pgSz w:w="11900" w:h="16838" w:orient="portrait"/>
          <w:cols w:equalWidth="0" w:num="1">
            <w:col w:w="11420"/>
          </w:cols>
          <w:pgMar w:left="240" w:top="355" w:right="239" w:bottom="1440" w:gutter="0" w:footer="0" w:header="0"/>
        </w:sectPr>
      </w:pP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010000"/>
        </w:rPr>
        <w:t>9.3</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distributed under the Plan.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Plan Termination</w:t>
      </w:r>
      <w:r>
        <w:rPr>
          <w:rFonts w:ascii="Arial" w:cs="Arial" w:eastAsia="Arial" w:hAnsi="Arial"/>
          <w:sz w:val="19"/>
          <w:szCs w:val="19"/>
          <w:color w:val="auto"/>
        </w:rPr>
        <w:t>. The Plan will terminate automatically as of the date that no amounts remain to be</w:t>
      </w:r>
    </w:p>
    <w:p>
      <w:pPr>
        <w:spacing w:after="0" w:line="467" w:lineRule="exact"/>
        <w:rPr>
          <w:sz w:val="20"/>
          <w:szCs w:val="20"/>
          <w:color w:val="auto"/>
        </w:rPr>
      </w:pPr>
    </w:p>
    <w:p>
      <w:pPr>
        <w:sectPr>
          <w:pgSz w:w="11900" w:h="16838" w:orient="portrait"/>
          <w:cols w:equalWidth="0" w:num="2">
            <w:col w:w="2280" w:space="180"/>
            <w:col w:w="8960"/>
          </w:cols>
          <w:pgMar w:left="240" w:top="355" w:right="239" w:bottom="1440" w:gutter="0" w:footer="0" w:header="0"/>
          <w:type w:val="continuous"/>
        </w:sectPr>
      </w:pPr>
    </w:p>
    <w:p>
      <w:pPr>
        <w:spacing w:after="0" w:line="23"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color w:val="auto"/>
        </w:rPr>
        <w:t>The Employer reserves the right to terminate the Plan and accelerate the time of payment of all amounts to be distributed under the Plan in accordance with the following provisions of this Section 9.3. The Employer may make an irrevocable election to terminate the Plan and distribute all amounts credited to all Participant Accounts within the 30 days preceding or the 12 months following a Change in Control. For this purpose, the Plan will be treated as terminated only if all other arrangements sponsored by the Employer or any Related Employer immediately after the time of the Change in Control with respect to which deferrals of compensation are treated as having been deferred under a single plan under Treasury Regulation Section 1.409A-1(c)(2) are terminated and liquidated with respect to each Participant that experienced the Change in Control, so that under the terms of the termination and liquidation all such Participants are required to receive all amounts of compensation deferred under the terminated arrangements within 12 months of the date the Employer irrevocably takes all necessary action to terminate and liquidate the Plan and such other arrangements. In addition, the Employer reserves the right to terminate the Plan within 12 months of a corporate dissolution taxed under Code Section 331, or with the approval of a bankruptcy court pursuant to Section 503(b)(1)(A) of Title 11 of the United States Code, provided that amounts deferred under the Plan are included in the gross incomes of Participants in the earlier of (a) the taxable year in which the amount is actually or constructively received, or (b) the latest of the following years: (1) the calendar year in which the termination occurs, (2) the first calendar year in which the amount is no longer subject to a substantial risk of forfeiture, or (3) the first calendar year in which payment is administratively practicable. The Employer retains the discretion to terminate the Plan if (1) the termination does not occur proximate to a downturn in the financial health of the Employer; (2) all arrangements sponsored by the Employer or any related Employer that would be aggregated with any terminated arrangement under Treasury Regulation Section 1.409A-1(c) if the same service provider participated in all of the arrangements are terminated, (3) no payments other than payments that would be payable under the terms of the arrangements if the termination had not occurred are made within 12 months of the termination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202" w:name="page203"/>
    <w:bookmarkEnd w:id="202"/>
    <w:p>
      <w:pPr>
        <w:jc w:val="both"/>
        <w:spacing w:after="0" w:line="279" w:lineRule="auto"/>
        <w:rPr>
          <w:sz w:val="20"/>
          <w:szCs w:val="20"/>
          <w:color w:val="auto"/>
        </w:rPr>
      </w:pPr>
      <w:r>
        <w:rPr>
          <w:rFonts w:ascii="Arial" w:cs="Arial" w:eastAsia="Arial" w:hAnsi="Arial"/>
          <w:sz w:val="19"/>
          <w:szCs w:val="19"/>
          <w:color w:val="auto"/>
        </w:rPr>
        <w:t>the arrangements, (4) all payments are made within 24 months of the termination of the arrangements, and (5) neither the Employer nor any Related Employer adopts a new arrangements that would be aggregated with any terminated arrangement under Treasury Regulation Section 1.409A-1(c), if the same service provider participated in both arrangements, at any time with the three year period following the date of termination of the arrangement. The Employer also reserves the right to terminate the Plan and accelerate the time of payment of all amounts to be distributed under the Plan under such conditions and events as may be prescribed by the Commissioner in generally applicable guidance published in the Internal Revenue Bulletin.</w:t>
      </w:r>
    </w:p>
    <w:p>
      <w:pPr>
        <w:spacing w:after="0" w:line="145"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010000"/>
        </w:rPr>
        <w:t xml:space="preserve">9.4 </w:t>
      </w:r>
      <w:r>
        <w:rPr>
          <w:rFonts w:ascii="Arial" w:cs="Arial" w:eastAsia="Arial" w:hAnsi="Arial"/>
          <w:sz w:val="22"/>
          <w:szCs w:val="22"/>
          <w:b w:val="1"/>
          <w:bCs w:val="1"/>
          <w:color w:val="000000"/>
        </w:rPr>
        <w:t>Distribution Upon Termination of the Plan</w:t>
      </w:r>
      <w:r>
        <w:rPr>
          <w:rFonts w:ascii="Arial" w:cs="Arial" w:eastAsia="Arial" w:hAnsi="Arial"/>
          <w:sz w:val="22"/>
          <w:szCs w:val="22"/>
          <w:color w:val="000000"/>
        </w:rPr>
        <w:t>. Except as provided in Section 9.3, the Plan may not be</w:t>
      </w:r>
      <w:r>
        <w:rPr>
          <w:rFonts w:ascii="Arial" w:cs="Arial" w:eastAsia="Arial" w:hAnsi="Arial"/>
          <w:sz w:val="22"/>
          <w:szCs w:val="22"/>
          <w:b w:val="1"/>
          <w:bCs w:val="1"/>
          <w:color w:val="010000"/>
        </w:rPr>
        <w:t xml:space="preserve"> </w:t>
      </w:r>
      <w:r>
        <w:rPr>
          <w:rFonts w:ascii="Arial" w:cs="Arial" w:eastAsia="Arial" w:hAnsi="Arial"/>
          <w:sz w:val="22"/>
          <w:szCs w:val="22"/>
          <w:color w:val="000000"/>
        </w:rPr>
        <w:t>terminated before the date on which all amounts credited to all Participant Accounts have been distributed in accordance with the terms of the Plan.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03" w:name="page204"/>
    <w:bookmarkEnd w:id="203"/>
    <w:tbl>
      <w:tblPr>
        <w:tblLayout w:type="fixed"/>
        <w:tblInd w:w="880" w:type="dxa"/>
        <w:tblCellMar>
          <w:top w:w="0" w:type="dxa"/>
          <w:left w:w="0" w:type="dxa"/>
          <w:bottom w:w="0" w:type="dxa"/>
          <w:right w:w="0" w:type="dxa"/>
        </w:tblCellMar>
      </w:tblPr>
      <w:tr>
        <w:trPr>
          <w:trHeight w:val="281"/>
        </w:trPr>
        <w:tc>
          <w:tcPr>
            <w:tcW w:w="1040" w:type="dxa"/>
            <w:vAlign w:val="bottom"/>
          </w:tcPr>
          <w:p>
            <w:pPr>
              <w:spacing w:after="0"/>
              <w:rPr>
                <w:sz w:val="24"/>
                <w:szCs w:val="24"/>
                <w:color w:val="auto"/>
              </w:rPr>
            </w:pPr>
          </w:p>
        </w:tc>
        <w:tc>
          <w:tcPr>
            <w:tcW w:w="9500" w:type="dxa"/>
            <w:vAlign w:val="bottom"/>
          </w:tcPr>
          <w:p>
            <w:pPr>
              <w:ind w:left="1800"/>
              <w:spacing w:after="0"/>
              <w:rPr>
                <w:sz w:val="20"/>
                <w:szCs w:val="20"/>
                <w:color w:val="auto"/>
              </w:rPr>
            </w:pPr>
            <w:r>
              <w:rPr>
                <w:rFonts w:ascii="Arial" w:cs="Arial" w:eastAsia="Arial" w:hAnsi="Arial"/>
                <w:sz w:val="22"/>
                <w:szCs w:val="22"/>
                <w:b w:val="1"/>
                <w:bCs w:val="1"/>
                <w:color w:val="010000"/>
              </w:rPr>
              <w:t xml:space="preserve">ARTICLE 10. </w:t>
            </w:r>
            <w:r>
              <w:rPr>
                <w:rFonts w:ascii="Arial" w:cs="Arial" w:eastAsia="Arial" w:hAnsi="Arial"/>
                <w:sz w:val="22"/>
                <w:szCs w:val="22"/>
                <w:b w:val="1"/>
                <w:bCs w:val="1"/>
                <w:color w:val="000000"/>
              </w:rPr>
              <w:t>PLAN ADMINISTRATION</w:t>
            </w:r>
          </w:p>
        </w:tc>
      </w:tr>
      <w:tr>
        <w:trPr>
          <w:trHeight w:val="446"/>
        </w:trPr>
        <w:tc>
          <w:tcPr>
            <w:tcW w:w="1040" w:type="dxa"/>
            <w:vAlign w:val="bottom"/>
          </w:tcPr>
          <w:p>
            <w:pPr>
              <w:jc w:val="right"/>
              <w:ind w:right="552"/>
              <w:spacing w:after="0"/>
              <w:rPr>
                <w:sz w:val="20"/>
                <w:szCs w:val="20"/>
                <w:color w:val="auto"/>
              </w:rPr>
            </w:pPr>
            <w:r>
              <w:rPr>
                <w:rFonts w:ascii="Arial" w:cs="Arial" w:eastAsia="Arial" w:hAnsi="Arial"/>
                <w:sz w:val="22"/>
                <w:szCs w:val="22"/>
                <w:b w:val="1"/>
                <w:bCs w:val="1"/>
                <w:color w:val="010000"/>
                <w:w w:val="83"/>
              </w:rPr>
              <w:t>10.1</w:t>
            </w:r>
          </w:p>
        </w:tc>
        <w:tc>
          <w:tcPr>
            <w:tcW w:w="9500" w:type="dxa"/>
            <w:vAlign w:val="bottom"/>
          </w:tcPr>
          <w:p>
            <w:pPr>
              <w:ind w:left="640"/>
              <w:spacing w:after="0"/>
              <w:rPr>
                <w:sz w:val="20"/>
                <w:szCs w:val="20"/>
                <w:color w:val="auto"/>
              </w:rPr>
            </w:pPr>
            <w:r>
              <w:rPr>
                <w:rFonts w:ascii="Arial" w:cs="Arial" w:eastAsia="Arial" w:hAnsi="Arial"/>
                <w:sz w:val="22"/>
                <w:szCs w:val="22"/>
                <w:b w:val="1"/>
                <w:bCs w:val="1"/>
                <w:color w:val="auto"/>
                <w:w w:val="90"/>
              </w:rPr>
              <w:t>Powers and Responsibilities of the Employer</w:t>
            </w:r>
            <w:r>
              <w:rPr>
                <w:rFonts w:ascii="Arial" w:cs="Arial" w:eastAsia="Arial" w:hAnsi="Arial"/>
                <w:sz w:val="22"/>
                <w:szCs w:val="22"/>
                <w:color w:val="auto"/>
                <w:w w:val="90"/>
              </w:rPr>
              <w:t>.  The Employer shall be responsible for the general</w:t>
            </w:r>
          </w:p>
        </w:tc>
      </w:tr>
    </w:tbl>
    <w:p>
      <w:pPr>
        <w:jc w:val="both"/>
        <w:spacing w:after="0" w:line="308" w:lineRule="auto"/>
        <w:rPr>
          <w:sz w:val="20"/>
          <w:szCs w:val="20"/>
          <w:color w:val="auto"/>
        </w:rPr>
      </w:pPr>
      <w:r>
        <w:rPr>
          <w:rFonts w:ascii="Arial" w:cs="Arial" w:eastAsia="Arial" w:hAnsi="Arial"/>
          <w:sz w:val="19"/>
          <w:szCs w:val="19"/>
          <w:color w:val="auto"/>
        </w:rPr>
        <w:t>operation and administration of the Plan and for carrying out the provisions thereof. The Employer’s powers and responsibilities include, but are not limited to, the following, which powers and responsibilities shall be exercised in its sole discretion: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80" w:type="dxa"/>
            <w:vAlign w:val="bottom"/>
          </w:tcPr>
          <w:p>
            <w:pPr>
              <w:ind w:left="1760"/>
              <w:spacing w:after="0"/>
              <w:rPr>
                <w:sz w:val="20"/>
                <w:szCs w:val="20"/>
                <w:color w:val="auto"/>
              </w:rPr>
            </w:pPr>
            <w:r>
              <w:rPr>
                <w:rFonts w:ascii="Arial" w:cs="Arial" w:eastAsia="Arial" w:hAnsi="Arial"/>
                <w:sz w:val="22"/>
                <w:szCs w:val="22"/>
                <w:color w:val="010000"/>
              </w:rPr>
              <w:t>(a)</w:t>
            </w:r>
          </w:p>
        </w:tc>
        <w:tc>
          <w:tcPr>
            <w:tcW w:w="9140" w:type="dxa"/>
            <w:vAlign w:val="bottom"/>
          </w:tcPr>
          <w:p>
            <w:pPr>
              <w:ind w:left="1660"/>
              <w:spacing w:after="0"/>
              <w:rPr>
                <w:sz w:val="20"/>
                <w:szCs w:val="20"/>
                <w:color w:val="auto"/>
              </w:rPr>
            </w:pPr>
            <w:r>
              <w:rPr>
                <w:rFonts w:ascii="Arial" w:cs="Arial" w:eastAsia="Arial" w:hAnsi="Arial"/>
                <w:sz w:val="22"/>
                <w:szCs w:val="22"/>
                <w:color w:val="auto"/>
                <w:w w:val="93"/>
              </w:rPr>
              <w:t>To make and enforce such rules and regulations as it deems, in its sole discretion,</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necessary or proper for the efficient administration of the Plan;</w:t>
            </w:r>
          </w:p>
        </w:tc>
      </w:tr>
      <w:tr>
        <w:trPr>
          <w:trHeight w:val="428"/>
        </w:trPr>
        <w:tc>
          <w:tcPr>
            <w:tcW w:w="2280" w:type="dxa"/>
            <w:vAlign w:val="bottom"/>
          </w:tcPr>
          <w:p>
            <w:pPr>
              <w:ind w:left="1760"/>
              <w:spacing w:after="0"/>
              <w:rPr>
                <w:sz w:val="20"/>
                <w:szCs w:val="20"/>
                <w:color w:val="auto"/>
              </w:rPr>
            </w:pPr>
            <w:r>
              <w:rPr>
                <w:rFonts w:ascii="Arial" w:cs="Arial" w:eastAsia="Arial" w:hAnsi="Arial"/>
                <w:sz w:val="22"/>
                <w:szCs w:val="22"/>
                <w:color w:val="010000"/>
              </w:rPr>
              <w:t>(b)</w:t>
            </w:r>
          </w:p>
        </w:tc>
        <w:tc>
          <w:tcPr>
            <w:tcW w:w="9140" w:type="dxa"/>
            <w:vAlign w:val="bottom"/>
          </w:tcPr>
          <w:p>
            <w:pPr>
              <w:ind w:left="1680"/>
              <w:spacing w:after="0"/>
              <w:rPr>
                <w:sz w:val="20"/>
                <w:szCs w:val="20"/>
                <w:color w:val="auto"/>
              </w:rPr>
            </w:pPr>
            <w:r>
              <w:rPr>
                <w:rFonts w:ascii="Arial" w:cs="Arial" w:eastAsia="Arial" w:hAnsi="Arial"/>
                <w:sz w:val="22"/>
                <w:szCs w:val="22"/>
                <w:color w:val="auto"/>
                <w:w w:val="98"/>
              </w:rPr>
              <w:t>To decide all questions concerning the Plan and the eligibility of any person to</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participate in the Plan, in its sole discretion, subject to review by the Committee or its delegate.</w:t>
            </w:r>
          </w:p>
        </w:tc>
      </w:tr>
      <w:tr>
        <w:trPr>
          <w:trHeight w:val="459"/>
        </w:trPr>
        <w:tc>
          <w:tcPr>
            <w:tcW w:w="2280" w:type="dxa"/>
            <w:vAlign w:val="bottom"/>
          </w:tcPr>
          <w:p>
            <w:pPr>
              <w:ind w:left="1760"/>
              <w:spacing w:after="0"/>
              <w:rPr>
                <w:sz w:val="20"/>
                <w:szCs w:val="20"/>
                <w:color w:val="auto"/>
              </w:rPr>
            </w:pPr>
            <w:r>
              <w:rPr>
                <w:rFonts w:ascii="Arial" w:cs="Arial" w:eastAsia="Arial" w:hAnsi="Arial"/>
                <w:sz w:val="22"/>
                <w:szCs w:val="22"/>
                <w:color w:val="010000"/>
              </w:rPr>
              <w:t>(c)</w:t>
            </w:r>
          </w:p>
        </w:tc>
        <w:tc>
          <w:tcPr>
            <w:tcW w:w="9140" w:type="dxa"/>
            <w:vAlign w:val="bottom"/>
          </w:tcPr>
          <w:p>
            <w:pPr>
              <w:ind w:left="1660"/>
              <w:spacing w:after="0"/>
              <w:rPr>
                <w:sz w:val="20"/>
                <w:szCs w:val="20"/>
                <w:color w:val="auto"/>
              </w:rPr>
            </w:pPr>
            <w:r>
              <w:rPr>
                <w:rFonts w:ascii="Arial" w:cs="Arial" w:eastAsia="Arial" w:hAnsi="Arial"/>
                <w:sz w:val="22"/>
                <w:szCs w:val="22"/>
                <w:color w:val="auto"/>
              </w:rPr>
              <w:t>To administer the claims and review procedures specified in Section 10.3;</w:t>
            </w:r>
          </w:p>
        </w:tc>
      </w:tr>
      <w:tr>
        <w:trPr>
          <w:trHeight w:val="428"/>
        </w:trPr>
        <w:tc>
          <w:tcPr>
            <w:tcW w:w="2280" w:type="dxa"/>
            <w:vAlign w:val="bottom"/>
          </w:tcPr>
          <w:p>
            <w:pPr>
              <w:ind w:left="1760"/>
              <w:spacing w:after="0"/>
              <w:rPr>
                <w:sz w:val="20"/>
                <w:szCs w:val="20"/>
                <w:color w:val="auto"/>
              </w:rPr>
            </w:pPr>
            <w:r>
              <w:rPr>
                <w:rFonts w:ascii="Arial" w:cs="Arial" w:eastAsia="Arial" w:hAnsi="Arial"/>
                <w:sz w:val="22"/>
                <w:szCs w:val="22"/>
                <w:color w:val="010000"/>
              </w:rPr>
              <w:t>(d)</w:t>
            </w:r>
          </w:p>
        </w:tc>
        <w:tc>
          <w:tcPr>
            <w:tcW w:w="9140" w:type="dxa"/>
            <w:vAlign w:val="bottom"/>
          </w:tcPr>
          <w:p>
            <w:pPr>
              <w:ind w:left="1680"/>
              <w:spacing w:after="0"/>
              <w:rPr>
                <w:sz w:val="20"/>
                <w:szCs w:val="20"/>
                <w:color w:val="auto"/>
              </w:rPr>
            </w:pPr>
            <w:r>
              <w:rPr>
                <w:rFonts w:ascii="Arial" w:cs="Arial" w:eastAsia="Arial" w:hAnsi="Arial"/>
                <w:sz w:val="22"/>
                <w:szCs w:val="22"/>
                <w:color w:val="auto"/>
                <w:w w:val="92"/>
              </w:rPr>
              <w:t>To compute the amount of benefits which will be payable to any Participant, former</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Participant or Beneficiary in accordance with the provisions of the Plan in its discretion;</w:t>
            </w:r>
          </w:p>
        </w:tc>
      </w:tr>
      <w:tr>
        <w:trPr>
          <w:trHeight w:val="428"/>
        </w:trPr>
        <w:tc>
          <w:tcPr>
            <w:tcW w:w="2280" w:type="dxa"/>
            <w:vAlign w:val="bottom"/>
          </w:tcPr>
          <w:p>
            <w:pPr>
              <w:ind w:left="1760"/>
              <w:spacing w:after="0"/>
              <w:rPr>
                <w:sz w:val="20"/>
                <w:szCs w:val="20"/>
                <w:color w:val="auto"/>
              </w:rPr>
            </w:pPr>
            <w:r>
              <w:rPr>
                <w:rFonts w:ascii="Arial" w:cs="Arial" w:eastAsia="Arial" w:hAnsi="Arial"/>
                <w:sz w:val="22"/>
                <w:szCs w:val="22"/>
                <w:color w:val="010000"/>
              </w:rPr>
              <w:t>(e)</w:t>
            </w:r>
          </w:p>
        </w:tc>
        <w:tc>
          <w:tcPr>
            <w:tcW w:w="9140" w:type="dxa"/>
            <w:vAlign w:val="bottom"/>
          </w:tcPr>
          <w:p>
            <w:pPr>
              <w:ind w:left="1660"/>
              <w:spacing w:after="0"/>
              <w:rPr>
                <w:sz w:val="20"/>
                <w:szCs w:val="20"/>
                <w:color w:val="auto"/>
              </w:rPr>
            </w:pPr>
            <w:r>
              <w:rPr>
                <w:rFonts w:ascii="Arial" w:cs="Arial" w:eastAsia="Arial" w:hAnsi="Arial"/>
                <w:sz w:val="22"/>
                <w:szCs w:val="22"/>
                <w:color w:val="auto"/>
              </w:rPr>
              <w:t>To determine the person or persons to whom such benefits will be paid in its</w:t>
            </w:r>
          </w:p>
        </w:tc>
      </w:tr>
      <w:tr>
        <w:trPr>
          <w:trHeight w:val="275"/>
        </w:trPr>
        <w:tc>
          <w:tcPr>
            <w:tcW w:w="2280" w:type="dxa"/>
            <w:vAlign w:val="bottom"/>
          </w:tcPr>
          <w:p>
            <w:pPr>
              <w:spacing w:after="0"/>
              <w:rPr>
                <w:sz w:val="20"/>
                <w:szCs w:val="20"/>
                <w:color w:val="auto"/>
              </w:rPr>
            </w:pPr>
            <w:r>
              <w:rPr>
                <w:rFonts w:ascii="Arial" w:cs="Arial" w:eastAsia="Arial" w:hAnsi="Arial"/>
                <w:sz w:val="22"/>
                <w:szCs w:val="22"/>
                <w:color w:val="auto"/>
              </w:rPr>
              <w:t>discretion;</w:t>
            </w:r>
          </w:p>
        </w:tc>
        <w:tc>
          <w:tcPr>
            <w:tcW w:w="9140" w:type="dxa"/>
            <w:vAlign w:val="bottom"/>
          </w:tcPr>
          <w:p>
            <w:pPr>
              <w:spacing w:after="0"/>
              <w:rPr>
                <w:sz w:val="23"/>
                <w:szCs w:val="23"/>
                <w:color w:val="auto"/>
              </w:rPr>
            </w:pPr>
          </w:p>
        </w:tc>
      </w:tr>
      <w:tr>
        <w:trPr>
          <w:trHeight w:val="459"/>
        </w:trPr>
        <w:tc>
          <w:tcPr>
            <w:tcW w:w="2280" w:type="dxa"/>
            <w:vAlign w:val="bottom"/>
          </w:tcPr>
          <w:p>
            <w:pPr>
              <w:ind w:left="1760"/>
              <w:spacing w:after="0"/>
              <w:rPr>
                <w:sz w:val="20"/>
                <w:szCs w:val="20"/>
                <w:color w:val="auto"/>
              </w:rPr>
            </w:pPr>
            <w:r>
              <w:rPr>
                <w:rFonts w:ascii="Arial" w:cs="Arial" w:eastAsia="Arial" w:hAnsi="Arial"/>
                <w:sz w:val="22"/>
                <w:szCs w:val="22"/>
                <w:color w:val="010000"/>
              </w:rPr>
              <w:t>(f)</w:t>
            </w:r>
          </w:p>
        </w:tc>
        <w:tc>
          <w:tcPr>
            <w:tcW w:w="9140" w:type="dxa"/>
            <w:vAlign w:val="bottom"/>
          </w:tcPr>
          <w:p>
            <w:pPr>
              <w:ind w:left="1640"/>
              <w:spacing w:after="0"/>
              <w:rPr>
                <w:sz w:val="20"/>
                <w:szCs w:val="20"/>
                <w:color w:val="auto"/>
              </w:rPr>
            </w:pPr>
            <w:r>
              <w:rPr>
                <w:rFonts w:ascii="Arial" w:cs="Arial" w:eastAsia="Arial" w:hAnsi="Arial"/>
                <w:sz w:val="22"/>
                <w:szCs w:val="22"/>
                <w:color w:val="auto"/>
              </w:rPr>
              <w:t>To authorize the payment of benefits;</w:t>
            </w:r>
          </w:p>
        </w:tc>
      </w:tr>
      <w:tr>
        <w:trPr>
          <w:trHeight w:val="428"/>
        </w:trPr>
        <w:tc>
          <w:tcPr>
            <w:tcW w:w="2280" w:type="dxa"/>
            <w:vAlign w:val="bottom"/>
          </w:tcPr>
          <w:p>
            <w:pPr>
              <w:ind w:left="1760"/>
              <w:spacing w:after="0"/>
              <w:rPr>
                <w:sz w:val="20"/>
                <w:szCs w:val="20"/>
                <w:color w:val="auto"/>
              </w:rPr>
            </w:pPr>
            <w:r>
              <w:rPr>
                <w:rFonts w:ascii="Arial" w:cs="Arial" w:eastAsia="Arial" w:hAnsi="Arial"/>
                <w:sz w:val="22"/>
                <w:szCs w:val="22"/>
                <w:color w:val="010000"/>
              </w:rPr>
              <w:t>(g)</w:t>
            </w:r>
          </w:p>
        </w:tc>
        <w:tc>
          <w:tcPr>
            <w:tcW w:w="9140" w:type="dxa"/>
            <w:vAlign w:val="bottom"/>
          </w:tcPr>
          <w:p>
            <w:pPr>
              <w:ind w:left="1680"/>
              <w:spacing w:after="0"/>
              <w:rPr>
                <w:sz w:val="20"/>
                <w:szCs w:val="20"/>
                <w:color w:val="auto"/>
              </w:rPr>
            </w:pPr>
            <w:r>
              <w:rPr>
                <w:rFonts w:ascii="Arial" w:cs="Arial" w:eastAsia="Arial" w:hAnsi="Arial"/>
                <w:sz w:val="22"/>
                <w:szCs w:val="22"/>
                <w:color w:val="auto"/>
                <w:w w:val="95"/>
              </w:rPr>
              <w:t>To comply with any applicable reporting and disclosure requirements of Part 1 of</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Subtitle B of Title 1 of ERISA;</w:t>
            </w:r>
          </w:p>
        </w:tc>
      </w:tr>
      <w:tr>
        <w:trPr>
          <w:trHeight w:val="428"/>
        </w:trPr>
        <w:tc>
          <w:tcPr>
            <w:tcW w:w="2280" w:type="dxa"/>
            <w:vAlign w:val="bottom"/>
          </w:tcPr>
          <w:p>
            <w:pPr>
              <w:ind w:left="1760"/>
              <w:spacing w:after="0"/>
              <w:rPr>
                <w:sz w:val="20"/>
                <w:szCs w:val="20"/>
                <w:color w:val="auto"/>
              </w:rPr>
            </w:pPr>
            <w:r>
              <w:rPr>
                <w:rFonts w:ascii="Arial" w:cs="Arial" w:eastAsia="Arial" w:hAnsi="Arial"/>
                <w:sz w:val="22"/>
                <w:szCs w:val="22"/>
                <w:color w:val="010000"/>
              </w:rPr>
              <w:t>(h)</w:t>
            </w:r>
          </w:p>
        </w:tc>
        <w:tc>
          <w:tcPr>
            <w:tcW w:w="9140" w:type="dxa"/>
            <w:vAlign w:val="bottom"/>
          </w:tcPr>
          <w:p>
            <w:pPr>
              <w:ind w:left="1680"/>
              <w:spacing w:after="0"/>
              <w:rPr>
                <w:sz w:val="20"/>
                <w:szCs w:val="20"/>
                <w:color w:val="auto"/>
              </w:rPr>
            </w:pPr>
            <w:r>
              <w:rPr>
                <w:rFonts w:ascii="Arial" w:cs="Arial" w:eastAsia="Arial" w:hAnsi="Arial"/>
                <w:sz w:val="22"/>
                <w:szCs w:val="22"/>
                <w:color w:val="auto"/>
                <w:w w:val="89"/>
              </w:rPr>
              <w:t>To appoint such agents, counsel, accountants, and consultants as may be required to</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assist in administering the Plan;</w:t>
            </w:r>
          </w:p>
        </w:tc>
      </w:tr>
      <w:tr>
        <w:trPr>
          <w:trHeight w:val="428"/>
        </w:trPr>
        <w:tc>
          <w:tcPr>
            <w:tcW w:w="2280" w:type="dxa"/>
            <w:vAlign w:val="bottom"/>
          </w:tcPr>
          <w:p>
            <w:pPr>
              <w:ind w:left="1760"/>
              <w:spacing w:after="0"/>
              <w:rPr>
                <w:sz w:val="20"/>
                <w:szCs w:val="20"/>
                <w:color w:val="auto"/>
              </w:rPr>
            </w:pPr>
            <w:r>
              <w:rPr>
                <w:rFonts w:ascii="Arial" w:cs="Arial" w:eastAsia="Arial" w:hAnsi="Arial"/>
                <w:sz w:val="22"/>
                <w:szCs w:val="22"/>
                <w:color w:val="010000"/>
              </w:rPr>
              <w:t>(i)</w:t>
            </w:r>
          </w:p>
        </w:tc>
        <w:tc>
          <w:tcPr>
            <w:tcW w:w="9140" w:type="dxa"/>
            <w:vAlign w:val="bottom"/>
          </w:tcPr>
          <w:p>
            <w:pPr>
              <w:ind w:left="1640"/>
              <w:spacing w:after="0"/>
              <w:rPr>
                <w:sz w:val="20"/>
                <w:szCs w:val="20"/>
                <w:color w:val="auto"/>
              </w:rPr>
            </w:pPr>
            <w:r>
              <w:rPr>
                <w:rFonts w:ascii="Arial" w:cs="Arial" w:eastAsia="Arial" w:hAnsi="Arial"/>
                <w:sz w:val="22"/>
                <w:szCs w:val="22"/>
                <w:color w:val="auto"/>
                <w:w w:val="90"/>
              </w:rPr>
              <w:t>To allocate and delegate its responsibilities in its discretion, including the formation of</w:t>
            </w:r>
          </w:p>
        </w:tc>
      </w:tr>
      <w:tr>
        <w:trPr>
          <w:trHeight w:val="275"/>
        </w:trPr>
        <w:tc>
          <w:tcPr>
            <w:tcW w:w="11420" w:type="dxa"/>
            <w:vAlign w:val="bottom"/>
            <w:gridSpan w:val="2"/>
          </w:tcPr>
          <w:p>
            <w:pPr>
              <w:spacing w:after="0"/>
              <w:rPr>
                <w:sz w:val="20"/>
                <w:szCs w:val="20"/>
                <w:color w:val="auto"/>
              </w:rPr>
            </w:pPr>
            <w:r>
              <w:rPr>
                <w:rFonts w:ascii="Arial" w:cs="Arial" w:eastAsia="Arial" w:hAnsi="Arial"/>
                <w:sz w:val="22"/>
                <w:szCs w:val="22"/>
                <w:color w:val="auto"/>
              </w:rPr>
              <w:t>any administrative sub-committee to administer the Plan.</w:t>
            </w:r>
          </w:p>
        </w:tc>
      </w:tr>
      <w:tr>
        <w:trPr>
          <w:trHeight w:val="446"/>
        </w:trPr>
        <w:tc>
          <w:tcPr>
            <w:tcW w:w="2280" w:type="dxa"/>
            <w:vAlign w:val="bottom"/>
          </w:tcPr>
          <w:p>
            <w:pPr>
              <w:ind w:left="880"/>
              <w:spacing w:after="0"/>
              <w:rPr>
                <w:sz w:val="20"/>
                <w:szCs w:val="20"/>
                <w:color w:val="auto"/>
              </w:rPr>
            </w:pPr>
            <w:r>
              <w:rPr>
                <w:rFonts w:ascii="Arial" w:cs="Arial" w:eastAsia="Arial" w:hAnsi="Arial"/>
                <w:sz w:val="22"/>
                <w:szCs w:val="22"/>
                <w:b w:val="1"/>
                <w:bCs w:val="1"/>
                <w:color w:val="010000"/>
              </w:rPr>
              <w:t>10.2</w:t>
            </w:r>
          </w:p>
        </w:tc>
        <w:tc>
          <w:tcPr>
            <w:tcW w:w="9140" w:type="dxa"/>
            <w:vAlign w:val="bottom"/>
          </w:tcPr>
          <w:p>
            <w:pPr>
              <w:ind w:left="280"/>
              <w:spacing w:after="0"/>
              <w:rPr>
                <w:sz w:val="20"/>
                <w:szCs w:val="20"/>
                <w:color w:val="auto"/>
              </w:rPr>
            </w:pPr>
            <w:r>
              <w:rPr>
                <w:rFonts w:ascii="Arial" w:cs="Arial" w:eastAsia="Arial" w:hAnsi="Arial"/>
                <w:sz w:val="22"/>
                <w:szCs w:val="22"/>
                <w:b w:val="1"/>
                <w:bCs w:val="1"/>
                <w:color w:val="auto"/>
                <w:w w:val="89"/>
              </w:rPr>
              <w:t>Powers and Responsibilities of the Committee</w:t>
            </w:r>
            <w:r>
              <w:rPr>
                <w:rFonts w:ascii="Arial" w:cs="Arial" w:eastAsia="Arial" w:hAnsi="Arial"/>
                <w:sz w:val="22"/>
                <w:szCs w:val="22"/>
                <w:color w:val="auto"/>
                <w:w w:val="89"/>
              </w:rPr>
              <w:t>. The Committee or its delegate shall be responsible</w:t>
            </w:r>
          </w:p>
        </w:tc>
      </w:tr>
    </w:tbl>
    <w:p>
      <w:pPr>
        <w:jc w:val="both"/>
        <w:ind w:firstLine="8"/>
        <w:spacing w:after="0" w:line="233" w:lineRule="auto"/>
        <w:tabs>
          <w:tab w:leader="none" w:pos="316" w:val="left"/>
        </w:tabs>
        <w:numPr>
          <w:ilvl w:val="0"/>
          <w:numId w:val="98"/>
        </w:numPr>
        <w:rPr>
          <w:rFonts w:ascii="Arial" w:cs="Arial" w:eastAsia="Arial" w:hAnsi="Arial"/>
          <w:sz w:val="22"/>
          <w:szCs w:val="22"/>
          <w:color w:val="auto"/>
        </w:rPr>
      </w:pPr>
      <w:r>
        <w:rPr>
          <w:rFonts w:ascii="Arial" w:cs="Arial" w:eastAsia="Arial" w:hAnsi="Arial"/>
          <w:sz w:val="22"/>
          <w:szCs w:val="22"/>
          <w:color w:val="auto"/>
        </w:rPr>
        <w:t>for determining the interest rate to credit to Participant’s Accounts pursuant to Section 6.3, and (b) for the review of denied claims pursuant to Section 10.3(b) in its sole discretion. In the course of reviewing a denied claim, the Committee or its delegate shall have the power to interpret the Plan, in its sole discretion, and its interpretation thereof shall be final, conclusive and binding on all persons claiming benefits under the Plan.</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281"/>
        </w:trPr>
        <w:tc>
          <w:tcPr>
            <w:tcW w:w="1400" w:type="dxa"/>
            <w:vAlign w:val="bottom"/>
          </w:tcPr>
          <w:p>
            <w:pPr>
              <w:jc w:val="right"/>
              <w:ind w:right="912"/>
              <w:spacing w:after="0"/>
              <w:rPr>
                <w:sz w:val="20"/>
                <w:szCs w:val="20"/>
                <w:color w:val="auto"/>
              </w:rPr>
            </w:pPr>
            <w:r>
              <w:rPr>
                <w:rFonts w:ascii="Arial" w:cs="Arial" w:eastAsia="Arial" w:hAnsi="Arial"/>
                <w:sz w:val="22"/>
                <w:szCs w:val="22"/>
                <w:b w:val="1"/>
                <w:bCs w:val="1"/>
                <w:color w:val="010000"/>
                <w:w w:val="83"/>
              </w:rPr>
              <w:t>10.3</w:t>
            </w:r>
          </w:p>
        </w:tc>
        <w:tc>
          <w:tcPr>
            <w:tcW w:w="9140" w:type="dxa"/>
            <w:vAlign w:val="bottom"/>
            <w:gridSpan w:val="3"/>
          </w:tcPr>
          <w:p>
            <w:pPr>
              <w:ind w:left="280"/>
              <w:spacing w:after="0"/>
              <w:rPr>
                <w:sz w:val="20"/>
                <w:szCs w:val="20"/>
                <w:color w:val="auto"/>
              </w:rPr>
            </w:pPr>
            <w:r>
              <w:rPr>
                <w:rFonts w:ascii="Arial" w:cs="Arial" w:eastAsia="Arial" w:hAnsi="Arial"/>
                <w:sz w:val="22"/>
                <w:szCs w:val="22"/>
                <w:b w:val="1"/>
                <w:bCs w:val="1"/>
                <w:color w:val="auto"/>
              </w:rPr>
              <w:t>Claims and Review Procedures</w:t>
            </w:r>
            <w:r>
              <w:rPr>
                <w:rFonts w:ascii="Arial" w:cs="Arial" w:eastAsia="Arial" w:hAnsi="Arial"/>
                <w:sz w:val="22"/>
                <w:szCs w:val="22"/>
                <w:color w:val="auto"/>
              </w:rPr>
              <w:t>.</w:t>
            </w:r>
          </w:p>
        </w:tc>
      </w:tr>
      <w:tr>
        <w:trPr>
          <w:trHeight w:val="409"/>
        </w:trPr>
        <w:tc>
          <w:tcPr>
            <w:tcW w:w="1400" w:type="dxa"/>
            <w:vAlign w:val="bottom"/>
          </w:tcPr>
          <w:p>
            <w:pPr>
              <w:jc w:val="right"/>
              <w:ind w:right="172"/>
              <w:spacing w:after="0"/>
              <w:rPr>
                <w:sz w:val="20"/>
                <w:szCs w:val="20"/>
                <w:color w:val="auto"/>
              </w:rPr>
            </w:pPr>
            <w:r>
              <w:rPr>
                <w:rFonts w:ascii="Arial" w:cs="Arial" w:eastAsia="Arial" w:hAnsi="Arial"/>
                <w:sz w:val="22"/>
                <w:szCs w:val="22"/>
                <w:color w:val="010000"/>
              </w:rPr>
              <w:t>(a)</w:t>
            </w:r>
          </w:p>
        </w:tc>
        <w:tc>
          <w:tcPr>
            <w:tcW w:w="1660" w:type="dxa"/>
            <w:vAlign w:val="bottom"/>
          </w:tcPr>
          <w:p>
            <w:pPr>
              <w:spacing w:after="0"/>
              <w:rPr>
                <w:sz w:val="24"/>
                <w:szCs w:val="24"/>
                <w:color w:val="auto"/>
              </w:rPr>
            </w:pPr>
          </w:p>
        </w:tc>
        <w:tc>
          <w:tcPr>
            <w:tcW w:w="7480" w:type="dxa"/>
            <w:vAlign w:val="bottom"/>
            <w:gridSpan w:val="2"/>
          </w:tcPr>
          <w:p>
            <w:pPr>
              <w:spacing w:after="0"/>
              <w:rPr>
                <w:sz w:val="20"/>
                <w:szCs w:val="20"/>
                <w:color w:val="auto"/>
              </w:rPr>
            </w:pPr>
            <w:r>
              <w:rPr>
                <w:rFonts w:ascii="Arial" w:cs="Arial" w:eastAsia="Arial" w:hAnsi="Arial"/>
                <w:sz w:val="22"/>
                <w:szCs w:val="22"/>
                <w:b w:val="1"/>
                <w:bCs w:val="1"/>
                <w:color w:val="auto"/>
                <w:w w:val="92"/>
              </w:rPr>
              <w:t>Claims Procedure</w:t>
            </w:r>
            <w:r>
              <w:rPr>
                <w:rFonts w:ascii="Arial" w:cs="Arial" w:eastAsia="Arial" w:hAnsi="Arial"/>
                <w:sz w:val="22"/>
                <w:szCs w:val="22"/>
                <w:color w:val="auto"/>
                <w:w w:val="92"/>
              </w:rPr>
              <w:t>. If any person believes he is being denied any rights or benefits</w:t>
            </w:r>
          </w:p>
        </w:tc>
      </w:tr>
      <w:tr>
        <w:trPr>
          <w:trHeight w:val="20"/>
        </w:trPr>
        <w:tc>
          <w:tcPr>
            <w:tcW w:w="1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under the Plan, such person may file a claim in writing with the Company. If any such claim is wholly or partially denied, the Company or its delegate will notify such person of its decision in writing. Such notification will contain (i) specific reasons for the denial, (ii) specific reference to pertinent Plan provisions, (iii) a description of any additional material or information necessary for such person to perfect such claim and an explanation of why such material or information is necessary, and (iv) information as to the steps to be taken if the person wishes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04" w:name="page205"/>
    <w:bookmarkEnd w:id="204"/>
    <w:p>
      <w:pPr>
        <w:jc w:val="both"/>
        <w:spacing w:after="0" w:line="282" w:lineRule="auto"/>
        <w:rPr>
          <w:sz w:val="20"/>
          <w:szCs w:val="20"/>
          <w:color w:val="auto"/>
        </w:rPr>
      </w:pPr>
      <w:r>
        <w:rPr>
          <w:rFonts w:ascii="Arial" w:cs="Arial" w:eastAsia="Arial" w:hAnsi="Arial"/>
          <w:sz w:val="19"/>
          <w:szCs w:val="19"/>
          <w:color w:val="auto"/>
        </w:rPr>
        <w:t>submit a request for review, including a statement of the person’s right to bring a civil action under Section 502(a) of ERISA following a denial on review. Such notification will be given within 90 days after the claim is received by the Company (or within 180 days, if special circumstances require an extension of time for processing the claim, and if written notice of such extension and circumstances is given to such person within the initial 90 day period). If such notification is not given within such period, the claim will be considered denied as of the last day of such period and such person may request a review of his claim.</w:t>
      </w:r>
    </w:p>
    <w:p>
      <w:pPr>
        <w:spacing w:after="0" w:line="142"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color w:val="010000"/>
        </w:rPr>
        <w:t xml:space="preserve">(b) </w:t>
      </w:r>
      <w:r>
        <w:rPr>
          <w:rFonts w:ascii="Arial" w:cs="Arial" w:eastAsia="Arial" w:hAnsi="Arial"/>
          <w:sz w:val="19"/>
          <w:szCs w:val="19"/>
          <w:b w:val="1"/>
          <w:bCs w:val="1"/>
          <w:u w:val="single" w:color="auto"/>
          <w:color w:val="000000"/>
        </w:rPr>
        <w:t>Disability Claims Procedure</w:t>
      </w:r>
      <w:r>
        <w:rPr>
          <w:rFonts w:ascii="Arial" w:cs="Arial" w:eastAsia="Arial" w:hAnsi="Arial"/>
          <w:sz w:val="19"/>
          <w:szCs w:val="19"/>
          <w:color w:val="000000"/>
        </w:rPr>
        <w:t>. Notwithstanding Section 10.3(a) above, the following</w:t>
      </w:r>
      <w:r>
        <w:rPr>
          <w:rFonts w:ascii="Arial" w:cs="Arial" w:eastAsia="Arial" w:hAnsi="Arial"/>
          <w:sz w:val="19"/>
          <w:szCs w:val="19"/>
          <w:color w:val="010000"/>
        </w:rPr>
        <w:t xml:space="preserve"> </w:t>
      </w:r>
      <w:r>
        <w:rPr>
          <w:rFonts w:ascii="Arial" w:cs="Arial" w:eastAsia="Arial" w:hAnsi="Arial"/>
          <w:sz w:val="19"/>
          <w:szCs w:val="19"/>
          <w:color w:val="000000"/>
        </w:rPr>
        <w:t>will apply with regard to claims for a benefit which require a determination of Disability (a “Disability Claim”), other than those Disability Claims determined under the Plan solely by reference to whether the person is entitled to disability-based benefits under the Social Security Act or under a long term disability plan of the Company. The Company will notify the person of the Company’s determination within a reasonable period of time, but in any event within 45 days after receipt of the Disability Claim by the Company. The Company may extend the period for making the benefit determination by 30 days if it determines that such an extension is necessary due to matters beyond the control of the Plan and if it notifies the person, prior to the expiration of the initial 45 day period, of circumstances requiring the extension of time and the date by which the Company expects to render a decision. The Company may further extend the period for making the benefit determination by 30 days if it determines that such an extension is necessary due to matters beyond the control of the Plan and if it notifies the person, prior to the expiration of the first 30 day extension period, of the circumstances requiring the extension of time and the date by which the Company expects to render a decision. Any notice of extension under this 10.3(b) shall include the standards on which entitlement to a disability-based benefit is based, the unresolved issues that prevent a decision on the Disability Claim, and the additional information needed to resolve those issues for which the person will be afforded at least 45 days within which to provide the specified information. Any denial related to a Disability Claim shall be written in a manner calculated to be understood by the person and shall include the following: (i) the specific reason or reasons for any denial, (ii) the specific Plan provisions on which any denial is based, (iii) a description of any further material or information which is necessary for the person to perfect his or her claim and an explanation of why the material or information is needed, (iv) a statement of the person’s right to seek review of the denial, including a statement of the person’s right to bring a civil action under Section 502(a) of ERISA, (v) a discussion of the denial, including an explanation of the basis for disagreeing with or not the following: (a) the views presented by the person to the Plan of health care professionals treating the person and vocational professionals who evaluated the person, (b) the views of medical or vocational experts whose advice was obtained on behalf of the Plan in connection with a person’s claim denial, without regard to whether the advice was relied upon in making the benefit determination, and (c) a disability determination regarding the person presented by the person to the Plan made by the Social Security Administration, (vi) if the denial is based on a medical necessity or experimental treatment or similar exclusion or limit, either an explanation of the scientific or clinical judgment for the determination, applying the terms of the Plan to the person’s medical circumstances, or a statement that such explanation will be provided free of charge upon request, (vii) either the specific internal rules, guidelines, protocols, standards or other similar criteria of the Plan relied upon in making the denial or a statement that such rules, guidelines, protocols, standards or other similar criteria do not exist, and (viii) a statement that the person is entitled to receive, upon request and free of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5" w:name="page206"/>
    <w:bookmarkEnd w:id="205"/>
    <w:p>
      <w:pPr>
        <w:spacing w:after="0"/>
        <w:rPr>
          <w:sz w:val="20"/>
          <w:szCs w:val="20"/>
          <w:color w:val="auto"/>
        </w:rPr>
      </w:pPr>
      <w:r>
        <w:rPr>
          <w:rFonts w:ascii="Arial" w:cs="Arial" w:eastAsia="Arial" w:hAnsi="Arial"/>
          <w:sz w:val="19"/>
          <w:szCs w:val="19"/>
          <w:color w:val="auto"/>
        </w:rPr>
        <w:t>charge, reasonable access to, and copies of, all documents, records, and other information relevant to the person’s Disability Claim.</w:t>
      </w:r>
    </w:p>
    <w:p>
      <w:pPr>
        <w:spacing w:after="0" w:line="235"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010000"/>
        </w:rPr>
        <w:t xml:space="preserve">(c) </w:t>
      </w:r>
      <w:r>
        <w:rPr>
          <w:rFonts w:ascii="Arial" w:cs="Arial" w:eastAsia="Arial" w:hAnsi="Arial"/>
          <w:sz w:val="21"/>
          <w:szCs w:val="21"/>
          <w:b w:val="1"/>
          <w:bCs w:val="1"/>
          <w:u w:val="single" w:color="auto"/>
          <w:color w:val="000000"/>
        </w:rPr>
        <w:t>Review Procedure</w:t>
      </w:r>
      <w:r>
        <w:rPr>
          <w:rFonts w:ascii="Arial" w:cs="Arial" w:eastAsia="Arial" w:hAnsi="Arial"/>
          <w:sz w:val="21"/>
          <w:szCs w:val="21"/>
          <w:color w:val="000000"/>
        </w:rPr>
        <w:t>. Within 60 days after the date on which a person receives a</w:t>
      </w:r>
      <w:r>
        <w:rPr>
          <w:rFonts w:ascii="Arial" w:cs="Arial" w:eastAsia="Arial" w:hAnsi="Arial"/>
          <w:sz w:val="21"/>
          <w:szCs w:val="21"/>
          <w:color w:val="010000"/>
        </w:rPr>
        <w:t xml:space="preserve"> </w:t>
      </w:r>
      <w:r>
        <w:rPr>
          <w:rFonts w:ascii="Arial" w:cs="Arial" w:eastAsia="Arial" w:hAnsi="Arial"/>
          <w:sz w:val="21"/>
          <w:szCs w:val="21"/>
          <w:color w:val="000000"/>
        </w:rPr>
        <w:t>written notification of denial of claim (or, if written notification is not provided, within 60 days of the date denial is considered to have occurred), such person (or his duly authorized representative) may (i) file a written request with the Company for a review of his denied claim and of pertinent documents and (ii) submit written issues and comments to the Company. The Company will provide a review that takes into account all comments, documents, records and other information submitted by the person without regard to whether such information was submitted or considered in the initial benefit determination. The decision on review will be made within 60 days after the request for review is received by the Company (or within 120 days, if special circumstances require an extension of time for processing the request, such as an election by the Company or its delegate to hold a hearing, and if written notice of such extension and circumstances is given to such person within the initial 60 day period). If the decision on review is not made within such period, the claim will be considered denied. The Company or its delegate will notify such person of its decision in writing. Such notification will be written in a manner calculated to be understood by such person and will contain (i) the specific reason or reasons for any denial, (ii) the specific Plan provisions on which any denial is based, (iii) a statement that the person is entitled to receive, upon request and free of charge, reasonable access to, and copies of, all documents , records, and other information relevant to the person’s claim for benefits, and (iv) a statement of the person’s right to bring a civil action under Section 502(a) of ERISA.</w:t>
      </w:r>
    </w:p>
    <w:p>
      <w:pPr>
        <w:spacing w:after="0" w:line="180"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color w:val="010000"/>
        </w:rPr>
        <w:t>(d)</w:t>
      </w:r>
      <w:r>
        <w:rPr>
          <w:sz w:val="20"/>
          <w:szCs w:val="20"/>
          <w:color w:val="auto"/>
        </w:rPr>
        <w:tab/>
      </w:r>
      <w:r>
        <w:rPr>
          <w:rFonts w:ascii="Arial" w:cs="Arial" w:eastAsia="Arial" w:hAnsi="Arial"/>
          <w:sz w:val="19"/>
          <w:szCs w:val="19"/>
          <w:b w:val="1"/>
          <w:bCs w:val="1"/>
          <w:u w:val="single" w:color="auto"/>
          <w:color w:val="auto"/>
        </w:rPr>
        <w:t>Review Procedure for Disability Claim Denial</w:t>
      </w:r>
      <w:r>
        <w:rPr>
          <w:rFonts w:ascii="Arial" w:cs="Arial" w:eastAsia="Arial" w:hAnsi="Arial"/>
          <w:sz w:val="19"/>
          <w:szCs w:val="19"/>
          <w:color w:val="auto"/>
        </w:rPr>
        <w:t>.  Notwithstanding Section 10.3(c)</w:t>
      </w:r>
    </w:p>
    <w:p>
      <w:pPr>
        <w:spacing w:after="0" w:line="4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above, the following will apply with regard to appeals of Disability Claims, other than those Disability Claims determined under the Plan solely by reference to whether the person is entitled to disability based benefits under the Social Security Act or under a long term disability plan of the Company. An appeal of a Disability Claim must be brought within 180 days after receipt of the notice of the claim denial. Within 60 days after the Company receives a properly filed request for review, the Company shall conduct such review and advise the person in writing of its decision on review, unless special circumstances require an extension of time for conducting the review. If an extension of time for conducting the review is required, the Company shall provide the person with written notice of the extension before the expiration of the initial 60-day period, specifying the circumstances requiring an extension and the date by which such review shall be completed (which date shall not be later than 120 days after the date on which the Company received the request for review). In such a review, the Company (i) will not afford deference to the initial determination made by the Company and will designate an individual to conduct the review process who is neither the individual who made the denial that is the subject of the appeal nor the subordinate of such individual; (ii) in the case of an appeal of any denial that is based in whole or in part on a medical judgment, will consult with a health care professional who has appropriate training and expertise in the field of medicine involved in the medical judgment, and who was neither consulted in connection with the denial that is the subject of the appeal, nor the subordinate of any such individual; (iii) will identify any medical or vocational experts whose advice was obtained on behalf of the Plan in connection with a person’s claim denial, without regard as to whether the advice was relied upon in making the benefit determination; and (iv) will provide the person, free of charge, with (a) any new or additional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6" w:name="page207"/>
    <w:bookmarkEnd w:id="206"/>
    <w:p>
      <w:pPr>
        <w:jc w:val="both"/>
        <w:spacing w:after="0" w:line="270" w:lineRule="auto"/>
        <w:rPr>
          <w:sz w:val="20"/>
          <w:szCs w:val="20"/>
          <w:color w:val="auto"/>
        </w:rPr>
      </w:pPr>
      <w:r>
        <w:rPr>
          <w:rFonts w:ascii="Arial" w:cs="Arial" w:eastAsia="Arial" w:hAnsi="Arial"/>
          <w:sz w:val="19"/>
          <w:szCs w:val="19"/>
          <w:color w:val="auto"/>
        </w:rPr>
        <w:t>evidence considered, relied upon, or generated by the Plan in connection with the Disability Claim and (b) the rationale for the determination on review. Such evidence and rationale shall be provided as soon as possible and sufficiently in advance of the date on which the written notice of the denial is required to be provided to give the person a reasonable opportunity to respond prior to that date. Any denial related to a Disability Claim shall be written in a manner calculated to be understood by the person and shall include the following: (i) the specific reason or reasons for any denial, (ii) the specific Plan provisions on which any denial is based, (iii) a statement that the person is entitled to receive, upon request and free of charge, reasonable access to, and copies of, all documents , records, and other information relevant to the person’s claim for benefits, (iv) a statement of the person’s right to bring a civil action under Section 502(a) of ERISA, (v) a discussion of the denial, including an explanation of the basis for disagreeing with or not the following: (a) the views presented by the person to the Plan of health care professionals treating the person and vocational professionals who evaluated the person, (b) the views of medical or vocational experts whose advice was obtained on behalf of the Plan in connection with a person’s claim denial, without regard to whether the advice was relied upon in making the benefit determination, and (c) a disability determination regarding the person presented by the person to the Plan made by the Social Security Administration, (vi) if the denial is based on a medical necessity or experimental treatment or similar exclusion or limit, either an explanation of the scientific or clinical judgment for the determination, applying the terms of the Plan to the person’s medical circumstances, or a statement that such explanation will be provided free of charge upon request, and (vii) either the specific internal rules, guidelines, protocols, standards or other similar criteria of the Plan relied upon in making the denial or a statement that such rules, guidelines, protocols, standards or other similar criteria do not exist.</w:t>
      </w:r>
    </w:p>
    <w:p>
      <w:pPr>
        <w:spacing w:after="0" w:line="164"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9"/>
          <w:szCs w:val="19"/>
          <w:color w:val="010000"/>
        </w:rPr>
        <w:t>(e)</w:t>
      </w:r>
      <w:r>
        <w:rPr>
          <w:sz w:val="20"/>
          <w:szCs w:val="20"/>
          <w:color w:val="auto"/>
        </w:rPr>
        <w:tab/>
      </w:r>
      <w:r>
        <w:rPr>
          <w:rFonts w:ascii="Arial" w:cs="Arial" w:eastAsia="Arial" w:hAnsi="Arial"/>
          <w:sz w:val="19"/>
          <w:szCs w:val="19"/>
          <w:b w:val="1"/>
          <w:bCs w:val="1"/>
          <w:u w:val="single" w:color="auto"/>
          <w:color w:val="auto"/>
        </w:rPr>
        <w:t>Exhaustion of Claims and Review Procedures</w:t>
      </w:r>
      <w:r>
        <w:rPr>
          <w:rFonts w:ascii="Arial" w:cs="Arial" w:eastAsia="Arial" w:hAnsi="Arial"/>
          <w:sz w:val="19"/>
          <w:szCs w:val="19"/>
          <w:color w:val="auto"/>
        </w:rPr>
        <w:t>. Following the exhaustion of the</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claims procedures set forth herein and in the event of subsequent civil action, the person shall be prohibited from presenting any evidence not considered by or presented to the Company in accordance with the claims procedures hereunder. No cause of action may be brought by a person who has received a claim denial later than two years following the date of such claim denial.</w:t>
      </w:r>
    </w:p>
    <w:p>
      <w:pPr>
        <w:spacing w:after="0" w:line="138"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010000"/>
        </w:rPr>
        <w:t xml:space="preserve">10.4 </w:t>
      </w:r>
      <w:r>
        <w:rPr>
          <w:rFonts w:ascii="Arial" w:cs="Arial" w:eastAsia="Arial" w:hAnsi="Arial"/>
          <w:sz w:val="22"/>
          <w:szCs w:val="22"/>
          <w:b w:val="1"/>
          <w:bCs w:val="1"/>
          <w:color w:val="000000"/>
        </w:rPr>
        <w:t>Plan Administrative Costs</w:t>
      </w:r>
      <w:r>
        <w:rPr>
          <w:rFonts w:ascii="Arial" w:cs="Arial" w:eastAsia="Arial" w:hAnsi="Arial"/>
          <w:sz w:val="22"/>
          <w:szCs w:val="22"/>
          <w:color w:val="000000"/>
        </w:rPr>
        <w:t>. All reasonable costs and expenses (including legal, accounting, and</w:t>
      </w:r>
      <w:r>
        <w:rPr>
          <w:rFonts w:ascii="Arial" w:cs="Arial" w:eastAsia="Arial" w:hAnsi="Arial"/>
          <w:sz w:val="22"/>
          <w:szCs w:val="22"/>
          <w:b w:val="1"/>
          <w:bCs w:val="1"/>
          <w:color w:val="010000"/>
        </w:rPr>
        <w:t xml:space="preserve"> </w:t>
      </w:r>
      <w:r>
        <w:rPr>
          <w:rFonts w:ascii="Arial" w:cs="Arial" w:eastAsia="Arial" w:hAnsi="Arial"/>
          <w:sz w:val="22"/>
          <w:szCs w:val="22"/>
          <w:color w:val="000000"/>
        </w:rPr>
        <w:t>employee communication fees) incurred by the Employer or Employer in administering the Plan shall be paid by the Plan, to the extent not paid by the Employer.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7" w:name="page208"/>
    <w:bookmarkEnd w:id="207"/>
    <w:tbl>
      <w:tblPr>
        <w:tblLayout w:type="fixed"/>
        <w:tblInd w:w="880" w:type="dxa"/>
        <w:tblCellMar>
          <w:top w:w="0" w:type="dxa"/>
          <w:left w:w="0" w:type="dxa"/>
          <w:bottom w:w="0" w:type="dxa"/>
          <w:right w:w="0" w:type="dxa"/>
        </w:tblCellMar>
      </w:tblPr>
      <w:tr>
        <w:trPr>
          <w:trHeight w:val="281"/>
        </w:trPr>
        <w:tc>
          <w:tcPr>
            <w:tcW w:w="1020" w:type="dxa"/>
            <w:vAlign w:val="bottom"/>
          </w:tcPr>
          <w:p>
            <w:pPr>
              <w:spacing w:after="0"/>
              <w:rPr>
                <w:sz w:val="24"/>
                <w:szCs w:val="24"/>
                <w:color w:val="auto"/>
              </w:rPr>
            </w:pPr>
          </w:p>
        </w:tc>
        <w:tc>
          <w:tcPr>
            <w:tcW w:w="9520" w:type="dxa"/>
            <w:vAlign w:val="bottom"/>
          </w:tcPr>
          <w:p>
            <w:pPr>
              <w:ind w:left="2160"/>
              <w:spacing w:after="0"/>
              <w:rPr>
                <w:sz w:val="20"/>
                <w:szCs w:val="20"/>
                <w:color w:val="auto"/>
              </w:rPr>
            </w:pPr>
            <w:r>
              <w:rPr>
                <w:rFonts w:ascii="Arial" w:cs="Arial" w:eastAsia="Arial" w:hAnsi="Arial"/>
                <w:sz w:val="22"/>
                <w:szCs w:val="22"/>
                <w:b w:val="1"/>
                <w:bCs w:val="1"/>
                <w:color w:val="010000"/>
              </w:rPr>
              <w:t xml:space="preserve">ARTICLE 11. </w:t>
            </w:r>
            <w:r>
              <w:rPr>
                <w:rFonts w:ascii="Arial" w:cs="Arial" w:eastAsia="Arial" w:hAnsi="Arial"/>
                <w:sz w:val="22"/>
                <w:szCs w:val="22"/>
                <w:b w:val="1"/>
                <w:bCs w:val="1"/>
                <w:color w:val="000000"/>
              </w:rPr>
              <w:t>MISCELLANEOUS</w:t>
            </w:r>
          </w:p>
        </w:tc>
      </w:tr>
      <w:tr>
        <w:trPr>
          <w:trHeight w:val="446"/>
        </w:trPr>
        <w:tc>
          <w:tcPr>
            <w:tcW w:w="1020" w:type="dxa"/>
            <w:vAlign w:val="bottom"/>
          </w:tcPr>
          <w:p>
            <w:pPr>
              <w:jc w:val="right"/>
              <w:ind w:right="532"/>
              <w:spacing w:after="0"/>
              <w:rPr>
                <w:sz w:val="20"/>
                <w:szCs w:val="20"/>
                <w:color w:val="auto"/>
              </w:rPr>
            </w:pPr>
            <w:r>
              <w:rPr>
                <w:rFonts w:ascii="Arial" w:cs="Arial" w:eastAsia="Arial" w:hAnsi="Arial"/>
                <w:sz w:val="22"/>
                <w:szCs w:val="22"/>
                <w:b w:val="1"/>
                <w:bCs w:val="1"/>
                <w:color w:val="010000"/>
                <w:w w:val="83"/>
              </w:rPr>
              <w:t>11.1</w:t>
            </w:r>
          </w:p>
        </w:tc>
        <w:tc>
          <w:tcPr>
            <w:tcW w:w="9520" w:type="dxa"/>
            <w:vAlign w:val="bottom"/>
          </w:tcPr>
          <w:p>
            <w:pPr>
              <w:ind w:left="640"/>
              <w:spacing w:after="0"/>
              <w:rPr>
                <w:sz w:val="20"/>
                <w:szCs w:val="20"/>
                <w:color w:val="auto"/>
              </w:rPr>
            </w:pPr>
            <w:r>
              <w:rPr>
                <w:rFonts w:ascii="Arial" w:cs="Arial" w:eastAsia="Arial" w:hAnsi="Arial"/>
                <w:sz w:val="22"/>
                <w:szCs w:val="22"/>
                <w:b w:val="1"/>
                <w:bCs w:val="1"/>
                <w:color w:val="auto"/>
                <w:w w:val="94"/>
              </w:rPr>
              <w:t>Unsecured General Creditor of the Employer</w:t>
            </w:r>
            <w:r>
              <w:rPr>
                <w:rFonts w:ascii="Arial" w:cs="Arial" w:eastAsia="Arial" w:hAnsi="Arial"/>
                <w:sz w:val="22"/>
                <w:szCs w:val="22"/>
                <w:color w:val="auto"/>
                <w:w w:val="94"/>
              </w:rPr>
              <w:t>. The Plan at all times shall be entirely unfunded.</w:t>
            </w:r>
          </w:p>
        </w:tc>
      </w:tr>
    </w:tbl>
    <w:p>
      <w:pPr>
        <w:jc w:val="both"/>
        <w:spacing w:after="0" w:line="233" w:lineRule="auto"/>
        <w:rPr>
          <w:sz w:val="20"/>
          <w:szCs w:val="20"/>
          <w:color w:val="auto"/>
        </w:rPr>
      </w:pPr>
      <w:r>
        <w:rPr>
          <w:rFonts w:ascii="Arial" w:cs="Arial" w:eastAsia="Arial" w:hAnsi="Arial"/>
          <w:sz w:val="22"/>
          <w:szCs w:val="22"/>
          <w:color w:val="auto"/>
        </w:rPr>
        <w:t>Participants and their Beneficiaries, heirs, successors and assigns shall have no legal or equitable rights, interests or claims in any property or assets of the Employer or any Related Employer. For purposes of the payment of benefits under the plan, the assets of the Employer or of any Related Employer shall be, and shall remain, the general, unpledged, unrestricted assets of the Employer or of such Related Employer, respectively. The Employer’s obligation under the Plan shall be merely that of an unfunded and unsecured promise to pay money in the future.</w:t>
      </w:r>
    </w:p>
    <w:p>
      <w:pPr>
        <w:spacing w:after="0" w:line="180"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010000"/>
        </w:rPr>
        <w:t xml:space="preserve">11.2 </w:t>
      </w:r>
      <w:r>
        <w:rPr>
          <w:rFonts w:ascii="Arial" w:cs="Arial" w:eastAsia="Arial" w:hAnsi="Arial"/>
          <w:sz w:val="22"/>
          <w:szCs w:val="22"/>
          <w:b w:val="1"/>
          <w:bCs w:val="1"/>
          <w:color w:val="000000"/>
        </w:rPr>
        <w:t>Employer’s Liability</w:t>
      </w:r>
      <w:r>
        <w:rPr>
          <w:rFonts w:ascii="Arial" w:cs="Arial" w:eastAsia="Arial" w:hAnsi="Arial"/>
          <w:sz w:val="22"/>
          <w:szCs w:val="22"/>
          <w:color w:val="000000"/>
        </w:rPr>
        <w:t>. The Employer’s liability for the payment of benefits under the Plan shall be</w:t>
      </w:r>
      <w:r>
        <w:rPr>
          <w:rFonts w:ascii="Arial" w:cs="Arial" w:eastAsia="Arial" w:hAnsi="Arial"/>
          <w:sz w:val="22"/>
          <w:szCs w:val="22"/>
          <w:b w:val="1"/>
          <w:bCs w:val="1"/>
          <w:color w:val="010000"/>
        </w:rPr>
        <w:t xml:space="preserve"> </w:t>
      </w:r>
      <w:r>
        <w:rPr>
          <w:rFonts w:ascii="Arial" w:cs="Arial" w:eastAsia="Arial" w:hAnsi="Arial"/>
          <w:sz w:val="22"/>
          <w:szCs w:val="22"/>
          <w:color w:val="000000"/>
        </w:rPr>
        <w:t>defined only by the Plan and by the Elections entered into between a Participant and the Employer. The Employer shall have no obligation or liability to a Participant under the Plan except as provided by the Plan and an Election.</w:t>
      </w:r>
    </w:p>
    <w:p>
      <w:pPr>
        <w:spacing w:after="0" w:line="177" w:lineRule="exact"/>
        <w:rPr>
          <w:sz w:val="20"/>
          <w:szCs w:val="20"/>
          <w:color w:val="auto"/>
        </w:rPr>
      </w:pPr>
    </w:p>
    <w:p>
      <w:pPr>
        <w:jc w:val="both"/>
        <w:ind w:firstLine="877"/>
        <w:spacing w:after="0" w:line="254" w:lineRule="auto"/>
        <w:rPr>
          <w:sz w:val="20"/>
          <w:szCs w:val="20"/>
          <w:color w:val="auto"/>
        </w:rPr>
      </w:pPr>
      <w:r>
        <w:rPr>
          <w:rFonts w:ascii="Arial" w:cs="Arial" w:eastAsia="Arial" w:hAnsi="Arial"/>
          <w:sz w:val="21"/>
          <w:szCs w:val="21"/>
          <w:b w:val="1"/>
          <w:bCs w:val="1"/>
          <w:color w:val="010000"/>
        </w:rPr>
        <w:t xml:space="preserve">11.3 </w:t>
      </w:r>
      <w:r>
        <w:rPr>
          <w:rFonts w:ascii="Arial" w:cs="Arial" w:eastAsia="Arial" w:hAnsi="Arial"/>
          <w:sz w:val="21"/>
          <w:szCs w:val="21"/>
          <w:b w:val="1"/>
          <w:bCs w:val="1"/>
          <w:color w:val="000000"/>
        </w:rPr>
        <w:t>Limitation of Rights</w:t>
      </w:r>
      <w:r>
        <w:rPr>
          <w:rFonts w:ascii="Arial" w:cs="Arial" w:eastAsia="Arial" w:hAnsi="Arial"/>
          <w:sz w:val="21"/>
          <w:szCs w:val="21"/>
          <w:color w:val="000000"/>
        </w:rPr>
        <w:t>. Neither the establishment of the Plan, nor any amendment thereof, nor the</w:t>
      </w:r>
      <w:r>
        <w:rPr>
          <w:rFonts w:ascii="Arial" w:cs="Arial" w:eastAsia="Arial" w:hAnsi="Arial"/>
          <w:sz w:val="21"/>
          <w:szCs w:val="21"/>
          <w:b w:val="1"/>
          <w:bCs w:val="1"/>
          <w:color w:val="010000"/>
        </w:rPr>
        <w:t xml:space="preserve"> </w:t>
      </w:r>
      <w:r>
        <w:rPr>
          <w:rFonts w:ascii="Arial" w:cs="Arial" w:eastAsia="Arial" w:hAnsi="Arial"/>
          <w:sz w:val="21"/>
          <w:szCs w:val="21"/>
          <w:color w:val="000000"/>
        </w:rPr>
        <w:t>creation of any fund or account, nor the payment of any benefits, will be construed as giving to the Participant or any other person any legal or equitable right against the Employer, the Committee or any Related Employer except as provided herein; and in no event will the terms of employment or service of the Participant be modified or in any way affected hereby.</w:t>
      </w:r>
    </w:p>
    <w:p>
      <w:pPr>
        <w:spacing w:after="0" w:line="166"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b w:val="1"/>
          <w:bCs w:val="1"/>
          <w:color w:val="010000"/>
        </w:rPr>
        <w:t xml:space="preserve">11.4 </w:t>
      </w:r>
      <w:r>
        <w:rPr>
          <w:rFonts w:ascii="Arial" w:cs="Arial" w:eastAsia="Arial" w:hAnsi="Arial"/>
          <w:sz w:val="21"/>
          <w:szCs w:val="21"/>
          <w:b w:val="1"/>
          <w:bCs w:val="1"/>
          <w:color w:val="000000"/>
        </w:rPr>
        <w:t>Anti-Assignment</w:t>
      </w:r>
      <w:r>
        <w:rPr>
          <w:rFonts w:ascii="Arial" w:cs="Arial" w:eastAsia="Arial" w:hAnsi="Arial"/>
          <w:sz w:val="21"/>
          <w:szCs w:val="21"/>
          <w:color w:val="000000"/>
        </w:rPr>
        <w:t>. Except as otherwise provided in connection with a division of property under a</w:t>
      </w:r>
      <w:r>
        <w:rPr>
          <w:rFonts w:ascii="Arial" w:cs="Arial" w:eastAsia="Arial" w:hAnsi="Arial"/>
          <w:sz w:val="21"/>
          <w:szCs w:val="21"/>
          <w:b w:val="1"/>
          <w:bCs w:val="1"/>
          <w:color w:val="010000"/>
        </w:rPr>
        <w:t xml:space="preserve"> </w:t>
      </w:r>
      <w:r>
        <w:rPr>
          <w:rFonts w:ascii="Arial" w:cs="Arial" w:eastAsia="Arial" w:hAnsi="Arial"/>
          <w:sz w:val="21"/>
          <w:szCs w:val="21"/>
          <w:color w:val="000000"/>
        </w:rPr>
        <w:t>domestic relations proceeding under state law and subject to Section 9(iii), no right or interest of the eligible employees or retirees under this Plan shall be subject to involuntary alienation, assignment or transfer of any kind. An eligible employee may voluntarily assign his rights under the Plan. Employer, the Board, the Committee and any of their delegates shall not review, confirm, guarantee or otherwise comment on the legal validity of any voluntary assignment. Employer and its delegates may review, provide recommendations and approve submitted domestic relations orders using procedures similar to those that apply to qualified domestic relations orders under the qualified pension plans sponsored by Employer. A domestic relations order intended to assign a benefit hereunder to a former spouse of an eligible employee must be delivered to the Employer. Employer will review the order to determine if it is qualified. Upon notification by the Employer that the order is qualified, the spouse will be able to elect a distribution of the assigned benefit by the end of the fifth calendar year following the calendar year during which the Employer notifies the former spouse that the order is qualified. In all events, the entire assigned benefit must be distributed by the end of the fifth calendar year following the calendar year during which the Employer notifies the former spouse that the order is qualified. Notwithstanding anything in the Plan to the contrary, if an assigned benefit is equal to or less than the adjusted Code section 402(g) limit it shall be distributed to the former spouse as soon as administratively possible. The Employer may prescribe procedures that are consistent with this Section 11.4 and applicable law to implement benefit assignments pursuant to qualified orders.</w:t>
      </w:r>
    </w:p>
    <w:p>
      <w:pPr>
        <w:spacing w:after="0" w:line="177"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010000"/>
        </w:rPr>
        <w:t xml:space="preserve">11.5 </w:t>
      </w:r>
      <w:r>
        <w:rPr>
          <w:rFonts w:ascii="Arial" w:cs="Arial" w:eastAsia="Arial" w:hAnsi="Arial"/>
          <w:sz w:val="22"/>
          <w:szCs w:val="22"/>
          <w:b w:val="1"/>
          <w:bCs w:val="1"/>
          <w:color w:val="000000"/>
        </w:rPr>
        <w:t>Facility of Payment</w:t>
      </w:r>
      <w:r>
        <w:rPr>
          <w:rFonts w:ascii="Arial" w:cs="Arial" w:eastAsia="Arial" w:hAnsi="Arial"/>
          <w:sz w:val="22"/>
          <w:szCs w:val="22"/>
          <w:color w:val="000000"/>
        </w:rPr>
        <w:t>. If the Employer determines, on the basis of medical reports or other evidence</w:t>
      </w:r>
      <w:r>
        <w:rPr>
          <w:rFonts w:ascii="Arial" w:cs="Arial" w:eastAsia="Arial" w:hAnsi="Arial"/>
          <w:sz w:val="22"/>
          <w:szCs w:val="22"/>
          <w:b w:val="1"/>
          <w:bCs w:val="1"/>
          <w:color w:val="010000"/>
        </w:rPr>
        <w:t xml:space="preserve"> </w:t>
      </w:r>
      <w:r>
        <w:rPr>
          <w:rFonts w:ascii="Arial" w:cs="Arial" w:eastAsia="Arial" w:hAnsi="Arial"/>
          <w:sz w:val="22"/>
          <w:szCs w:val="22"/>
          <w:color w:val="000000"/>
        </w:rPr>
        <w:t>satisfactory to the Employer, that the recipient of any benefit payments under the Plan is incapable of handling his affairs by reason of minority, illness, infirmity or other incapacity, the Employer may disburse such payments to a person or institution designated by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08" w:name="page209"/>
    <w:bookmarkEnd w:id="208"/>
    <w:p>
      <w:pPr>
        <w:jc w:val="both"/>
        <w:spacing w:after="0" w:line="297" w:lineRule="auto"/>
        <w:rPr>
          <w:sz w:val="20"/>
          <w:szCs w:val="20"/>
          <w:color w:val="auto"/>
        </w:rPr>
      </w:pPr>
      <w:r>
        <w:rPr>
          <w:rFonts w:ascii="Arial" w:cs="Arial" w:eastAsia="Arial" w:hAnsi="Arial"/>
          <w:sz w:val="19"/>
          <w:szCs w:val="19"/>
          <w:color w:val="auto"/>
        </w:rPr>
        <w:t>court which has jurisdiction over such recipient or a person or institution otherwise having the legal authority under State law for the care and control of such recipient. The receipt by such person or institution of any such payments, and any such payment to the extent thereof, shall discharge the liability of the Employer for the payment of benefits hereunder to such recipient.</w:t>
      </w:r>
    </w:p>
    <w:p>
      <w:pPr>
        <w:spacing w:after="0" w:line="128"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22"/>
          <w:szCs w:val="22"/>
          <w:b w:val="1"/>
          <w:bCs w:val="1"/>
          <w:color w:val="010000"/>
        </w:rPr>
        <w:t xml:space="preserve">11.6 </w:t>
      </w:r>
      <w:r>
        <w:rPr>
          <w:rFonts w:ascii="Arial" w:cs="Arial" w:eastAsia="Arial" w:hAnsi="Arial"/>
          <w:sz w:val="22"/>
          <w:szCs w:val="22"/>
          <w:b w:val="1"/>
          <w:bCs w:val="1"/>
          <w:color w:val="000000"/>
        </w:rPr>
        <w:t>Notices</w:t>
      </w:r>
      <w:r>
        <w:rPr>
          <w:rFonts w:ascii="Arial" w:cs="Arial" w:eastAsia="Arial" w:hAnsi="Arial"/>
          <w:sz w:val="22"/>
          <w:szCs w:val="22"/>
          <w:color w:val="000000"/>
        </w:rPr>
        <w:t>. Any notice or other communication required or permitted to be given in connection with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Plan shall be in writing and shall be deemed to have been duly given (i) upon request, if delivered personally or via courier, (ii) upon confirmation of receipt, if given by facsimile or electronic transmission, and (iii) on the third business day following mailing, if mailed first-class, postage prepaid, registered or certified mail as follows:</w:t>
      </w:r>
    </w:p>
    <w:p>
      <w:pPr>
        <w:sectPr>
          <w:pgSz w:w="11900" w:h="16838" w:orient="portrait"/>
          <w:cols w:equalWidth="0" w:num="1">
            <w:col w:w="11420"/>
          </w:cols>
          <w:pgMar w:left="240" w:top="361" w:right="239" w:bottom="1440" w:gutter="0" w:footer="0" w:header="0"/>
        </w:sectPr>
      </w:pPr>
    </w:p>
    <w:p>
      <w:pPr>
        <w:spacing w:after="0" w:line="187" w:lineRule="exact"/>
        <w:rPr>
          <w:sz w:val="20"/>
          <w:szCs w:val="20"/>
          <w:color w:val="auto"/>
        </w:rPr>
      </w:pPr>
    </w:p>
    <w:p>
      <w:pPr>
        <w:jc w:val="center"/>
        <w:ind w:left="540"/>
        <w:spacing w:after="0"/>
        <w:rPr>
          <w:sz w:val="20"/>
          <w:szCs w:val="20"/>
          <w:color w:val="auto"/>
        </w:rPr>
      </w:pPr>
      <w:r>
        <w:rPr>
          <w:rFonts w:ascii="Arial" w:cs="Arial" w:eastAsia="Arial" w:hAnsi="Arial"/>
          <w:sz w:val="19"/>
          <w:szCs w:val="19"/>
          <w:color w:val="010000"/>
        </w:rPr>
        <w:t>(a)</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If it is sent to the Employer or a Related Employer, it will be at the address specified</w:t>
      </w:r>
    </w:p>
    <w:p>
      <w:pPr>
        <w:spacing w:after="0" w:line="56" w:lineRule="exact"/>
        <w:rPr>
          <w:sz w:val="20"/>
          <w:szCs w:val="20"/>
          <w:color w:val="auto"/>
        </w:rPr>
      </w:pPr>
    </w:p>
    <w:p>
      <w:pPr>
        <w:sectPr>
          <w:pgSz w:w="11900" w:h="16838" w:orient="portrait"/>
          <w:cols w:equalWidth="0" w:num="2">
            <w:col w:w="3220" w:space="720"/>
            <w:col w:w="7480"/>
          </w:cols>
          <w:pgMar w:left="240" w:top="361" w:right="239" w:bottom="1440" w:gutter="0" w:footer="0" w:header="0"/>
          <w:type w:val="continuous"/>
        </w:sectPr>
      </w:pPr>
    </w:p>
    <w:p>
      <w:pPr>
        <w:spacing w:after="0"/>
        <w:rPr>
          <w:sz w:val="20"/>
          <w:szCs w:val="20"/>
          <w:color w:val="auto"/>
        </w:rPr>
      </w:pPr>
      <w:r>
        <w:rPr>
          <w:rFonts w:ascii="Arial" w:cs="Arial" w:eastAsia="Arial" w:hAnsi="Arial"/>
          <w:sz w:val="19"/>
          <w:szCs w:val="19"/>
          <w:color w:val="auto"/>
        </w:rPr>
        <w:t>by the Employer; or</w:t>
      </w:r>
    </w:p>
    <w:p>
      <w:pPr>
        <w:sectPr>
          <w:pgSz w:w="11900" w:h="16838" w:orient="portrait"/>
          <w:cols w:equalWidth="0" w:num="1">
            <w:col w:w="11420"/>
          </w:cols>
          <w:pgMar w:left="240" w:top="361" w:right="239" w:bottom="1440" w:gutter="0" w:footer="0" w:header="0"/>
          <w:type w:val="continuous"/>
        </w:sectPr>
      </w:pPr>
    </w:p>
    <w:p>
      <w:pPr>
        <w:spacing w:after="0" w:line="209"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010000"/>
        </w:rPr>
        <w:t>(b)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Employer by the Participant (or Beneficiary).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If it is sent to a Participant or Beneficiary, it will be at the last address filed with the</w:t>
      </w:r>
    </w:p>
    <w:p>
      <w:pPr>
        <w:spacing w:after="0" w:line="461" w:lineRule="exact"/>
        <w:rPr>
          <w:sz w:val="20"/>
          <w:szCs w:val="20"/>
          <w:color w:val="auto"/>
        </w:rPr>
      </w:pPr>
    </w:p>
    <w:p>
      <w:pPr>
        <w:sectPr>
          <w:pgSz w:w="11900" w:h="16838" w:orient="portrait"/>
          <w:cols w:equalWidth="0" w:num="2">
            <w:col w:w="3940" w:space="20"/>
            <w:col w:w="7460"/>
          </w:cols>
          <w:pgMar w:left="240" w:top="361" w:right="239" w:bottom="1440" w:gutter="0" w:footer="0" w:header="0"/>
          <w:type w:val="continuous"/>
        </w:sectPr>
      </w:pPr>
    </w:p>
    <w:p>
      <w:pPr>
        <w:spacing w:after="0" w:line="17"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010000"/>
        </w:rPr>
        <w:t>11.7</w:t>
      </w:r>
      <w:r>
        <w:rPr>
          <w:sz w:val="20"/>
          <w:szCs w:val="20"/>
          <w:color w:val="auto"/>
        </w:rPr>
        <w:tab/>
      </w:r>
      <w:r>
        <w:rPr>
          <w:rFonts w:ascii="Arial" w:cs="Arial" w:eastAsia="Arial" w:hAnsi="Arial"/>
          <w:sz w:val="19"/>
          <w:szCs w:val="19"/>
          <w:b w:val="1"/>
          <w:bCs w:val="1"/>
          <w:color w:val="auto"/>
        </w:rPr>
        <w:t>Tax Withholding</w:t>
      </w:r>
      <w:r>
        <w:rPr>
          <w:rFonts w:ascii="Arial" w:cs="Arial" w:eastAsia="Arial" w:hAnsi="Arial"/>
          <w:sz w:val="19"/>
          <w:szCs w:val="19"/>
          <w:color w:val="auto"/>
        </w:rPr>
        <w:t>. The Employer shall have the right to deduct from all payments or deferrals made</w:t>
      </w:r>
    </w:p>
    <w:p>
      <w:pPr>
        <w:sectPr>
          <w:pgSz w:w="11900" w:h="16838" w:orient="portrait"/>
          <w:cols w:equalWidth="0" w:num="1">
            <w:col w:w="11420"/>
          </w:cols>
          <w:pgMar w:left="240" w:top="361" w:right="239" w:bottom="1440" w:gutter="0" w:footer="0" w:header="0"/>
          <w:type w:val="continuous"/>
        </w:sectPr>
      </w:pPr>
    </w:p>
    <w:p>
      <w:pPr>
        <w:spacing w:after="0" w:line="28"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under the Plan any tax required by law to be withheld. If the Employer concludes that tax is owing with respect to any deferral or payment hereunder, the Employer shall withhold such amounts from any payments due the Participant or his Beneficiary, as permitted by law, or otherwise make appropriate arrangements with the Participant or his Beneficiary for satisfaction of such obligation. Tax, for purposes of this Section 11.7, means any federal, state, local, foreign or any other governmental income tax, employment or payroll tax, excise tax, or any other tax or assessment owing with respect to amounts deferred, any earnings thereon, and any payments made to Participants or Beneficiaries under the Plan.</w:t>
      </w:r>
    </w:p>
    <w:p>
      <w:pPr>
        <w:spacing w:after="0" w:line="182"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1"/>
          <w:szCs w:val="21"/>
          <w:b w:val="1"/>
          <w:bCs w:val="1"/>
          <w:color w:val="010000"/>
        </w:rPr>
        <w:t xml:space="preserve">11.8 </w:t>
      </w:r>
      <w:r>
        <w:rPr>
          <w:rFonts w:ascii="Arial" w:cs="Arial" w:eastAsia="Arial" w:hAnsi="Arial"/>
          <w:sz w:val="21"/>
          <w:szCs w:val="21"/>
          <w:b w:val="1"/>
          <w:bCs w:val="1"/>
          <w:color w:val="000000"/>
        </w:rPr>
        <w:t>Indemnification</w:t>
      </w:r>
      <w:r>
        <w:rPr>
          <w:rFonts w:ascii="Arial" w:cs="Arial" w:eastAsia="Arial" w:hAnsi="Arial"/>
          <w:sz w:val="21"/>
          <w:szCs w:val="21"/>
          <w:color w:val="000000"/>
        </w:rPr>
        <w:t>. To the fullest extent allowed by law, the Employer shall indemnify and hold</w:t>
      </w:r>
      <w:r>
        <w:rPr>
          <w:rFonts w:ascii="Arial" w:cs="Arial" w:eastAsia="Arial" w:hAnsi="Arial"/>
          <w:sz w:val="21"/>
          <w:szCs w:val="21"/>
          <w:b w:val="1"/>
          <w:bCs w:val="1"/>
          <w:color w:val="010000"/>
        </w:rPr>
        <w:t xml:space="preserve"> </w:t>
      </w:r>
      <w:r>
        <w:rPr>
          <w:rFonts w:ascii="Arial" w:cs="Arial" w:eastAsia="Arial" w:hAnsi="Arial"/>
          <w:sz w:val="21"/>
          <w:szCs w:val="21"/>
          <w:color w:val="000000"/>
        </w:rPr>
        <w:t>harmless each member of the Committee and each employee, officer, or director of the Employer or any Related Employer to whom is delegated duties, responsibilities, and authority with respect to the Plan against all claims, liabilities, fines and penalties, and all expenses reasonably incurred by or imposed upon him (including but not limited to reasonable attorneys’ fees) which arise as a result of his actions or failure to act in connection with the operation and administration of the Plan to the extent lawfully allowable and to the extent that such claim, liability, fine, penalty, or expense is not paid for by liability insurance purchased or paid for by the Employer or any Related Employer. Notwithstanding the foregoing, the Employer shall not indemnify any person for any such amount incurred through any settlement or compromise of any action unless the Employer consents in writing to such settlement or compromise.</w:t>
      </w:r>
    </w:p>
    <w:p>
      <w:pPr>
        <w:spacing w:after="0" w:line="176"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b w:val="1"/>
          <w:bCs w:val="1"/>
          <w:color w:val="010000"/>
        </w:rPr>
        <w:t xml:space="preserve">11.9 </w:t>
      </w:r>
      <w:r>
        <w:rPr>
          <w:rFonts w:ascii="Arial" w:cs="Arial" w:eastAsia="Arial" w:hAnsi="Arial"/>
          <w:sz w:val="22"/>
          <w:szCs w:val="22"/>
          <w:b w:val="1"/>
          <w:bCs w:val="1"/>
          <w:color w:val="000000"/>
        </w:rPr>
        <w:t>Permitted Acceleration of Payment</w:t>
      </w:r>
      <w:r>
        <w:rPr>
          <w:rFonts w:ascii="Arial" w:cs="Arial" w:eastAsia="Arial" w:hAnsi="Arial"/>
          <w:sz w:val="22"/>
          <w:szCs w:val="22"/>
          <w:color w:val="000000"/>
        </w:rPr>
        <w:t>. The Employer, in its sole discretion, may accelerate the time in</w:t>
      </w:r>
      <w:r>
        <w:rPr>
          <w:rFonts w:ascii="Arial" w:cs="Arial" w:eastAsia="Arial" w:hAnsi="Arial"/>
          <w:sz w:val="22"/>
          <w:szCs w:val="22"/>
          <w:b w:val="1"/>
          <w:bCs w:val="1"/>
          <w:color w:val="010000"/>
        </w:rPr>
        <w:t xml:space="preserve"> </w:t>
      </w:r>
      <w:r>
        <w:rPr>
          <w:rFonts w:ascii="Arial" w:cs="Arial" w:eastAsia="Arial" w:hAnsi="Arial"/>
          <w:sz w:val="22"/>
          <w:szCs w:val="22"/>
          <w:color w:val="000000"/>
        </w:rPr>
        <w:t>which payment shall be made under the Plan to: (a) an individual other than the Participant as may be necessary to fulfill a domestic relations order within the meaning of Code Section 414(p)(1)(B), (b) the extent reasonably necessary to avoid the violation of an applicable federal, state, local, or foreign ethics law or conflicts of interest law (including where such payment is reasonably necessary to permit the Participant to participate in activities in the normal course of his position in which the Participant would otherwise not be able to participate under an applicable rule), determined in accordance with Treasury Regulation Section 1.409A-3(j)(4)(iii)(B), (c) pay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209" w:name="page210"/>
    <w:bookmarkEnd w:id="209"/>
    <w:p>
      <w:pPr>
        <w:jc w:val="both"/>
        <w:spacing w:after="0" w:line="270" w:lineRule="auto"/>
        <w:rPr>
          <w:sz w:val="20"/>
          <w:szCs w:val="20"/>
          <w:color w:val="auto"/>
        </w:rPr>
      </w:pPr>
      <w:r>
        <w:rPr>
          <w:rFonts w:ascii="Arial" w:cs="Arial" w:eastAsia="Arial" w:hAnsi="Arial"/>
          <w:sz w:val="19"/>
          <w:szCs w:val="19"/>
          <w:color w:val="auto"/>
        </w:rPr>
        <w:t>the FICA tax imposed under Code Sections 3101, 3121(a) and 3121(v)(2) on compensation deferred under the Plan, (d) pay the income tax at source on wages imposes under Code Section 3401 or the corresponding withholding provisions of the applicable, state, local or foreign tax laws as a result of the payment of any FICA tax described in clause (c), and to pay the additional income tax at source on wages attributable to the pyramiding Code Section 3401 wages and taxes, (e) pay state, local, or foreign tax obligations arising from participation in the Plan that apply to an amount deferred under the Plan before the amount is paid or made available to the Participant, (f) pay the income tax at source on wages imposed under Code Section 3401 as a result of the payment described in clause (e) and to pay the additional income tax at source on wages imposed under Code Section 3401 attributable to such additional Code Section 3401 wages and taxes, (g) satisfy the debt of a Participant to the Employer or any Related Employer where such debt is incurred in the ordinary course of the service relationship between the Participant and the Employer or Related Employer, as applicable, the entire amount of the reduction in any Plan year does not exceed $5,000, and the reduction is made at the same time and in the same amount as the debt otherwise would have been due and collected from the Participant, and (h) pay the amount required to be included in gross income as a result of the failure of the Plan to comply with the requirements of Code Section 409A. The total payment under clauses (c) and (d) shall, in no event, exceed the aggregate of the FICA tax and the income tax withholding related to such FICA tax. The total payment under clause (e) shall, in no event, exceed the amount of such taxes due as a result of participation in the Plan. The total payment under clauses (e) and (f) shall, in no event, exceed the aggregate of the state, local, and foreign tax amount, and the income tax withholding related to such state, local, and foreign tax amount. The total payment under clause (h) shall, in no event, exceed the amount required to be included in income as a result of the failure to comply with requirements of Code Section 409A.</w:t>
      </w:r>
    </w:p>
    <w:p>
      <w:pPr>
        <w:spacing w:after="0" w:line="200" w:lineRule="exact"/>
        <w:rPr>
          <w:sz w:val="20"/>
          <w:szCs w:val="20"/>
          <w:color w:val="auto"/>
        </w:rPr>
      </w:pPr>
    </w:p>
    <w:p>
      <w:pPr>
        <w:spacing w:after="0" w:line="207"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b w:val="1"/>
          <w:bCs w:val="1"/>
          <w:color w:val="010000"/>
        </w:rPr>
        <w:t>11.10</w:t>
      </w:r>
      <w:r>
        <w:rPr>
          <w:sz w:val="20"/>
          <w:szCs w:val="20"/>
          <w:color w:val="auto"/>
        </w:rPr>
        <w:tab/>
      </w:r>
      <w:r>
        <w:rPr>
          <w:rFonts w:ascii="Arial" w:cs="Arial" w:eastAsia="Arial" w:hAnsi="Arial"/>
          <w:sz w:val="19"/>
          <w:szCs w:val="19"/>
          <w:b w:val="1"/>
          <w:bCs w:val="1"/>
          <w:color w:val="auto"/>
        </w:rPr>
        <w:t>No Guarantee or Employment or Participation</w:t>
      </w:r>
      <w:r>
        <w:rPr>
          <w:rFonts w:ascii="Arial" w:cs="Arial" w:eastAsia="Arial" w:hAnsi="Arial"/>
          <w:sz w:val="19"/>
          <w:szCs w:val="19"/>
          <w:color w:val="auto"/>
        </w:rPr>
        <w:t>. Nothing in the Plan shall interfere with or limit</w:t>
      </w:r>
    </w:p>
    <w:p>
      <w:pPr>
        <w:spacing w:after="0" w:line="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any way the right of the Employer to terminate any Participant’s employment at any time and for any reason, nor confer upon any Participant any right to continue in the employ of the Employer or any Related Employer. No employee of the Employer shall have a right to be selected as a Participant under the Plan or, if selected, to continue to participate for any Plan Year.</w:t>
      </w:r>
    </w:p>
    <w:p>
      <w:pPr>
        <w:spacing w:after="0" w:line="138"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b w:val="1"/>
          <w:bCs w:val="1"/>
          <w:color w:val="010000"/>
        </w:rPr>
        <w:t xml:space="preserve">11.11 </w:t>
      </w:r>
      <w:r>
        <w:rPr>
          <w:rFonts w:ascii="Arial" w:cs="Arial" w:eastAsia="Arial" w:hAnsi="Arial"/>
          <w:sz w:val="22"/>
          <w:szCs w:val="22"/>
          <w:b w:val="1"/>
          <w:bCs w:val="1"/>
          <w:color w:val="000000"/>
        </w:rPr>
        <w:t>Unclaimed Benefit</w:t>
      </w:r>
      <w:r>
        <w:rPr>
          <w:rFonts w:ascii="Arial" w:cs="Arial" w:eastAsia="Arial" w:hAnsi="Arial"/>
          <w:sz w:val="22"/>
          <w:szCs w:val="22"/>
          <w:color w:val="000000"/>
        </w:rPr>
        <w:t>. Each Participant shall keep the Employer informed of his current address and</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current address of his Beneficiary. The Employer shall not be obligated to search for the whereabouts of any person. If the location of a Participant is not made known to the Employer within three years after the date on which payment of the Participant’s vested Account is scheduled to be made (or to commence), payment may be made as though the Participant had died at the end of the three-year period. If within one additional year after such three-year period has elapsed, or, within three years after the actual death of a Participant, the Employer is unable to locate the Beneficiary of the Participant, then the Employer shall have no further obligation to pay any benefit hereunder to such Participant or Beneficiary or any other person and such benefit shall be irrevocably forfeited.</w:t>
      </w:r>
    </w:p>
    <w:p>
      <w:pPr>
        <w:spacing w:after="0" w:line="179"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010000"/>
        </w:rPr>
        <w:t xml:space="preserve">11.12 </w:t>
      </w:r>
      <w:r>
        <w:rPr>
          <w:rFonts w:ascii="Arial" w:cs="Arial" w:eastAsia="Arial" w:hAnsi="Arial"/>
          <w:sz w:val="22"/>
          <w:szCs w:val="22"/>
          <w:b w:val="1"/>
          <w:bCs w:val="1"/>
          <w:color w:val="000000"/>
        </w:rPr>
        <w:t>Governing Law</w:t>
      </w:r>
      <w:r>
        <w:rPr>
          <w:rFonts w:ascii="Arial" w:cs="Arial" w:eastAsia="Arial" w:hAnsi="Arial"/>
          <w:sz w:val="22"/>
          <w:szCs w:val="22"/>
          <w:color w:val="000000"/>
        </w:rPr>
        <w:t>. The Plan will be construed, administered and enforced according to the laws of</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State of Delaware without regard to principles of conflicts of law to the extent not otherwise preempted by ERISA.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0" w:name="page211"/>
    <w:bookmarkEnd w:id="210"/>
    <w:p>
      <w:pPr>
        <w:ind w:left="880"/>
        <w:spacing w:after="0"/>
        <w:rPr>
          <w:sz w:val="20"/>
          <w:szCs w:val="20"/>
          <w:color w:val="auto"/>
        </w:rPr>
      </w:pPr>
      <w:r>
        <w:rPr>
          <w:rFonts w:ascii="Arial" w:cs="Arial" w:eastAsia="Arial" w:hAnsi="Arial"/>
          <w:sz w:val="22"/>
          <w:szCs w:val="22"/>
          <w:b w:val="1"/>
          <w:bCs w:val="1"/>
          <w:color w:val="010000"/>
        </w:rPr>
        <w:t>11.13</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Beneficiary shall be returned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binding right to such payment.</w:t>
      </w:r>
    </w:p>
    <w:p>
      <w:pPr>
        <w:spacing w:after="0" w:line="20" w:lineRule="exact"/>
        <w:rPr>
          <w:sz w:val="20"/>
          <w:szCs w:val="20"/>
          <w:color w:val="auto"/>
        </w:rPr>
      </w:pPr>
      <w:r>
        <w:rPr>
          <w:sz w:val="20"/>
          <w:szCs w:val="20"/>
          <w:color w:val="auto"/>
        </w:rPr>
        <w:br w:type="column"/>
      </w:r>
    </w:p>
    <w:p>
      <w:pPr>
        <w:ind w:hanging="15"/>
        <w:spacing w:after="0" w:line="335" w:lineRule="auto"/>
        <w:rPr>
          <w:sz w:val="20"/>
          <w:szCs w:val="20"/>
          <w:color w:val="auto"/>
        </w:rPr>
      </w:pPr>
      <w:r>
        <w:rPr>
          <w:rFonts w:ascii="Arial" w:cs="Arial" w:eastAsia="Arial" w:hAnsi="Arial"/>
          <w:sz w:val="19"/>
          <w:szCs w:val="19"/>
          <w:b w:val="1"/>
          <w:bCs w:val="1"/>
          <w:color w:val="auto"/>
        </w:rPr>
        <w:t xml:space="preserve">Erroneous Payment </w:t>
      </w:r>
      <w:r>
        <w:rPr>
          <w:rFonts w:ascii="Arial" w:cs="Arial" w:eastAsia="Arial" w:hAnsi="Arial"/>
          <w:sz w:val="19"/>
          <w:szCs w:val="19"/>
          <w:color w:val="auto"/>
        </w:rPr>
        <w:t>. Any amount paid under this Plan in error to a Participant or to a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Employer. A payment made in error does not create on the part of the recipient a legally</w:t>
      </w:r>
    </w:p>
    <w:p>
      <w:pPr>
        <w:spacing w:after="0" w:line="318" w:lineRule="exact"/>
        <w:rPr>
          <w:sz w:val="20"/>
          <w:szCs w:val="20"/>
          <w:color w:val="auto"/>
        </w:rPr>
      </w:pPr>
    </w:p>
    <w:p>
      <w:pPr>
        <w:sectPr>
          <w:pgSz w:w="11900" w:h="16838" w:orient="portrait"/>
          <w:cols w:equalWidth="0" w:num="2">
            <w:col w:w="2660" w:space="20"/>
            <w:col w:w="8740"/>
          </w:cols>
          <w:pgMar w:left="240" w:top="355" w:right="239" w:bottom="1440" w:gutter="0" w:footer="0" w:header="0"/>
        </w:sectPr>
      </w:pP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immediately follows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211" w:name="page212"/>
    <w:bookmarkEnd w:id="211"/>
    <w:p>
      <w:pPr>
        <w:ind w:firstLine="877"/>
        <w:spacing w:after="0" w:line="251" w:lineRule="auto"/>
        <w:rPr>
          <w:sz w:val="20"/>
          <w:szCs w:val="20"/>
          <w:color w:val="auto"/>
        </w:rPr>
      </w:pPr>
      <w:r>
        <w:rPr>
          <w:rFonts w:ascii="Arial" w:cs="Arial" w:eastAsia="Arial" w:hAnsi="Arial"/>
          <w:sz w:val="22"/>
          <w:szCs w:val="22"/>
          <w:color w:val="auto"/>
        </w:rPr>
        <w:t>IN WITNESS WHEREOF, Ashland Global Holdings Inc. has caused its duly authorized representative to execute the Plan, this 22nd day of May, 2019.</w:t>
      </w:r>
    </w:p>
    <w:p>
      <w:pPr>
        <w:spacing w:after="0" w:line="200" w:lineRule="exact"/>
        <w:rPr>
          <w:sz w:val="20"/>
          <w:szCs w:val="20"/>
          <w:color w:val="auto"/>
        </w:rPr>
      </w:pPr>
    </w:p>
    <w:p>
      <w:pPr>
        <w:spacing w:after="0" w:line="210"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ASHLAND GLOBAL HOLDINGS INC.</w:t>
      </w:r>
    </w:p>
    <w:p>
      <w:pPr>
        <w:spacing w:after="0" w:line="200" w:lineRule="exact"/>
        <w:rPr>
          <w:sz w:val="20"/>
          <w:szCs w:val="20"/>
          <w:color w:val="auto"/>
        </w:rPr>
      </w:pPr>
    </w:p>
    <w:p>
      <w:pPr>
        <w:spacing w:after="0" w:line="282"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By: /s/ Anne T. Schumann</w:t>
      </w:r>
    </w:p>
    <w:p>
      <w:pPr>
        <w:ind w:left="4560"/>
        <w:spacing w:after="0" w:line="238" w:lineRule="auto"/>
        <w:rPr>
          <w:sz w:val="20"/>
          <w:szCs w:val="20"/>
          <w:color w:val="auto"/>
        </w:rPr>
      </w:pPr>
      <w:r>
        <w:rPr>
          <w:rFonts w:ascii="Arial" w:cs="Arial" w:eastAsia="Arial" w:hAnsi="Arial"/>
          <w:sz w:val="22"/>
          <w:szCs w:val="22"/>
          <w:color w:val="auto"/>
        </w:rPr>
        <w:t>__________________________________</w:t>
      </w:r>
    </w:p>
    <w:p>
      <w:pPr>
        <w:ind w:left="4560"/>
        <w:spacing w:after="0"/>
        <w:rPr>
          <w:sz w:val="20"/>
          <w:szCs w:val="20"/>
          <w:color w:val="auto"/>
        </w:rPr>
      </w:pPr>
      <w:r>
        <w:rPr>
          <w:rFonts w:ascii="Arial" w:cs="Arial" w:eastAsia="Arial" w:hAnsi="Arial"/>
          <w:sz w:val="22"/>
          <w:szCs w:val="22"/>
          <w:color w:val="auto"/>
        </w:rPr>
        <w:t>Printed Name: Anne T. Schumann</w:t>
      </w:r>
    </w:p>
    <w:p>
      <w:pPr>
        <w:spacing w:after="0" w:line="215"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Title:Senior Vice President, Chief</w:t>
      </w:r>
    </w:p>
    <w:p>
      <w:pPr>
        <w:ind w:left="4560"/>
        <w:spacing w:after="0" w:line="238" w:lineRule="auto"/>
        <w:rPr>
          <w:sz w:val="20"/>
          <w:szCs w:val="20"/>
          <w:color w:val="auto"/>
        </w:rPr>
      </w:pPr>
      <w:r>
        <w:rPr>
          <w:rFonts w:ascii="Arial" w:cs="Arial" w:eastAsia="Arial" w:hAnsi="Arial"/>
          <w:sz w:val="22"/>
          <w:szCs w:val="22"/>
          <w:color w:val="auto"/>
        </w:rPr>
        <w:t>Human Resources Officer and</w:t>
      </w:r>
    </w:p>
    <w:p>
      <w:pPr>
        <w:ind w:left="4560"/>
        <w:spacing w:after="0"/>
        <w:rPr>
          <w:sz w:val="20"/>
          <w:szCs w:val="20"/>
          <w:color w:val="auto"/>
        </w:rPr>
      </w:pPr>
      <w:r>
        <w:rPr>
          <w:rFonts w:ascii="Arial" w:cs="Arial" w:eastAsia="Arial" w:hAnsi="Arial"/>
          <w:sz w:val="22"/>
          <w:szCs w:val="22"/>
          <w:color w:val="auto"/>
        </w:rPr>
        <w:t>Chief Information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4820-9853-1984.4</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Ashland Global Holdings Inc.</w:t>
      </w:r>
    </w:p>
    <w:p>
      <w:pPr>
        <w:spacing w:after="0"/>
        <w:rPr>
          <w:sz w:val="20"/>
          <w:szCs w:val="20"/>
          <w:color w:val="auto"/>
        </w:rPr>
      </w:pPr>
      <w:r>
        <w:rPr>
          <w:rFonts w:ascii="Arial" w:cs="Arial" w:eastAsia="Arial" w:hAnsi="Arial"/>
          <w:sz w:val="14"/>
          <w:szCs w:val="14"/>
          <w:color w:val="auto"/>
        </w:rPr>
        <w:t>Supplemental Defined Contribution Plan for Certain Employees</w:t>
      </w:r>
    </w:p>
    <w:p>
      <w:pPr>
        <w:sectPr>
          <w:pgSz w:w="11900" w:h="16838" w:orient="portrait"/>
          <w:cols w:equalWidth="0" w:num="1">
            <w:col w:w="11420"/>
          </w:cols>
          <w:pgMar w:left="240" w:top="361" w:right="239" w:bottom="1440" w:gutter="0" w:footer="0" w:header="0"/>
        </w:sectPr>
      </w:pPr>
    </w:p>
    <w:bookmarkStart w:id="212" w:name="page213"/>
    <w:bookmarkEnd w:id="212"/>
    <w:p>
      <w:pPr>
        <w:ind w:left="10420"/>
        <w:spacing w:after="0"/>
        <w:rPr>
          <w:sz w:val="20"/>
          <w:szCs w:val="20"/>
          <w:color w:val="auto"/>
        </w:rPr>
      </w:pPr>
      <w:r>
        <w:rPr>
          <w:rFonts w:ascii="Arial" w:cs="Arial" w:eastAsia="Arial" w:hAnsi="Arial"/>
          <w:sz w:val="18"/>
          <w:szCs w:val="18"/>
          <w:b w:val="1"/>
          <w:bCs w:val="1"/>
          <w:color w:val="auto"/>
        </w:rPr>
        <w:t>EXHIBIT 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Subsidiaries of Ashland Global Holdings Inc. (“Ashland”) at September 30, 2019, included the companies listed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Borders>
              <w:bottom w:val="single" w:sz="8" w:color="auto"/>
            </w:tcBorders>
          </w:tcPr>
          <w:p>
            <w:pPr>
              <w:ind w:left="3180"/>
              <w:spacing w:after="0"/>
              <w:rPr>
                <w:sz w:val="20"/>
                <w:szCs w:val="20"/>
                <w:color w:val="auto"/>
              </w:rPr>
            </w:pPr>
            <w:r>
              <w:rPr>
                <w:rFonts w:ascii="Arial" w:cs="Arial" w:eastAsia="Arial" w:hAnsi="Arial"/>
                <w:sz w:val="18"/>
                <w:szCs w:val="18"/>
                <w:color w:val="auto"/>
              </w:rPr>
              <w:t>Company</w:t>
            </w:r>
          </w:p>
        </w:tc>
        <w:tc>
          <w:tcPr>
            <w:tcW w:w="340" w:type="dxa"/>
            <w:vAlign w:val="bottom"/>
          </w:tcPr>
          <w:p>
            <w:pPr>
              <w:spacing w:after="0"/>
              <w:rPr>
                <w:sz w:val="20"/>
                <w:szCs w:val="20"/>
                <w:color w:val="auto"/>
              </w:rPr>
            </w:pPr>
          </w:p>
        </w:tc>
        <w:tc>
          <w:tcPr>
            <w:tcW w:w="36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Jurisdiction of Incorporation</w:t>
            </w:r>
          </w:p>
        </w:tc>
        <w:tc>
          <w:tcPr>
            <w:tcW w:w="420" w:type="dxa"/>
            <w:vAlign w:val="bottom"/>
          </w:tcPr>
          <w:p>
            <w:pPr>
              <w:spacing w:after="0"/>
              <w:rPr>
                <w:sz w:val="20"/>
                <w:szCs w:val="20"/>
                <w:color w:val="auto"/>
              </w:rPr>
            </w:pPr>
          </w:p>
        </w:tc>
      </w:tr>
      <w:tr>
        <w:trPr>
          <w:trHeight w:val="237"/>
        </w:trPr>
        <w:tc>
          <w:tcPr>
            <w:tcW w:w="7040" w:type="dxa"/>
            <w:vAlign w:val="bottom"/>
          </w:tcPr>
          <w:p>
            <w:pPr>
              <w:spacing w:after="0"/>
              <w:rPr>
                <w:sz w:val="20"/>
                <w:szCs w:val="20"/>
                <w:color w:val="auto"/>
              </w:rPr>
            </w:pPr>
            <w:r>
              <w:rPr>
                <w:rFonts w:ascii="Arial" w:cs="Arial" w:eastAsia="Arial" w:hAnsi="Arial"/>
                <w:sz w:val="18"/>
                <w:szCs w:val="18"/>
                <w:color w:val="auto"/>
              </w:rPr>
              <w:t>565 Corporation</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0"/>
                <w:szCs w:val="20"/>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Adams Drive Totowa,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New Jersey</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Alera Property Holdings,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Alera Technologies,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Alix Technologies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Aloe Vemera, S.P.R de R.L. de C.V.</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 B1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Bermuda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 B2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Bermuda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 B4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Bermuda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 B5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Bermuda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 GH One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 GH Switzerland GmbH</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Switzerland</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 Global Holding Three GmbH</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Switzerland</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 Global Holdings Two B.V.</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Netherlands</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 GP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 Junior Global Holding One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 Junior Global Holding Two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 Swiss Holding Two GmbH</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Switzerland</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(Australasia) Pty.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Australia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(China) Holdings Co., Ltd.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CHINA, PEOPLES REPUBLIC OF</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(Gibraltar) One Holding,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(Thailand) Co., Ltd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Thailand</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Argentina S.R.L.</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Argentina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Canada Corp./Corporation Ashland Canada</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Province of Nova Scotia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Canada Holdings B. V.</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Netherlands</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Chemco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Chemical De Mexico S.A. De C.V.</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Chemical Trading (Shanghai) Company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China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Chemicals (Nanjing) Company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CHINA, PEOPLES REPUBLIC OF</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Colombia S.A.S.</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Colombia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Comercio de Especialidades Quimicas do Brasil Ltda.</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Brazil</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CZ s.r.o.</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Czech Republic</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Danmark ApS</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Denmark</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Eastern Markets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Russian Federation</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Ethanol,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Finance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Bermuda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India Private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India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Industria de Ingredientes do Brasil Ltda.</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Brazil</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Industries Deutschland GmbH</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Germany</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Industries Europe GmbH</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Switzerland</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Industries France SAS</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France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Industries Italia S.r.l.</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Italy</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Industries Nederland B.V.</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Netherlands</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Industries UK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United Kingdom</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Ingredients Poland Sp. z o.o.</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Poland</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Italia S.r.l.</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Italy</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Japan Ltd.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Japan</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Korea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Korea, Republic of</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Licensing and Intellectual Property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Kentucky</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Mexico Holdings One,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Mexico Holdings Two,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Nigeria Exploration Unlimited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Nigeria</w:t>
            </w:r>
          </w:p>
        </w:tc>
        <w:tc>
          <w:tcPr>
            <w:tcW w:w="420" w:type="dxa"/>
            <w:vAlign w:val="bottom"/>
          </w:tcPr>
          <w:p>
            <w:pPr>
              <w:spacing w:after="0"/>
              <w:rPr>
                <w:sz w:val="21"/>
                <w:szCs w:val="21"/>
                <w:color w:val="auto"/>
              </w:rPr>
            </w:pPr>
          </w:p>
        </w:tc>
      </w:tr>
      <w:tr>
        <w:trPr>
          <w:trHeight w:val="331"/>
        </w:trPr>
        <w:tc>
          <w:tcPr>
            <w:tcW w:w="7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30"/>
        </w:trPr>
        <w:tc>
          <w:tcPr>
            <w:tcW w:w="7040" w:type="dxa"/>
            <w:vAlign w:val="bottom"/>
            <w:tcBorders>
              <w:bottom w:val="single" w:sz="8" w:color="auto"/>
            </w:tcBorders>
          </w:tcPr>
          <w:p>
            <w:pPr>
              <w:ind w:left="3180"/>
              <w:spacing w:after="0"/>
              <w:rPr>
                <w:sz w:val="20"/>
                <w:szCs w:val="20"/>
                <w:color w:val="auto"/>
              </w:rPr>
            </w:pPr>
            <w:r>
              <w:rPr>
                <w:rFonts w:ascii="Arial" w:cs="Arial" w:eastAsia="Arial" w:hAnsi="Arial"/>
                <w:sz w:val="18"/>
                <w:szCs w:val="18"/>
                <w:color w:val="auto"/>
              </w:rPr>
              <w:t>Company</w:t>
            </w:r>
          </w:p>
        </w:tc>
        <w:tc>
          <w:tcPr>
            <w:tcW w:w="340" w:type="dxa"/>
            <w:vAlign w:val="bottom"/>
          </w:tcPr>
          <w:p>
            <w:pPr>
              <w:spacing w:after="0"/>
              <w:rPr>
                <w:sz w:val="20"/>
                <w:szCs w:val="20"/>
                <w:color w:val="auto"/>
              </w:rPr>
            </w:pPr>
          </w:p>
        </w:tc>
        <w:tc>
          <w:tcPr>
            <w:tcW w:w="36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Jurisdiction of Incorporation</w:t>
            </w:r>
          </w:p>
        </w:tc>
        <w:tc>
          <w:tcPr>
            <w:tcW w:w="420" w:type="dxa"/>
            <w:vAlign w:val="bottom"/>
          </w:tcPr>
          <w:p>
            <w:pPr>
              <w:spacing w:after="0"/>
              <w:rPr>
                <w:sz w:val="20"/>
                <w:szCs w:val="20"/>
                <w:color w:val="auto"/>
              </w:rPr>
            </w:pPr>
          </w:p>
        </w:tc>
      </w:tr>
      <w:tr>
        <w:trPr>
          <w:trHeight w:val="237"/>
        </w:trPr>
        <w:tc>
          <w:tcPr>
            <w:tcW w:w="7040" w:type="dxa"/>
            <w:vAlign w:val="bottom"/>
          </w:tcPr>
          <w:p>
            <w:pPr>
              <w:spacing w:after="0"/>
              <w:rPr>
                <w:sz w:val="20"/>
                <w:szCs w:val="20"/>
                <w:color w:val="auto"/>
              </w:rPr>
            </w:pPr>
            <w:r>
              <w:rPr>
                <w:rFonts w:ascii="Arial" w:cs="Arial" w:eastAsia="Arial" w:hAnsi="Arial"/>
                <w:sz w:val="18"/>
                <w:szCs w:val="18"/>
                <w:color w:val="auto"/>
              </w:rPr>
              <w:t>Ashland Oil (Nigeria) Company Unlimited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Nigeria</w:t>
            </w:r>
          </w:p>
        </w:tc>
        <w:tc>
          <w:tcPr>
            <w:tcW w:w="420" w:type="dxa"/>
            <w:vAlign w:val="bottom"/>
          </w:tcPr>
          <w:p>
            <w:pPr>
              <w:spacing w:after="0"/>
              <w:rPr>
                <w:sz w:val="20"/>
                <w:szCs w:val="20"/>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Oil,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Kentucky</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Pacific Pty. Ltd.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Australia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Pharmachem International Holdings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Services B. V.</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Netherlands</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Services Mexico, S.A. de C.V.</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Singapore Pte. Ltd.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Singapore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Spain Real Estate Holdings, S.L.</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Spain</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Specialties Austria GmbH</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Austria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Specialties Belgium BVBA</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Belgium</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Specialties France S.a.r.l.</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France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Specialties Hispania S.L.</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Spain</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Specialties Ireland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Ireland</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Specialties Sverige AB</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Sweden</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Specialties UK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United Kingdom</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SPECIALTY CHEMICAL (SINGAPORE) PTE. LTD.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Singapore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Specialty Chemical Korea Co., Ltd.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Korea, Republic of</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SPECIALTY CHEMICALS (MALAYSIA) SDN.BHD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Malaysia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 Specialty Ingredients G.P.</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Ashland-Alaskan,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Alaska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Ashland-Plasticos De Portugal, Lda.</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Portugal</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AshLux Three, S.à r.l.</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Luxembourg</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Ashmont Insurance Company,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Vermont</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AshOne C. V.</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Netherlands</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Ashprop Two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Avoca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North Carolina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Avoele, S.A. de C.V.</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Belleville Realty Corp.</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Blazer Properties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Bluegrass Insurance Company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Bermuda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Carol Clifton,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New Jersey</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CLTA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Curtis Bay Insurance Co. Ltd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Bermuda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CVG Capital III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East Bay Realty Services,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Ever Success Overseas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British Virgin Islands</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FRJ,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Georgia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Hercofina</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Hercules Holding BV BVBA</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Belgium</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Hercules Hydrocarbon Holdings,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Hercules International Limited,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Hercules Investment ApS</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Denmark</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Hercules Investments Netherlands B.V.</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Netherlands</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Hercules Islands Corporation</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VIRGIN ISLANDS (US)</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Hercules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Hercules Paper Holdings,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Hercules Trading (Shanghai) Company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CHINA, PEOPLES REPUBLIC OF</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International Specialty Holdings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International Specialty Products (India) Private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India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International Specialty Products Funding Corporation</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International Specialty Products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(Belgium) International N. V.</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Belgium</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Alginates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Asia Pacific Pte. Ltd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Singapore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Canada Corp.</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Province of Nova Scotia</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Capital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Chemco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Chemical Products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Chemicals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1"/>
                <w:szCs w:val="21"/>
                <w:color w:val="auto"/>
              </w:rPr>
            </w:pPr>
          </w:p>
        </w:tc>
      </w:tr>
      <w:tr>
        <w:trPr>
          <w:trHeight w:val="331"/>
        </w:trPr>
        <w:tc>
          <w:tcPr>
            <w:tcW w:w="7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52" w:right="21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30"/>
        </w:trPr>
        <w:tc>
          <w:tcPr>
            <w:tcW w:w="7040" w:type="dxa"/>
            <w:vAlign w:val="bottom"/>
            <w:tcBorders>
              <w:bottom w:val="single" w:sz="8" w:color="auto"/>
            </w:tcBorders>
          </w:tcPr>
          <w:p>
            <w:pPr>
              <w:ind w:left="3180"/>
              <w:spacing w:after="0"/>
              <w:rPr>
                <w:sz w:val="20"/>
                <w:szCs w:val="20"/>
                <w:color w:val="auto"/>
              </w:rPr>
            </w:pPr>
            <w:r>
              <w:rPr>
                <w:rFonts w:ascii="Arial" w:cs="Arial" w:eastAsia="Arial" w:hAnsi="Arial"/>
                <w:sz w:val="18"/>
                <w:szCs w:val="18"/>
                <w:color w:val="auto"/>
              </w:rPr>
              <w:t>Company</w:t>
            </w:r>
          </w:p>
        </w:tc>
        <w:tc>
          <w:tcPr>
            <w:tcW w:w="340" w:type="dxa"/>
            <w:vAlign w:val="bottom"/>
          </w:tcPr>
          <w:p>
            <w:pPr>
              <w:spacing w:after="0"/>
              <w:rPr>
                <w:sz w:val="20"/>
                <w:szCs w:val="20"/>
                <w:color w:val="auto"/>
              </w:rPr>
            </w:pPr>
          </w:p>
        </w:tc>
        <w:tc>
          <w:tcPr>
            <w:tcW w:w="36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Jurisdiction of Incorporation</w:t>
            </w:r>
          </w:p>
        </w:tc>
      </w:tr>
      <w:tr>
        <w:trPr>
          <w:trHeight w:val="237"/>
        </w:trPr>
        <w:tc>
          <w:tcPr>
            <w:tcW w:w="7040" w:type="dxa"/>
            <w:vAlign w:val="bottom"/>
          </w:tcPr>
          <w:p>
            <w:pPr>
              <w:spacing w:after="0"/>
              <w:rPr>
                <w:sz w:val="20"/>
                <w:szCs w:val="20"/>
                <w:color w:val="auto"/>
              </w:rPr>
            </w:pPr>
            <w:r>
              <w:rPr>
                <w:rFonts w:ascii="Arial" w:cs="Arial" w:eastAsia="Arial" w:hAnsi="Arial"/>
                <w:sz w:val="18"/>
                <w:szCs w:val="18"/>
                <w:color w:val="auto"/>
              </w:rPr>
              <w:t>ISP Environmental Services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France Holding SARL</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France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France Marketing SARL</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France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Freetown Fine Chemicals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Freight Services N. V.</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Belgium</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Global Operations (Barbados)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Barbados</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Global Technologies Deutschland Unterstutzungskasse GmbH</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Germany</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Global Technologies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Global Technologies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HC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Cyprus</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Holdings (U.K.) Ltd.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United Kingdom</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Hungary Holdings Limited Liability Company</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Hungary</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International Corp.</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Investments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Lima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Luxembourg Canada S.a.r.l.</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Luxembourg</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Management Company,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Marl Holdings GmbH</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Germany</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Microcaps (U.K.)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United Kingdom</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Pharma Systems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Real Estate Company,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Singapore Holding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Technologies Inc.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ISP Technologies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Jiangmen Ashland Chemicals Company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CHINA, PEOPLES REPUBLIC OF</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Pakistan Gum Industries (Private)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Pakistan</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Pharmachem Laboratories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Pharmachem Laboratories Utah,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Utah</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Prince Street Paterson,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New Jersey</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Progiven S.A.S.</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France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Proprietary Nutritionals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PT Ashland Asia</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Indonesia</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PT. Ashland Specialty Chemicals Indonesia</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Indonesia</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Ralop, S. de R.L. de C.V.</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Mexico</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Shanghai Ashland Chemical Technology Development Co., Ltd.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CHINA, PEOPLES REPUBLIC OF</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St Croix Petrochemical Corp</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VIRGIN ISLANDS (US)</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Taiwan Ashland Co., Ltd.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TAIWAN</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Techwax Limited</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United Kingdom</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Vemera, S. de R.L. de C.V.</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Mexico</w:t>
            </w:r>
          </w:p>
        </w:tc>
      </w:tr>
      <w:tr>
        <w:trPr>
          <w:trHeight w:val="243"/>
        </w:trPr>
        <w:tc>
          <w:tcPr>
            <w:tcW w:w="7040" w:type="dxa"/>
            <w:vAlign w:val="bottom"/>
          </w:tcPr>
          <w:p>
            <w:pPr>
              <w:spacing w:after="0"/>
              <w:rPr>
                <w:sz w:val="20"/>
                <w:szCs w:val="20"/>
                <w:color w:val="auto"/>
              </w:rPr>
            </w:pPr>
            <w:r>
              <w:rPr>
                <w:rFonts w:ascii="Arial" w:cs="Arial" w:eastAsia="Arial" w:hAnsi="Arial"/>
                <w:sz w:val="18"/>
                <w:szCs w:val="18"/>
                <w:color w:val="auto"/>
              </w:rPr>
              <w:t>WSP LLC</w:t>
            </w: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020"/>
          </w:cols>
          <w:pgMar w:left="240" w:top="152" w:right="6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800" w:hanging="400"/>
        <w:spacing w:after="0"/>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on Form S-8 (No. 333-131792-01) pertaining to the 2006 Ashland Inc. Incentive Plan,</w:t>
      </w:r>
    </w:p>
    <w:p>
      <w:pPr>
        <w:spacing w:after="0" w:line="23" w:lineRule="exact"/>
        <w:rPr>
          <w:rFonts w:ascii="Arial" w:cs="Arial" w:eastAsia="Arial" w:hAnsi="Arial"/>
          <w:sz w:val="18"/>
          <w:szCs w:val="18"/>
          <w:color w:val="auto"/>
        </w:rPr>
      </w:pPr>
    </w:p>
    <w:p>
      <w:pPr>
        <w:ind w:left="800" w:right="540" w:hanging="400"/>
        <w:spacing w:after="0" w:line="250" w:lineRule="auto"/>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Statements on Form S-8 (Nos. 333-172019-01 and 333-186408-01) pertaining to the Amended and Restated 2011 Ashland Inc. Incentive Plan,</w:t>
      </w:r>
    </w:p>
    <w:p>
      <w:pPr>
        <w:ind w:left="800" w:right="180" w:hanging="400"/>
        <w:spacing w:after="0" w:line="250" w:lineRule="auto"/>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on Form S-8 (No. 333-201895-01) pertaining to the Amended and Restated 2015 Ashland Global Holdings Inc. Incentive Plan,</w:t>
      </w:r>
    </w:p>
    <w:p>
      <w:pPr>
        <w:ind w:left="800" w:right="340" w:hanging="400"/>
        <w:spacing w:after="0" w:line="250" w:lineRule="auto"/>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on Form S-8 (No. 333-222841) pertaining to the Ashland Global Holdings Inc. 2018 Omnibus Incentive Compensation Plan,</w:t>
      </w:r>
    </w:p>
    <w:p>
      <w:pPr>
        <w:ind w:left="800" w:hanging="400"/>
        <w:spacing w:after="0"/>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on Form S-8 (No. 33-62091-01) pertaining to the Ashland Inc. Deferred Compensation Plan,</w:t>
      </w:r>
    </w:p>
    <w:p>
      <w:pPr>
        <w:spacing w:after="0" w:line="9" w:lineRule="exact"/>
        <w:rPr>
          <w:rFonts w:ascii="Arial" w:cs="Arial" w:eastAsia="Arial" w:hAnsi="Arial"/>
          <w:sz w:val="18"/>
          <w:szCs w:val="18"/>
          <w:color w:val="auto"/>
        </w:rPr>
      </w:pPr>
    </w:p>
    <w:p>
      <w:pPr>
        <w:ind w:left="800" w:right="180" w:hanging="400"/>
        <w:spacing w:after="0" w:line="265" w:lineRule="auto"/>
        <w:tabs>
          <w:tab w:leader="none" w:pos="8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Registration Statement on Form S-8 (No. 33-52125-01) pertaining to the Ashland Inc. Deferred Compensation Plan for Non-Employee Directors (Formerly known as Ashland Oil, Inc. Deferred Compensation and Stock Incentive Plan for Non-Employee Directors),</w:t>
      </w:r>
    </w:p>
    <w:p>
      <w:pPr>
        <w:ind w:left="800" w:right="620" w:hanging="400"/>
        <w:spacing w:after="0" w:line="250" w:lineRule="auto"/>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on Form S-8 (No. 333-122269-01) pertaining to the Ashland Global Holdings Inc. Deferred Compensation Plan for Employees (2005),</w:t>
      </w:r>
    </w:p>
    <w:p>
      <w:pPr>
        <w:ind w:left="800" w:right="220" w:hanging="400"/>
        <w:spacing w:after="0" w:line="250" w:lineRule="auto"/>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on Form S-8 (No. 333-122270-01) pertaining to the Ashland Global Holdings Inc. Deferred Compensation Plan for Non-Employee Directors (2005),</w:t>
      </w:r>
    </w:p>
    <w:p>
      <w:pPr>
        <w:ind w:left="800" w:hanging="400"/>
        <w:spacing w:after="0"/>
        <w:tabs>
          <w:tab w:leader="none" w:pos="8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Registration Statements on Form S-8 (Nos. 33-32612-100, 333-157040-01 and 333-203840-01) pertaining to the Ashland Employee Savings Plan,</w:t>
      </w:r>
    </w:p>
    <w:p>
      <w:pPr>
        <w:spacing w:after="0" w:line="32" w:lineRule="exact"/>
        <w:rPr>
          <w:rFonts w:ascii="Arial" w:cs="Arial" w:eastAsia="Arial" w:hAnsi="Arial"/>
          <w:sz w:val="16"/>
          <w:szCs w:val="16"/>
          <w:color w:val="auto"/>
        </w:rPr>
      </w:pPr>
    </w:p>
    <w:p>
      <w:pPr>
        <w:ind w:left="800" w:right="720" w:hanging="400"/>
        <w:spacing w:after="0" w:line="250" w:lineRule="auto"/>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Statements on Form S-8 (Nos. 333-155396-01 and 333-203840-01) pertaining to the Ashland Union Employee Savings Plan (Formerly known as the Hercules Incorporated Savings and Investment Plan),</w:t>
      </w:r>
    </w:p>
    <w:p>
      <w:pPr>
        <w:ind w:left="800" w:hanging="400"/>
        <w:spacing w:after="0"/>
        <w:tabs>
          <w:tab w:leader="none" w:pos="8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Registration Statements on Form S-8 (Nos. 333-184109-01 and 333-203840-01) pertaining to the International Specialty Products Inc. 401(k) Plan,</w:t>
      </w:r>
    </w:p>
    <w:p>
      <w:pPr>
        <w:spacing w:after="0" w:line="32" w:lineRule="exact"/>
        <w:rPr>
          <w:rFonts w:ascii="Arial" w:cs="Arial" w:eastAsia="Arial" w:hAnsi="Arial"/>
          <w:sz w:val="16"/>
          <w:szCs w:val="16"/>
          <w:color w:val="auto"/>
        </w:rPr>
      </w:pPr>
    </w:p>
    <w:p>
      <w:pPr>
        <w:ind w:left="800" w:hanging="400"/>
        <w:spacing w:after="0"/>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on Form S-3ASR (No. 333-214069) of Ashland Global Holdings Inc.,</w:t>
      </w:r>
    </w:p>
    <w:p>
      <w:pPr>
        <w:spacing w:after="0" w:line="9" w:lineRule="exact"/>
        <w:rPr>
          <w:rFonts w:ascii="Arial" w:cs="Arial" w:eastAsia="Arial" w:hAnsi="Arial"/>
          <w:sz w:val="18"/>
          <w:szCs w:val="18"/>
          <w:color w:val="auto"/>
        </w:rPr>
      </w:pPr>
    </w:p>
    <w:p>
      <w:pPr>
        <w:ind w:left="800" w:right="400" w:hanging="400"/>
        <w:spacing w:after="0" w:line="323" w:lineRule="auto"/>
        <w:tabs>
          <w:tab w:leader="none" w:pos="8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Registration Statement on Form S-8 (No. 333-215077) pertaining to the Amended and Restated Ashland Inc. Deferred Compensation Plan for Employees (2005) and the Amended and Restated Ashland Inc. Deferred Compensation Plan for Non-Employee Directors (2005).</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November 25, 2019, with respect to the consolidated financial statements of Ashland Global Holdings Inc. and Consolidated Subsidiaries and the effectiveness of internal control over financial reporting of Ashland Global Holdings Inc. and Consolidated Subsidiaries included in this Annual Report (Form 10-K) of Ashland Global Holdings Inc. for the year ended September 30, 2019.</w:t>
      </w:r>
    </w:p>
    <w:p>
      <w:pPr>
        <w:spacing w:after="0" w:line="18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25, 2019</w:t>
      </w:r>
    </w:p>
    <w:p>
      <w:pPr>
        <w:sectPr>
          <w:pgSz w:w="11900" w:h="16838" w:orient="portrait"/>
          <w:cols w:equalWidth="0" w:num="1">
            <w:col w:w="11420"/>
          </w:cols>
          <w:pgMar w:left="240" w:top="341"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color w:val="auto"/>
        </w:rPr>
        <w:t>EXHIBIT 23.2</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HAMILTON, RABINOVITZ &amp; ASSOCIATES, INC.</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We hereby consent to being named in Ashland Global Holdings Inc.’s Annual Report on Form 10-K for the year ended September 30, 2019 in the form and context in which we are named. We do not authorize or cause the filing of such Annual Report and do not make or purport to make any statement other than as reflected in the Annual Report.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 Francine F. Rabinovitz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2588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Hamilton, Rabinovitz &amp; Associates, Inc.</w:t>
      </w:r>
    </w:p>
    <w:p>
      <w:pPr>
        <w:spacing w:after="0"/>
        <w:rPr>
          <w:sz w:val="20"/>
          <w:szCs w:val="20"/>
          <w:color w:val="auto"/>
        </w:rPr>
      </w:pPr>
      <w:r>
        <w:rPr>
          <w:rFonts w:ascii="Arial" w:cs="Arial" w:eastAsia="Arial" w:hAnsi="Arial"/>
          <w:sz w:val="22"/>
          <w:szCs w:val="22"/>
          <w:color w:val="auto"/>
        </w:rPr>
        <w:t>November 25, 2019</w:t>
      </w:r>
    </w:p>
    <w:p>
      <w:pPr>
        <w:sectPr>
          <w:pgSz w:w="11900" w:h="16838" w:orient="portrait"/>
          <w:cols w:equalWidth="0" w:num="1">
            <w:col w:w="11420"/>
          </w:cols>
          <w:pgMar w:left="240" w:top="118"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22"/>
          <w:szCs w:val="22"/>
          <w:color w:val="auto"/>
        </w:rPr>
        <w:t>EXHIBIT 23.3</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NATHAN ASSOCIATES, INC.</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We hereby consent to being named in Ashland Global Holdings Inc.’s Annual Report on Form 10-K for the year ended September 30, 2019 in the form and context in which we are named. We do not authorize or cause the filing of such Annual Report and do not make or purport to make any statement other than as reflected in the Annual Report.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 Stephen E. Sellick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2588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Nathan Associates, Inc.</w:t>
      </w:r>
    </w:p>
    <w:p>
      <w:pPr>
        <w:spacing w:after="0"/>
        <w:rPr>
          <w:sz w:val="20"/>
          <w:szCs w:val="20"/>
          <w:color w:val="auto"/>
        </w:rPr>
      </w:pPr>
      <w:r>
        <w:rPr>
          <w:rFonts w:ascii="Arial" w:cs="Arial" w:eastAsia="Arial" w:hAnsi="Arial"/>
          <w:sz w:val="22"/>
          <w:szCs w:val="22"/>
          <w:color w:val="auto"/>
        </w:rPr>
        <w:t>November 25, 2019</w:t>
      </w:r>
    </w:p>
    <w:p>
      <w:pPr>
        <w:sectPr>
          <w:pgSz w:w="11900" w:h="16838" w:orient="portrait"/>
          <w:cols w:equalWidth="0" w:num="1">
            <w:col w:w="11420"/>
          </w:cols>
          <w:pgMar w:left="240" w:top="118"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22"/>
          <w:szCs w:val="22"/>
          <w:color w:val="auto"/>
        </w:rPr>
        <w:t>EXHIBIT 24</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145" w:lineRule="exact"/>
        <w:rPr>
          <w:sz w:val="20"/>
          <w:szCs w:val="20"/>
          <w:color w:val="auto"/>
        </w:rPr>
      </w:pPr>
    </w:p>
    <w:p>
      <w:pPr>
        <w:jc w:val="both"/>
        <w:ind w:firstLine="488"/>
        <w:spacing w:after="0" w:line="274" w:lineRule="auto"/>
        <w:rPr>
          <w:sz w:val="20"/>
          <w:szCs w:val="20"/>
          <w:color w:val="auto"/>
        </w:rPr>
      </w:pPr>
      <w:r>
        <w:rPr>
          <w:rFonts w:ascii="Arial" w:cs="Arial" w:eastAsia="Arial" w:hAnsi="Arial"/>
          <w:sz w:val="19"/>
          <w:szCs w:val="19"/>
          <w:color w:val="auto"/>
        </w:rPr>
        <w:t>KNOW ALL MEN BY THESE PRESENTS, that each of the undersigned Directors and Officers of ASHLAND GLOBAL HOLDINGS INC., a Delaware corporation (the “Corporation”), which anticipates filing an Annual Report on Form 10-K with the Securities and Exchange Commission, under the provisions of the Securities Act of 1933, as amended, hereby constitutes and appoints WILLIAM A. WULFSOHN, PETER J. GANZ and JENNIFER I. HENKEL, and each of them, his or her true and lawful attorneys-in-fact and agents, with full power to act without the others to sign and file such Annual Report and the exhibits thereto and any and all other documents in connection therewith, and any such amendments thereto, with the Securities and Exchange Commission, and to do and perform any and all acts and things requisite and necessary to be done in connection with the foregoing as fully as he or she might or could do in person, hereby ratifying and confirming all that said attorneys-in-fact and agents, or any of them, may lawfully do or cause to be done by virtue hereof.</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25, 2019</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/s/ William A. Wulfsohn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William A. Wulfsohn, Chairman of the Board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288988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rPr>
          <w:sz w:val="20"/>
          <w:szCs w:val="20"/>
          <w:color w:val="auto"/>
        </w:rPr>
      </w:pPr>
      <w:r>
        <w:rPr>
          <w:rFonts w:ascii="Arial" w:cs="Arial" w:eastAsia="Arial" w:hAnsi="Arial"/>
          <w:sz w:val="22"/>
          <w:szCs w:val="22"/>
          <w:color w:val="auto"/>
        </w:rPr>
        <w:t>(Principal Executive Officer)</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/s/ J. Kevin Willis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J. Kevin Willis, Senior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288988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Financial Officer</w:t>
      </w:r>
    </w:p>
    <w:p>
      <w:pPr>
        <w:spacing w:after="0"/>
        <w:rPr>
          <w:sz w:val="20"/>
          <w:szCs w:val="20"/>
          <w:color w:val="auto"/>
        </w:rPr>
      </w:pPr>
      <w:r>
        <w:rPr>
          <w:rFonts w:ascii="Arial" w:cs="Arial" w:eastAsia="Arial" w:hAnsi="Arial"/>
          <w:sz w:val="22"/>
          <w:szCs w:val="22"/>
          <w:color w:val="auto"/>
        </w:rPr>
        <w:t>(Principal Financial Officer)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 J. William Heitman</w:t>
      </w:r>
    </w:p>
    <w:p>
      <w:pPr>
        <w:spacing w:after="0" w:line="22" w:lineRule="exact"/>
        <w:rPr>
          <w:sz w:val="20"/>
          <w:szCs w:val="20"/>
          <w:color w:val="auto"/>
        </w:rPr>
      </w:pPr>
    </w:p>
    <w:p>
      <w:pPr>
        <w:ind w:right="2040"/>
        <w:spacing w:after="0" w:line="246" w:lineRule="auto"/>
        <w:rPr>
          <w:sz w:val="20"/>
          <w:szCs w:val="20"/>
          <w:color w:val="auto"/>
        </w:rPr>
      </w:pPr>
      <w:r>
        <w:rPr>
          <w:rFonts w:ascii="Arial" w:cs="Arial" w:eastAsia="Arial" w:hAnsi="Arial"/>
          <w:sz w:val="22"/>
          <w:szCs w:val="22"/>
          <w:color w:val="auto"/>
        </w:rPr>
        <w:t>J. William Heitman, Vice President and Controller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288988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/s/ Brendan M. Cummins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Brendan M. Cummins,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88988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 William G. Dempsey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William G. Dempsey,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88988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/s/ Jay V. Ihlenfeld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Jay V. Ihlenfeld,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88988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/s/ Susan L. Main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Susan L. Main,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88988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8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/s/ Guillermo Novo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Guillermo Novo,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2735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8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/s/ Jerome A. Peribere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Jerome A. Peribere,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2735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8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/s/ Craig A. Rogerson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Craig A. Rogerson,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2735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/s/ Mark C. Rohr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Mark C. Rohr,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2735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8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 Janice J. Teal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Janice J. Teal,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2735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/s/ Kathleen Wilson-Thompson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Kathleen Wilson-Thompson,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2735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ectPr>
          <w:pgSz w:w="11900" w:h="16838" w:orient="portrait"/>
          <w:cols w:equalWidth="0" w:num="2">
            <w:col w:w="6400" w:space="720"/>
            <w:col w:w="4300"/>
          </w:cols>
          <w:pgMar w:left="240" w:top="118" w:right="239" w:bottom="1440" w:gutter="0" w:footer="0" w:header="0"/>
          <w:type w:val="continuous"/>
        </w:sectPr>
      </w:pPr>
    </w:p>
    <w:bookmarkStart w:id="219" w:name="page220"/>
    <w:bookmarkEnd w:id="219"/>
    <w:p>
      <w:pPr>
        <w:jc w:val="right"/>
        <w:spacing w:after="0"/>
        <w:rPr>
          <w:sz w:val="20"/>
          <w:szCs w:val="20"/>
          <w:color w:val="auto"/>
        </w:rPr>
      </w:pPr>
      <w:r>
        <w:rPr>
          <w:rFonts w:ascii="Arial" w:cs="Arial" w:eastAsia="Arial" w:hAnsi="Arial"/>
          <w:sz w:val="20"/>
          <w:szCs w:val="20"/>
          <w:color w:val="auto"/>
        </w:rPr>
        <w:t>EXHIBIT 31.1</w:t>
      </w: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William A. Wulfsohn, certify that:</w:t>
      </w:r>
    </w:p>
    <w:p>
      <w:pPr>
        <w:spacing w:after="0" w:line="108" w:lineRule="exact"/>
        <w:rPr>
          <w:sz w:val="20"/>
          <w:szCs w:val="20"/>
          <w:color w:val="auto"/>
        </w:rPr>
      </w:pPr>
    </w:p>
    <w:p>
      <w:pPr>
        <w:ind w:left="480" w:hanging="391"/>
        <w:spacing w:after="0"/>
        <w:tabs>
          <w:tab w:leader="none" w:pos="48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Ashland Global Holdings Inc.;</w:t>
      </w:r>
    </w:p>
    <w:p>
      <w:pPr>
        <w:spacing w:after="0" w:line="107" w:lineRule="exact"/>
        <w:rPr>
          <w:rFonts w:ascii="Arial" w:cs="Arial" w:eastAsia="Arial" w:hAnsi="Arial"/>
          <w:sz w:val="20"/>
          <w:szCs w:val="20"/>
          <w:color w:val="auto"/>
        </w:rPr>
      </w:pPr>
    </w:p>
    <w:p>
      <w:pPr>
        <w:jc w:val="both"/>
        <w:ind w:left="480" w:hanging="391"/>
        <w:spacing w:after="0" w:line="250" w:lineRule="auto"/>
        <w:tabs>
          <w:tab w:leader="none" w:pos="48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ind w:left="480" w:right="20" w:hanging="391"/>
        <w:spacing w:after="0" w:line="316" w:lineRule="auto"/>
        <w:tabs>
          <w:tab w:leader="none" w:pos="4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rFonts w:ascii="Arial" w:cs="Arial" w:eastAsia="Arial" w:hAnsi="Arial"/>
          <w:sz w:val="18"/>
          <w:szCs w:val="18"/>
          <w:color w:val="auto"/>
        </w:rPr>
      </w:pPr>
    </w:p>
    <w:p>
      <w:pPr>
        <w:jc w:val="both"/>
        <w:ind w:left="480" w:hanging="391"/>
        <w:spacing w:after="0" w:line="275" w:lineRule="auto"/>
        <w:tabs>
          <w:tab w:leader="none" w:pos="4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91"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600" w:hanging="390"/>
        <w:spacing w:after="0" w:line="250" w:lineRule="auto"/>
        <w:tabs>
          <w:tab w:leader="none" w:pos="1600" w:val="left"/>
        </w:tabs>
        <w:numPr>
          <w:ilvl w:val="2"/>
          <w:numId w:val="10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400" w:hanging="392"/>
        <w:spacing w:after="0" w:line="245" w:lineRule="auto"/>
        <w:tabs>
          <w:tab w:leader="none" w:pos="40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jc w:val="both"/>
        <w:ind w:left="1600" w:hanging="390"/>
        <w:spacing w:after="0" w:line="241" w:lineRule="auto"/>
        <w:tabs>
          <w:tab w:leader="none" w:pos="1600" w:val="left"/>
        </w:tabs>
        <w:numPr>
          <w:ilvl w:val="2"/>
          <w:numId w:val="10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20"/>
          <w:szCs w:val="20"/>
          <w:color w:val="auto"/>
        </w:rPr>
      </w:pPr>
    </w:p>
    <w:p>
      <w:pPr>
        <w:ind w:left="1600" w:hanging="390"/>
        <w:spacing w:after="0" w:line="260" w:lineRule="auto"/>
        <w:tabs>
          <w:tab w:leader="none" w:pos="1600" w:val="left"/>
        </w:tabs>
        <w:numPr>
          <w:ilvl w:val="2"/>
          <w:numId w:val="10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November 25, 2019</w:t>
      </w:r>
    </w:p>
    <w:p>
      <w:pPr>
        <w:spacing w:after="0" w:line="229" w:lineRule="exact"/>
        <w:rPr>
          <w:sz w:val="20"/>
          <w:szCs w:val="20"/>
          <w:color w:val="auto"/>
        </w:rPr>
      </w:pPr>
    </w:p>
    <w:p>
      <w:pPr>
        <w:ind w:left="7020"/>
        <w:spacing w:after="0"/>
        <w:rPr>
          <w:sz w:val="20"/>
          <w:szCs w:val="20"/>
          <w:color w:val="auto"/>
        </w:rPr>
      </w:pPr>
      <w:r>
        <w:rPr>
          <w:rFonts w:ascii="Arial" w:cs="Arial" w:eastAsia="Arial" w:hAnsi="Arial"/>
          <w:sz w:val="20"/>
          <w:szCs w:val="20"/>
          <w:color w:val="auto"/>
        </w:rPr>
        <w:t>/s/ William A. Wulfsohn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7020"/>
        <w:spacing w:after="0"/>
        <w:rPr>
          <w:sz w:val="20"/>
          <w:szCs w:val="20"/>
          <w:color w:val="auto"/>
        </w:rPr>
      </w:pPr>
      <w:r>
        <w:rPr>
          <w:rFonts w:ascii="Arial" w:cs="Arial" w:eastAsia="Arial" w:hAnsi="Arial"/>
          <w:sz w:val="20"/>
          <w:szCs w:val="20"/>
          <w:color w:val="auto"/>
        </w:rPr>
        <w:t>William A. Wulfsohn</w:t>
      </w:r>
    </w:p>
    <w:p>
      <w:pPr>
        <w:spacing w:after="0" w:line="8" w:lineRule="exact"/>
        <w:rPr>
          <w:sz w:val="20"/>
          <w:szCs w:val="20"/>
          <w:color w:val="auto"/>
        </w:rPr>
      </w:pPr>
    </w:p>
    <w:p>
      <w:pPr>
        <w:ind w:left="7020"/>
        <w:spacing w:after="0"/>
        <w:rPr>
          <w:sz w:val="20"/>
          <w:szCs w:val="20"/>
          <w:color w:val="auto"/>
        </w:rPr>
      </w:pPr>
      <w:r>
        <w:rPr>
          <w:rFonts w:ascii="Arial" w:cs="Arial" w:eastAsia="Arial" w:hAnsi="Arial"/>
          <w:sz w:val="20"/>
          <w:szCs w:val="20"/>
          <w:color w:val="auto"/>
        </w:rPr>
        <w:t>Chairman and Chief Executive Officer</w:t>
      </w:r>
    </w:p>
    <w:p>
      <w:pPr>
        <w:ind w:left="702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420"/>
          </w:cols>
          <w:pgMar w:left="240" w:top="339"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20"/>
          <w:szCs w:val="20"/>
          <w:color w:val="auto"/>
        </w:rPr>
        <w:t>EXHIBIT 31.2</w:t>
      </w: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108" w:lineRule="exact"/>
        <w:rPr>
          <w:sz w:val="20"/>
          <w:szCs w:val="20"/>
          <w:color w:val="auto"/>
        </w:rPr>
      </w:pPr>
    </w:p>
    <w:p>
      <w:pPr>
        <w:ind w:left="480" w:hanging="391"/>
        <w:spacing w:after="0"/>
        <w:tabs>
          <w:tab w:leader="none" w:pos="48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Ashland Global Holdings Inc.;</w:t>
      </w:r>
    </w:p>
    <w:p>
      <w:pPr>
        <w:spacing w:after="0" w:line="107" w:lineRule="exact"/>
        <w:rPr>
          <w:rFonts w:ascii="Arial" w:cs="Arial" w:eastAsia="Arial" w:hAnsi="Arial"/>
          <w:sz w:val="20"/>
          <w:szCs w:val="20"/>
          <w:color w:val="auto"/>
        </w:rPr>
      </w:pPr>
    </w:p>
    <w:p>
      <w:pPr>
        <w:jc w:val="both"/>
        <w:ind w:left="480" w:hanging="391"/>
        <w:spacing w:after="0" w:line="250" w:lineRule="auto"/>
        <w:tabs>
          <w:tab w:leader="none" w:pos="48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ind w:left="480" w:right="20" w:hanging="391"/>
        <w:spacing w:after="0" w:line="316" w:lineRule="auto"/>
        <w:tabs>
          <w:tab w:leader="none" w:pos="4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rFonts w:ascii="Arial" w:cs="Arial" w:eastAsia="Arial" w:hAnsi="Arial"/>
          <w:sz w:val="18"/>
          <w:szCs w:val="18"/>
          <w:color w:val="auto"/>
        </w:rPr>
      </w:pPr>
    </w:p>
    <w:p>
      <w:pPr>
        <w:jc w:val="both"/>
        <w:ind w:left="480" w:hanging="391"/>
        <w:spacing w:after="0" w:line="275" w:lineRule="auto"/>
        <w:tabs>
          <w:tab w:leader="none" w:pos="4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91"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600" w:hanging="390"/>
        <w:spacing w:after="0" w:line="250" w:lineRule="auto"/>
        <w:tabs>
          <w:tab w:leader="none" w:pos="1600" w:val="left"/>
        </w:tabs>
        <w:numPr>
          <w:ilvl w:val="2"/>
          <w:numId w:val="10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400" w:hanging="392"/>
        <w:spacing w:after="0" w:line="245" w:lineRule="auto"/>
        <w:tabs>
          <w:tab w:leader="none" w:pos="40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jc w:val="both"/>
        <w:ind w:left="1600" w:hanging="390"/>
        <w:spacing w:after="0" w:line="241" w:lineRule="auto"/>
        <w:tabs>
          <w:tab w:leader="none" w:pos="1600" w:val="left"/>
        </w:tabs>
        <w:numPr>
          <w:ilvl w:val="2"/>
          <w:numId w:val="10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20"/>
          <w:szCs w:val="20"/>
          <w:color w:val="auto"/>
        </w:rPr>
      </w:pPr>
    </w:p>
    <w:p>
      <w:pPr>
        <w:ind w:left="1600" w:hanging="390"/>
        <w:spacing w:after="0" w:line="260" w:lineRule="auto"/>
        <w:tabs>
          <w:tab w:leader="none" w:pos="1600" w:val="left"/>
        </w:tabs>
        <w:numPr>
          <w:ilvl w:val="2"/>
          <w:numId w:val="10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November 25, 2019</w:t>
      </w:r>
    </w:p>
    <w:p>
      <w:pPr>
        <w:spacing w:after="0" w:line="229" w:lineRule="exact"/>
        <w:rPr>
          <w:sz w:val="20"/>
          <w:szCs w:val="20"/>
          <w:color w:val="auto"/>
        </w:rPr>
      </w:pPr>
    </w:p>
    <w:p>
      <w:pPr>
        <w:ind w:left="702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7020"/>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ind w:left="7020"/>
        <w:spacing w:after="0"/>
        <w:rPr>
          <w:sz w:val="20"/>
          <w:szCs w:val="20"/>
          <w:color w:val="auto"/>
        </w:rPr>
      </w:pPr>
      <w:r>
        <w:rPr>
          <w:rFonts w:ascii="Arial" w:cs="Arial" w:eastAsia="Arial" w:hAnsi="Arial"/>
          <w:sz w:val="20"/>
          <w:szCs w:val="20"/>
          <w:color w:val="auto"/>
        </w:rPr>
        <w:t>Chief Financial Officer</w:t>
      </w:r>
    </w:p>
    <w:p>
      <w:pPr>
        <w:ind w:left="702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420"/>
          </w:cols>
          <w:pgMar w:left="240" w:top="339"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22"/>
          <w:szCs w:val="22"/>
          <w:color w:val="auto"/>
        </w:rPr>
        <w:t>EXHIBIT 32</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ASHLAND GLOBAL HOLDINGS INC.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jc w:val="center"/>
        <w:spacing w:after="0" w:line="238" w:lineRule="auto"/>
        <w:rPr>
          <w:sz w:val="20"/>
          <w:szCs w:val="20"/>
          <w:color w:val="auto"/>
        </w:rPr>
      </w:pPr>
      <w:r>
        <w:rPr>
          <w:rFonts w:ascii="Arial" w:cs="Arial" w:eastAsia="Arial" w:hAnsi="Arial"/>
          <w:sz w:val="22"/>
          <w:szCs w:val="22"/>
          <w:color w:val="auto"/>
        </w:rPr>
        <w:t>18 U.S.C. SECTION 1350,</w:t>
      </w:r>
    </w:p>
    <w:p>
      <w:pPr>
        <w:jc w:val="center"/>
        <w:spacing w:after="0" w:line="230" w:lineRule="auto"/>
        <w:rPr>
          <w:sz w:val="20"/>
          <w:szCs w:val="20"/>
          <w:color w:val="auto"/>
        </w:rPr>
      </w:pPr>
      <w:r>
        <w:rPr>
          <w:rFonts w:ascii="Arial" w:cs="Arial" w:eastAsia="Arial" w:hAnsi="Arial"/>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connection with the Annual Report of Ashland Global Holdings Inc. (the “Company”) on Form 10-K for the period ended September 30, 2019 as filed with the Securities and Exchange Commission on the date hereof (the “Report”), each of the undersigned, William A. Wulfsohn, Chief Executive Officer of the Company, and J. Kevin Willis, Chief Financial Officer of the Company, certify, pursuant to 18 U.S.C. Section 1350, as adopted pursuant to Section 906 of the Sarbanes-Oxley Act of 2002, that:</w:t>
      </w:r>
    </w:p>
    <w:p>
      <w:pPr>
        <w:spacing w:after="0" w:line="143" w:lineRule="exact"/>
        <w:rPr>
          <w:sz w:val="20"/>
          <w:szCs w:val="20"/>
          <w:color w:val="auto"/>
        </w:rPr>
      </w:pPr>
    </w:p>
    <w:p>
      <w:pPr>
        <w:ind w:left="1420" w:hanging="399"/>
        <w:spacing w:after="0" w:line="251" w:lineRule="auto"/>
        <w:tabs>
          <w:tab w:leader="none" w:pos="14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73" w:lineRule="exact"/>
        <w:rPr>
          <w:rFonts w:ascii="Arial" w:cs="Arial" w:eastAsia="Arial" w:hAnsi="Arial"/>
          <w:sz w:val="22"/>
          <w:szCs w:val="22"/>
          <w:color w:val="auto"/>
        </w:rPr>
      </w:pPr>
    </w:p>
    <w:p>
      <w:pPr>
        <w:ind w:left="1420" w:hanging="399"/>
        <w:spacing w:after="0" w:line="251" w:lineRule="auto"/>
        <w:tabs>
          <w:tab w:leader="none" w:pos="142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22"/>
          <w:szCs w:val="22"/>
          <w:color w:val="auto"/>
        </w:rPr>
        <w:t>/s/ William A. Wulfsohn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5984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1" w:lineRule="exact"/>
        <w:rPr>
          <w:sz w:val="20"/>
          <w:szCs w:val="20"/>
          <w:color w:val="auto"/>
        </w:rPr>
      </w:pPr>
    </w:p>
    <w:p>
      <w:pPr>
        <w:ind w:left="60"/>
        <w:spacing w:after="0"/>
        <w:rPr>
          <w:sz w:val="20"/>
          <w:szCs w:val="20"/>
          <w:color w:val="auto"/>
        </w:rPr>
      </w:pPr>
      <w:r>
        <w:rPr>
          <w:rFonts w:ascii="Arial" w:cs="Arial" w:eastAsia="Arial" w:hAnsi="Arial"/>
          <w:sz w:val="22"/>
          <w:szCs w:val="22"/>
          <w:color w:val="auto"/>
        </w:rPr>
        <w:t>William A. Wulfsohn</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Chief Executive Officer</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November 25, 2019</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22"/>
          <w:szCs w:val="22"/>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5984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9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1" w:lineRule="exact"/>
        <w:rPr>
          <w:sz w:val="20"/>
          <w:szCs w:val="20"/>
          <w:color w:val="auto"/>
        </w:rPr>
      </w:pPr>
    </w:p>
    <w:p>
      <w:pPr>
        <w:ind w:left="60"/>
        <w:spacing w:after="0"/>
        <w:rPr>
          <w:sz w:val="20"/>
          <w:szCs w:val="20"/>
          <w:color w:val="auto"/>
        </w:rPr>
      </w:pPr>
      <w:r>
        <w:rPr>
          <w:rFonts w:ascii="Arial" w:cs="Arial" w:eastAsia="Arial" w:hAnsi="Arial"/>
          <w:sz w:val="22"/>
          <w:szCs w:val="22"/>
          <w:color w:val="auto"/>
        </w:rPr>
        <w:t>J. Kevin Willis</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Chief Financial Officer</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November 25, 2019</w:t>
      </w:r>
    </w:p>
    <w:sectPr>
      <w:pgSz w:w="11900" w:h="16838" w:orient="portrait"/>
      <w:cols w:equalWidth="0" w:num="1">
        <w:col w:w="11420"/>
      </w:cols>
      <w:pgMar w:left="240" w:top="3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1)"/>
      <w:numFmt w:val="lowerLetter"/>
      <w:start w:val="1"/>
    </w:lvl>
  </w:abstractNum>
  <w:abstractNum w:abstractNumId="5">
    <w:nsid w:val="23F9C13C"/>
    <w:multiLevelType w:val="hybridMultilevel"/>
    <w:lvl w:ilvl="0">
      <w:lvlJc w:val="left"/>
      <w:lvlText w:val="(%1)"/>
      <w:numFmt w:val="lowerLetter"/>
      <w:start w:val="2"/>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1)"/>
      <w:numFmt w:val="lowerLetter"/>
      <w:start w:val="1"/>
    </w:lvl>
  </w:abstractNum>
  <w:abstractNum w:abstractNumId="8">
    <w:nsid w:val="39386575"/>
    <w:multiLevelType w:val="hybridMultilevel"/>
    <w:lvl w:ilvl="0">
      <w:lvlJc w:val="left"/>
      <w:lvlText w:val="(%1)"/>
      <w:numFmt w:val="decimal"/>
      <w:start w:val="1"/>
    </w:lvl>
  </w:abstractNum>
  <w:abstractNum w:abstractNumId="9">
    <w:nsid w:val="1CF10FD8"/>
    <w:multiLevelType w:val="hybridMultilevel"/>
    <w:lvl w:ilvl="0">
      <w:lvlJc w:val="left"/>
      <w:lvlText w:val="(%1)"/>
      <w:numFmt w:val="lowerLetter"/>
      <w:start w:val="1"/>
    </w:lvl>
    <w:lvl w:ilvl="1">
      <w:lvlJc w:val="left"/>
      <w:lvlText w:val="(%2)"/>
      <w:numFmt w:val="decimal"/>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1)"/>
      <w:numFmt w:val="lowerLetter"/>
      <w:start w:val="1"/>
    </w:lvl>
  </w:abstractNum>
  <w:abstractNum w:abstractNumId="20">
    <w:nsid w:val="7E0C57B1"/>
    <w:multiLevelType w:val="hybridMultilevel"/>
    <w:lvl w:ilvl="0">
      <w:lvlJc w:val="left"/>
      <w:lvlText w:val="(%1)"/>
      <w:numFmt w:val="lowerLetter"/>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lvl w:ilvl="1">
      <w:lvlJc w:val="left"/>
      <w:lvlText w:val="o"/>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lvl w:ilvl="1">
      <w:lvlJc w:val="left"/>
      <w:lvlText w:val="o"/>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1)"/>
      <w:numFmt w:val="lowerLetter"/>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1)"/>
      <w:numFmt w:val="lowerLetter"/>
      <w:start w:val="1"/>
    </w:lvl>
  </w:abstractNum>
  <w:abstractNum w:abstractNumId="36">
    <w:nsid w:val="98A3148"/>
    <w:multiLevelType w:val="hybridMultilevel"/>
    <w:lvl w:ilvl="0">
      <w:lvlJc w:val="left"/>
      <w:lvlText w:val="(%1)"/>
      <w:numFmt w:val="lowerLetter"/>
      <w:start w:val="1"/>
    </w:lvl>
  </w:abstractNum>
  <w:abstractNum w:abstractNumId="37">
    <w:nsid w:val="799D0247"/>
    <w:multiLevelType w:val="hybridMultilevel"/>
    <w:lvl w:ilvl="0">
      <w:lvlJc w:val="left"/>
      <w:lvlText w:val="(%1)"/>
      <w:numFmt w:val="lowerLetter"/>
      <w:start w:val="1"/>
    </w:lvl>
  </w:abstractNum>
  <w:abstractNum w:abstractNumId="38">
    <w:nsid w:val="6B94764"/>
    <w:multiLevelType w:val="hybridMultilevel"/>
    <w:lvl w:ilvl="0">
      <w:lvlJc w:val="left"/>
      <w:lvlText w:val="(%1)"/>
      <w:numFmt w:val="lowerLetter"/>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1)"/>
      <w:numFmt w:val="lowerLetter"/>
      <w:start w:val="1"/>
    </w:lvl>
  </w:abstractNum>
  <w:abstractNum w:abstractNumId="41">
    <w:nsid w:val="1EBA5D23"/>
    <w:multiLevelType w:val="hybridMultilevel"/>
    <w:lvl w:ilvl="0">
      <w:lvlJc w:val="left"/>
      <w:lvlText w:val="(%1)"/>
      <w:numFmt w:val="lowerLetter"/>
      <w:start w:val="1"/>
    </w:lvl>
  </w:abstractNum>
  <w:abstractNum w:abstractNumId="42">
    <w:nsid w:val="661E3F1E"/>
    <w:multiLevelType w:val="hybridMultilevel"/>
    <w:lvl w:ilvl="0">
      <w:lvlJc w:val="left"/>
      <w:lvlText w:val="(%1)"/>
      <w:numFmt w:val="lowerLetter"/>
      <w:start w:val="1"/>
    </w:lvl>
  </w:abstractNum>
  <w:abstractNum w:abstractNumId="43">
    <w:nsid w:val="5DC79EA8"/>
    <w:multiLevelType w:val="hybridMultilevel"/>
    <w:lvl w:ilvl="0">
      <w:lvlJc w:val="left"/>
      <w:lvlText w:val="(%1)"/>
      <w:numFmt w:val="lowerLetter"/>
      <w:start w:val="1"/>
    </w:lvl>
  </w:abstractNum>
  <w:abstractNum w:abstractNumId="44">
    <w:nsid w:val="540A471C"/>
    <w:multiLevelType w:val="hybridMultilevel"/>
    <w:lvl w:ilvl="0">
      <w:lvlJc w:val="left"/>
      <w:lvlText w:val="(%1)"/>
      <w:numFmt w:val="lowerLetter"/>
      <w:start w:val="1"/>
    </w:lvl>
  </w:abstractNum>
  <w:abstractNum w:abstractNumId="45">
    <w:nsid w:val="7BD3EE7B"/>
    <w:multiLevelType w:val="hybridMultilevel"/>
    <w:lvl w:ilvl="0">
      <w:lvlJc w:val="left"/>
      <w:lvlText w:val="(%1)"/>
      <w:numFmt w:val="lowerLetter"/>
      <w:start w:val="1"/>
    </w:lvl>
  </w:abstractNum>
  <w:abstractNum w:abstractNumId="46">
    <w:nsid w:val="51D9C564"/>
    <w:multiLevelType w:val="hybridMultilevel"/>
    <w:lvl w:ilvl="0">
      <w:lvlJc w:val="left"/>
      <w:lvlText w:val="(%1)"/>
      <w:numFmt w:val="lowerLetter"/>
      <w:start w:val="1"/>
    </w:lvl>
  </w:abstractNum>
  <w:abstractNum w:abstractNumId="47">
    <w:nsid w:val="613EFDC5"/>
    <w:multiLevelType w:val="hybridMultilevel"/>
    <w:lvl w:ilvl="0">
      <w:lvlJc w:val="left"/>
      <w:lvlText w:val="(%1)"/>
      <w:numFmt w:val="lowerLetter"/>
      <w:start w:val="1"/>
    </w:lvl>
  </w:abstractNum>
  <w:abstractNum w:abstractNumId="48">
    <w:nsid w:val="BF72B14"/>
    <w:multiLevelType w:val="hybridMultilevel"/>
    <w:lvl w:ilvl="0">
      <w:lvlJc w:val="left"/>
      <w:lvlText w:val="(%1)"/>
      <w:numFmt w:val="lowerLetter"/>
      <w:start w:val="1"/>
    </w:lvl>
  </w:abstractNum>
  <w:abstractNum w:abstractNumId="49">
    <w:nsid w:val="11447B73"/>
    <w:multiLevelType w:val="hybridMultilevel"/>
    <w:lvl w:ilvl="0">
      <w:lvlJc w:val="left"/>
      <w:lvlText w:val="(%1)"/>
      <w:numFmt w:val="lowerLetter"/>
      <w:start w:val="1"/>
    </w:lvl>
  </w:abstractNum>
  <w:abstractNum w:abstractNumId="50">
    <w:nsid w:val="42963E5A"/>
    <w:multiLevelType w:val="hybridMultilevel"/>
    <w:lvl w:ilvl="0">
      <w:lvlJc w:val="left"/>
      <w:lvlText w:val="(%1)"/>
      <w:numFmt w:val="lowerLetter"/>
      <w:start w:val="1"/>
    </w:lvl>
  </w:abstractNum>
  <w:abstractNum w:abstractNumId="51">
    <w:nsid w:val="A0382C5"/>
    <w:multiLevelType w:val="hybridMultilevel"/>
    <w:lvl w:ilvl="0">
      <w:lvlJc w:val="left"/>
      <w:lvlText w:val="(%1)"/>
      <w:numFmt w:val="lowerLetter"/>
      <w:start w:val="1"/>
    </w:lvl>
  </w:abstractNum>
  <w:abstractNum w:abstractNumId="52">
    <w:nsid w:val="8F2B15E"/>
    <w:multiLevelType w:val="hybridMultilevel"/>
    <w:lvl w:ilvl="0">
      <w:lvlJc w:val="left"/>
      <w:lvlText w:val="(%1)"/>
      <w:numFmt w:val="lowerLetter"/>
      <w:start w:val="1"/>
    </w:lvl>
  </w:abstractNum>
  <w:abstractNum w:abstractNumId="53">
    <w:nsid w:val="1A32234B"/>
    <w:multiLevelType w:val="hybridMultilevel"/>
    <w:lvl w:ilvl="0">
      <w:lvlJc w:val="left"/>
      <w:lvlText w:val="(%1)"/>
      <w:numFmt w:val="lowerLetter"/>
      <w:start w:val="1"/>
    </w:lvl>
  </w:abstractNum>
  <w:abstractNum w:abstractNumId="54">
    <w:nsid w:val="3B0FD379"/>
    <w:multiLevelType w:val="hybridMultilevel"/>
    <w:lvl w:ilvl="0">
      <w:lvlJc w:val="left"/>
      <w:lvlText w:val="(%1)"/>
      <w:numFmt w:val="lowerLetter"/>
      <w:start w:val="1"/>
    </w:lvl>
  </w:abstractNum>
  <w:abstractNum w:abstractNumId="55">
    <w:nsid w:val="68EB2F63"/>
    <w:multiLevelType w:val="hybridMultilevel"/>
    <w:lvl w:ilvl="0">
      <w:lvlJc w:val="left"/>
      <w:lvlText w:val="(%1)"/>
      <w:numFmt w:val="lowerLetter"/>
      <w:start w:val="1"/>
    </w:lvl>
  </w:abstractNum>
  <w:abstractNum w:abstractNumId="56">
    <w:nsid w:val="4962813B"/>
    <w:multiLevelType w:val="hybridMultilevel"/>
    <w:lvl w:ilvl="0">
      <w:lvlJc w:val="left"/>
      <w:lvlText w:val="(%1)"/>
      <w:numFmt w:val="lowerLetter"/>
      <w:start w:val="1"/>
    </w:lvl>
  </w:abstractNum>
  <w:abstractNum w:abstractNumId="57">
    <w:nsid w:val="60B6DF70"/>
    <w:multiLevelType w:val="hybridMultilevel"/>
    <w:lvl w:ilvl="0">
      <w:lvlJc w:val="left"/>
      <w:lvlText w:val="(%1)"/>
      <w:numFmt w:val="lowerLetter"/>
      <w:start w:val="1"/>
    </w:lvl>
  </w:abstractNum>
  <w:abstractNum w:abstractNumId="58">
    <w:nsid w:val="6A5EE64"/>
    <w:multiLevelType w:val="hybridMultilevel"/>
    <w:lvl w:ilvl="0">
      <w:lvlJc w:val="left"/>
      <w:lvlText w:val="(%1)"/>
      <w:numFmt w:val="lowerLetter"/>
      <w:start w:val="1"/>
    </w:lvl>
  </w:abstractNum>
  <w:abstractNum w:abstractNumId="59">
    <w:nsid w:val="14330624"/>
    <w:multiLevelType w:val="hybridMultilevel"/>
    <w:lvl w:ilvl="0">
      <w:lvlJc w:val="left"/>
      <w:lvlText w:val="(%1)"/>
      <w:numFmt w:val="lowerLetter"/>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1)"/>
      <w:numFmt w:val="lowerLetter"/>
      <w:start w:val="1"/>
    </w:lvl>
  </w:abstractNum>
  <w:abstractNum w:abstractNumId="62">
    <w:nsid w:val="71EA1109"/>
    <w:multiLevelType w:val="hybridMultilevel"/>
    <w:lvl w:ilvl="0">
      <w:lvlJc w:val="left"/>
      <w:lvlText w:val="(%1)"/>
      <w:numFmt w:val="lowerLetter"/>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1)"/>
      <w:numFmt w:val="decimal"/>
      <w:start w:val="1"/>
    </w:lvl>
  </w:abstractNum>
  <w:abstractNum w:abstractNumId="65">
    <w:nsid w:val="6EB5BD4"/>
    <w:multiLevelType w:val="hybridMultilevel"/>
    <w:lvl w:ilvl="0">
      <w:lvlJc w:val="left"/>
      <w:lvlText w:val="(%1)"/>
      <w:numFmt w:val="decimal"/>
      <w:start w:val="1"/>
    </w:lvl>
  </w:abstractNum>
  <w:abstractNum w:abstractNumId="66">
    <w:nsid w:val="6F6DD9AC"/>
    <w:multiLevelType w:val="hybridMultilevel"/>
    <w:lvl w:ilvl="0">
      <w:lvlJc w:val="left"/>
      <w:lvlText w:val="(%1)"/>
      <w:numFmt w:val="decimal"/>
      <w:start w:val="11"/>
    </w:lvl>
  </w:abstractNum>
  <w:abstractNum w:abstractNumId="67">
    <w:nsid w:val="94211F2"/>
    <w:multiLevelType w:val="hybridMultilevel"/>
    <w:lvl w:ilvl="0">
      <w:lvlJc w:val="left"/>
      <w:lvlText w:val="(%1)"/>
      <w:numFmt w:val="decimal"/>
      <w:start w:val="1"/>
    </w:lvl>
  </w:abstractNum>
  <w:abstractNum w:abstractNumId="68">
    <w:nsid w:val="885E1B"/>
    <w:multiLevelType w:val="hybridMultilevel"/>
    <w:lvl w:ilvl="0">
      <w:lvlJc w:val="left"/>
      <w:lvlText w:val="(%1)"/>
      <w:numFmt w:val="decimal"/>
      <w:start w:val="1"/>
    </w:lvl>
  </w:abstractNum>
  <w:abstractNum w:abstractNumId="69">
    <w:nsid w:val="76272110"/>
    <w:multiLevelType w:val="hybridMultilevel"/>
    <w:lvl w:ilvl="0">
      <w:lvlJc w:val="left"/>
      <w:lvlText w:val="(%1)"/>
      <w:numFmt w:val="upperLetter"/>
      <w:start w:val="1"/>
    </w:lvl>
  </w:abstractNum>
  <w:abstractNum w:abstractNumId="70">
    <w:nsid w:val="4C04A8AF"/>
    <w:multiLevelType w:val="hybridMultilevel"/>
    <w:lvl w:ilvl="0">
      <w:lvlJc w:val="left"/>
      <w:lvlText w:val="(%1)"/>
      <w:numFmt w:val="decimal"/>
      <w:start w:val="1"/>
    </w:lvl>
  </w:abstractNum>
  <w:abstractNum w:abstractNumId="71">
    <w:nsid w:val="1716703B"/>
    <w:multiLevelType w:val="hybridMultilevel"/>
    <w:lvl w:ilvl="0">
      <w:lvlJc w:val="left"/>
      <w:lvlText w:val="(%1)"/>
      <w:numFmt w:val="decimal"/>
      <w:start w:val="1"/>
    </w:lvl>
  </w:abstractNum>
  <w:abstractNum w:abstractNumId="72">
    <w:nsid w:val="14E17E33"/>
    <w:multiLevelType w:val="hybridMultilevel"/>
    <w:lvl w:ilvl="0">
      <w:lvlJc w:val="left"/>
      <w:lvlText w:val="(%1)"/>
      <w:numFmt w:val="decimal"/>
      <w:start w:val="1"/>
    </w:lvl>
  </w:abstractNum>
  <w:abstractNum w:abstractNumId="73">
    <w:nsid w:val="3222E7CD"/>
    <w:multiLevelType w:val="hybridMultilevel"/>
    <w:lvl w:ilvl="0">
      <w:lvlJc w:val="left"/>
      <w:lvlText w:val="(%1)"/>
      <w:numFmt w:val="lowerLetter"/>
      <w:start w:val="2"/>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1)"/>
      <w:numFmt w:val="decimal"/>
      <w:start w:val="1"/>
    </w:lvl>
  </w:abstractNum>
  <w:abstractNum w:abstractNumId="77">
    <w:nsid w:val="46B7D447"/>
    <w:multiLevelType w:val="hybridMultilevel"/>
    <w:lvl w:ilvl="0">
      <w:lvlJc w:val="left"/>
      <w:lvlText w:val="(%1)"/>
      <w:numFmt w:val="upperLetter"/>
      <w:start w:val="2"/>
    </w:lvl>
  </w:abstractNum>
  <w:abstractNum w:abstractNumId="78">
    <w:nsid w:val="4A2AC315"/>
    <w:multiLevelType w:val="hybridMultilevel"/>
    <w:lvl w:ilvl="0">
      <w:lvlJc w:val="left"/>
      <w:lvlText w:val="(%1)"/>
      <w:numFmt w:val="lowerRoman"/>
      <w:start w:val="10"/>
    </w:lvl>
  </w:abstractNum>
  <w:abstractNum w:abstractNumId="79">
    <w:nsid w:val="39EE015C"/>
    <w:multiLevelType w:val="hybridMultilevel"/>
    <w:lvl w:ilvl="0">
      <w:lvlJc w:val="left"/>
      <w:lvlText w:val="(%1)"/>
      <w:numFmt w:val="lowerLetter"/>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1)"/>
      <w:numFmt w:val="decimal"/>
      <w:start w:val="1"/>
    </w:lvl>
  </w:abstractNum>
  <w:abstractNum w:abstractNumId="82">
    <w:nsid w:val="43F18422"/>
    <w:multiLevelType w:val="hybridMultilevel"/>
    <w:lvl w:ilvl="0">
      <w:lvlJc w:val="left"/>
      <w:lvlText w:val="(%1)"/>
      <w:numFmt w:val="decimal"/>
      <w:start w:val="1"/>
    </w:lvl>
  </w:abstractNum>
  <w:abstractNum w:abstractNumId="83">
    <w:nsid w:val="60EF0119"/>
    <w:multiLevelType w:val="hybridMultilevel"/>
    <w:lvl w:ilvl="0">
      <w:lvlJc w:val="left"/>
      <w:lvlText w:val="(%1)"/>
      <w:numFmt w:val="decimal"/>
      <w:start w:val="9"/>
    </w:lvl>
  </w:abstractNum>
  <w:abstractNum w:abstractNumId="84">
    <w:nsid w:val="26F324BA"/>
    <w:multiLevelType w:val="hybridMultilevel"/>
    <w:lvl w:ilvl="0">
      <w:lvlJc w:val="left"/>
      <w:lvlText w:val="(%1)"/>
      <w:numFmt w:val="decimal"/>
      <w:start w:val="1"/>
    </w:lvl>
  </w:abstractNum>
  <w:abstractNum w:abstractNumId="85">
    <w:nsid w:val="7F01579B"/>
    <w:multiLevelType w:val="hybridMultilevel"/>
    <w:lvl w:ilvl="0">
      <w:lvlJc w:val="left"/>
      <w:lvlText w:val="(%1)"/>
      <w:numFmt w:val="decimal"/>
      <w:start w:val="1"/>
    </w:lvl>
  </w:abstractNum>
  <w:abstractNum w:abstractNumId="86">
    <w:nsid w:val="49DA307D"/>
    <w:multiLevelType w:val="hybridMultilevel"/>
    <w:lvl w:ilvl="0">
      <w:lvlJc w:val="left"/>
      <w:lvlText w:val="(%1)"/>
      <w:numFmt w:val="upperLetter"/>
      <w:start w:val="1"/>
    </w:lvl>
  </w:abstractNum>
  <w:abstractNum w:abstractNumId="87">
    <w:nsid w:val="7055A5F5"/>
    <w:multiLevelType w:val="hybridMultilevel"/>
    <w:lvl w:ilvl="0">
      <w:lvlJc w:val="left"/>
      <w:lvlText w:val="(%1)"/>
      <w:numFmt w:val="decimal"/>
      <w:start w:val="1"/>
    </w:lvl>
  </w:abstractNum>
  <w:abstractNum w:abstractNumId="88">
    <w:nsid w:val="5FB8370B"/>
    <w:multiLevelType w:val="hybridMultilevel"/>
    <w:lvl w:ilvl="0">
      <w:lvlJc w:val="left"/>
      <w:lvlText w:val="(%1)"/>
      <w:numFmt w:val="decimal"/>
      <w:start w:val="1"/>
    </w:lvl>
  </w:abstractNum>
  <w:abstractNum w:abstractNumId="89">
    <w:nsid w:val="50801EE1"/>
    <w:multiLevelType w:val="hybridMultilevel"/>
    <w:lvl w:ilvl="0">
      <w:lvlJc w:val="left"/>
      <w:lvlText w:val="(%1)"/>
      <w:numFmt w:val="decimal"/>
      <w:start w:val="1"/>
    </w:lvl>
  </w:abstractNum>
  <w:abstractNum w:abstractNumId="90">
    <w:nsid w:val="488AC1A"/>
    <w:multiLevelType w:val="hybridMultilevel"/>
    <w:lvl w:ilvl="0">
      <w:lvlJc w:val="left"/>
      <w:lvlText w:val="(%1)"/>
      <w:numFmt w:val="lowerLetter"/>
      <w:start w:val="2"/>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1)"/>
      <w:numFmt w:val="decimal"/>
      <w:start w:val="1"/>
    </w:lvl>
  </w:abstractNum>
  <w:abstractNum w:abstractNumId="94">
    <w:nsid w:val="6FC75AF8"/>
    <w:multiLevelType w:val="hybridMultilevel"/>
    <w:lvl w:ilvl="0">
      <w:lvlJc w:val="left"/>
      <w:lvlText w:val="(%1)"/>
      <w:numFmt w:val="lowerRoman"/>
      <w:start w:val="10"/>
    </w:lvl>
  </w:abstractNum>
  <w:abstractNum w:abstractNumId="95">
    <w:nsid w:val="6A5F7029"/>
    <w:multiLevelType w:val="hybridMultilevel"/>
    <w:lvl w:ilvl="0">
      <w:lvlJc w:val="left"/>
      <w:lvlText w:val="(%1)"/>
      <w:numFmt w:val="lowerLetter"/>
      <w:start w:val="1"/>
    </w:lvl>
  </w:abstractNum>
  <w:abstractNum w:abstractNumId="96">
    <w:nsid w:val="7D5E18F8"/>
    <w:multiLevelType w:val="hybridMultilevel"/>
    <w:lvl w:ilvl="0">
      <w:lvlJc w:val="left"/>
      <w:lvlText w:val="(%1)"/>
      <w:numFmt w:val="upperLetter"/>
      <w:start w:val="2"/>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decimal"/>
      <w:start w:val="1"/>
    </w:lvl>
  </w:abstractNum>
  <w:abstractNum w:abstractNumId="99">
    <w:nsid w:val="7DE6771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0">
    <w:nsid w:val="555C55B5"/>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01">
    <w:nsid w:val="3FA62AC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2">
    <w:nsid w:val="14FCE74E"/>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82" Type="http://schemas.openxmlformats.org/officeDocument/2006/relationships/image" Target="media/image41.png"/><Relationship Id="rId83" Type="http://schemas.openxmlformats.org/officeDocument/2006/relationships/image" Target="media/image42.png"/><Relationship Id="rId99" Type="http://schemas.openxmlformats.org/officeDocument/2006/relationships/image" Target="media/image43.png"/><Relationship Id="rId100" Type="http://schemas.openxmlformats.org/officeDocument/2006/relationships/image" Target="media/image44.png"/><Relationship Id="rId114" Type="http://schemas.openxmlformats.org/officeDocument/2006/relationships/image" Target="media/image45.png"/><Relationship Id="rId125" Type="http://schemas.openxmlformats.org/officeDocument/2006/relationships/image" Target="media/image46.png"/><Relationship Id="rId126" Type="http://schemas.openxmlformats.org/officeDocument/2006/relationships/image" Target="media/image47.png"/><Relationship Id="rId131" Type="http://schemas.openxmlformats.org/officeDocument/2006/relationships/image" Target="media/image48.png"/><Relationship Id="rId132" Type="http://schemas.openxmlformats.org/officeDocument/2006/relationships/image" Target="media/image49.png"/><Relationship Id="rId133" Type="http://schemas.openxmlformats.org/officeDocument/2006/relationships/image" Target="media/image50.png"/><Relationship Id="rId134" Type="http://schemas.openxmlformats.org/officeDocument/2006/relationships/image" Target="media/image51.png"/><Relationship Id="rId135" Type="http://schemas.openxmlformats.org/officeDocument/2006/relationships/image" Target="media/image52.png"/><Relationship Id="rId136" Type="http://schemas.openxmlformats.org/officeDocument/2006/relationships/image" Target="media/image53.png"/><Relationship Id="rId137" Type="http://schemas.openxmlformats.org/officeDocument/2006/relationships/image" Target="media/image54.png"/><Relationship Id="rId138" Type="http://schemas.openxmlformats.org/officeDocument/2006/relationships/image" Target="media/image55.png"/><Relationship Id="rId139" Type="http://schemas.openxmlformats.org/officeDocument/2006/relationships/image" Target="media/image56.png"/><Relationship Id="rId140" Type="http://schemas.openxmlformats.org/officeDocument/2006/relationships/image" Target="media/image57.png"/><Relationship Id="rId141" Type="http://schemas.openxmlformats.org/officeDocument/2006/relationships/image" Target="media/image58.png"/><Relationship Id="rId142" Type="http://schemas.openxmlformats.org/officeDocument/2006/relationships/image" Target="media/image59.png"/><Relationship Id="rId143" Type="http://schemas.openxmlformats.org/officeDocument/2006/relationships/image" Target="media/image60.png"/><Relationship Id="rId144" Type="http://schemas.openxmlformats.org/officeDocument/2006/relationships/image" Target="media/image61.png"/><Relationship Id="rId145" Type="http://schemas.openxmlformats.org/officeDocument/2006/relationships/image" Target="media/image62.png"/><Relationship Id="rId146" Type="http://schemas.openxmlformats.org/officeDocument/2006/relationships/image" Target="media/image63.png"/><Relationship Id="rId147" Type="http://schemas.openxmlformats.org/officeDocument/2006/relationships/image" Target="media/image64.png"/><Relationship Id="rId148" Type="http://schemas.openxmlformats.org/officeDocument/2006/relationships/image" Target="media/image65.png"/><Relationship Id="rId149" Type="http://schemas.openxmlformats.org/officeDocument/2006/relationships/image" Target="media/image66.png"/><Relationship Id="rId150" Type="http://schemas.openxmlformats.org/officeDocument/2006/relationships/image" Target="media/image67.png"/><Relationship Id="rId151" Type="http://schemas.openxmlformats.org/officeDocument/2006/relationships/image" Target="media/image68.png"/><Relationship Id="rId152" Type="http://schemas.openxmlformats.org/officeDocument/2006/relationships/image" Target="media/image69.png"/><Relationship Id="rId153" Type="http://schemas.openxmlformats.org/officeDocument/2006/relationships/image" Target="media/image70.png"/><Relationship Id="rId154" Type="http://schemas.openxmlformats.org/officeDocument/2006/relationships/image" Target="media/image71.png"/><Relationship Id="rId155" Type="http://schemas.openxmlformats.org/officeDocument/2006/relationships/image" Target="media/image72.png"/><Relationship Id="rId156" Type="http://schemas.openxmlformats.org/officeDocument/2006/relationships/image" Target="media/image73.png"/><Relationship Id="rId157" Type="http://schemas.openxmlformats.org/officeDocument/2006/relationships/image" Target="media/image74.png"/><Relationship Id="rId158" Type="http://schemas.openxmlformats.org/officeDocument/2006/relationships/image" Target="media/image75.png"/><Relationship Id="rId159" Type="http://schemas.openxmlformats.org/officeDocument/2006/relationships/image" Target="media/image76.png"/><Relationship Id="rId160" Type="http://schemas.openxmlformats.org/officeDocument/2006/relationships/image" Target="media/image77.png"/><Relationship Id="rId161" Type="http://schemas.openxmlformats.org/officeDocument/2006/relationships/image" Target="media/image78.png"/><Relationship Id="rId162" Type="http://schemas.openxmlformats.org/officeDocument/2006/relationships/image" Target="media/image79.png"/><Relationship Id="rId163" Type="http://schemas.openxmlformats.org/officeDocument/2006/relationships/image" Target="media/image80.png"/><Relationship Id="rId164" Type="http://schemas.openxmlformats.org/officeDocument/2006/relationships/image" Target="media/image81.png"/><Relationship Id="rId165" Type="http://schemas.openxmlformats.org/officeDocument/2006/relationships/image" Target="media/image82.png"/><Relationship Id="rId166" Type="http://schemas.openxmlformats.org/officeDocument/2006/relationships/image" Target="media/image83.png"/><Relationship Id="rId167" Type="http://schemas.openxmlformats.org/officeDocument/2006/relationships/image" Target="media/image84.png"/><Relationship Id="rId168" Type="http://schemas.openxmlformats.org/officeDocument/2006/relationships/image" Target="media/image85.png"/><Relationship Id="rId169" Type="http://schemas.openxmlformats.org/officeDocument/2006/relationships/image" Target="media/image86.png"/><Relationship Id="rId170" Type="http://schemas.openxmlformats.org/officeDocument/2006/relationships/image" Target="media/image87.png"/><Relationship Id="rId171" Type="http://schemas.openxmlformats.org/officeDocument/2006/relationships/image" Target="media/image88.png"/><Relationship Id="rId172" Type="http://schemas.openxmlformats.org/officeDocument/2006/relationships/image" Target="media/image89.png"/><Relationship Id="rId173" Type="http://schemas.openxmlformats.org/officeDocument/2006/relationships/image" Target="media/image90.png"/><Relationship Id="rId174" Type="http://schemas.openxmlformats.org/officeDocument/2006/relationships/image" Target="media/image91.png"/><Relationship Id="rId175" Type="http://schemas.openxmlformats.org/officeDocument/2006/relationships/image" Target="media/image92.png"/><Relationship Id="rId176" Type="http://schemas.openxmlformats.org/officeDocument/2006/relationships/image" Target="media/image93.png"/><Relationship Id="rId177" Type="http://schemas.openxmlformats.org/officeDocument/2006/relationships/image" Target="media/image94.png"/><Relationship Id="rId178" Type="http://schemas.openxmlformats.org/officeDocument/2006/relationships/image" Target="media/image95.png"/><Relationship Id="rId179" Type="http://schemas.openxmlformats.org/officeDocument/2006/relationships/image" Target="media/image96.png"/><Relationship Id="rId180" Type="http://schemas.openxmlformats.org/officeDocument/2006/relationships/image" Target="media/image97.png"/><Relationship Id="rId181" Type="http://schemas.openxmlformats.org/officeDocument/2006/relationships/image" Target="media/image98.png"/><Relationship Id="rId182" Type="http://schemas.openxmlformats.org/officeDocument/2006/relationships/image" Target="media/image99.png"/><Relationship Id="rId183" Type="http://schemas.openxmlformats.org/officeDocument/2006/relationships/image" Target="media/image100.png"/><Relationship Id="rId184" Type="http://schemas.openxmlformats.org/officeDocument/2006/relationships/image" Target="media/image101.png"/><Relationship Id="rId185" Type="http://schemas.openxmlformats.org/officeDocument/2006/relationships/image" Target="media/image102.png"/><Relationship Id="rId186" Type="http://schemas.openxmlformats.org/officeDocument/2006/relationships/image" Target="media/image103.png"/><Relationship Id="rId187" Type="http://schemas.openxmlformats.org/officeDocument/2006/relationships/image" Target="media/image104.png"/><Relationship Id="rId188" Type="http://schemas.openxmlformats.org/officeDocument/2006/relationships/image" Target="media/image105.png"/><Relationship Id="rId189" Type="http://schemas.openxmlformats.org/officeDocument/2006/relationships/image" Target="media/image106.png"/><Relationship Id="rId190" Type="http://schemas.openxmlformats.org/officeDocument/2006/relationships/image" Target="media/image107.png"/><Relationship Id="rId191" Type="http://schemas.openxmlformats.org/officeDocument/2006/relationships/image" Target="media/image108.png"/><Relationship Id="rId192" Type="http://schemas.openxmlformats.org/officeDocument/2006/relationships/image" Target="media/image109.png"/><Relationship Id="rId193" Type="http://schemas.openxmlformats.org/officeDocument/2006/relationships/image" Target="media/image110.png"/><Relationship Id="rId194" Type="http://schemas.openxmlformats.org/officeDocument/2006/relationships/image" Target="media/image111.png"/><Relationship Id="rId195" Type="http://schemas.openxmlformats.org/officeDocument/2006/relationships/image" Target="media/image112.png"/><Relationship Id="rId196" Type="http://schemas.openxmlformats.org/officeDocument/2006/relationships/image" Target="media/image113.png"/><Relationship Id="rId197" Type="http://schemas.openxmlformats.org/officeDocument/2006/relationships/image" Target="media/image114.png"/><Relationship Id="rId198" Type="http://schemas.openxmlformats.org/officeDocument/2006/relationships/image" Target="media/image115.png"/><Relationship Id="rId199" Type="http://schemas.openxmlformats.org/officeDocument/2006/relationships/image" Target="media/image116.png"/><Relationship Id="rId200" Type="http://schemas.openxmlformats.org/officeDocument/2006/relationships/image" Target="media/image117.png"/><Relationship Id="rId201" Type="http://schemas.openxmlformats.org/officeDocument/2006/relationships/image" Target="media/image118.png"/><Relationship Id="rId202" Type="http://schemas.openxmlformats.org/officeDocument/2006/relationships/image" Target="media/image119.png"/><Relationship Id="rId203" Type="http://schemas.openxmlformats.org/officeDocument/2006/relationships/image" Target="media/image120.png"/><Relationship Id="rId204" Type="http://schemas.openxmlformats.org/officeDocument/2006/relationships/image" Target="media/image121.png"/><Relationship Id="rId205" Type="http://schemas.openxmlformats.org/officeDocument/2006/relationships/image" Target="media/image122.png"/><Relationship Id="rId206" Type="http://schemas.openxmlformats.org/officeDocument/2006/relationships/image" Target="media/image123.png"/><Relationship Id="rId207" Type="http://schemas.openxmlformats.org/officeDocument/2006/relationships/image" Target="media/image124.png"/><Relationship Id="rId208" Type="http://schemas.openxmlformats.org/officeDocument/2006/relationships/image" Target="media/image125.png"/><Relationship Id="rId209" Type="http://schemas.openxmlformats.org/officeDocument/2006/relationships/image" Target="media/image126.png"/><Relationship Id="rId210" Type="http://schemas.openxmlformats.org/officeDocument/2006/relationships/image" Target="media/image127.png"/><Relationship Id="rId211" Type="http://schemas.openxmlformats.org/officeDocument/2006/relationships/image" Target="media/image128.png"/><Relationship Id="rId212" Type="http://schemas.openxmlformats.org/officeDocument/2006/relationships/image" Target="media/image129.png"/><Relationship Id="rId213" Type="http://schemas.openxmlformats.org/officeDocument/2006/relationships/image" Target="media/image130.png"/><Relationship Id="rId214" Type="http://schemas.openxmlformats.org/officeDocument/2006/relationships/image" Target="media/image131.png"/><Relationship Id="rId215" Type="http://schemas.openxmlformats.org/officeDocument/2006/relationships/image" Target="media/image132.png"/><Relationship Id="rId216" Type="http://schemas.openxmlformats.org/officeDocument/2006/relationships/image" Target="media/image133.png"/><Relationship Id="rId217" Type="http://schemas.openxmlformats.org/officeDocument/2006/relationships/image" Target="media/image134.png"/><Relationship Id="rId218" Type="http://schemas.openxmlformats.org/officeDocument/2006/relationships/image" Target="media/image135.png"/><Relationship Id="rId219" Type="http://schemas.openxmlformats.org/officeDocument/2006/relationships/image" Target="media/image136.png"/><Relationship Id="rId220" Type="http://schemas.openxmlformats.org/officeDocument/2006/relationships/image" Target="media/image137.png"/><Relationship Id="rId221" Type="http://schemas.openxmlformats.org/officeDocument/2006/relationships/image" Target="media/image138.png"/><Relationship Id="rId222" Type="http://schemas.openxmlformats.org/officeDocument/2006/relationships/image" Target="media/image139.png"/><Relationship Id="rId223" Type="http://schemas.openxmlformats.org/officeDocument/2006/relationships/image" Target="media/image140.png"/><Relationship Id="rId224" Type="http://schemas.openxmlformats.org/officeDocument/2006/relationships/image" Target="media/image141.png"/><Relationship Id="rId225" Type="http://schemas.openxmlformats.org/officeDocument/2006/relationships/image" Target="media/image142.png"/><Relationship Id="rId226" Type="http://schemas.openxmlformats.org/officeDocument/2006/relationships/image" Target="media/image143.png"/><Relationship Id="rId227" Type="http://schemas.openxmlformats.org/officeDocument/2006/relationships/image" Target="media/image144.png"/><Relationship Id="rId228" Type="http://schemas.openxmlformats.org/officeDocument/2006/relationships/image" Target="media/image145.png"/><Relationship Id="rId229" Type="http://schemas.openxmlformats.org/officeDocument/2006/relationships/image" Target="media/image146.png"/><Relationship Id="rId230" Type="http://schemas.openxmlformats.org/officeDocument/2006/relationships/image" Target="media/image147.png"/><Relationship Id="rId231" Type="http://schemas.openxmlformats.org/officeDocument/2006/relationships/image" Target="media/image148.png"/><Relationship Id="rId232" Type="http://schemas.openxmlformats.org/officeDocument/2006/relationships/image" Target="media/image149.png"/><Relationship Id="rId233" Type="http://schemas.openxmlformats.org/officeDocument/2006/relationships/image" Target="media/image150.png"/><Relationship Id="rId234" Type="http://schemas.openxmlformats.org/officeDocument/2006/relationships/image" Target="media/image151.png"/><Relationship Id="rId235" Type="http://schemas.openxmlformats.org/officeDocument/2006/relationships/image" Target="media/image152.png"/><Relationship Id="rId236" Type="http://schemas.openxmlformats.org/officeDocument/2006/relationships/image" Target="media/image153.png"/><Relationship Id="rId237" Type="http://schemas.openxmlformats.org/officeDocument/2006/relationships/image" Target="media/image154.png"/><Relationship Id="rId238" Type="http://schemas.openxmlformats.org/officeDocument/2006/relationships/image" Target="media/image155.png"/><Relationship Id="rId239" Type="http://schemas.openxmlformats.org/officeDocument/2006/relationships/image" Target="media/image156.png"/><Relationship Id="rId240" Type="http://schemas.openxmlformats.org/officeDocument/2006/relationships/image" Target="media/image157.png"/><Relationship Id="rId241" Type="http://schemas.openxmlformats.org/officeDocument/2006/relationships/image" Target="media/image158.png"/><Relationship Id="rId242" Type="http://schemas.openxmlformats.org/officeDocument/2006/relationships/image" Target="media/image159.png"/><Relationship Id="rId243" Type="http://schemas.openxmlformats.org/officeDocument/2006/relationships/image" Target="media/image160.png"/><Relationship Id="rId244" Type="http://schemas.openxmlformats.org/officeDocument/2006/relationships/image" Target="media/image161.png"/><Relationship Id="rId245" Type="http://schemas.openxmlformats.org/officeDocument/2006/relationships/image" Target="media/image162.png"/><Relationship Id="rId246" Type="http://schemas.openxmlformats.org/officeDocument/2006/relationships/image" Target="media/image163.png"/><Relationship Id="rId247" Type="http://schemas.openxmlformats.org/officeDocument/2006/relationships/image" Target="media/image164.png"/><Relationship Id="rId248" Type="http://schemas.openxmlformats.org/officeDocument/2006/relationships/image" Target="media/image165.png"/><Relationship Id="rId249" Type="http://schemas.openxmlformats.org/officeDocument/2006/relationships/image" Target="media/image166.png"/><Relationship Id="rId250" Type="http://schemas.openxmlformats.org/officeDocument/2006/relationships/image" Target="media/image167.png"/><Relationship Id="rId251" Type="http://schemas.openxmlformats.org/officeDocument/2006/relationships/image" Target="media/image168.png"/><Relationship Id="rId252" Type="http://schemas.openxmlformats.org/officeDocument/2006/relationships/image" Target="media/image169.png"/><Relationship Id="rId253" Type="http://schemas.openxmlformats.org/officeDocument/2006/relationships/image" Target="media/image170.png"/><Relationship Id="rId254" Type="http://schemas.openxmlformats.org/officeDocument/2006/relationships/image" Target="media/image171.png"/><Relationship Id="rId255" Type="http://schemas.openxmlformats.org/officeDocument/2006/relationships/image" Target="media/image172.png"/><Relationship Id="rId256" Type="http://schemas.openxmlformats.org/officeDocument/2006/relationships/image" Target="media/image173.png"/><Relationship Id="rId257" Type="http://schemas.openxmlformats.org/officeDocument/2006/relationships/image" Target="media/image174.png"/><Relationship Id="rId258" Type="http://schemas.openxmlformats.org/officeDocument/2006/relationships/image" Target="media/image175.png"/><Relationship Id="rId259" Type="http://schemas.openxmlformats.org/officeDocument/2006/relationships/image" Target="media/image176.png"/><Relationship Id="rId260" Type="http://schemas.openxmlformats.org/officeDocument/2006/relationships/image" Target="media/image177.png"/><Relationship Id="rId261" Type="http://schemas.openxmlformats.org/officeDocument/2006/relationships/image" Target="media/image178.png"/><Relationship Id="rId262" Type="http://schemas.openxmlformats.org/officeDocument/2006/relationships/image" Target="media/image179.png"/><Relationship Id="rId263" Type="http://schemas.openxmlformats.org/officeDocument/2006/relationships/image" Target="media/image180.png"/><Relationship Id="rId264" Type="http://schemas.openxmlformats.org/officeDocument/2006/relationships/image" Target="media/image181.png"/><Relationship Id="rId265" Type="http://schemas.openxmlformats.org/officeDocument/2006/relationships/image" Target="media/image182.png"/><Relationship Id="rId266" Type="http://schemas.openxmlformats.org/officeDocument/2006/relationships/image" Target="media/image183.png"/><Relationship Id="rId267" Type="http://schemas.openxmlformats.org/officeDocument/2006/relationships/image" Target="media/image184.png"/><Relationship Id="rId268" Type="http://schemas.openxmlformats.org/officeDocument/2006/relationships/image" Target="media/image185.png"/><Relationship Id="rId269" Type="http://schemas.openxmlformats.org/officeDocument/2006/relationships/image" Target="media/image186.png"/><Relationship Id="rId270" Type="http://schemas.openxmlformats.org/officeDocument/2006/relationships/image" Target="media/image187.png"/><Relationship Id="rId271" Type="http://schemas.openxmlformats.org/officeDocument/2006/relationships/image" Target="media/image188.png"/><Relationship Id="rId272" Type="http://schemas.openxmlformats.org/officeDocument/2006/relationships/image" Target="media/image189.png"/><Relationship Id="rId273" Type="http://schemas.openxmlformats.org/officeDocument/2006/relationships/image" Target="media/image190.png"/><Relationship Id="rId274" Type="http://schemas.openxmlformats.org/officeDocument/2006/relationships/image" Target="media/image191.png"/><Relationship Id="rId275" Type="http://schemas.openxmlformats.org/officeDocument/2006/relationships/image" Target="media/image192.png"/><Relationship Id="rId276" Type="http://schemas.openxmlformats.org/officeDocument/2006/relationships/image" Target="media/image193.png"/><Relationship Id="rId277" Type="http://schemas.openxmlformats.org/officeDocument/2006/relationships/image" Target="media/image194.png"/><Relationship Id="rId278" Type="http://schemas.openxmlformats.org/officeDocument/2006/relationships/image" Target="media/image195.png"/><Relationship Id="rId279" Type="http://schemas.openxmlformats.org/officeDocument/2006/relationships/image" Target="media/image196.png"/><Relationship Id="rId280" Type="http://schemas.openxmlformats.org/officeDocument/2006/relationships/image" Target="media/image197.png"/><Relationship Id="rId281" Type="http://schemas.openxmlformats.org/officeDocument/2006/relationships/image" Target="media/image198.png"/><Relationship Id="rId282" Type="http://schemas.openxmlformats.org/officeDocument/2006/relationships/image" Target="media/image199.png"/><Relationship Id="rId283" Type="http://schemas.openxmlformats.org/officeDocument/2006/relationships/image" Target="media/image200.png"/><Relationship Id="rId284" Type="http://schemas.openxmlformats.org/officeDocument/2006/relationships/image" Target="media/image201.png"/><Relationship Id="rId285" Type="http://schemas.openxmlformats.org/officeDocument/2006/relationships/image" Target="media/image202.png"/><Relationship Id="rId286" Type="http://schemas.openxmlformats.org/officeDocument/2006/relationships/image" Target="media/image203.png"/><Relationship Id="rId287" Type="http://schemas.openxmlformats.org/officeDocument/2006/relationships/image" Target="media/image204.png"/><Relationship Id="rId288" Type="http://schemas.openxmlformats.org/officeDocument/2006/relationships/image" Target="media/image205.png"/><Relationship Id="rId289" Type="http://schemas.openxmlformats.org/officeDocument/2006/relationships/image" Target="media/image206.png"/><Relationship Id="rId290" Type="http://schemas.openxmlformats.org/officeDocument/2006/relationships/image" Target="media/image207.png"/><Relationship Id="rId291" Type="http://schemas.openxmlformats.org/officeDocument/2006/relationships/image" Target="media/image208.png"/><Relationship Id="rId292" Type="http://schemas.openxmlformats.org/officeDocument/2006/relationships/image" Target="media/image209.png"/><Relationship Id="rId293" Type="http://schemas.openxmlformats.org/officeDocument/2006/relationships/image" Target="media/image210.png"/><Relationship Id="rId294" Type="http://schemas.openxmlformats.org/officeDocument/2006/relationships/image" Target="media/image211.png"/><Relationship Id="rId295" Type="http://schemas.openxmlformats.org/officeDocument/2006/relationships/image" Target="media/image212.png"/><Relationship Id="rId296" Type="http://schemas.openxmlformats.org/officeDocument/2006/relationships/image" Target="media/image213.png"/><Relationship Id="rId297" Type="http://schemas.openxmlformats.org/officeDocument/2006/relationships/image" Target="media/image214.png"/><Relationship Id="rId298" Type="http://schemas.openxmlformats.org/officeDocument/2006/relationships/image" Target="media/image215.png"/><Relationship Id="rId299" Type="http://schemas.openxmlformats.org/officeDocument/2006/relationships/image" Target="media/image216.png"/><Relationship Id="rId300" Type="http://schemas.openxmlformats.org/officeDocument/2006/relationships/image" Target="media/image217.png"/><Relationship Id="rId301" Type="http://schemas.openxmlformats.org/officeDocument/2006/relationships/image" Target="media/image218.png"/><Relationship Id="rId302" Type="http://schemas.openxmlformats.org/officeDocument/2006/relationships/image" Target="media/image219.png"/><Relationship Id="rId303" Type="http://schemas.openxmlformats.org/officeDocument/2006/relationships/image" Target="media/image220.png"/><Relationship Id="rId304" Type="http://schemas.openxmlformats.org/officeDocument/2006/relationships/image" Target="media/image221.png"/><Relationship Id="rId305" Type="http://schemas.openxmlformats.org/officeDocument/2006/relationships/image" Target="media/image222.png"/><Relationship Id="rId306" Type="http://schemas.openxmlformats.org/officeDocument/2006/relationships/image" Target="media/image223.png"/><Relationship Id="rId307" Type="http://schemas.openxmlformats.org/officeDocument/2006/relationships/image" Target="media/image224.png"/><Relationship Id="rId308" Type="http://schemas.openxmlformats.org/officeDocument/2006/relationships/image" Target="media/image225.png"/><Relationship Id="rId309" Type="http://schemas.openxmlformats.org/officeDocument/2006/relationships/image" Target="media/image226.png"/><Relationship Id="rId310" Type="http://schemas.openxmlformats.org/officeDocument/2006/relationships/image" Target="media/image227.png"/><Relationship Id="rId311" Type="http://schemas.openxmlformats.org/officeDocument/2006/relationships/image" Target="media/image228.png"/><Relationship Id="rId312" Type="http://schemas.openxmlformats.org/officeDocument/2006/relationships/image" Target="media/image229.png"/><Relationship Id="rId313" Type="http://schemas.openxmlformats.org/officeDocument/2006/relationships/image" Target="media/image230.png"/><Relationship Id="rId314" Type="http://schemas.openxmlformats.org/officeDocument/2006/relationships/image" Target="media/image231.png"/><Relationship Id="rId315" Type="http://schemas.openxmlformats.org/officeDocument/2006/relationships/image" Target="media/image232.png"/><Relationship Id="rId316" Type="http://schemas.openxmlformats.org/officeDocument/2006/relationships/image" Target="media/image233.png"/><Relationship Id="rId317" Type="http://schemas.openxmlformats.org/officeDocument/2006/relationships/image" Target="media/image234.png"/><Relationship Id="rId318" Type="http://schemas.openxmlformats.org/officeDocument/2006/relationships/image" Target="media/image235.png"/><Relationship Id="rId319" Type="http://schemas.openxmlformats.org/officeDocument/2006/relationships/image" Target="media/image236.png"/><Relationship Id="rId320" Type="http://schemas.openxmlformats.org/officeDocument/2006/relationships/image" Target="media/image237.png"/><Relationship Id="rId321" Type="http://schemas.openxmlformats.org/officeDocument/2006/relationships/image" Target="media/image238.png"/><Relationship Id="rId322" Type="http://schemas.openxmlformats.org/officeDocument/2006/relationships/image" Target="media/image239.png"/><Relationship Id="rId323" Type="http://schemas.openxmlformats.org/officeDocument/2006/relationships/image" Target="media/image240.png"/><Relationship Id="rId324" Type="http://schemas.openxmlformats.org/officeDocument/2006/relationships/image" Target="media/image241.png"/><Relationship Id="rId325" Type="http://schemas.openxmlformats.org/officeDocument/2006/relationships/image" Target="media/image242.png"/><Relationship Id="rId326" Type="http://schemas.openxmlformats.org/officeDocument/2006/relationships/image" Target="media/image243.png"/><Relationship Id="rId327" Type="http://schemas.openxmlformats.org/officeDocument/2006/relationships/image" Target="media/image244.png"/><Relationship Id="rId328" Type="http://schemas.openxmlformats.org/officeDocument/2006/relationships/image" Target="media/image245.png"/><Relationship Id="rId329" Type="http://schemas.openxmlformats.org/officeDocument/2006/relationships/image" Target="media/image246.png"/><Relationship Id="rId330" Type="http://schemas.openxmlformats.org/officeDocument/2006/relationships/image" Target="media/image247.png"/><Relationship Id="rId331" Type="http://schemas.openxmlformats.org/officeDocument/2006/relationships/image" Target="media/image248.png"/><Relationship Id="rId332" Type="http://schemas.openxmlformats.org/officeDocument/2006/relationships/image" Target="media/image249.png"/><Relationship Id="rId333" Type="http://schemas.openxmlformats.org/officeDocument/2006/relationships/image" Target="media/image250.png"/><Relationship Id="rId334" Type="http://schemas.openxmlformats.org/officeDocument/2006/relationships/image" Target="media/image251.png"/><Relationship Id="rId335" Type="http://schemas.openxmlformats.org/officeDocument/2006/relationships/image" Target="media/image252.png"/><Relationship Id="rId336" Type="http://schemas.openxmlformats.org/officeDocument/2006/relationships/image" Target="media/image253.png"/><Relationship Id="rId337" Type="http://schemas.openxmlformats.org/officeDocument/2006/relationships/image" Target="media/image254.png"/><Relationship Id="rId338" Type="http://schemas.openxmlformats.org/officeDocument/2006/relationships/image" Target="media/image255.png"/><Relationship Id="rId339" Type="http://schemas.openxmlformats.org/officeDocument/2006/relationships/image" Target="media/image256.png"/><Relationship Id="rId340" Type="http://schemas.openxmlformats.org/officeDocument/2006/relationships/image" Target="media/image257.png"/><Relationship Id="rId341" Type="http://schemas.openxmlformats.org/officeDocument/2006/relationships/image" Target="media/image258.png"/><Relationship Id="rId342" Type="http://schemas.openxmlformats.org/officeDocument/2006/relationships/image" Target="media/image259.png"/><Relationship Id="rId343" Type="http://schemas.openxmlformats.org/officeDocument/2006/relationships/image" Target="media/image260.png"/><Relationship Id="rId344" Type="http://schemas.openxmlformats.org/officeDocument/2006/relationships/image" Target="media/image261.png"/><Relationship Id="rId345" Type="http://schemas.openxmlformats.org/officeDocument/2006/relationships/image" Target="media/image262.png"/><Relationship Id="rId346" Type="http://schemas.openxmlformats.org/officeDocument/2006/relationships/image" Target="media/image263.png"/><Relationship Id="rId347" Type="http://schemas.openxmlformats.org/officeDocument/2006/relationships/image" Target="media/image264.png"/><Relationship Id="rId348" Type="http://schemas.openxmlformats.org/officeDocument/2006/relationships/image" Target="media/image265.png"/><Relationship Id="rId349" Type="http://schemas.openxmlformats.org/officeDocument/2006/relationships/image" Target="media/image266.png"/><Relationship Id="rId350" Type="http://schemas.openxmlformats.org/officeDocument/2006/relationships/image" Target="media/image267.png"/><Relationship Id="rId351" Type="http://schemas.openxmlformats.org/officeDocument/2006/relationships/image" Target="media/image268.png"/><Relationship Id="rId352" Type="http://schemas.openxmlformats.org/officeDocument/2006/relationships/image" Target="media/image269.png"/><Relationship Id="rId353" Type="http://schemas.openxmlformats.org/officeDocument/2006/relationships/image" Target="media/image270.png"/><Relationship Id="rId354" Type="http://schemas.openxmlformats.org/officeDocument/2006/relationships/image" Target="media/image271.png"/><Relationship Id="rId355" Type="http://schemas.openxmlformats.org/officeDocument/2006/relationships/image" Target="media/image272.png"/><Relationship Id="rId356" Type="http://schemas.openxmlformats.org/officeDocument/2006/relationships/image" Target="media/image273.png"/><Relationship Id="rId357" Type="http://schemas.openxmlformats.org/officeDocument/2006/relationships/image" Target="media/image274.png"/><Relationship Id="rId358" Type="http://schemas.openxmlformats.org/officeDocument/2006/relationships/image" Target="media/image275.png"/><Relationship Id="rId359" Type="http://schemas.openxmlformats.org/officeDocument/2006/relationships/image" Target="media/image276.png"/><Relationship Id="rId360" Type="http://schemas.openxmlformats.org/officeDocument/2006/relationships/image" Target="media/image277.png"/><Relationship Id="rId361" Type="http://schemas.openxmlformats.org/officeDocument/2006/relationships/image" Target="media/image278.png"/><Relationship Id="rId362" Type="http://schemas.openxmlformats.org/officeDocument/2006/relationships/image" Target="media/image279.png"/><Relationship Id="rId363" Type="http://schemas.openxmlformats.org/officeDocument/2006/relationships/image" Target="media/image280.png"/><Relationship Id="rId364" Type="http://schemas.openxmlformats.org/officeDocument/2006/relationships/image" Target="media/image281.png"/><Relationship Id="rId365" Type="http://schemas.openxmlformats.org/officeDocument/2006/relationships/image" Target="media/image282.png"/><Relationship Id="rId366" Type="http://schemas.openxmlformats.org/officeDocument/2006/relationships/image" Target="media/image283.png"/><Relationship Id="rId367" Type="http://schemas.openxmlformats.org/officeDocument/2006/relationships/image" Target="media/image284.png"/><Relationship Id="rId368" Type="http://schemas.openxmlformats.org/officeDocument/2006/relationships/image" Target="media/image285.png"/><Relationship Id="rId369" Type="http://schemas.openxmlformats.org/officeDocument/2006/relationships/image" Target="media/image286.png"/><Relationship Id="rId370" Type="http://schemas.openxmlformats.org/officeDocument/2006/relationships/image" Target="media/image287.png"/><Relationship Id="rId371" Type="http://schemas.openxmlformats.org/officeDocument/2006/relationships/image" Target="media/image288.png"/><Relationship Id="rId372" Type="http://schemas.openxmlformats.org/officeDocument/2006/relationships/image" Target="media/image289.png"/><Relationship Id="rId373" Type="http://schemas.openxmlformats.org/officeDocument/2006/relationships/image" Target="media/image290.png"/><Relationship Id="rId374" Type="http://schemas.openxmlformats.org/officeDocument/2006/relationships/image" Target="media/image291.png"/><Relationship Id="rId375" Type="http://schemas.openxmlformats.org/officeDocument/2006/relationships/image" Target="media/image292.png"/><Relationship Id="rId376" Type="http://schemas.openxmlformats.org/officeDocument/2006/relationships/image" Target="media/image293.png"/><Relationship Id="rId377" Type="http://schemas.openxmlformats.org/officeDocument/2006/relationships/image" Target="media/image294.png"/><Relationship Id="rId378" Type="http://schemas.openxmlformats.org/officeDocument/2006/relationships/image" Target="media/image295.png"/><Relationship Id="rId379" Type="http://schemas.openxmlformats.org/officeDocument/2006/relationships/image" Target="media/image296.png"/><Relationship Id="rId380" Type="http://schemas.openxmlformats.org/officeDocument/2006/relationships/image" Target="media/image297.png"/><Relationship Id="rId381" Type="http://schemas.openxmlformats.org/officeDocument/2006/relationships/image" Target="media/image298.png"/><Relationship Id="rId382" Type="http://schemas.openxmlformats.org/officeDocument/2006/relationships/image" Target="media/image299.png"/><Relationship Id="rId383" Type="http://schemas.openxmlformats.org/officeDocument/2006/relationships/image" Target="media/image300.png"/><Relationship Id="rId384" Type="http://schemas.openxmlformats.org/officeDocument/2006/relationships/image" Target="media/image301.png"/><Relationship Id="rId385" Type="http://schemas.openxmlformats.org/officeDocument/2006/relationships/image" Target="media/image302.png"/><Relationship Id="rId386" Type="http://schemas.openxmlformats.org/officeDocument/2006/relationships/image" Target="media/image303.png"/><Relationship Id="rId387" Type="http://schemas.openxmlformats.org/officeDocument/2006/relationships/image" Target="media/image304.png"/><Relationship Id="rId388" Type="http://schemas.openxmlformats.org/officeDocument/2006/relationships/image" Target="media/image305.png"/><Relationship Id="rId389" Type="http://schemas.openxmlformats.org/officeDocument/2006/relationships/image" Target="media/image306.png"/><Relationship Id="rId390" Type="http://schemas.openxmlformats.org/officeDocument/2006/relationships/image" Target="media/image307.png"/><Relationship Id="rId44" Type="http://schemas.openxmlformats.org/officeDocument/2006/relationships/hyperlink" Target="http://www.sec.gov/Archives/edgar/data/1305014/000095015714000168/ex2-1.htm" TargetMode="External"/><Relationship Id="rId45" Type="http://schemas.openxmlformats.org/officeDocument/2006/relationships/hyperlink" Target="http://www.sec.gov/Archives/edgar/data/1305014/000114036114016654/ex2_1.htm" TargetMode="External"/><Relationship Id="rId46" Type="http://schemas.openxmlformats.org/officeDocument/2006/relationships/hyperlink" Target="http://www.sec.gov/Archives/edgar/data/1305014/000130501416000155/ex2-1.htm" TargetMode="External"/><Relationship Id="rId47" Type="http://schemas.openxmlformats.org/officeDocument/2006/relationships/hyperlink" Target="http://www.sec.gov/Archives/edgar/data/1674862/000119312518331340/d653933dex21.htm" TargetMode="External"/><Relationship Id="rId48" Type="http://schemas.openxmlformats.org/officeDocument/2006/relationships/hyperlink" Target="http://www.sec.gov/Archives/edgar/data/1674862/000119312519190623/d752828dex21.htm" TargetMode="External"/><Relationship Id="rId49" Type="http://schemas.openxmlformats.org/officeDocument/2006/relationships/hyperlink" Target="http://www.sec.gov/Archives/edgar/data/1674862/000156459019028139/ash-ex21_7.htm" TargetMode="External"/><Relationship Id="rId50" Type="http://schemas.openxmlformats.org/officeDocument/2006/relationships/hyperlink" Target="http://www.sec.gov/Archives/edgar/data/1674862/000119312516714093/d246354dex31.htm" TargetMode="External"/><Relationship Id="rId51" Type="http://schemas.openxmlformats.org/officeDocument/2006/relationships/hyperlink" Target="http://www.sec.gov/Archives/edgar/data/1674862/000167486217000083/ex3_1.htm" TargetMode="External"/><Relationship Id="rId54" Type="http://schemas.openxmlformats.org/officeDocument/2006/relationships/hyperlink" Target="http://www.sec.gov/Archives/edgar/data/46989/000089322099000856/0000893220-99-000856.txt" TargetMode="External"/><Relationship Id="rId55" Type="http://schemas.openxmlformats.org/officeDocument/2006/relationships/hyperlink" Target="http://www.sec.gov/Archives/edgar/data/46989/0000893220-97-001331.txt" TargetMode="External"/><Relationship Id="rId56" Type="http://schemas.openxmlformats.org/officeDocument/2006/relationships/hyperlink" Target="http://www.sec.gov/Archives/edgar/data/1305014/000095015712000394/ex4-1.htm" TargetMode="External"/><Relationship Id="rId57" Type="http://schemas.openxmlformats.org/officeDocument/2006/relationships/hyperlink" Target="http://www.sec.gov/Archives/edgar/data/1305014/000130501413000188/a9302013exhibit411.htm" TargetMode="External"/><Relationship Id="rId58" Type="http://schemas.openxmlformats.org/officeDocument/2006/relationships/hyperlink" Target="http://www.sec.gov/Archives/edgar/data/1305014/000119312513077448/d491459dex43.htm" TargetMode="External"/><Relationship Id="rId59" Type="http://schemas.openxmlformats.org/officeDocument/2006/relationships/hyperlink" Target="http://www.sec.gov/Archives/edgar/data/1305014/000119312513077448/d491459dex44.htm" TargetMode="External"/><Relationship Id="rId60" Type="http://schemas.openxmlformats.org/officeDocument/2006/relationships/hyperlink" Target="http://www.sec.gov/Archives/edgar/data/1305014/000095015713000133/ex4-2.htm" TargetMode="External"/><Relationship Id="rId61" Type="http://schemas.openxmlformats.org/officeDocument/2006/relationships/hyperlink" Target="http://www.sec.gov/Archives/edgar/data/1674862/000119312516742818/d272512dex41.htm" TargetMode="External"/><Relationship Id="rId62" Type="http://schemas.openxmlformats.org/officeDocument/2006/relationships/hyperlink" Target="http://www.sec.gov/Archives/edgar/data/1674862/000119312516742818/d272512dex42.htm" TargetMode="External"/><Relationship Id="rId65" Type="http://schemas.openxmlformats.org/officeDocument/2006/relationships/hyperlink" Target="http://www.sec.gov/Archives/edgar/data/7694/000000769405000048/ex10-5.txt" TargetMode="External"/><Relationship Id="rId66" Type="http://schemas.openxmlformats.org/officeDocument/2006/relationships/hyperlink" Target="http://www.sec.gov/Archives/edgar/data/7694/000000769405000048/ex10-3.txt" TargetMode="External"/><Relationship Id="rId67" Type="http://schemas.openxmlformats.org/officeDocument/2006/relationships/hyperlink" Target="http://www.sec.gov/Archives/edgar/data/1674862/000167486216000008/a9302016exhibit103.htm" TargetMode="External"/><Relationship Id="rId68" Type="http://schemas.openxmlformats.org/officeDocument/2006/relationships/hyperlink" Target="http://www.sec.gov/Archives/edgar/data/1305014/000130501408000364/ex10-4dirdcp.htm" TargetMode="External"/><Relationship Id="rId69" Type="http://schemas.openxmlformats.org/officeDocument/2006/relationships/hyperlink" Target="http://www.sec.gov/Archives/edgar/data/1305014/000130501415000033/a3312015exhibit104.htm" TargetMode="External"/><Relationship Id="rId70" Type="http://schemas.openxmlformats.org/officeDocument/2006/relationships/hyperlink" Target="http://www.sec.gov/Archives/edgar/data/1674862/000167486217000006/a12312016exhibit104.htm" TargetMode="External"/><Relationship Id="rId71" Type="http://schemas.openxmlformats.org/officeDocument/2006/relationships/hyperlink" Target="http://www.sec.gov/Archives/edgar/data/1305014/000130501408000364/ex103eedcp.htm" TargetMode="External"/><Relationship Id="rId72" Type="http://schemas.openxmlformats.org/officeDocument/2006/relationships/hyperlink" Target="http://www.sec.gov/Archives/edgar/data/1674862/000156459019027524/ash-ex101_32.htm" TargetMode="External"/><Relationship Id="rId73" Type="http://schemas.openxmlformats.org/officeDocument/2006/relationships/hyperlink" Target="http://www.sec.gov/Archives/edgar/data/1674862/000156459019027524/ash-ex102_31.htm" TargetMode="External"/><Relationship Id="rId74" Type="http://schemas.openxmlformats.org/officeDocument/2006/relationships/hyperlink" Target="http://www.sec.gov/Archives/edgar/data/1305014/000130501411000034/ex103.htm" TargetMode="External"/><Relationship Id="rId75" Type="http://schemas.openxmlformats.org/officeDocument/2006/relationships/hyperlink" Target="http://www.sec.gov/Archives/edgar/data/1305014/000095015715001174/ex10-1.htm" TargetMode="External"/><Relationship Id="rId76" Type="http://schemas.openxmlformats.org/officeDocument/2006/relationships/hyperlink" Target="http://www.sec.gov/Archives/edgar/data/1305014/000095015715001174/ex10-2.htm" TargetMode="External"/><Relationship Id="rId77" Type="http://schemas.openxmlformats.org/officeDocument/2006/relationships/hyperlink" Target="http://www.sec.gov/Archives/edgar/data/1305014/000130501409000097/exhibit1017.htm" TargetMode="External"/><Relationship Id="rId78" Type="http://schemas.openxmlformats.org/officeDocument/2006/relationships/hyperlink" Target="http://www.sec.gov/Archives/edgar/data/1305014/000130501406000062/ex10.txt" TargetMode="External"/><Relationship Id="rId79" Type="http://schemas.openxmlformats.org/officeDocument/2006/relationships/hyperlink" Target="http://www.sec.gov/Archives/edgar/data/1305014/000130501413000021/ex102.htm" TargetMode="External"/><Relationship Id="rId80" Type="http://schemas.openxmlformats.org/officeDocument/2006/relationships/hyperlink" Target="http://www.sec.gov/Archives/edgar/data/1674862/000167486216000008/a9302016exhibit1021.htm" TargetMode="External"/><Relationship Id="rId81" Type="http://schemas.openxmlformats.org/officeDocument/2006/relationships/hyperlink" Target="http://www.sec.gov/Archives/edgar/data/1305014/000130501414000097/a9302014exhibit1016.htm" TargetMode="External"/><Relationship Id="rId84" Type="http://schemas.openxmlformats.org/officeDocument/2006/relationships/hyperlink" Target="http://www.sec.gov/Archives/edgar/data/1305014/000130501414000097/a9302014exhibit1018.htm" TargetMode="External"/><Relationship Id="rId85" Type="http://schemas.openxmlformats.org/officeDocument/2006/relationships/hyperlink" Target="http://www.sec.gov/Archives/edgar/data/1305014/000130501415000033/a3312015exhibit105.htm" TargetMode="External"/><Relationship Id="rId86" Type="http://schemas.openxmlformats.org/officeDocument/2006/relationships/hyperlink" Target="http://www.sec.gov/Archives/edgar/data/1305014/000130501415000033/a3312015exhibit107.htm" TargetMode="External"/><Relationship Id="rId87" Type="http://schemas.openxmlformats.org/officeDocument/2006/relationships/hyperlink" Target="http://www.sec.gov/Archives/edgar/data/1305014/000130501415000073/ex10-2.htm" TargetMode="External"/><Relationship Id="rId88" Type="http://schemas.openxmlformats.org/officeDocument/2006/relationships/hyperlink" Target="http://www.sec.gov/Archives/edgar/data/1305014/000095015715001174/ex10-3.htm" TargetMode="External"/><Relationship Id="rId89" Type="http://schemas.openxmlformats.org/officeDocument/2006/relationships/hyperlink" Target="http://www.sec.gov/Archives/edgar/data/1674862/000167486216000008/a9302016exhibit1037.htm" TargetMode="External"/><Relationship Id="rId90" Type="http://schemas.openxmlformats.org/officeDocument/2006/relationships/hyperlink" Target="http://www.sec.gov/Archives/edgar/data/1674862/000167486216000008/a9302016exhibit1038.htm" TargetMode="External"/><Relationship Id="rId91" Type="http://schemas.openxmlformats.org/officeDocument/2006/relationships/hyperlink" Target="http://www.sec.gov/Archives/edgar/data/1674862/000167486216000008/a9302016exhibit1039.htm" TargetMode="External"/><Relationship Id="rId92" Type="http://schemas.openxmlformats.org/officeDocument/2006/relationships/hyperlink" Target="http://www.sec.gov/Archives/edgar/data/1674862/000167486216000008/a9302016exhibit1040.htm" TargetMode="External"/><Relationship Id="rId93" Type="http://schemas.openxmlformats.org/officeDocument/2006/relationships/hyperlink" Target="http://www.sec.gov/Archives/edgar/data/1674862/000119312516714093/d246354dex102.htm" TargetMode="External"/><Relationship Id="rId94" Type="http://schemas.openxmlformats.org/officeDocument/2006/relationships/hyperlink" Target="http://www.sec.gov/Archives/edgar/data/1674862/000167486216000008/a9302016exhibit1049.htm" TargetMode="External"/><Relationship Id="rId95" Type="http://schemas.openxmlformats.org/officeDocument/2006/relationships/hyperlink" Target="http://www.sec.gov/Archives/edgar/data/1674862/000167486216000008/a9302016exhibit1059.htm" TargetMode="External"/><Relationship Id="rId96" Type="http://schemas.openxmlformats.org/officeDocument/2006/relationships/hyperlink" Target="http://www.sec.gov/Archives/edgar/data/1305014/000130501410000079/dcplan.htm" TargetMode="External"/><Relationship Id="rId97" Type="http://schemas.openxmlformats.org/officeDocument/2006/relationships/hyperlink" Target="http://www.sec.gov/Archives/edgar/data/1674862/000167486216000008/a9302016exhibit1061.htm" TargetMode="External"/><Relationship Id="rId98" Type="http://schemas.openxmlformats.org/officeDocument/2006/relationships/hyperlink" Target="http://www.sec.gov/Archives/edgar/data/1674862/000167486218000003/ex10-1.htm" TargetMode="External"/><Relationship Id="rId101" Type="http://schemas.openxmlformats.org/officeDocument/2006/relationships/hyperlink" Target="http://www.sec.gov/Archives/edgar/data/1674862/000167486218000003/ex10-2.htm" TargetMode="External"/><Relationship Id="rId102" Type="http://schemas.openxmlformats.org/officeDocument/2006/relationships/hyperlink" Target="http://www.sec.gov/Archives/edgar/data/1674862/000167486218000003/ex10-3.htm" TargetMode="External"/><Relationship Id="rId103" Type="http://schemas.openxmlformats.org/officeDocument/2006/relationships/hyperlink" Target="http://www.sec.gov/Archives/edgar/data/1674862/000167486218000003/ex10-4.htm" TargetMode="External"/><Relationship Id="rId104" Type="http://schemas.openxmlformats.org/officeDocument/2006/relationships/hyperlink" Target="http://www.sec.gov/Archives/edgar/data/1674862/000167486218000003/ex10-5.htm" TargetMode="External"/><Relationship Id="rId105" Type="http://schemas.openxmlformats.org/officeDocument/2006/relationships/hyperlink" Target="http://www.sec.gov/Archives/edgar/data/1674862/000167486218000003/ex10-6.htm" TargetMode="External"/><Relationship Id="rId106" Type="http://schemas.openxmlformats.org/officeDocument/2006/relationships/hyperlink" Target="http://www.sec.gov/Archives/edgar/data/1674862/000156459019027524/ash-ex103_30.htm" TargetMode="External"/><Relationship Id="rId107" Type="http://schemas.openxmlformats.org/officeDocument/2006/relationships/hyperlink" Target="http://www.sec.gov/Archives/edgar/data/1674862/000156459019027524/ash-ex105_28.htm" TargetMode="External"/><Relationship Id="rId108" Type="http://schemas.openxmlformats.org/officeDocument/2006/relationships/hyperlink" Target="http://www.sec.gov/Archives/edgar/data/1674862/000156459019027524/ash-ex106_27.htm" TargetMode="External"/><Relationship Id="rId109" Type="http://schemas.openxmlformats.org/officeDocument/2006/relationships/hyperlink" Target="http://www.sec.gov/Archives/edgar/data/1674862/000156459019027524/ash-ex107_33.htm" TargetMode="External"/><Relationship Id="rId110" Type="http://schemas.openxmlformats.org/officeDocument/2006/relationships/hyperlink" Target="http://www.sec.gov/Archives/edgar/data/1674862/000156459019027524/ash-ex108_26.htm" TargetMode="External"/><Relationship Id="rId111" Type="http://schemas.openxmlformats.org/officeDocument/2006/relationships/hyperlink" Target="http://www.sec.gov/Archives/edgar/data/1674862/000095015719001178/ex10-1.htm" TargetMode="External"/><Relationship Id="rId112" Type="http://schemas.openxmlformats.org/officeDocument/2006/relationships/hyperlink" Target="http://www.sec.gov/Archives/edgar/data/1674862/000095015719001178/ex10-2.htm" TargetMode="External"/><Relationship Id="rId113" Type="http://schemas.openxmlformats.org/officeDocument/2006/relationships/hyperlink" Target="http://www.sec.gov/Archives/edgar/data/1305014/000095015711000393/ex2-1.htm" TargetMode="External"/><Relationship Id="rId115" Type="http://schemas.openxmlformats.org/officeDocument/2006/relationships/hyperlink" Target="http://www.sec.gov/Archives/edgar/data/1674862/000095015717000674/ex10-1.htm" TargetMode="External"/><Relationship Id="rId116" Type="http://schemas.openxmlformats.org/officeDocument/2006/relationships/hyperlink" Target="http://www.sec.gov/Archives/edgar/data/1674862/000095015717000702/ex10-1.htm" TargetMode="External"/><Relationship Id="rId117" Type="http://schemas.openxmlformats.org/officeDocument/2006/relationships/hyperlink" Target="http://www.sec.gov/Archives/edgar/data/1674862/000095015717000903/ex10-1.htm" TargetMode="External"/><Relationship Id="rId118" Type="http://schemas.openxmlformats.org/officeDocument/2006/relationships/hyperlink" Target="http://www.sec.gov/Archives/edgar/data/1674862/000156459018014214/ash-ex101_6.htm" TargetMode="External"/><Relationship Id="rId119" Type="http://schemas.openxmlformats.org/officeDocument/2006/relationships/hyperlink" Target="http://www.sec.gov/Archives/edgar/data/1674862/000156459018016506/ash-ex101_52.htm" TargetMode="External"/><Relationship Id="rId120" Type="http://schemas.openxmlformats.org/officeDocument/2006/relationships/hyperlink" Target="http://www.sec.gov/Archives/edgar/data/1674862/000119312516714093/d246354dex101.htm" TargetMode="External"/><Relationship Id="rId121" Type="http://schemas.openxmlformats.org/officeDocument/2006/relationships/hyperlink" Target="http://www.sec.gov/Archives/edgar/data/1305014/000119312516723813/d258812dex101.htm" TargetMode="External"/><Relationship Id="rId122" Type="http://schemas.openxmlformats.org/officeDocument/2006/relationships/hyperlink" Target="http://www.sec.gov/Archives/edgar/data/1305014/000119312516723813/d258812dex104.htm" TargetMode="External"/><Relationship Id="rId123" Type="http://schemas.openxmlformats.org/officeDocument/2006/relationships/hyperlink" Target="http://www.sec.gov/Archives/edgar/data/1305014/000119312516723813/d258812dex105.htm" TargetMode="External"/><Relationship Id="rId124" Type="http://schemas.openxmlformats.org/officeDocument/2006/relationships/hyperlink" Target="http://www.sec.gov/Archives/edgar/data/1674862/000095015717000674/ex2-1.htm" TargetMode="External"/><Relationship Id="rId127" Type="http://schemas.openxmlformats.org/officeDocument/2006/relationships/hyperlink" Target="http://www.sec.gov/Archives/edgar/data/1674862/000095015717000674/ex2-2.htm" TargetMode="External"/><Relationship Id="rId128" Type="http://schemas.openxmlformats.org/officeDocument/2006/relationships/hyperlink" Target="http://www.sec.gov/Archives/edgar/data/1674862/000167486217000090/a9302017exhibit1084.htm" TargetMode="External"/><Relationship Id="rId129" Type="http://schemas.openxmlformats.org/officeDocument/2006/relationships/hyperlink" Target="http://www.sec.gov/Archives/edgar/data/1674862/000095015719000078/ex10-1.htm" TargetMode="External"/><Relationship Id="rId130" Type="http://schemas.openxmlformats.org/officeDocument/2006/relationships/hyperlink" Target="http://www.sec.gov/Archives/edgar/data/1674862/000095015719000549/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2019-12-28T01:20:02Z</dcterms:created>
  <dcterms:modified xsi:type="dcterms:W3CDTF">2019-12-28T01:20:02Z</dcterms:modified>
</cp:coreProperties>
</file>