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107315</wp:posOffset>
            </wp:positionV>
            <wp:extent cx="1775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p>
    <w:p>
      <w:pPr>
        <w:ind w:left="1460" w:right="320" w:hanging="480"/>
        <w:spacing w:after="0" w:line="237"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1460" w:right="300" w:hanging="480"/>
        <w:spacing w:after="0" w:line="256" w:lineRule="auto"/>
        <w:tabs>
          <w:tab w:leader="none" w:pos="1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3791585</wp:posOffset>
            </wp:positionH>
            <wp:positionV relativeFrom="paragraph">
              <wp:posOffset>-10160</wp:posOffset>
            </wp:positionV>
            <wp:extent cx="1060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333-211719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 E. RiverCenter Boulevard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Covington, Kentucky 41011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(859) 815-3333</w:t>
      </w:r>
    </w:p>
    <w:p>
      <w:pPr>
        <w:spacing w:after="0" w:line="130"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0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0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38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840" w:type="dxa"/>
            <w:vAlign w:val="bottom"/>
          </w:tcPr>
          <w:p>
            <w:pPr>
              <w:ind w:left="10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firstLine="49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500" w:right="152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March 31, 2018, there were 62,383,233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5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Three months ended</w:t>
            </w: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8"/>
                <w:szCs w:val="18"/>
                <w:color w:val="auto"/>
              </w:rPr>
              <w:t>March 31</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(In millions except per share data - unaudited)</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116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974</w:t>
            </w:r>
          </w:p>
        </w:tc>
        <w:tc>
          <w:tcPr>
            <w:tcW w:w="2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806</w:t>
            </w:r>
          </w:p>
        </w:tc>
        <w:tc>
          <w:tcPr>
            <w:tcW w:w="48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1,816</w:t>
            </w:r>
          </w:p>
        </w:tc>
        <w:tc>
          <w:tcPr>
            <w:tcW w:w="720" w:type="dxa"/>
            <w:vAlign w:val="bottom"/>
            <w:tcBorders>
              <w:top w:val="single" w:sz="8" w:color="auto"/>
            </w:tcBorders>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3"/>
              </w:rPr>
              <w:t>1,510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699</w:t>
            </w:r>
          </w:p>
        </w:tc>
        <w:tc>
          <w:tcPr>
            <w:tcW w:w="2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1,312</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income</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interest and other financing expense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loss on divestitures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 xml:space="preserve">Net income attributable to noncontrolling interest </w:t>
            </w:r>
            <w:r>
              <w:rPr>
                <w:rFonts w:ascii="Arial" w:cs="Arial" w:eastAsia="Arial" w:hAnsi="Arial"/>
                <w:sz w:val="14"/>
                <w:szCs w:val="14"/>
                <w:color w:val="auto"/>
              </w:rPr>
              <w:t>(a)</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Ashland</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Basic earnings per share - Note L</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6"/>
              </w:rPr>
              <w:t>0.46</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0.94</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from discontinued operations attributable to Ashland</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1.02</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attributable to Ashland</w:t>
            </w: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1.48</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L</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0.46</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0.93</w:t>
            </w:r>
          </w:p>
        </w:tc>
        <w:tc>
          <w:tcPr>
            <w:tcW w:w="7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attributable to Ashland</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1.01</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attributable to Ashland</w:t>
            </w:r>
          </w:p>
        </w:tc>
        <w:tc>
          <w:tcPr>
            <w:tcW w:w="9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1.47</w:t>
            </w:r>
          </w:p>
        </w:tc>
        <w:tc>
          <w:tcPr>
            <w:tcW w:w="2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Ashland</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40" w:hanging="232"/>
        <w:spacing w:after="0" w:line="253"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and six months ended March 31, 2017, this represents the income attributable to the previous noncontrolling interest in Valvoline Inc., whose results are now included within discontinued operations. See Note B for more information.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right="44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March 31</w:t>
            </w:r>
          </w:p>
        </w:tc>
        <w:tc>
          <w:tcPr>
            <w:tcW w:w="4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(In millions - unaudited)</w:t>
            </w:r>
          </w:p>
        </w:tc>
        <w:tc>
          <w:tcPr>
            <w:tcW w:w="2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83"/>
        </w:trPr>
        <w:tc>
          <w:tcPr>
            <w:tcW w:w="6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91"/>
              </w:rPr>
              <w:t>ASSETS</w:t>
            </w:r>
          </w:p>
        </w:tc>
        <w:tc>
          <w:tcPr>
            <w:tcW w:w="4520" w:type="dxa"/>
            <w:vAlign w:val="bottom"/>
            <w:gridSpan w:val="2"/>
          </w:tcPr>
          <w:p>
            <w:pPr>
              <w:spacing w:after="0"/>
              <w:rPr>
                <w:sz w:val="15"/>
                <w:szCs w:val="15"/>
                <w:color w:val="auto"/>
              </w:rPr>
            </w:pPr>
          </w:p>
        </w:tc>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Current assets</w:t>
            </w:r>
          </w:p>
        </w:tc>
        <w:tc>
          <w:tcPr>
            <w:tcW w:w="2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2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1,713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Cost</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3,859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1,919</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Net property, plant and equipment</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1,940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 - Note G</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Intangibles - Note G</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E</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Asbestos insurance receivable - Note K</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and other income taxes</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2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assets</w:t>
            </w:r>
          </w:p>
        </w:tc>
        <w:tc>
          <w:tcPr>
            <w:tcW w:w="2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6,728</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63"/>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2120" w:type="dxa"/>
            <w:vAlign w:val="bottom"/>
          </w:tcPr>
          <w:p>
            <w:pPr>
              <w:spacing w:after="0"/>
              <w:rPr>
                <w:sz w:val="22"/>
                <w:szCs w:val="22"/>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8,441</w:t>
            </w:r>
          </w:p>
        </w:tc>
        <w:tc>
          <w:tcPr>
            <w:tcW w:w="16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2900" w:type="dxa"/>
            <w:vAlign w:val="bottom"/>
            <w:tcBorders>
              <w:top w:val="single" w:sz="8" w:color="CFF0FC"/>
            </w:tcBorders>
            <w:shd w:val="clear" w:color="auto" w:fill="CFF0FC"/>
          </w:tcPr>
          <w:p>
            <w:pPr>
              <w:spacing w:after="0"/>
              <w:rPr>
                <w:sz w:val="18"/>
                <w:szCs w:val="18"/>
                <w:color w:val="auto"/>
              </w:rPr>
            </w:pPr>
          </w:p>
        </w:tc>
        <w:tc>
          <w:tcPr>
            <w:tcW w:w="21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2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27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2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liabilities</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Noncurrent liabilities</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 - Note H</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Asbestos litigation reserve - Note K</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and other income taxes</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Employee benefit obligations - Note J</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1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Total noncurrent liabilities</w:t>
            </w:r>
          </w:p>
        </w:tc>
        <w:tc>
          <w:tcPr>
            <w:tcW w:w="2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 Note K</w:t>
            </w: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2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3,511</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7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8,441</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(a) Accounts receivable includes an allowance for doubtful accounts of $9 million at both March 31, 2018 and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3" w:name="page4"/>
    <w:bookmarkEnd w:id="3"/>
    <w:p>
      <w:pPr>
        <w:ind w:right="44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Common</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w w:val="88"/>
              </w:rPr>
              <w:t>comprehensive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stock</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earnings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income (loss)</w:t>
            </w:r>
          </w:p>
        </w:tc>
        <w:tc>
          <w:tcPr>
            <w:tcW w:w="6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color w:val="auto"/>
                <w:w w:val="93"/>
              </w:rPr>
              <w:t>(a)</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2017</w:t>
            </w:r>
          </w:p>
        </w:tc>
        <w:tc>
          <w:tcPr>
            <w:tcW w:w="20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931</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62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3,406</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Total comprehensive income (loss)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w:t>
            </w: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Regular dividends, $0.45 per common share</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 xml:space="preserve">Common shares issued under stock incentive and other plans </w:t>
            </w:r>
            <w:r>
              <w:rPr>
                <w:rFonts w:ascii="Arial" w:cs="Arial" w:eastAsia="Arial" w:hAnsi="Arial"/>
                <w:sz w:val="14"/>
                <w:szCs w:val="14"/>
                <w:color w:val="auto"/>
                <w:w w:val="96"/>
              </w:rPr>
              <w:t>(b)</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2018</w:t>
            </w:r>
          </w:p>
        </w:tc>
        <w:tc>
          <w:tcPr>
            <w:tcW w:w="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2,737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3,511</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ind w:left="240" w:hanging="232"/>
        <w:spacing w:after="0" w:line="234" w:lineRule="auto"/>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March 31, 2018 and September 30, 2017, the after-tax accumulated other comprehensive loss attributable to Ashland of $162 million and $222 million, respectively, was each comprised of net unrealized translation losses of $188 million and $246 million, respectively, net unrealized gains on available-for-sale securities of $23 million and $21 million, respectively, and unrecognized prior service credits as a result of certain employee benefit plan amendments of $3 million for each period.</w:t>
      </w:r>
    </w:p>
    <w:p>
      <w:pPr>
        <w:ind w:left="240" w:hanging="232"/>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Common shares issued were 265,821 for the six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4" w:name="page5"/>
    <w:bookmarkEnd w:id="4"/>
    <w:p>
      <w:pPr>
        <w:ind w:right="44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STATEMENTS OF CONDENSED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4"/>
          </w:tcPr>
          <w:p>
            <w:pPr>
              <w:jc w:val="right"/>
              <w:ind w:right="174"/>
              <w:spacing w:after="0"/>
              <w:rPr>
                <w:sz w:val="20"/>
                <w:szCs w:val="20"/>
                <w:color w:val="auto"/>
              </w:rPr>
            </w:pPr>
            <w:r>
              <w:rPr>
                <w:rFonts w:ascii="Arial" w:cs="Arial" w:eastAsia="Arial" w:hAnsi="Arial"/>
                <w:sz w:val="14"/>
                <w:szCs w:val="14"/>
                <w:color w:val="auto"/>
              </w:rPr>
              <w:t>Six months ended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20" w:type="dxa"/>
            <w:vAlign w:val="bottom"/>
            <w:vMerge w:val="restart"/>
          </w:tcPr>
          <w:p>
            <w:pPr>
              <w:spacing w:after="0"/>
              <w:rPr>
                <w:sz w:val="20"/>
                <w:szCs w:val="20"/>
                <w:color w:val="auto"/>
              </w:rPr>
            </w:pPr>
            <w:r>
              <w:rPr>
                <w:rFonts w:ascii="Arial" w:cs="Arial" w:eastAsia="Arial" w:hAnsi="Arial"/>
                <w:sz w:val="14"/>
                <w:szCs w:val="14"/>
                <w:color w:val="auto"/>
              </w:rPr>
              <w:t>(In millions - unaudited)</w:t>
            </w: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color w:val="auto"/>
              </w:rPr>
              <w:t>March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2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46"/>
        </w:trPr>
        <w:tc>
          <w:tcPr>
            <w:tcW w:w="8820" w:type="dxa"/>
            <w:vAlign w:val="bottom"/>
          </w:tcPr>
          <w:p>
            <w:pPr>
              <w:spacing w:after="0" w:line="147" w:lineRule="exact"/>
              <w:rPr>
                <w:sz w:val="20"/>
                <w:szCs w:val="20"/>
                <w:color w:val="auto"/>
              </w:rPr>
            </w:pPr>
            <w:r>
              <w:rPr>
                <w:rFonts w:ascii="Arial" w:cs="Arial" w:eastAsia="Arial" w:hAnsi="Arial"/>
                <w:sz w:val="14"/>
                <w:szCs w:val="14"/>
                <w:b w:val="1"/>
                <w:bCs w:val="1"/>
                <w:color w:val="auto"/>
              </w:rPr>
              <w:t>CASH FLOWS PROVIDED (USED) BY OPERATING ACTIVITIES FROM</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20" w:type="dxa"/>
            <w:vAlign w:val="bottom"/>
          </w:tcPr>
          <w:p>
            <w:pPr>
              <w:ind w:left="140"/>
              <w:spacing w:after="0"/>
              <w:rPr>
                <w:sz w:val="20"/>
                <w:szCs w:val="20"/>
                <w:color w:val="auto"/>
              </w:rPr>
            </w:pPr>
            <w:r>
              <w:rPr>
                <w:rFonts w:ascii="Arial" w:cs="Arial" w:eastAsia="Arial" w:hAnsi="Arial"/>
                <w:sz w:val="14"/>
                <w:szCs w:val="14"/>
                <w:b w:val="1"/>
                <w:bCs w:val="1"/>
                <w:color w:val="auto"/>
              </w:rPr>
              <w:t>CONTINUING OPERATIONS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41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Income from discontinued operations (net of income taxes)</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income from continuing operations to</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380"/>
              <w:spacing w:after="0"/>
              <w:rPr>
                <w:sz w:val="20"/>
                <w:szCs w:val="20"/>
                <w:color w:val="auto"/>
              </w:rPr>
            </w:pPr>
            <w:r>
              <w:rPr>
                <w:rFonts w:ascii="Arial" w:cs="Arial" w:eastAsia="Arial" w:hAnsi="Arial"/>
                <w:sz w:val="14"/>
                <w:szCs w:val="14"/>
                <w:color w:val="auto"/>
              </w:rPr>
              <w:t>cash flows from operating activities: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Original issue discount and debt issuance costs amortization</w:t>
            </w:r>
          </w:p>
        </w:tc>
        <w:tc>
          <w:tcPr>
            <w:tcW w:w="4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income taxes</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Stock based compensation expense</w:t>
            </w:r>
          </w:p>
        </w:tc>
        <w:tc>
          <w:tcPr>
            <w:tcW w:w="4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Excess tax benefit on stock based compensation</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Gain on early retirement of debt</w:t>
            </w:r>
          </w:p>
        </w:tc>
        <w:tc>
          <w:tcPr>
            <w:tcW w:w="4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Realized gains and investment income on available-for-sale securities</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Net loss on divestitures</w:t>
            </w:r>
          </w:p>
        </w:tc>
        <w:tc>
          <w:tcPr>
            <w:tcW w:w="4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Pension contributions</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Gain on post-employment plan remeasurement</w:t>
            </w:r>
          </w:p>
        </w:tc>
        <w:tc>
          <w:tcPr>
            <w:tcW w:w="4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 xml:space="preserve">Change in operating assets and liabilities </w:t>
            </w:r>
            <w:r>
              <w:rPr>
                <w:rFonts w:ascii="Arial" w:cs="Arial" w:eastAsia="Arial" w:hAnsi="Arial"/>
                <w:sz w:val="12"/>
                <w:szCs w:val="12"/>
                <w:color w:val="auto"/>
              </w:rPr>
              <w:t>(a)</w:t>
            </w:r>
          </w:p>
        </w:tc>
        <w:tc>
          <w:tcPr>
            <w:tcW w:w="4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56"/>
        </w:trPr>
        <w:tc>
          <w:tcPr>
            <w:tcW w:w="8820" w:type="dxa"/>
            <w:vAlign w:val="bottom"/>
          </w:tcPr>
          <w:p>
            <w:pPr>
              <w:ind w:left="260"/>
              <w:spacing w:after="0" w:line="155" w:lineRule="exact"/>
              <w:rPr>
                <w:sz w:val="20"/>
                <w:szCs w:val="20"/>
                <w:color w:val="auto"/>
              </w:rPr>
            </w:pPr>
            <w:r>
              <w:rPr>
                <w:rFonts w:ascii="Arial" w:cs="Arial" w:eastAsia="Arial" w:hAnsi="Arial"/>
                <w:sz w:val="14"/>
                <w:szCs w:val="14"/>
                <w:color w:val="auto"/>
              </w:rPr>
              <w:t>Total cash flows used by operating activities from continuing operations</w:t>
            </w:r>
          </w:p>
        </w:tc>
        <w:tc>
          <w:tcPr>
            <w:tcW w:w="4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PROVIDED (USED) BY INVESTING ACTIVITIES FROM</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140"/>
              <w:spacing w:after="0"/>
              <w:rPr>
                <w:sz w:val="20"/>
                <w:szCs w:val="20"/>
                <w:color w:val="auto"/>
              </w:rPr>
            </w:pPr>
            <w:r>
              <w:rPr>
                <w:rFonts w:ascii="Arial" w:cs="Arial" w:eastAsia="Arial" w:hAnsi="Arial"/>
                <w:sz w:val="14"/>
                <w:szCs w:val="14"/>
                <w:b w:val="1"/>
                <w:bCs w:val="1"/>
                <w:color w:val="auto"/>
              </w:rPr>
              <w:t>CONTINUING OPERATIONS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Additions to property, plant and equipment</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Proceeds from disposal of property, plant and equipment</w:t>
            </w:r>
          </w:p>
        </w:tc>
        <w:tc>
          <w:tcPr>
            <w:tcW w:w="4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operations - net of cash acquired</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Proceeds (uses) from sale of operations</w:t>
            </w:r>
          </w:p>
        </w:tc>
        <w:tc>
          <w:tcPr>
            <w:tcW w:w="4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Life insurance payments</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Net purchase of funds restricted for specific transactions</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Reimbursement from restricted investments</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Proceeds from sales of available-for-sale securities</w:t>
            </w:r>
          </w:p>
        </w:tc>
        <w:tc>
          <w:tcPr>
            <w:tcW w:w="4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available-for-sale securities</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Proceeds from the settlement of derivative instruments</w:t>
            </w:r>
          </w:p>
        </w:tc>
        <w:tc>
          <w:tcPr>
            <w:tcW w:w="4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for the settlement of derivative instruments</w:t>
            </w:r>
          </w:p>
        </w:tc>
        <w:tc>
          <w:tcPr>
            <w:tcW w:w="4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8820" w:type="dxa"/>
            <w:vAlign w:val="bottom"/>
          </w:tcPr>
          <w:p>
            <w:pPr>
              <w:ind w:left="260"/>
              <w:spacing w:after="0" w:line="155" w:lineRule="exact"/>
              <w:rPr>
                <w:sz w:val="20"/>
                <w:szCs w:val="20"/>
                <w:color w:val="auto"/>
              </w:rPr>
            </w:pPr>
            <w:r>
              <w:rPr>
                <w:rFonts w:ascii="Arial" w:cs="Arial" w:eastAsia="Arial" w:hAnsi="Arial"/>
                <w:sz w:val="14"/>
                <w:szCs w:val="14"/>
                <w:color w:val="auto"/>
              </w:rPr>
              <w:t>Total cash flows used by investing activities from continuing operations</w:t>
            </w:r>
          </w:p>
        </w:tc>
        <w:tc>
          <w:tcPr>
            <w:tcW w:w="4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PROVIDED (USED) BY FINANCING ACTIVITIES</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140"/>
              <w:spacing w:after="0"/>
              <w:rPr>
                <w:sz w:val="20"/>
                <w:szCs w:val="20"/>
                <w:color w:val="auto"/>
              </w:rPr>
            </w:pPr>
            <w:r>
              <w:rPr>
                <w:rFonts w:ascii="Arial" w:cs="Arial" w:eastAsia="Arial" w:hAnsi="Arial"/>
                <w:sz w:val="14"/>
                <w:szCs w:val="14"/>
                <w:b w:val="1"/>
                <w:bCs w:val="1"/>
                <w:color w:val="auto"/>
              </w:rPr>
              <w:t>FROM CONTINUING OPERATIONS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 of long-term debt</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Premium on long-term debt</w:t>
            </w:r>
          </w:p>
        </w:tc>
        <w:tc>
          <w:tcPr>
            <w:tcW w:w="4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 of short-term debt</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Debt issuance costs</w:t>
            </w:r>
          </w:p>
        </w:tc>
        <w:tc>
          <w:tcPr>
            <w:tcW w:w="4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dividends paid</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88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Stock based compensation employee withholding taxes paid in cash</w:t>
            </w: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88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cash flows used by financing activities from continuing operations</w:t>
            </w:r>
          </w:p>
        </w:tc>
        <w:tc>
          <w:tcPr>
            <w:tcW w:w="4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56"/>
        </w:trPr>
        <w:tc>
          <w:tcPr>
            <w:tcW w:w="8820" w:type="dxa"/>
            <w:vAlign w:val="bottom"/>
          </w:tcPr>
          <w:p>
            <w:pPr>
              <w:spacing w:after="0" w:line="155" w:lineRule="exact"/>
              <w:rPr>
                <w:sz w:val="20"/>
                <w:szCs w:val="20"/>
                <w:color w:val="auto"/>
              </w:rPr>
            </w:pPr>
            <w:r>
              <w:rPr>
                <w:rFonts w:ascii="Arial" w:cs="Arial" w:eastAsia="Arial" w:hAnsi="Arial"/>
                <w:sz w:val="14"/>
                <w:szCs w:val="14"/>
                <w:b w:val="1"/>
                <w:bCs w:val="1"/>
                <w:color w:val="auto"/>
              </w:rPr>
              <w:t>CASH PROVIDED (USED) BY CONTINUING OPERATIONS</w:t>
            </w:r>
          </w:p>
        </w:tc>
        <w:tc>
          <w:tcPr>
            <w:tcW w:w="4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(320)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provided (used) by discontinued operations</w:t>
            </w: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Operating cash flows</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Investing cash flows</w:t>
            </w:r>
          </w:p>
        </w:tc>
        <w:tc>
          <w:tcPr>
            <w:tcW w:w="4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Financing cash flows</w:t>
            </w:r>
          </w:p>
        </w:tc>
        <w:tc>
          <w:tcPr>
            <w:tcW w:w="4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88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cash used by discontinued operations</w:t>
            </w:r>
          </w:p>
        </w:tc>
        <w:tc>
          <w:tcPr>
            <w:tcW w:w="4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88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Effect of currency exchange rate changes on cash and cash equivalents</w:t>
            </w: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88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DECREASE IN CASH AND CASH EQUIVALENTS</w:t>
            </w:r>
          </w:p>
        </w:tc>
        <w:tc>
          <w:tcPr>
            <w:tcW w:w="4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(341)</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56"/>
        </w:trPr>
        <w:tc>
          <w:tcPr>
            <w:tcW w:w="882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 BEGINNING OF PERIOD</w:t>
            </w:r>
          </w:p>
        </w:tc>
        <w:tc>
          <w:tcPr>
            <w:tcW w:w="4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566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spacing w:after="0"/>
              <w:rPr>
                <w:sz w:val="20"/>
                <w:szCs w:val="20"/>
                <w:color w:val="auto"/>
              </w:rPr>
            </w:pPr>
            <w:r>
              <w:rPr>
                <w:rFonts w:ascii="Arial" w:cs="Arial" w:eastAsia="Arial" w:hAnsi="Arial"/>
                <w:sz w:val="14"/>
                <w:szCs w:val="14"/>
                <w:color w:val="auto"/>
              </w:rPr>
              <w:t>Change in cash and cash equivalents held by Valvoline</w:t>
            </w:r>
          </w:p>
        </w:tc>
        <w:tc>
          <w:tcPr>
            <w:tcW w:w="4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6"/>
        </w:trPr>
        <w:tc>
          <w:tcPr>
            <w:tcW w:w="882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 END OF PERIOD</w:t>
            </w:r>
          </w:p>
        </w:tc>
        <w:tc>
          <w:tcPr>
            <w:tcW w:w="4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225</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 Excludes changes resulting from operations acquired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5" w:name="page6"/>
    <w:bookmarkEnd w:id="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Basis of presentation</w:t>
      </w:r>
    </w:p>
    <w:p>
      <w:pPr>
        <w:spacing w:after="0" w:line="108"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Additionally, certain prior period data, primarily related to discontinued operations, have been reclassified in the Consolidated Financial Statements and accompanying notes to conform to the current period presentation, as further described in this section. These statements omit certain information and footnote disclosures required for complete annual financial statements and, therefore, should be read in conjunction with Ashland’s Annual Report on Form 10-K for the fiscal year ended September 30, 2017. Results of operations for the period ended March 31, 2018 are not necessarily indicative of the expected results for the remaining quarters in the fiscal year.</w:t>
      </w:r>
    </w:p>
    <w:p>
      <w:pPr>
        <w:spacing w:after="0" w:line="77"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On May 12, 2017, Ashland completed the distribution of its remaining 170 million shares of common stock of Valvoline Inc. which represented approximately 83% of the total outstanding shares of Valvoline Inc.'s common stock. This separation from Valvoline represented a strategic shift in Ashland's business and qualified as a discontinued operation. Accordingly, Valvoline's operating results and cash flows for the three and six months ended March 31, 2017 have been classified as discontinued operations within the Condensed Consolidated Financial Statements. See Note B for additional information on the separation of Valvoline Inc.</w:t>
      </w:r>
    </w:p>
    <w:p>
      <w:pPr>
        <w:spacing w:after="0" w:line="5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Subsequent to completing the separation from Valvoline Inc., Ashland's operations are managed within the following three reportable segments: Specialty Ingredients, Composites and Intermediates and Solvents.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Use of estimates, risks and uncertainties</w:t>
      </w:r>
    </w:p>
    <w:p>
      <w:pPr>
        <w:spacing w:after="0" w:line="10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1"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New accounting standards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2017. The following standards relevant to Ashland were either issued or adopted in the current period, or will become effective in a subsequent period.</w:t>
      </w:r>
    </w:p>
    <w:p>
      <w:pPr>
        <w:spacing w:after="0" w:line="83"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In May 2014, the FASB issued accounting guidance outlining a single comprehensive five step model for entities to use in accounting for revenue arising from contracts with customers (ASC 606 Revenue from Contracts with Customers). The new guidance supersedes most current revenue recognition guidance, in an effort to converge the revenue recognition principles within U.S. GAAP. This new guidance also requires entities to disclose certain quantitative and qualitative information regarding the nature, amount, timing and</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6" w:name="page7"/>
    <w:bookmarkEnd w:id="6"/>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69" w:lineRule="auto"/>
        <w:rPr>
          <w:sz w:val="20"/>
          <w:szCs w:val="20"/>
          <w:color w:val="auto"/>
        </w:rPr>
      </w:pPr>
      <w:r>
        <w:rPr>
          <w:rFonts w:ascii="Arial" w:cs="Arial" w:eastAsia="Arial" w:hAnsi="Arial"/>
          <w:sz w:val="18"/>
          <w:szCs w:val="18"/>
          <w:color w:val="auto"/>
        </w:rPr>
        <w:t>uncertainty of qualifying revenue and cash flows arising from contracts with customers. Entities have the option of using a full retrospective or a modified retrospective approach to adopt the new guidance. Ashland has identified an implementation team that is currently evaluating the impact of the new standard on the Condensed Consolidated Financial Statements and the adoption method options available as well as the overall impact the new guidance will have on the organization. The assessment process consists of categorizing Ashland’s revenue streams and reviewing the current internal accounting policies and practices to determine potential differences that would result from applying the requirements of the new standard to revenue contracts. Additional discussions and meetings with each revenue stream team have occurred to solicit input, identify potential impacts and appropriate changes to Ashland’s business processes, systems and controls to support the revenue recognition and disclosure requirements under the new standard. Based on various preliminary assessments conducted to date, Ashland has identified agreements with distributors and customers that are subject to rebate and incentive programs that could contain elements of material rights and/or variable consideration. Ashland does not currently believe that these elements would result in a material change to how revenue would be recognized for these agreements. Ashland currently intends to adopt this standard using the modified retrospective approach and does not believe the impact will be material to the Condensed Consolidated Financial Statements but does expect there to be significant additional disclosures within the Notes to Condensed Consolidated Financial Statements. This guidance becomes effective for Ashland on October 1, 2018.</w:t>
      </w:r>
    </w:p>
    <w:p>
      <w:pPr>
        <w:spacing w:after="0" w:line="72"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In February 2018, the FASB issued guidance which permits entities to reclassify tax effects stranded in accumulated other comprehensive income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becomes effective for Ashland on October 1, 2019. Ashland is currently evaluating the impact this guidance may have on Ashland’s Condensed Consolidated Financial Statements.</w:t>
      </w:r>
    </w:p>
    <w:p>
      <w:pPr>
        <w:spacing w:after="0" w:line="73"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In March 2017, the FASB issued accounting guidance that will change how employers who sponsor defined benefit pension and/or postretirement benefit plans present the net periodic benefit cost in the Statement of Consolidated Comprehensive Income (Loss). This guidance requires employers to present the service cost component of net periodic benefit cost in the same caption within the Statement of Consolidated Comprehensive Income (Loss) as other employee compensation costs from services rendered during the period. All other components of the net periodic benefit cost will be presented separately outside of the operating income caption. This guidance must be applied retrospectively. Ashland elected to early adopt this guidance on October 1, 2017, which resulted in a reclassification of $3 million in income from the selling, general and administrative expense and cost of sales captions to the other net periodic benefit income caption in the Statement of Consolidated Comprehensive Income (Loss) for the six months ended March 31, 2017. The components of net periodic benefits income (costs) reclassified primarily relate to interest cost, expected return on assets, curtailments, settlements and actuarial gains and losses. Ashland did not have to adjust the classification of service cost since it previously was recorded within the caption required by the new guidance. See Note J for additional information on net periodic benefit costs.</w:t>
      </w:r>
    </w:p>
    <w:p>
      <w:pPr>
        <w:spacing w:after="0" w:line="77"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In March 2016, the FASB issued new accounting guidance for certain aspects of share-based payments to employees. This guidance requires all excess tax benefits and tax deficiencies related to share-based payments to be recognized as income tax expense in the Statements of Consolidated Comprehensive Income (Loss) instead of additional paid-in capital, and changes the classification of excess tax benefits from a financing activity to an operating activity within the Statements of Condensed Consolidated Cash Flows. This guidance also allows entities to make an accounting policy election to either estimate the number of awards that are expected to vest or account for forfeitures when they occur. In addition, this guidance increases the amount an employer can withhold to cover income taxes on awards and still qualify for equity classification and requires that cash paid by an employer when directly withholding shares for tax-withholding purposes be classified as a financing activity within the Statements of Condensed Consolidated Cash Flows. The guidance became effective for Ashland and was adopted on October 1, 2017. The guidance specifically related to the Statements of Consolidated Comprehensive Income (Loss) was adopted prospectively while the guidance related to the Statements of Condensed Consolidated Cash</w:t>
      </w:r>
    </w:p>
    <w:p>
      <w:pPr>
        <w:spacing w:after="0" w:line="1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7" w:name="page8"/>
    <w:bookmarkEnd w:id="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Flows was adopted retrospectively, as required by the guidance. Additionally, Ashland made a policy election to account for forfeitures when they occur across all share-based awards. Upon adoption, the overall impact on Ashland's Condensed Consolidated Financial Statements was not significant.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VALVOLINE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Ashland Separation of Valvoline</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On September 22, 2015, Ashland announced that the Board of Directors approved proceeding with a plan to separate Ashland into two independent, publicly traded companies comprising of the new Ashland (now known as Ashland Global Holdings Inc.) and Valvoline Inc. The initial step of the separation, the initial public offering (IPO) of Valvoline Inc., closed on September 28, 2016. As discussed further within the Final Separation section of this Note, Ashland completed the distribution of its remaining shares in Valvoline Inc. on May 12, 2017. The new Ashland is a premier global leader in providing specialty chemical solutions to customers in a wide range of consumer and industrial markets. Key markets and applications include pharmaceutical, personal care, food and beverage, architectural coatings, adhesives, automotive, construction and energy.</w:t>
      </w:r>
    </w:p>
    <w:p>
      <w:pPr>
        <w:spacing w:after="0" w:line="71"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After completing the IPO on September 28, 2016 and before the distribution of its remaining shares on May 12, 2017, Ashland owned 170 million shares of Valvoline Inc.’s common stock which represented approximately 83% of the total outstanding shares of Valvoline Inc.’s common stock. As a result, Ashland continued to consolidate Valvoline within the Condensed Consolidated Financial Statements up until the distribution of the remaining shares. The resulting outside stockholders’ interests in Valvoline Inc., which was approximately 17%, was presented separately as a noncontrolling interest within Ashland’s equity in the Condensed Consolidated Balance Sheets up until the distribution of the remaining shares. The amount of consolidated net income attributable to these minority holders is presented as a separate caption on the Statements of Consolidated Comprehensive Income (Loss) for the three and six months ended March 31, 2017.</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Final Separation</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 completed the distribution of its remaining 170 million shares of common stock of Valvoline Inc. as a pro rata dividend on shares of Ashland common stock outstanding at the close of business on the record date of May 5, 2017. Based on the shares of Ashland common stock outstanding as of May 5, 2017, the record date for the distribution, each share of Ashland common stock received 2.745338 shares of Valvoline common stock in the distribution. The distribution was recorded at the carrying amount of Valvoline Inc.'s net assets which was a deficit of $187 million as of May 12, 2017, as follows:</w:t>
      </w: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8" w:name="page9"/>
    <w:bookmarkEnd w:id="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May 12</w:t>
            </w:r>
          </w:p>
        </w:tc>
        <w:tc>
          <w:tcPr>
            <w:tcW w:w="120" w:type="dxa"/>
            <w:vAlign w:val="bottom"/>
          </w:tcPr>
          <w:p>
            <w:pPr>
              <w:spacing w:after="0"/>
              <w:rPr>
                <w:sz w:val="21"/>
                <w:szCs w:val="21"/>
                <w:color w:val="auto"/>
              </w:rPr>
            </w:pPr>
          </w:p>
        </w:tc>
      </w:tr>
      <w:tr>
        <w:trPr>
          <w:trHeight w:val="230"/>
        </w:trPr>
        <w:tc>
          <w:tcPr>
            <w:tcW w:w="5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millions)</w:t>
            </w:r>
          </w:p>
        </w:tc>
        <w:tc>
          <w:tcPr>
            <w:tcW w:w="2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r>
      <w:tr>
        <w:trPr>
          <w:trHeight w:val="183"/>
        </w:trPr>
        <w:tc>
          <w:tcPr>
            <w:tcW w:w="580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ASSETS</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color w:val="auto"/>
              </w:rPr>
              <w:t>Accounts receivable, net</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r>
      <w:tr>
        <w:trPr>
          <w:trHeight w:val="223"/>
        </w:trPr>
        <w:tc>
          <w:tcPr>
            <w:tcW w:w="58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property, plant and equipment</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and other unconsolidated investments</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5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r>
      <w:tr>
        <w:trPr>
          <w:trHeight w:val="223"/>
        </w:trPr>
        <w:tc>
          <w:tcPr>
            <w:tcW w:w="580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Total noncurrent assets</w:t>
            </w:r>
          </w:p>
        </w:tc>
        <w:tc>
          <w:tcPr>
            <w:tcW w:w="25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tcPr>
          <w:p>
            <w:pPr>
              <w:spacing w:after="0"/>
              <w:rPr>
                <w:sz w:val="19"/>
                <w:szCs w:val="19"/>
                <w:color w:val="auto"/>
              </w:rPr>
            </w:pPr>
          </w:p>
        </w:tc>
      </w:tr>
      <w:tr>
        <w:trPr>
          <w:trHeight w:val="223"/>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20" w:type="dxa"/>
            <w:vAlign w:val="bottom"/>
            <w:shd w:val="clear" w:color="auto" w:fill="CCEEFF"/>
          </w:tcPr>
          <w:p>
            <w:pPr>
              <w:spacing w:after="0"/>
              <w:rPr>
                <w:sz w:val="19"/>
                <w:szCs w:val="19"/>
                <w:color w:val="auto"/>
              </w:rPr>
            </w:pPr>
          </w:p>
        </w:tc>
      </w:tr>
      <w:tr>
        <w:trPr>
          <w:trHeight w:val="183"/>
        </w:trPr>
        <w:tc>
          <w:tcPr>
            <w:tcW w:w="580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LIABILITIES AND EQUITY</w:t>
            </w:r>
          </w:p>
        </w:tc>
        <w:tc>
          <w:tcPr>
            <w:tcW w:w="2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color w:val="auto"/>
              </w:rPr>
              <w:t>Trade and other payables</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r>
      <w:tr>
        <w:trPr>
          <w:trHeight w:val="223"/>
        </w:trPr>
        <w:tc>
          <w:tcPr>
            <w:tcW w:w="5800" w:type="dxa"/>
            <w:vAlign w:val="bottom"/>
            <w:gridSpan w:val="3"/>
          </w:tcPr>
          <w:p>
            <w:pPr>
              <w:ind w:left="240"/>
              <w:spacing w:after="0"/>
              <w:rPr>
                <w:sz w:val="20"/>
                <w:szCs w:val="20"/>
                <w:color w:val="auto"/>
              </w:rPr>
            </w:pPr>
            <w:r>
              <w:rPr>
                <w:rFonts w:ascii="Arial" w:cs="Arial" w:eastAsia="Arial" w:hAnsi="Arial"/>
                <w:sz w:val="18"/>
                <w:szCs w:val="18"/>
                <w:color w:val="auto"/>
              </w:rPr>
              <w:t>Total current liabilities</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58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r>
      <w:tr>
        <w:trPr>
          <w:trHeight w:val="230"/>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benefit obligations</w:t>
            </w:r>
          </w:p>
        </w:tc>
        <w:tc>
          <w:tcPr>
            <w:tcW w:w="2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long-term liabilities</w:t>
            </w:r>
          </w:p>
        </w:tc>
        <w:tc>
          <w:tcPr>
            <w:tcW w:w="25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19"/>
                <w:szCs w:val="19"/>
                <w:color w:val="auto"/>
              </w:rPr>
            </w:pPr>
          </w:p>
        </w:tc>
      </w:tr>
      <w:tr>
        <w:trPr>
          <w:trHeight w:val="223"/>
        </w:trPr>
        <w:tc>
          <w:tcPr>
            <w:tcW w:w="58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noncurrent liabilities</w:t>
            </w:r>
          </w:p>
        </w:tc>
        <w:tc>
          <w:tcPr>
            <w:tcW w:w="25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9"/>
                <w:szCs w:val="19"/>
                <w:color w:val="auto"/>
              </w:rPr>
            </w:pPr>
          </w:p>
        </w:tc>
      </w:tr>
      <w:tr>
        <w:trPr>
          <w:trHeight w:val="223"/>
        </w:trPr>
        <w:tc>
          <w:tcPr>
            <w:tcW w:w="5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5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tcPr>
          <w:p>
            <w:pPr>
              <w:spacing w:after="0"/>
              <w:rPr>
                <w:sz w:val="19"/>
                <w:szCs w:val="19"/>
                <w:color w:val="auto"/>
              </w:rPr>
            </w:pPr>
          </w:p>
        </w:tc>
      </w:tr>
      <w:tr>
        <w:trPr>
          <w:trHeight w:val="223"/>
        </w:trPr>
        <w:tc>
          <w:tcPr>
            <w:tcW w:w="5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deficit</w:t>
            </w:r>
          </w:p>
        </w:tc>
        <w:tc>
          <w:tcPr>
            <w:tcW w:w="25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A Tax Matters Agreement between Ashland and Valvoline Inc. governs the rights and obligations after the separation regarding certain income taxes and other taxes, including certain tax liabilities and benefits, attributes, returns and contests.</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Discontinued Operations Assessment</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Valvoline met the criteria to qualify as a discontinued operation and accordingly, its operating results and cash flows for the three and six months ended March 31, 2017 have been classified as discontinued operations within the Condensed Consolidated Financial Statements. See Note D for more information.</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Costs of transaction</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Ashland recognized separation costs of $2 million and $26 million for the three months ended March 31, 2018 and 2017, respectively, and $8 million and $54 million for the six months ended March 31, 2018 and 2017, respectively. Of these amounts, $7 million and $12 million of separation costs directly related to Valvoline and were included within the discontinued operations caption of the Statement of Consolidated Comprehensive Income (Loss) for the three and six months ended March 31, 2017, respectively. Otherwise, separation costs are recorded within the selling, general and administrative expense caption of the Statements of Consolidated Comprehensive Income (Loss).</w:t>
      </w: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9" w:name="page10"/>
    <w:bookmarkEnd w:id="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 ACQUISITIONS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Pharmachem</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Background</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On May 17, 2017, Ashland completed its acquisition of the stock of Pharmachem Laboratories, Inc. (Pharmachem), a leading provider of quality ingredients to the global health and wellness industries and high-value differentiated products to fragrance and flavor houses. With annual revenues of approximately $300 million and 14 manufacturing facilities in the United States and Mexico, New Jersey-based Pharmachem develops, manufactures and supplies custom and branded nutritional and fragrance products. Ashland has included Pharmachem within the Specialty Ingredients reportable segment.</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Purchase price allocation</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The acquisition was recorded by Ashland using the purchase method of accounting in accordance with applicable U.S. GAAP whereby the total purchase price was allocated to tangible and intangible assets and liabilities acquired based on respective fair values.</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all-cash purchase price of Pharmachem was $680 million which included working capital adjustments of approximately $20 million. The following table summarizes the current preliminary values of the assets acquired and liabilities assumed at the date of acquisition.</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85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At</w:t>
            </w:r>
          </w:p>
        </w:tc>
      </w:tr>
      <w:tr>
        <w:trPr>
          <w:trHeight w:val="230"/>
        </w:trPr>
        <w:tc>
          <w:tcPr>
            <w:tcW w:w="8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May 17, 2017</w:t>
            </w:r>
          </w:p>
        </w:tc>
      </w:tr>
      <w:tr>
        <w:trPr>
          <w:trHeight w:val="230"/>
        </w:trPr>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Preliminary purchase price allocation (in millions)</w:t>
            </w: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As Adjusted</w:t>
            </w: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5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330</w:t>
            </w: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noncurrent assets</w:t>
            </w:r>
          </w:p>
        </w:tc>
        <w:tc>
          <w:tcPr>
            <w:tcW w:w="5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Deferred tax - net</w:t>
            </w:r>
          </w:p>
        </w:tc>
        <w:tc>
          <w:tcPr>
            <w:tcW w:w="5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noncurrent liabilities</w:t>
            </w:r>
          </w:p>
        </w:tc>
        <w:tc>
          <w:tcPr>
            <w:tcW w:w="5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purchase price</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w:t>
            </w:r>
          </w:p>
        </w:tc>
      </w:tr>
      <w:tr>
        <w:trPr>
          <w:trHeight w:val="20"/>
        </w:trPr>
        <w:tc>
          <w:tcPr>
            <w:tcW w:w="8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 of March 31, 2018, the purchase price allocation for the acquisition was preliminary. Adjustments to the current fair value estimates in the above table may occur as the process conducted for various valuations and assessments, including certain tangible and intangible assets, are finalized.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based on strategic benefits that are expected to be realized from the acquisition. None of the goodwill is expected to be deductible for income tax purposes. During the current quarter, adjustments of $1 million were made to goodwill and accounts payable.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Intangible assets identified</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The purchase price allocation included $330 million of certain definite-lived intangible assets which are being amortized over the estimated useful life in proportion to the economic benefits consumed. The determination of the useful lives is based upon various industry studies, historical acquisition experience, economic factors, and future cash flows of the combined company. In addition, Ashland reviewed certain technological trends and considered the relative stability in the current Pharmachem customer base.</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0" w:name="page11"/>
    <w:bookmarkEnd w:id="1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details the total intangible assets identified as of May 17, 2017.</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67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88"/>
              </w:rPr>
              <w:t>Weighted-average</w:t>
            </w:r>
          </w:p>
        </w:tc>
      </w:tr>
      <w:tr>
        <w:trPr>
          <w:trHeight w:val="230"/>
        </w:trPr>
        <w:tc>
          <w:tcPr>
            <w:tcW w:w="6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60" w:type="dxa"/>
            <w:vAlign w:val="bottom"/>
          </w:tcPr>
          <w:p>
            <w:pPr>
              <w:jc w:val="center"/>
              <w:ind w:left="50"/>
              <w:spacing w:after="0"/>
              <w:rPr>
                <w:sz w:val="20"/>
                <w:szCs w:val="20"/>
                <w:color w:val="auto"/>
              </w:rPr>
            </w:pPr>
            <w:r>
              <w:rPr>
                <w:rFonts w:ascii="Arial" w:cs="Arial" w:eastAsia="Arial" w:hAnsi="Arial"/>
                <w:sz w:val="18"/>
                <w:szCs w:val="18"/>
                <w:color w:val="auto"/>
                <w:w w:val="92"/>
              </w:rPr>
              <w:t>amortization period</w:t>
            </w:r>
          </w:p>
        </w:tc>
      </w:tr>
      <w:tr>
        <w:trPr>
          <w:trHeight w:val="230"/>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 type (in millions)</w:t>
            </w: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21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(years)</w:t>
            </w:r>
          </w:p>
        </w:tc>
      </w:tr>
      <w:tr>
        <w:trPr>
          <w:trHeight w:val="223"/>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1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15</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Intellectual property</w:t>
            </w:r>
          </w:p>
        </w:tc>
        <w:tc>
          <w:tcPr>
            <w:tcW w:w="6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160" w:type="dxa"/>
            <w:vAlign w:val="bottom"/>
          </w:tcPr>
          <w:p>
            <w:pPr>
              <w:jc w:val="center"/>
              <w:ind w:left="50"/>
              <w:spacing w:after="0"/>
              <w:rPr>
                <w:sz w:val="20"/>
                <w:szCs w:val="20"/>
                <w:color w:val="auto"/>
              </w:rPr>
            </w:pPr>
            <w:r>
              <w:rPr>
                <w:rFonts w:ascii="Arial" w:cs="Arial" w:eastAsia="Arial" w:hAnsi="Arial"/>
                <w:sz w:val="18"/>
                <w:szCs w:val="18"/>
                <w:color w:val="auto"/>
                <w:w w:val="89"/>
              </w:rPr>
              <w:t>22</w:t>
            </w: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Customer and supplier relationships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21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216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9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Vornia Limited</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January 2018, Ashland completed the acquisition of Vornia Limited for $12 million, of which $1 million will be paid in future periods. Vornia Limited’s principal activity is the design, development and fabrication of customized biomaterial solutions. The purchase price allocation primarily included $8 million of intellectual property and $4 million of goodwill and has been included within the Specialty Ingredients reportable segment.</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DISCONTINUED OPERATIONS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In previous periods, 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 and are discussed further within this note.</w:t>
      </w:r>
    </w:p>
    <w:p>
      <w:pPr>
        <w:spacing w:after="0" w:line="69"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As previously discussed in Notes A and B, Ashland completed the distribution of its remaining 170 million shares of common stock of Valvoline Inc. on May 12, 2017. Ashland determined that the Valvoline separation qualified as a discontinued operation, in accordance with U.S. GAAP, since it represents a strategic shift for Ashland and has a major effect on Ashland's operations and financial results. Accordingly, Valvoline's operating results and cash flows for the three and six months ended March 31, 2017 have been classified as discontinued operations within the Condensed Consolidated Financial Statements. The activity during the three and six months ended March 31, 2018 generally represents subsequent adjustments that were made in conjunction with the Tax Matters Agreement.</w:t>
      </w:r>
    </w:p>
    <w:p>
      <w:pPr>
        <w:spacing w:after="0" w:line="85"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of Ashland, which qualified as a discontinued operation, and from the 2009 acquisition of Hercules LLC (formerly Hercules Incorporated), a wholly-owned subsidiary of Ashland. During the three and six months ended March 31, 2018, Ashland recorded $3 million of income within the discontinued operations caption related to receipts from insurance carriers for asbestos-related litigation.</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July 31, 2014, Ashland completed the sale of the Ashland Water Technologies (Water Technologies) business to Clayton, Dubilier</w:t>
      </w:r>
    </w:p>
    <w:p>
      <w:pPr>
        <w:spacing w:after="0" w:line="62" w:lineRule="exact"/>
        <w:rPr>
          <w:sz w:val="20"/>
          <w:szCs w:val="20"/>
          <w:color w:val="auto"/>
        </w:rPr>
      </w:pPr>
    </w:p>
    <w:p>
      <w:pPr>
        <w:ind w:left="400" w:firstLine="9"/>
        <w:spacing w:after="0" w:line="244" w:lineRule="auto"/>
        <w:tabs>
          <w:tab w:leader="none" w:pos="636" w:val="left"/>
        </w:tabs>
        <w:numPr>
          <w:ilvl w:val="0"/>
          <w:numId w:val="5"/>
        </w:numPr>
        <w:rPr>
          <w:rFonts w:ascii="Arial" w:cs="Arial" w:eastAsia="Arial" w:hAnsi="Arial"/>
          <w:sz w:val="20"/>
          <w:szCs w:val="20"/>
          <w:color w:val="auto"/>
        </w:rPr>
      </w:pPr>
      <w:r>
        <w:rPr>
          <w:rFonts w:ascii="Arial" w:cs="Arial" w:eastAsia="Arial" w:hAnsi="Arial"/>
          <w:sz w:val="20"/>
          <w:szCs w:val="20"/>
          <w:color w:val="auto"/>
        </w:rPr>
        <w:t>Rice. Ashland made subsequent post-closing adjustments to the discontinued operations caption as defined by the definitive agreement during the three and six months ended March 31, 2017.</w:t>
      </w:r>
    </w:p>
    <w:p>
      <w:pPr>
        <w:spacing w:after="0" w:line="84" w:lineRule="exact"/>
        <w:rPr>
          <w:sz w:val="20"/>
          <w:szCs w:val="20"/>
          <w:color w:val="auto"/>
        </w:rPr>
      </w:pPr>
    </w:p>
    <w:p>
      <w:pPr>
        <w:ind w:left="400"/>
        <w:spacing w:after="0" w:line="287"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and six months ended March 31, 2018 and 2017.</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1" w:name="page12"/>
    <w:bookmarkEnd w:id="11"/>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5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Six months ended</w:t>
            </w:r>
          </w:p>
        </w:tc>
        <w:tc>
          <w:tcPr>
            <w:tcW w:w="560" w:type="dxa"/>
            <w:vAlign w:val="bottom"/>
            <w:tcBorders>
              <w:top w:val="single" w:sz="8" w:color="auto"/>
            </w:tcBorders>
          </w:tcPr>
          <w:p>
            <w:pPr>
              <w:spacing w:after="0"/>
              <w:rPr>
                <w:sz w:val="21"/>
                <w:szCs w:val="21"/>
                <w:color w:val="auto"/>
              </w:rPr>
            </w:pPr>
          </w:p>
        </w:tc>
      </w:tr>
      <w:tr>
        <w:trPr>
          <w:trHeight w:val="230"/>
        </w:trPr>
        <w:tc>
          <w:tcPr>
            <w:tcW w:w="5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Income from discontinued operations (net of tax)</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Valvoline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FF0FC"/>
          </w:tcPr>
          <w:p>
            <w:pPr>
              <w:jc w:val="right"/>
              <w:ind w:right="5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9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Asbestos-related litigation</w:t>
            </w:r>
          </w:p>
        </w:tc>
        <w:tc>
          <w:tcPr>
            <w:tcW w:w="2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Water Technologies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Total income from discontinued operations (net of tax)</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following table presents a reconciliation of the historically reported captions within Ashland's Statements of Consolidated Income (Loss) for the income from discontinued operations attributable to Valvoline for the three and six months ended March 31, 2017.</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Three</w:t>
            </w: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Six</w:t>
            </w:r>
          </w:p>
        </w:tc>
      </w:tr>
      <w:tr>
        <w:trPr>
          <w:trHeight w:val="230"/>
        </w:trPr>
        <w:tc>
          <w:tcPr>
            <w:tcW w:w="7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months ended</w:t>
            </w:r>
          </w:p>
        </w:tc>
      </w:tr>
      <w:tr>
        <w:trPr>
          <w:trHeight w:val="230"/>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9"/>
              </w:rPr>
              <w:t>March 31, 2017</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March 31, 2017</w:t>
            </w:r>
          </w:p>
        </w:tc>
      </w:tr>
      <w:tr>
        <w:trPr>
          <w:trHeight w:val="223"/>
        </w:trPr>
        <w:tc>
          <w:tcPr>
            <w:tcW w:w="7240" w:type="dxa"/>
            <w:vAlign w:val="bottom"/>
          </w:tcPr>
          <w:p>
            <w:pPr>
              <w:spacing w:after="0"/>
              <w:rPr>
                <w:sz w:val="20"/>
                <w:szCs w:val="20"/>
                <w:color w:val="auto"/>
              </w:rPr>
            </w:pPr>
            <w:r>
              <w:rPr>
                <w:rFonts w:ascii="Arial" w:cs="Arial" w:eastAsia="Arial" w:hAnsi="Arial"/>
                <w:sz w:val="18"/>
                <w:szCs w:val="18"/>
                <w:b w:val="1"/>
                <w:bCs w:val="1"/>
                <w:color w:val="auto"/>
              </w:rPr>
              <w:t>Income (loss) from discontinued operations attributable to Valvoline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1,003</w:t>
            </w: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 income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r>
      <w:tr>
        <w:trPr>
          <w:trHeight w:val="223"/>
        </w:trPr>
        <w:tc>
          <w:tcPr>
            <w:tcW w:w="7240" w:type="dxa"/>
            <w:vAlign w:val="bottom"/>
          </w:tcPr>
          <w:p>
            <w:pPr>
              <w:ind w:left="240"/>
              <w:spacing w:after="0"/>
              <w:rPr>
                <w:sz w:val="20"/>
                <w:szCs w:val="20"/>
                <w:color w:val="auto"/>
              </w:rPr>
            </w:pPr>
            <w:r>
              <w:rPr>
                <w:rFonts w:ascii="Arial" w:cs="Arial" w:eastAsia="Arial" w:hAnsi="Arial"/>
                <w:sz w:val="18"/>
                <w:szCs w:val="18"/>
                <w:color w:val="auto"/>
              </w:rPr>
              <w:t>Pretax operating income of discontinued operations</w:t>
            </w:r>
          </w:p>
        </w:tc>
        <w:tc>
          <w:tcPr>
            <w:tcW w:w="2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30"/>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240" w:type="dxa"/>
            <w:vAlign w:val="bottom"/>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2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30"/>
        </w:trPr>
        <w:tc>
          <w:tcPr>
            <w:tcW w:w="7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7240" w:type="dxa"/>
            <w:vAlign w:val="bottom"/>
          </w:tcPr>
          <w:p>
            <w:pPr>
              <w:ind w:left="24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87"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2" w:name="page13"/>
    <w:bookmarkEnd w:id="12"/>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right="20"/>
        <w:spacing w:after="0" w:line="291" w:lineRule="auto"/>
        <w:rPr>
          <w:sz w:val="20"/>
          <w:szCs w:val="20"/>
          <w:color w:val="auto"/>
        </w:rPr>
      </w:pPr>
      <w:r>
        <w:rPr>
          <w:rFonts w:ascii="Arial" w:cs="Arial" w:eastAsia="Arial" w:hAnsi="Arial"/>
          <w:sz w:val="18"/>
          <w:szCs w:val="18"/>
          <w:color w:val="auto"/>
        </w:rPr>
        <w:t>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March 31, 2018.</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8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0"/>
              </w:rPr>
              <w:t>Quoted prices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in active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markets for</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identical</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2"/>
              </w:rPr>
              <w:t>unobservable</w:t>
            </w:r>
          </w:p>
        </w:tc>
      </w:tr>
      <w:tr>
        <w:trPr>
          <w:trHeight w:val="230"/>
        </w:trPr>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Carrying</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inputs</w:t>
            </w:r>
          </w:p>
        </w:tc>
      </w:t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value</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Investment of captive insurance company</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6" w:lineRule="exact"/>
        <w:rPr>
          <w:sz w:val="20"/>
          <w:szCs w:val="20"/>
          <w:color w:val="auto"/>
        </w:rPr>
      </w:pPr>
    </w:p>
    <w:p>
      <w:pPr>
        <w:ind w:left="660" w:hanging="260"/>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spacing w:after="0" w:line="13" w:lineRule="exact"/>
        <w:rPr>
          <w:rFonts w:ascii="Arial" w:cs="Arial" w:eastAsia="Arial" w:hAnsi="Arial"/>
          <w:sz w:val="14"/>
          <w:szCs w:val="14"/>
          <w:color w:val="auto"/>
        </w:rPr>
      </w:pPr>
    </w:p>
    <w:p>
      <w:pPr>
        <w:ind w:left="660" w:hanging="260"/>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2017.</w:t>
      </w:r>
    </w:p>
    <w:p>
      <w:pPr>
        <w:spacing w:after="0" w:line="249"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8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0"/>
              </w:rPr>
              <w:t>Quoted prices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in active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markets for</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identical</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2"/>
              </w:rPr>
              <w:t>unobservable</w:t>
            </w:r>
          </w:p>
        </w:tc>
      </w:tr>
      <w:tr>
        <w:trPr>
          <w:trHeight w:val="230"/>
        </w:trPr>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Carrying</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inputs</w:t>
            </w:r>
          </w:p>
        </w:tc>
      </w:t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value</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Investment of captive insurance company</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6" w:lineRule="exact"/>
        <w:rPr>
          <w:sz w:val="20"/>
          <w:szCs w:val="20"/>
          <w:color w:val="auto"/>
        </w:rPr>
      </w:pPr>
    </w:p>
    <w:p>
      <w:pPr>
        <w:ind w:left="660" w:hanging="260"/>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spacing w:after="0" w:line="13" w:lineRule="exact"/>
        <w:rPr>
          <w:rFonts w:ascii="Arial" w:cs="Arial" w:eastAsia="Arial" w:hAnsi="Arial"/>
          <w:sz w:val="14"/>
          <w:szCs w:val="14"/>
          <w:color w:val="auto"/>
        </w:rPr>
      </w:pPr>
    </w:p>
    <w:p>
      <w:pPr>
        <w:ind w:left="660" w:hanging="260"/>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Restricted investments</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During 2015, Ashland and Hercules entered into a comprehensive settlement agreement related to certain insurance coverage for asbestos bodily injury claims with Underwriters at Lloyd’s, certain London Companies and Chartis (AIG) member companies, along with National Indemnity Company and Resolute Management, Inc., under which Ashland and Hercules received a total of $398 million (the January 2015 asbestos insurance settlement). Ashland placed $335 million of the settlement funds from the January 2015</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3" w:name="page14"/>
    <w:bookmarkEnd w:id="13"/>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asbestos insurance settlement into a renewable annual trust restricted for the purpose of paying ongoing and future litigation defense and claim settlement costs incurred in conjunction with asbestos claims. These funds were classified primarily as noncurrent restricted investment assets, with $30 million classified within other current assets, in the Condensed Consolidated Balance Sheets as of March 31, 2018 and September 30, 2017, respectively.</w:t>
      </w:r>
    </w:p>
    <w:p>
      <w:pPr>
        <w:spacing w:after="0" w:line="83"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During 2015, Ashland diversified the restricted investments received from the January 2015 asbestos insurance settlement into primarily equity and corporate bond mutual funds that are designated as available-for-sale securities, classified as Level 1 measurements within the fair value hierarchy. Available-for-sale securities are reported at fair value with unrealized gains and losses, net of related deferred income taxes, included in the stockholders' equity section of the Condensed Consolidated Balance Sheets as a component of accumulated other comprehensive income (AOCI). Investment income and realized gains and losses on the available-for-sale securities are reported in the net interest and other financing expense caption in the Statements of Consolidated Comprehensive Income (Loss). The following table provides a summary of the available-for-sale securities portfolio as of March 31, 2018 and September 30, 2017:</w:t>
      </w: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6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rPr>
              <w:t>March 31</w:t>
            </w: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Original cost</w:t>
            </w: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adjustments, net</w:t>
            </w:r>
          </w:p>
        </w:tc>
        <w:tc>
          <w:tcPr>
            <w:tcW w:w="8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cost, beginning of year </w:t>
            </w:r>
            <w:r>
              <w:rPr>
                <w:rFonts w:ascii="Arial" w:cs="Arial" w:eastAsia="Arial" w:hAnsi="Arial"/>
                <w:sz w:val="14"/>
                <w:szCs w:val="14"/>
                <w:color w:val="auto"/>
              </w:rPr>
              <w:t>(a)</w:t>
            </w:r>
          </w:p>
        </w:tc>
        <w:tc>
          <w:tcPr>
            <w:tcW w:w="8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82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w:t>
            </w:r>
          </w:p>
        </w:tc>
        <w:tc>
          <w:tcPr>
            <w:tcW w:w="8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Realized gains</w:t>
            </w:r>
          </w:p>
        </w:tc>
        <w:tc>
          <w:tcPr>
            <w:tcW w:w="82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8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8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333</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r>
      <w:tr>
        <w:trPr>
          <w:trHeight w:val="20"/>
        </w:trPr>
        <w:tc>
          <w:tcPr>
            <w:tcW w:w="6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732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7" w:lineRule="exact"/>
        <w:rPr>
          <w:sz w:val="20"/>
          <w:szCs w:val="20"/>
          <w:color w:val="auto"/>
        </w:rPr>
      </w:pPr>
    </w:p>
    <w:p>
      <w:pPr>
        <w:ind w:left="660" w:hanging="260"/>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spacing w:after="0" w:line="13" w:lineRule="exact"/>
        <w:rPr>
          <w:rFonts w:ascii="Arial" w:cs="Arial" w:eastAsia="Arial" w:hAnsi="Arial"/>
          <w:sz w:val="14"/>
          <w:szCs w:val="14"/>
          <w:color w:val="auto"/>
        </w:rPr>
      </w:pPr>
    </w:p>
    <w:p>
      <w:pPr>
        <w:ind w:left="660" w:hanging="260"/>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corporate bond mutual funds.</w:t>
      </w:r>
    </w:p>
    <w:p>
      <w:pPr>
        <w:spacing w:after="0" w:line="85"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table presents gross unrealized gains and losses for the restricted investment available-for-sale securities as of March 31, 2018 and September 30,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4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Gross</w:t>
            </w: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Gross</w:t>
            </w: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Adjusted Cost</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1"/>
              </w:rPr>
              <w:t>Unrealized Gain</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1"/>
              </w:rPr>
              <w:t>Unrealized Loss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Fair Value</w:t>
            </w: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As of March 31, 2018</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Demand deposit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Equity mutual fund</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194</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 mutual fund</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117</w:t>
            </w:r>
          </w:p>
        </w:tc>
      </w:tr>
      <w:tr>
        <w:trPr>
          <w:trHeight w:val="26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r>
      <w:tr>
        <w:trPr>
          <w:trHeight w:val="210"/>
        </w:trPr>
        <w:tc>
          <w:tcPr>
            <w:tcW w:w="4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Demand deposit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Equity mutual fund</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 mutual fund</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Fair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332</w:t>
            </w: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unrealized gains and losses as of March 31, 2018 and September 30, 2017 were recognized within AOCI. Ashland invests in highly-rated investment grade mutual funds. No other-than-temporary impairment was recognized in AOCI during the three and six months ended March 31, 2018 and 2017.</w:t>
      </w:r>
    </w:p>
    <w:p>
      <w:pPr>
        <w:spacing w:after="0" w:line="7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table presents the investment income, realized gains and disbursements related to the investments within the portfolio for the three and six months ended March 31, 2018 and 2017.</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4" w:name="page15"/>
    <w:bookmarkEnd w:id="14"/>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29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Three months ended</w:t>
            </w:r>
          </w:p>
        </w:tc>
        <w:tc>
          <w:tcPr>
            <w:tcW w:w="7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8"/>
              </w:rPr>
              <w:t>Six months ended</w:t>
            </w:r>
          </w:p>
        </w:tc>
        <w:tc>
          <w:tcPr>
            <w:tcW w:w="640" w:type="dxa"/>
            <w:vAlign w:val="bottom"/>
            <w:tcBorders>
              <w:top w:val="single" w:sz="8" w:color="auto"/>
            </w:tcBorders>
          </w:tcPr>
          <w:p>
            <w:pPr>
              <w:spacing w:after="0"/>
              <w:rPr>
                <w:sz w:val="21"/>
                <w:szCs w:val="21"/>
                <w:color w:val="auto"/>
              </w:rPr>
            </w:pPr>
          </w:p>
        </w:tc>
      </w:tr>
      <w:tr>
        <w:trPr>
          <w:trHeight w:val="230"/>
        </w:trPr>
        <w:tc>
          <w:tcPr>
            <w:tcW w:w="2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March 31</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March 31</w:t>
            </w:r>
          </w:p>
        </w:tc>
        <w:tc>
          <w:tcPr>
            <w:tcW w:w="640" w:type="dxa"/>
            <w:vAlign w:val="bottom"/>
            <w:tcBorders>
              <w:bottom w:val="single" w:sz="8" w:color="auto"/>
            </w:tcBorders>
          </w:tcPr>
          <w:p>
            <w:pPr>
              <w:spacing w:after="0"/>
              <w:rPr>
                <w:sz w:val="20"/>
                <w:szCs w:val="20"/>
                <w:color w:val="auto"/>
              </w:rPr>
            </w:pPr>
          </w:p>
        </w:tc>
      </w:tr>
      <w:tr>
        <w:trPr>
          <w:trHeight w:val="223"/>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0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w:t>
            </w:r>
          </w:p>
        </w:tc>
        <w:tc>
          <w:tcPr>
            <w:tcW w:w="70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Realized gains</w:t>
            </w: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1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Deferred compensation investments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Deferred compensation investments consist of Level 2 measurements within the fair value hierarchy which are comprised primarily of a guaranteed interest fund, a common stock index fund and an intermediate government bond fund. Gains and losses related to deferred compensation investments are immediately recognized within the Statements of Consolidated Comprehensive Income (Loss).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and six months ended March 31, 2018 and 2017 within the Statements of Consolidated Comprehensive Income (Loss).</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4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7"/>
              </w:rPr>
              <w:t>Three months ended</w:t>
            </w:r>
          </w:p>
        </w:tc>
        <w:tc>
          <w:tcPr>
            <w:tcW w:w="6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Six months ended</w:t>
            </w:r>
          </w:p>
        </w:tc>
        <w:tc>
          <w:tcPr>
            <w:tcW w:w="700" w:type="dxa"/>
            <w:vAlign w:val="bottom"/>
            <w:tcBorders>
              <w:top w:val="single" w:sz="8" w:color="auto"/>
            </w:tcBorders>
          </w:tcPr>
          <w:p>
            <w:pPr>
              <w:spacing w:after="0"/>
              <w:rPr>
                <w:sz w:val="21"/>
                <w:szCs w:val="21"/>
                <w:color w:val="auto"/>
              </w:rPr>
            </w:pPr>
          </w:p>
        </w:tc>
      </w:tr>
      <w:tr>
        <w:trPr>
          <w:trHeight w:val="230"/>
        </w:trPr>
        <w:tc>
          <w:tcPr>
            <w:tcW w:w="4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March 31</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3"/>
              </w:rPr>
              <w:t>March 31</w:t>
            </w:r>
          </w:p>
        </w:tc>
        <w:tc>
          <w:tcPr>
            <w:tcW w:w="700" w:type="dxa"/>
            <w:vAlign w:val="bottom"/>
            <w:tcBorders>
              <w:bottom w:val="single" w:sz="8" w:color="auto"/>
            </w:tcBorders>
          </w:tcPr>
          <w:p>
            <w:pPr>
              <w:spacing w:after="0"/>
              <w:rPr>
                <w:sz w:val="20"/>
                <w:szCs w:val="20"/>
                <w:color w:val="auto"/>
              </w:rPr>
            </w:pPr>
          </w:p>
        </w:tc>
      </w:tr>
      <w:tr>
        <w:trPr>
          <w:trHeight w:val="223"/>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gains (losses)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4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The following table summarizes the fair values of the outstanding foreign currency derivatives as of March 31, 2018 and September 30, 2017 included in accounts receivable and accrued expenses and other liabilities of the Condensed Consolidated Balance Sheets.</w:t>
      </w:r>
    </w:p>
    <w:p>
      <w:pPr>
        <w:spacing w:after="0" w:line="14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50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March 31</w:t>
            </w:r>
          </w:p>
        </w:tc>
        <w:tc>
          <w:tcPr>
            <w:tcW w:w="6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24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246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6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30"/>
        </w:trPr>
        <w:tc>
          <w:tcPr>
            <w:tcW w:w="45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24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958</w:t>
            </w:r>
          </w:p>
        </w:tc>
        <w:tc>
          <w:tcPr>
            <w:tcW w:w="6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1,601</w:t>
            </w:r>
          </w:p>
        </w:tc>
      </w:tr>
    </w:tbl>
    <w:p>
      <w:pPr>
        <w:spacing w:after="0" w:line="19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At March 31, 2018 and September 30, 2017, Ashland's long-term debt (including the current portion and excluding debt issuance cost discounts) had a carrying value of $2,613 million and $2,615 million, respectively, compared to a fair value of $2,710 million and $2,768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5" w:name="page16"/>
    <w:bookmarkEnd w:id="1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March 31, 2018</w:t>
            </w: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September 30, 2017</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196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Raw materials, supplies and work in process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LIFO carrying values</w:t>
            </w:r>
          </w:p>
        </w:tc>
        <w:tc>
          <w:tcPr>
            <w:tcW w:w="14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634</w:t>
            </w:r>
          </w:p>
        </w:tc>
      </w:tr>
      <w:tr>
        <w:trPr>
          <w:trHeight w:val="20"/>
        </w:trPr>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Goodwill</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 reviews goodwill and indefinite-lived intangible assets for impairment annually or when events and circumstances indicate an impairment may have occurred. This annual assessment is performed as of July 1 and consists of Ashland determining each reporting unit’s current fair value compared to its current carrying value. For its July 1, 2017 assessment, Ashland determined that its reporting units for the allocation of goodwill are its three reportable segments: Specialty Ingredients, Composites and Intermediates and Solvents. At that time, Ashland determined no additional impairment existed.</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progression of goodwill by reportable segment for the six months ended March 31, 2018.</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8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Specialty</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Intermediates</w:t>
            </w: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Ingredients</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Composites</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and Solvents</w:t>
            </w:r>
          </w:p>
        </w:tc>
        <w:tc>
          <w:tcPr>
            <w:tcW w:w="6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color w:val="auto"/>
              </w:rPr>
              <w:t>(a)</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2,315</w:t>
            </w: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2,465</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(b)</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15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2,503</w:t>
            </w: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260"/>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March 31, 2018, there was accumulated impairment of $171 million related to the Intermediates and Solvents reportable segment.</w:t>
      </w:r>
    </w:p>
    <w:p>
      <w:pPr>
        <w:ind w:left="660" w:hanging="260"/>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Relates to the acquisition of Vornia Limited during the six months ended March 31, 2018. See Note C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-200025</wp:posOffset>
            </wp:positionV>
            <wp:extent cx="67322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intangible assets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annually reviews indefinite-lived intangible assets for possible impairment or whenever events or changes in circumstances indicate that carrying amounts may not be recoverable.</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6" w:name="page17"/>
    <w:bookmarkEnd w:id="16"/>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Intangible assets were comprised of the following as of March 31, 2018 and September 30, 2017.</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1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March 31, 2018</w:t>
            </w: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r>
      <w:tr>
        <w:trPr>
          <w:trHeight w:val="222"/>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w w:val="99"/>
              </w:rPr>
              <w:t>Accumulated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Definite-lived intangibles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 and trade names</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54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419</w:t>
            </w: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Customer and supplier relationships</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526</w:t>
            </w:r>
          </w:p>
        </w:tc>
      </w:tr>
      <w:tr>
        <w:trPr>
          <w:trHeight w:val="230"/>
        </w:trPr>
        <w:tc>
          <w:tcPr>
            <w:tcW w:w="6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1,626</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989</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 and trade names</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1,290</w:t>
            </w: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6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3"/>
        </w:trPr>
        <w:tc>
          <w:tcPr>
            <w:tcW w:w="6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September 30, 2017</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2"/>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w w:val="99"/>
              </w:rPr>
              <w:t>Accumulated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Definite-lived intangibles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 and trade names</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54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431</w:t>
            </w: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Customer and supplier relationships</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542</w:t>
            </w:r>
          </w:p>
        </w:tc>
      </w:tr>
      <w:tr>
        <w:trPr>
          <w:trHeight w:val="22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definite-lived intangibles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1,601</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w:t>
            </w:r>
          </w:p>
        </w:tc>
      </w:tr>
      <w:tr>
        <w:trPr>
          <w:trHeight w:val="223"/>
        </w:trPr>
        <w:tc>
          <w:tcPr>
            <w:tcW w:w="6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 and trade names</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160" w:type="dxa"/>
            <w:vAlign w:val="bottom"/>
          </w:tcPr>
          <w:p>
            <w:pPr>
              <w:spacing w:after="0"/>
              <w:rPr>
                <w:sz w:val="19"/>
                <w:szCs w:val="19"/>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w:t>
            </w:r>
          </w:p>
        </w:tc>
        <w:tc>
          <w:tcPr>
            <w:tcW w:w="180" w:type="dxa"/>
            <w:vAlign w:val="bottom"/>
            <w:gridSpan w:val="2"/>
          </w:tcPr>
          <w:p>
            <w:pPr>
              <w:spacing w:after="0"/>
              <w:rPr>
                <w:sz w:val="19"/>
                <w:szCs w:val="19"/>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1,319</w:t>
            </w:r>
          </w:p>
        </w:tc>
      </w:tr>
      <w:tr>
        <w:trPr>
          <w:trHeight w:val="20"/>
        </w:trPr>
        <w:tc>
          <w:tcPr>
            <w:tcW w:w="6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Amortization expense recognized on intangible assets was $24 million and $19 million for the three months ended March 31, 2018 and 2017, respectively, and $48 million and $38 million for the six months ended March 31, 2018 and 2017, respectively, and is included in the selling, general and administrative expense caption of the Statements of Consolidated Comprehensive Income (Loss). Estimated amortization expense for future periods is $95 million in 2018 (includes six months actual and six months estimated), $91 million in 2019, $90 million in 2020, $90 million in 2021 and $88 million in 2022.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w:t>
      </w:r>
    </w:p>
    <w:p>
      <w:pPr>
        <w:spacing w:after="0" w:line="114"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7" w:name="page18"/>
    <w:bookmarkEnd w:id="1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rPr>
              <w:t>March 31, 2018</w:t>
            </w:r>
          </w:p>
        </w:tc>
        <w:tc>
          <w:tcPr>
            <w:tcW w:w="28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September 30, 2017</w:t>
            </w: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1,082</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1,082</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Term Loan B, due 2024</w:t>
            </w:r>
          </w:p>
        </w:tc>
        <w:tc>
          <w:tcPr>
            <w:tcW w:w="42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599</w:t>
            </w: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4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Term Loan A, due 2022</w:t>
            </w:r>
          </w:p>
        </w:tc>
        <w:tc>
          <w:tcPr>
            <w:tcW w:w="4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Term Loan A, due 2020</w:t>
            </w:r>
          </w:p>
        </w:tc>
        <w:tc>
          <w:tcPr>
            <w:tcW w:w="42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w:t>
            </w:r>
          </w:p>
        </w:tc>
        <w:tc>
          <w:tcPr>
            <w:tcW w:w="4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42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Medium-term notes, due 2019, interest of 9.4%</w:t>
            </w:r>
          </w:p>
        </w:tc>
        <w:tc>
          <w:tcPr>
            <w:tcW w:w="4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2,638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2,819</w:t>
            </w:r>
          </w:p>
        </w:tc>
      </w:tr>
      <w:tr>
        <w:trPr>
          <w:trHeight w:val="23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2,579</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2,584</w:t>
            </w:r>
          </w:p>
        </w:tc>
      </w:tr>
      <w:tr>
        <w:trPr>
          <w:trHeight w:val="20"/>
        </w:trPr>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7322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Other includes $23 million and $25 million of debt issuance cost discounts as of March 31, 2018 and September 30, 2017, respectively.</w:t>
      </w:r>
    </w:p>
    <w:p>
      <w:pPr>
        <w:spacing w:after="0" w:line="111" w:lineRule="exact"/>
        <w:rPr>
          <w:sz w:val="20"/>
          <w:szCs w:val="20"/>
          <w:color w:val="auto"/>
        </w:rPr>
      </w:pPr>
    </w:p>
    <w:p>
      <w:pPr>
        <w:jc w:val="both"/>
        <w:ind w:left="400" w:right="20"/>
        <w:spacing w:after="0" w:line="316" w:lineRule="auto"/>
        <w:rPr>
          <w:sz w:val="20"/>
          <w:szCs w:val="20"/>
          <w:color w:val="auto"/>
        </w:rPr>
      </w:pPr>
      <w:r>
        <w:rPr>
          <w:rFonts w:ascii="Arial" w:cs="Arial" w:eastAsia="Arial" w:hAnsi="Arial"/>
          <w:sz w:val="18"/>
          <w:szCs w:val="18"/>
          <w:color w:val="auto"/>
        </w:rPr>
        <w:t>The scheduled aggregate maturities of long-term debt by year (including the current portion and excluding debt issuance costs) are as follows: $3 million remaining in 2018, $11 million in 2019, $269 million in 2020, $56 million in 2021 and $1,279 million in 2022.</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Ashland Financing Activities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Accounts receivable securitization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During March 2018, the termination date of the accounts receivable securitization facility was extended from March 2018 to March 2020. The available funding for qualified receivables under the accounts receivable securitization facility increased from $100 million to $115 million. No other changes to the agreement are expected to have a significant impact to Ashland's results of operations and financial position.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 repatriation</w:t>
      </w:r>
    </w:p>
    <w:p>
      <w:pPr>
        <w:spacing w:after="0" w:line="108"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During January 2018, Ashland repatriated approximately $300 million in cash that was primarily used to repay the outstanding balance of the 2017 Revolving Credit Facility and a portion of the accounts receivable securitization during the current quarter.</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2017 Credit Agreement</w:t>
      </w:r>
    </w:p>
    <w:p>
      <w:pPr>
        <w:spacing w:after="0" w:line="108"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On May 17, 2017, in conjunction with the closing of the Pharmachem acquisition, Ashland entered into a secured credit agreement (the 2017 Credit Agreement) with a group of lenders. The 2017 Credit Agreement provided for (i) a $250 million three-year term loan A facility (the Three-Year TLA Facility), (ii) a $250 million five-year term loan A facility (the Five-Year TLA Facility and together with the Three-Year TLA Facility, the TLA Facilities) and (iii) a $680 million five-year revolving credit facility (including a $125 million letter of credit sublimit) (the 2017 Revolving Credit Facility). Proceeds of borrowings under the TLA Facilities were used solely to finance the acquisition of Pharmachem, while the proceeds of the 2017 Revolving Credit Facility were used to finance, in part, the acquisition of Pharmachem, to refinance the 2015 Senior Credit Agreement and for general corporate purposes. On May 19, 2017, Ashland entered into Amendment No. 1 to the 2017 Credit Agreement, which increased the aggregate commitments under the 2017 Revolving Credit Facility from $680 million to $800 million.</w:t>
      </w:r>
    </w:p>
    <w:p>
      <w:pPr>
        <w:spacing w:after="0" w:line="77"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At Ashland’s option, loans issued under the 2017 Credit Agreement bear interest at either LIBOR or an alternate base rate, in each case plus the applicable interest rate margin. Loans bear interest at LIBOR plus 1.75% per annum, in the case of LIBOR borrowings, or at the alternate base rate plus 0.75%, in the alternative, through and including the date of delivery of a quarterly compliance certificate and thereafter the interest rate will fluctuate between LIBOR plus 1.375% per annum and LIBOR plus 2.500% per annum (or between the alternate base rate plus 0.375% per annum and the alternate base rate plus 1.500% per annum), based upon Ashland’s secured facilities ratings or the consolidated net leverage ratio (as defined in</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8" w:name="page19"/>
    <w:bookmarkEnd w:id="1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the 2017 Credit Agreement) (whichever yields a lower applicable interest rate margin) at such time. In addition, Ashland was required to pay fees of 0.25% per annum on the daily unused amount of the 2017 Revolving Credit Facility through and including the date of delivery of a compliance certificate, and thereafter the fee rate will fluctuate between 0.175% and 0.40% per annum, based upon Ashland’s secured facilities rating or the consolidated net leverage ratio (whichever yields a lower applicable rate). The TLA Facilities may be prepaid at any time without premium. The Three-Year TLA Facility will not amortize and will be due on May 17, 2020. The Five-Year TLA Facility will not amortize in each of the first, second and third years and will amortize at a rate of 20% per annum in each of the fourth and fifth years (payable in equal quarterly installments), with the outstanding balance of the Five-Year TLA Facility to be paid on May 17, 2022.</w:t>
      </w:r>
    </w:p>
    <w:p>
      <w:pPr>
        <w:spacing w:after="0" w:line="90"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On June 14, 2017, Ashland entered into Amendment No. 2 to the 2017 Credit Agreement, which provided for a new $600 million seven-year senior secured term loan B facility (the 2017 TLB Facility). At Ashland’s option, loans issued under the 2017 TLB Facility bear interest at either (x) LIBOR plus 2.00% per annum or (y) an alternate base rate plus 1.00% per annum. The 2017 TLB Facility may be prepaid at any time. The 2017 TLB Facility amortizes at a rate of 1.00% per annum (payable in equal quarterly installments) with the outstanding balance to be paid on May 17, 2024.</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6.50% junior subordinated notes due 2029</w:t>
      </w:r>
    </w:p>
    <w:p>
      <w:pPr>
        <w:spacing w:after="0" w:line="10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In December 2016, Hercules LLC (Hercules) (formerly Hercules Incorporated), an indirect wholly-owned subsidiary of Ashland, repurchased, through a cash tender offer (the Tender Offer), $182 million of the aggregate principal par value amount of its 6.50% junior subordinated notes due 2029 (2029 notes) for an aggregate purchase price of $177 million. As a result of the Tender Offer, the carrying value of the 2029 notes was reduced by $90 million and Ashland recognized a $92 million charge related to accelerated accretion of the recorded debt discount (compared to the total par value) and $5 million of a net gain related to the repayment of the debt. The charge and net gain are included in the net interest and other financing expense caption of the Statements of Consolidated Comprehensive Income (Loss) for the six months ended March 31, 2017.</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Open market repurchases of 4.750% notes due 2022 and 3.875% notes due 2018</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During the six months ended March 31, 2017, Ashland executed open market repurchases of its 4.750% notes due 2022 (2022 notes) and its 3.875% notes due 2018 (2018 notes). As a result of these repurchases, the carrying values of the 2022 notes and 2018 notes were reduced by $39 million and $41 million, respectively. Ashland recognized a $3 million charge related to premiums paid in the open market repurchases and accelerated amortization of previously capitalized debt issuance costs, which is included in the net interest and other financing expense caption of the Statements of Consolidated Comprehensive Income (Loss) for the six months ended March 31, 2017.</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Remaining borrowing capacity</w:t>
      </w:r>
    </w:p>
    <w:p>
      <w:pPr>
        <w:spacing w:after="0" w:line="114"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The borrowing capacity remaining under the 2017 Revolving Credit Facility was $752 million due to a reduction of $48 million for letters of credit outstanding at March 31, 2018. Ashland's total borrowing capacity at March 31, 2018 was $819 million, which included $67 million of available capacity from the accounts receivable securitization facility.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2018, Ashland is in compliance with all debt agreement covenant restrictions.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2017 Credit Agreement) is 4.5. At March 31, 2018, Ashland’s calculation of the consolidated net leverage ratio was 3.8.</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9" w:name="page20"/>
    <w:bookmarkEnd w:id="1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minimum required consolidated interest coverage ratio under the 2017 Credit Agreement during its entire duration is 3.0. At March 31, 2018, Ashland’s calculation of the interest coverage ratio was 4.8.</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INCOME TAXES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Tax Law Changes</w:t>
      </w:r>
    </w:p>
    <w:p>
      <w:pPr>
        <w:spacing w:after="0" w:line="108"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At March 31, 2018, Ashland has not completed the internal accounting assessment for the tax effects of enactment of the Tax Act; however, Ashland determined a reasonable estimate of the effects on our existing deferred tax balances and the one-time transition tax. Ashland recognized a provisional amount for the six months ended March 31, 2018, which is included as a component of income tax expense from continuing operations. Ashland recorded net unfavorable tax adjustments of $16 million during the six months ended March 31, 2018 primarily related to deferred tax rate changes and a one-time transition tax assessed on foreign cash and unremitted earnings.</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Provisional amounts - Deferred and other income tax assets and liabilities</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 remeasured certain deferred tax assets and liabilities based on the rates at which they are expected to reverse in the future, which is generally 21%. However, Ashland is still analyzing certain aspects of the Tax Act and refining certain calculations, which could potentially affect the measurement of these balances or potentially give rise to new deferred tax amounts. The provisional amount recorded related to the remeasurement of the deferred tax balance was a favorable tax adjustment of $126 million during the six months ended March 31, 2018.</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Provisional amounts - Foreign tax effects</w:t>
      </w:r>
    </w:p>
    <w:p>
      <w:pPr>
        <w:spacing w:after="0" w:line="108"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The one-time transition tax is based on Ashland's total post-1986 earnings and profits (E&amp;P) of foreign subsidiaries that were previously deferred from U.S. income taxes. Ashland recorded a provisional amount for this one-time transition tax liability of $142 million during the six months ended March 31, 2018, which is primarily included within the other liabilities caption on the Condensed Consolidated Balance Sheet. Ashland has not yet completed its calculation of the total post-1986 E&amp;P for these foreign subsidiaries. In addition, the transition tax is based in part on the amount of those earnings held in cash and other specified assets. This amount may change when Ashland finalizes the calculation of post-1986 foreign E&amp;P previously deferred from U.S. federal taxation and finalizes the amounts held in cash or other specified assets. No additional income taxes have been provided for any remaining undistributed foreign earnings not subject to the transition tax, or any additional outside basis difference inherent in these entities, as these amounts continue to be indefinitely reinvested in foreign operations. Ashland determined that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at this time.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Current fiscal year</w:t>
      </w:r>
    </w:p>
    <w:p>
      <w:pPr>
        <w:spacing w:after="0" w:line="108"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Ashland’s effective tax rate in any interim period is subject to adjustments related to discrete items and the mix of domestic and foreign operating results. The overall effective tax rate was 1% and 20% for the three and six months ended March 31, 2018, respectively. The current quarter tax rate was primarily impacted by income mix and a favorable tax discrete adjustment of $4 million related to a deferred tax rate change for a foreign entity. In addition to these current quarter items, the current six month period tax rate was significantly impacted by net unfavorable tax discrete adjustments of $16 million related to the Tax Act.</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0" w:name="page21"/>
    <w:bookmarkEnd w:id="2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Prior fiscal year</w:t>
      </w:r>
    </w:p>
    <w:p>
      <w:pPr>
        <w:spacing w:after="0" w:line="108"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The overall effective tax rate was a benefit of 21% for the three months ended March 31, 2017 and 55% for the six months ended March 31, 2017. The prior quarter and six month period tax rate was impacted by income mix and net favorable tax discrete items of $4 million primarily related to unrecognized tax benefits due to lapse of the statute of limitations.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Unrecognized tax benefits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Changes in unrecognized tax benefits are summarized as follows for the six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156210</wp:posOffset>
            </wp:positionV>
            <wp:extent cx="6663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23"/>
        </w:trPr>
        <w:tc>
          <w:tcPr>
            <w:tcW w:w="8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2017</w:t>
            </w:r>
          </w:p>
        </w:tc>
        <w:tc>
          <w:tcPr>
            <w:tcW w:w="840" w:type="dxa"/>
            <w:vAlign w:val="bottom"/>
            <w:tcBorders>
              <w:top w:val="single" w:sz="8" w:color="auto"/>
            </w:tcBorders>
            <w:gridSpan w:val="2"/>
            <w:shd w:val="clear" w:color="auto" w:fill="CFF0FC"/>
          </w:tcPr>
          <w:p>
            <w:pPr>
              <w:jc w:val="right"/>
              <w:ind w:right="71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860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Balance at March 31, 2018</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$21 million and $31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EMPLOYEE BENEFIT PLANS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the six months ended March 31, 2018, Ashland contributed $6 million to its non-U.S. pension plans and $1 million to its U.S. pension plans. Ashland expects to make additional contributions of approximately $2 million to its non-U.S. plans during the remainder of 2018.</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Plan Remeasurements</w:t>
      </w:r>
    </w:p>
    <w:p>
      <w:pPr>
        <w:spacing w:after="0" w:line="108"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Effective January 1, 2017, Ashland discontinued certain post-employment health and life insurance benefits. The effect of these plan changes resulted in a remeasurement gain of $2 million recorded within the other net period benefit income caption on the Statement of Consolidated Comprehensive Income (Loss) for the six months ended March 31, 2017.</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Components of net periodic benefit costs (income)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1" w:name="page22"/>
    <w:bookmarkEnd w:id="21"/>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9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Other postretirement</w:t>
            </w:r>
          </w:p>
        </w:tc>
        <w:tc>
          <w:tcPr>
            <w:tcW w:w="580" w:type="dxa"/>
            <w:vAlign w:val="bottom"/>
            <w:tcBorders>
              <w:top w:val="single" w:sz="8" w:color="auto"/>
            </w:tcBorders>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Pension benefits</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benefits</w:t>
            </w:r>
          </w:p>
        </w:tc>
        <w:tc>
          <w:tcPr>
            <w:tcW w:w="580" w:type="dxa"/>
            <w:vAlign w:val="bottom"/>
            <w:tcBorders>
              <w:bottom w:val="single" w:sz="8" w:color="auto"/>
            </w:tcBorders>
          </w:tcPr>
          <w:p>
            <w:pPr>
              <w:spacing w:after="0"/>
              <w:rPr>
                <w:sz w:val="20"/>
                <w:szCs w:val="20"/>
                <w:color w:val="auto"/>
              </w:rPr>
            </w:pPr>
          </w:p>
        </w:tc>
      </w:tr>
      <w:tr>
        <w:trPr>
          <w:trHeight w:val="223"/>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92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(a)</w:t>
            </w:r>
          </w:p>
        </w:tc>
        <w:tc>
          <w:tcPr>
            <w:tcW w:w="14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(b)</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(b)</w:t>
            </w: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net periodic benefit costs</w:t>
            </w:r>
          </w:p>
        </w:tc>
        <w:tc>
          <w:tcPr>
            <w:tcW w:w="100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Six months ended March 31</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(a)</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(b)</w:t>
            </w: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(b)</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Actuarial gain </w:t>
            </w:r>
            <w:r>
              <w:rPr>
                <w:rFonts w:ascii="Arial" w:cs="Arial" w:eastAsia="Arial" w:hAnsi="Arial"/>
                <w:sz w:val="14"/>
                <w:szCs w:val="14"/>
                <w:color w:val="auto"/>
              </w:rPr>
              <w:t>(b)</w:t>
            </w: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net periodic benefit costs (income)</w:t>
            </w:r>
          </w:p>
        </w:tc>
        <w:tc>
          <w:tcPr>
            <w:tcW w:w="10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5"/>
        </w:trPr>
        <w:tc>
          <w:tcPr>
            <w:tcW w:w="3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bl>
    <w:p>
      <w:pPr>
        <w:ind w:left="660" w:hanging="260"/>
        <w:spacing w:after="0" w:line="226"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Service cost was not impacted by new accounting guidance adopted in 2018 and is therefore still classified within the selling, general and administrative expense and cost of sales captions on the Statements of Consolidated Comprehensive Income (Loss). See Note A for additional information.</w:t>
      </w:r>
    </w:p>
    <w:p>
      <w:pPr>
        <w:ind w:left="660" w:hanging="260"/>
        <w:spacing w:after="0" w:line="23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components are now classified within the other net periodic benefit income caption on the Statements of Consolidated Comprehensive Income (Loss) due to the adoption of new accounting guidance in the current quarter. See Note A for additional information.</w:t>
      </w:r>
    </w:p>
    <w:p>
      <w:pPr>
        <w:spacing w:after="0" w:line="77"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segment reporting purposes, service cost for continuing operations is proportionately allocated to each segment, excluding the Unallocated and other segment, while all other costs for continuing operations are recorded within the other net periodic benefit income caption on the Statements of Consolidated Comprehensive Income (Loss).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LITIGATION, CLAIMS AND CONTINGENCIES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third party actuarial experts. Prior to 2018, Ashland retained Hamilton, Rabinovitz &amp; Associates, Inc. (HR&amp;A). During 2018, Ashland transitioned these responsibilities to Nathan Associates, Inc. (Nathan). The processes and methodologies used by Nathan are similar to the ones historically employed by HR&amp;A.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1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2" w:name="page23"/>
    <w:bookmarkEnd w:id="22"/>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8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0"/>
              </w:rPr>
              <w:t>Six months ended</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86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3"/>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w w:val="99"/>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New claims filed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2020" w:type="dxa"/>
            <w:vAlign w:val="bottom"/>
            <w:gridSpan w:val="3"/>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840" w:type="dxa"/>
            <w:vAlign w:val="bottom"/>
            <w:gridSpan w:val="3"/>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Claims dismissed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0"/>
        </w:trPr>
        <w:tc>
          <w:tcPr>
            <w:tcW w:w="3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most recent annual update of this estimate completed during the June 2017 quarter, it was determined that the liability for Ashland asbestos-related claims should be increased by $36 million. Total reserves for asbestos claims were $402 million at March 31, 2018 compared to $419 million at September 30, 2017.</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Six months ended</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9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415</w:t>
            </w:r>
          </w:p>
        </w:tc>
        <w:tc>
          <w:tcPr>
            <w:tcW w:w="5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438</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Reserve adjustment</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6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6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r>
      <w:tr>
        <w:trPr>
          <w:trHeight w:val="20"/>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Included $34 million classified in accrued expenses and other liabilities on the Condensed Consolidated Balance Sheets as of March 31, 2018 and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-90805</wp:posOffset>
            </wp:positionV>
            <wp:extent cx="67322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69"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At March 31, 2018, Ashland’s receivable for recoveries of litigation defense and claim settlement costs from insurers amounted to $149 million (excluding the Hercules receivable for asbestos claims) compared to $155 million at September 30, 2017. During the June 2017 quarter, the annual update of the model used for purposes of valuing the asbestos reserve and its impact on valuation of future recoveries from insurers was completed. This model update resulted in a $15 million increase in the receivable for probable insurance recoveries.</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3" w:name="page24"/>
    <w:bookmarkEnd w:id="23"/>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3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Six months ended</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245"/>
              <w:spacing w:after="0"/>
              <w:rPr>
                <w:sz w:val="20"/>
                <w:szCs w:val="20"/>
                <w:color w:val="auto"/>
              </w:rPr>
            </w:pPr>
            <w:r>
              <w:rPr>
                <w:rFonts w:ascii="Arial" w:cs="Arial" w:eastAsia="Arial" w:hAnsi="Arial"/>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8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151</w:t>
            </w:r>
          </w:p>
        </w:tc>
        <w:tc>
          <w:tcPr>
            <w:tcW w:w="5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w:t>
            </w:r>
          </w:p>
        </w:tc>
        <w:tc>
          <w:tcPr>
            <w:tcW w:w="60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Receivable adjustment</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4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(a)</w:t>
            </w:r>
          </w:p>
        </w:tc>
        <w:tc>
          <w:tcPr>
            <w:tcW w:w="4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0"/>
        </w:trPr>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Included $14 million classified in accounts receivable on the Condensed Consolidated Balance Sheets as of March 31, 2018 and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8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0"/>
              </w:rPr>
              <w:t>Six months ended</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86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3"/>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w w:val="99"/>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New claims filed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Open claims - end of period</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0"/>
        </w:trPr>
        <w:tc>
          <w:tcPr>
            <w:tcW w:w="3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2017 quarter, it was determined that the liability for Hercules asbestos-related claims should be increased by $16 million. Total reserves for asbestos claims were $311 million at March 31, 2018 compared to $323 million at September 30, 2017.</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21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Six months ended</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9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321</w:t>
            </w:r>
          </w:p>
        </w:tc>
        <w:tc>
          <w:tcPr>
            <w:tcW w:w="5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Reserve adjustments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6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6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r>
      <w:tr>
        <w:trPr>
          <w:trHeight w:val="20"/>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Included $14 million classified in accrued expenses and other liabilities on the Condensed Consolidated Balance Sheets as of March 31, 2018 and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-90805</wp:posOffset>
            </wp:positionV>
            <wp:extent cx="67322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4" w:name="page25"/>
    <w:bookmarkEnd w:id="24"/>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08"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ind w:left="400" w:right="20"/>
        <w:spacing w:after="0" w:line="246" w:lineRule="auto"/>
        <w:rPr>
          <w:sz w:val="20"/>
          <w:szCs w:val="20"/>
          <w:color w:val="auto"/>
        </w:rPr>
      </w:pPr>
      <w:r>
        <w:rPr>
          <w:rFonts w:ascii="Arial" w:cs="Arial" w:eastAsia="Arial" w:hAnsi="Arial"/>
          <w:sz w:val="20"/>
          <w:szCs w:val="20"/>
          <w:color w:val="auto"/>
        </w:rPr>
        <w:t>As of March 31, 2018 and September 30, 2017, the receivables from insurers amounted to $68 million. During the June 2017 quarter, the annual update of the model used for purposes of valuing the asbestos reserve and its impact on valuation of future recoveries from insurers was completed. This model update resulted in a $5 million increase in the receivable for probable insurance recoveries.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3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Six months ended</w:t>
            </w:r>
          </w:p>
        </w:tc>
        <w:tc>
          <w:tcPr>
            <w:tcW w:w="5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8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5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Receivable adjustment</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Insurance receivable - end of period</w:t>
            </w:r>
          </w:p>
        </w:tc>
        <w:tc>
          <w:tcPr>
            <w:tcW w:w="4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r>
      <w:tr>
        <w:trPr>
          <w:trHeight w:val="20"/>
        </w:trPr>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ind w:left="400"/>
        <w:spacing w:after="0" w:line="269"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$660 million for the Ashland asbestos-related litigation (current reserve of $402 million) and approximately $510 million for the Hercules asbestos-related litigation (current reserve of $311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7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5" w:name="page26"/>
    <w:bookmarkEnd w:id="2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March 31, 2018, such locations included 83 waste treatment or disposal sites where Ashland has been identified as a potentially responsible party under Superfund or similar state laws, 117 current and former operating facilities (including certain operating facilities conveyed as part of the MAP Transaction) and about 1,225 service station properties, of which 36 are being actively remediated.</w:t>
      </w:r>
    </w:p>
    <w:p>
      <w:pPr>
        <w:spacing w:after="0" w:line="57"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reserves for environmental remediation and related environmental litigation amounted to $164 million at March 31, 2018 compared to $163 million at September 30, 2017, of which $122 million at March 31, 2018 and $121 million at September 30, 2017 were classified in other noncurrent liabilities on the Condensed Consolidated Balance Sheets. The remaining reserves were classified in accrued expenses and other liabilities on the Condensed Consolidated Balance Sheets.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4"/>
          </w:tcPr>
          <w:p>
            <w:pPr>
              <w:jc w:val="right"/>
              <w:ind w:right="445"/>
              <w:spacing w:after="0"/>
              <w:rPr>
                <w:sz w:val="20"/>
                <w:szCs w:val="20"/>
                <w:color w:val="auto"/>
              </w:rPr>
            </w:pPr>
            <w:r>
              <w:rPr>
                <w:rFonts w:ascii="Arial" w:cs="Arial" w:eastAsia="Arial" w:hAnsi="Arial"/>
                <w:sz w:val="18"/>
                <w:szCs w:val="18"/>
                <w:color w:val="auto"/>
              </w:rPr>
              <w:t>Six months ended</w:t>
            </w:r>
          </w:p>
        </w:tc>
        <w:tc>
          <w:tcPr>
            <w:tcW w:w="1020" w:type="dxa"/>
            <w:vAlign w:val="bottom"/>
            <w:tcBorders>
              <w:top w:val="single" w:sz="8" w:color="auto"/>
            </w:tcBorders>
          </w:tcPr>
          <w:p>
            <w:pPr>
              <w:spacing w:after="0"/>
              <w:rPr>
                <w:sz w:val="21"/>
                <w:szCs w:val="21"/>
                <w:color w:val="auto"/>
              </w:rPr>
            </w:pPr>
          </w:p>
        </w:tc>
      </w:tr>
      <w:tr>
        <w:trPr>
          <w:trHeight w:val="230"/>
        </w:trPr>
        <w:tc>
          <w:tcPr>
            <w:tcW w:w="6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8"/>
                <w:szCs w:val="18"/>
                <w:color w:val="auto"/>
              </w:rPr>
              <w:t>March 31</w:t>
            </w:r>
          </w:p>
        </w:tc>
        <w:tc>
          <w:tcPr>
            <w:tcW w:w="102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7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Reserve - end of period</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r>
      <w:tr>
        <w:trPr>
          <w:trHeight w:val="20"/>
        </w:trPr>
        <w:tc>
          <w:tcPr>
            <w:tcW w:w="6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March 31, 2018 and September 30, 2017, Ashland’s recorded receivable for these probable insurance recoveries was $14 million and $15 million, respectively, of which $13 million at March 31, 2018 and $14 million at September 30, 2017 were classified in other noncurrent assets on the Condensed Consolidated Balance Sheets.</w:t>
      </w:r>
    </w:p>
    <w:p>
      <w:pPr>
        <w:spacing w:after="0" w:line="7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and six months ended March 31, 2018 and 2017.</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6" w:name="page27"/>
    <w:bookmarkEnd w:id="26"/>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9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Three months ended</w:t>
            </w: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Six months ended</w:t>
            </w:r>
          </w:p>
        </w:tc>
        <w:tc>
          <w:tcPr>
            <w:tcW w:w="700" w:type="dxa"/>
            <w:vAlign w:val="bottom"/>
            <w:tcBorders>
              <w:top w:val="single" w:sz="8" w:color="auto"/>
            </w:tcBorders>
          </w:tcPr>
          <w:p>
            <w:pPr>
              <w:spacing w:after="0"/>
              <w:rPr>
                <w:sz w:val="21"/>
                <w:szCs w:val="21"/>
                <w:color w:val="auto"/>
              </w:rPr>
            </w:pPr>
          </w:p>
        </w:tc>
      </w:tr>
      <w:tr>
        <w:trPr>
          <w:trHeight w:val="230"/>
        </w:trPr>
        <w:tc>
          <w:tcPr>
            <w:tcW w:w="3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March 31</w:t>
            </w:r>
          </w:p>
        </w:tc>
        <w:tc>
          <w:tcPr>
            <w:tcW w:w="70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9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FF0FC"/>
          </w:tcPr>
          <w:p>
            <w:pPr>
              <w:jc w:val="right"/>
              <w:ind w:right="60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Accretion</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5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390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3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Insurance receivable </w:t>
            </w:r>
            <w:r>
              <w:rPr>
                <w:rFonts w:ascii="Arial" w:cs="Arial" w:eastAsia="Arial" w:hAnsi="Arial"/>
                <w:sz w:val="14"/>
                <w:szCs w:val="14"/>
                <w:color w:val="auto"/>
              </w:rPr>
              <w:t>(a)</w:t>
            </w:r>
          </w:p>
        </w:tc>
        <w:tc>
          <w:tcPr>
            <w:tcW w:w="5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(b)</w:t>
            </w:r>
          </w:p>
        </w:tc>
        <w:tc>
          <w:tcPr>
            <w:tcW w:w="5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146050</wp:posOffset>
            </wp:positionV>
            <wp:extent cx="67322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44" w:lineRule="exact"/>
        <w:rPr>
          <w:sz w:val="20"/>
          <w:szCs w:val="20"/>
          <w:color w:val="auto"/>
        </w:rPr>
      </w:pPr>
    </w:p>
    <w:p>
      <w:pPr>
        <w:ind w:left="660" w:hanging="260"/>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Activity of $0 denotes value less than $1 million.</w:t>
      </w:r>
    </w:p>
    <w:p>
      <w:pPr>
        <w:jc w:val="both"/>
        <w:ind w:left="660" w:hanging="260"/>
        <w:spacing w:after="0" w:line="232"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expense of $1 million for both the three and six months ended March 31, 2018, and $1 million and $2 million for the three and six months ended March 31, 2017, respectively, relates to divested businesses which qualified for treatment as discontinued operations and for which certain environmental liabilities were retained by Ashland. These amounts are classified within the income from discontinued operations caption of the Statements of Consolidated Comprehensive Income (Loss).</w:t>
      </w:r>
    </w:p>
    <w:p>
      <w:pPr>
        <w:spacing w:after="0" w:line="77"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$409 million. The largest reserve for any site is approximately 15% of the remediation reserve.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2018 and September 30, 2017. There is a reasonable possibility that a loss exceeding amounts already recognized may be incurred related to these actions; however, Ashland believes that such potential losses were immaterial as of March 31,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EARNINGS PER SHARE</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0.7 million and 0.1 million at March 31, 2018 and 2017, respectively. Earnings per share is reported under the treasury stock method.</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7" w:name="page28"/>
    <w:bookmarkEnd w:id="2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7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7"/>
              </w:rPr>
              <w:t>Three months ended</w:t>
            </w:r>
          </w:p>
        </w:tc>
        <w:tc>
          <w:tcPr>
            <w:tcW w:w="4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March 31</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2017</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w:t>
            </w:r>
          </w:p>
        </w:tc>
        <w:tc>
          <w:tcPr>
            <w:tcW w:w="80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Weighted-average</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20"/>
              <w:spacing w:after="0"/>
              <w:rPr>
                <w:sz w:val="20"/>
                <w:szCs w:val="20"/>
                <w:color w:val="auto"/>
              </w:rPr>
            </w:pPr>
            <w:r>
              <w:rPr>
                <w:rFonts w:ascii="Arial" w:cs="Arial" w:eastAsia="Arial" w:hAnsi="Arial"/>
                <w:sz w:val="18"/>
                <w:szCs w:val="18"/>
                <w:color w:val="auto"/>
              </w:rPr>
              <w:t>common shares outstanding</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Share based awards convertible to common shares (a)</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Denominator for diluted EPS - Adjusted weighted-</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EPS from continuing operations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20"/>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1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732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23" w:lineRule="exact"/>
        <w:rPr>
          <w:sz w:val="20"/>
          <w:szCs w:val="20"/>
          <w:color w:val="auto"/>
        </w:rPr>
      </w:pPr>
    </w:p>
    <w:p>
      <w:pPr>
        <w:ind w:left="660" w:hanging="260"/>
        <w:spacing w:after="0" w:line="25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attributable to Ashland during the six months ended March 31, 2017, the effect of the share-based awards convertible to common shares would be antidilutive. In accordance with U.S. GAAP, they have been excluded from the diluted EPS calculation.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EQUITY ITEMS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 repurchase programs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April 2015, Ashland's Board of Directors approved a $1 billion share repurchase authorization that was set to expire on December 31, 2017 (the 2015 stock repurchase program). During September 2017, Ashland's Board of Directors extended the 2015 stock repurchase program indefinitely, at which point $500 million of share repurchase authorization remained under the 2015 stock repurchase program.</w:t>
      </w:r>
    </w:p>
    <w:p>
      <w:pPr>
        <w:spacing w:after="0" w:line="83"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March 31, 2018, $1 billion remained available for repurchase under this authorization.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400" w:right="20"/>
        <w:spacing w:after="0" w:line="282" w:lineRule="auto"/>
        <w:rPr>
          <w:sz w:val="20"/>
          <w:szCs w:val="20"/>
          <w:color w:val="auto"/>
        </w:rPr>
      </w:pPr>
      <w:r>
        <w:rPr>
          <w:rFonts w:ascii="Arial" w:cs="Arial" w:eastAsia="Arial" w:hAnsi="Arial"/>
          <w:sz w:val="18"/>
          <w:szCs w:val="18"/>
          <w:color w:val="auto"/>
        </w:rPr>
        <w:t>In May 2017, subsequent to the final distribution of Valvoline Inc.'s common stock, the Board of Directors of Ashland announced a quarterly cash dividend of 22.5 cents per share to eligible stockholders at record which was paid for quarterly dividends in the first and second quarters of fiscal 2018 and the third and fourth quarters of fiscal 2017. This represented a reduction from the previous quarterly dividend of 39 cents per share which was paid for quarterly dividends in the first and second quarters of fiscal 2017.</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8" w:name="page29"/>
    <w:bookmarkEnd w:id="2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7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r>
      <w:tr>
        <w:trPr>
          <w:trHeight w:val="209"/>
        </w:trPr>
        <w:tc>
          <w:tcPr>
            <w:tcW w:w="3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Tax</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Before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(expense)</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benefit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Net of tax</w:t>
            </w: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Before tax</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benefit</w:t>
            </w:r>
          </w:p>
        </w:tc>
        <w:tc>
          <w:tcPr>
            <w:tcW w:w="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5"/>
              </w:rPr>
              <w:t>Net of tax</w:t>
            </w:r>
          </w:p>
        </w:tc>
      </w:tr>
      <w:tr>
        <w:trPr>
          <w:trHeight w:val="222"/>
        </w:trPr>
        <w:tc>
          <w:tcPr>
            <w:tcW w:w="378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w:t>
            </w:r>
          </w:p>
        </w:tc>
        <w:tc>
          <w:tcPr>
            <w:tcW w:w="6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3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3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Amortization of unrecognized prior</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service credit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Unrealized loss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3780" w:type="dxa"/>
            <w:vAlign w:val="bottom"/>
          </w:tcPr>
          <w:p>
            <w:pPr>
              <w:ind w:left="480"/>
              <w:spacing w:after="0"/>
              <w:rPr>
                <w:sz w:val="20"/>
                <w:szCs w:val="20"/>
                <w:color w:val="auto"/>
              </w:rPr>
            </w:pPr>
            <w:r>
              <w:rPr>
                <w:rFonts w:ascii="Arial" w:cs="Arial" w:eastAsia="Arial" w:hAnsi="Arial"/>
                <w:sz w:val="18"/>
                <w:szCs w:val="18"/>
                <w:color w:val="auto"/>
              </w:rPr>
              <w:t>Reclassification adjustment for gains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included in net income</w:t>
            </w: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w:t>
            </w:r>
          </w:p>
        </w:tc>
        <w:tc>
          <w:tcPr>
            <w:tcW w:w="4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r>
      <w:tr>
        <w:trPr>
          <w:trHeight w:val="210"/>
        </w:trPr>
        <w:tc>
          <w:tcPr>
            <w:tcW w:w="3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b w:val="1"/>
                <w:bCs w:val="1"/>
                <w:color w:val="auto"/>
              </w:rPr>
              <w:t>Six months ended March 31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unrecognized prior</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0"/>
        </w:trPr>
        <w:tc>
          <w:tcPr>
            <w:tcW w:w="3780" w:type="dxa"/>
            <w:vAlign w:val="bottom"/>
          </w:tcPr>
          <w:p>
            <w:pPr>
              <w:ind w:left="480"/>
              <w:spacing w:after="0"/>
              <w:rPr>
                <w:sz w:val="20"/>
                <w:szCs w:val="20"/>
                <w:color w:val="auto"/>
              </w:rPr>
            </w:pPr>
            <w:r>
              <w:rPr>
                <w:rFonts w:ascii="Arial" w:cs="Arial" w:eastAsia="Arial" w:hAnsi="Arial"/>
                <w:sz w:val="18"/>
                <w:szCs w:val="18"/>
                <w:color w:val="auto"/>
              </w:rPr>
              <w:t xml:space="preserve">service credit </w:t>
            </w:r>
            <w:r>
              <w:rPr>
                <w:rFonts w:ascii="Arial" w:cs="Arial" w:eastAsia="Arial" w:hAnsi="Arial"/>
                <w:sz w:val="14"/>
                <w:szCs w:val="14"/>
                <w:color w:val="auto"/>
              </w:rPr>
              <w:t>(a)</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0"/>
        </w:trPr>
        <w:tc>
          <w:tcPr>
            <w:tcW w:w="3780" w:type="dxa"/>
            <w:vAlign w:val="bottom"/>
          </w:tcPr>
          <w:p>
            <w:pPr>
              <w:ind w:left="480"/>
              <w:spacing w:after="0"/>
              <w:rPr>
                <w:sz w:val="20"/>
                <w:szCs w:val="20"/>
                <w:color w:val="auto"/>
              </w:rPr>
            </w:pPr>
            <w:r>
              <w:rPr>
                <w:rFonts w:ascii="Arial" w:cs="Arial" w:eastAsia="Arial" w:hAnsi="Arial"/>
                <w:sz w:val="18"/>
                <w:szCs w:val="18"/>
                <w:color w:val="auto"/>
              </w:rPr>
              <w:t>Unrealized gain</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adjustment for gains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included in net income</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260"/>
        <w:spacing w:after="0" w:line="25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three and six months ended March 31, 2017, the amortization of unrecognized prior services credits was related to pension and other postretirement benefit plans that transferred to Valvoline and was classified within the discontinued operations caption on the Statements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-211455</wp:posOffset>
            </wp:positionV>
            <wp:extent cx="6732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STOCK INCENTIVE PLANS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Ashland has stock incentive plans under which key employees or directors are granted stock appreciation rights (SARs), performance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5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7"/>
              </w:rPr>
              <w:t>Three months ended</w:t>
            </w: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Six months ended</w:t>
            </w:r>
          </w:p>
        </w:tc>
      </w:tr>
      <w:tr>
        <w:trPr>
          <w:trHeight w:val="230"/>
        </w:trPr>
        <w:tc>
          <w:tcPr>
            <w:tcW w:w="3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3"/>
              </w:rPr>
              <w:t>March 31</w:t>
            </w: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4"/>
                <w:szCs w:val="14"/>
                <w:color w:val="auto"/>
              </w:rPr>
              <w:t>(a)</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xml:space="preserve">2017 </w:t>
            </w:r>
            <w:r>
              <w:rPr>
                <w:rFonts w:ascii="Arial" w:cs="Arial" w:eastAsia="Arial" w:hAnsi="Arial"/>
                <w:sz w:val="14"/>
                <w:szCs w:val="14"/>
                <w:color w:val="auto"/>
                <w:w w:val="99"/>
              </w:rPr>
              <w:t>(b)</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4"/>
                <w:szCs w:val="14"/>
                <w:color w:val="auto"/>
              </w:rPr>
              <w:t>(a)</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14"/>
                <w:szCs w:val="14"/>
                <w:color w:val="auto"/>
              </w:rPr>
              <w:t>(b)</w:t>
            </w: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SARs</w:t>
            </w:r>
          </w:p>
        </w:tc>
        <w:tc>
          <w:tcPr>
            <w:tcW w:w="20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Nonvested stock awards</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center"/>
              <w:ind w:left="790"/>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16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center"/>
              <w:ind w:left="790"/>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3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9"/>
              </w:rPr>
              <w:t>9</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r>
      <w:tr>
        <w:trPr>
          <w:trHeight w:val="20"/>
        </w:trPr>
        <w:tc>
          <w:tcPr>
            <w:tcW w:w="3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660" w:hanging="260"/>
        <w:spacing w:after="0" w:line="230"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$2 million and $4 million of expense related to cash-settled nonvested restricted stock awards and $1 million and $3 million of expense related to cash-settled performance units during the three and six months ended March 31, 2018, respectively.</w:t>
      </w:r>
    </w:p>
    <w:p>
      <w:pPr>
        <w:ind w:left="660" w:hanging="260"/>
        <w:spacing w:after="0" w:line="237"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$2 million and $3 million of expense related to cash-settled nonvested restricted stock awards and $1 million and $2 million of expense related to cash-settled performance units during the three and six months ended March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-394335</wp:posOffset>
            </wp:positionV>
            <wp:extent cx="67322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SARs</w:t>
      </w:r>
    </w:p>
    <w:p>
      <w:pPr>
        <w:spacing w:after="0" w:line="1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SARs are granted to employees or directors at a price equal to the fair market value of the stock on the date of grant and typically become exercisable over periods of one to three years. Unexercised SARs lapse ten</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9" w:name="page30"/>
    <w:bookmarkEnd w:id="2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years and one month after the date of grant. No SARs granted for the three months ended March 31, 2018 and 2017. SARs granted for the six months ended March 31, 2018 and 2017 were 470 thousand and 422 thousand, respectively. As of March 31, 2018, there was $11 million of total unrecognized compensation costs related to SARs. That cost is expected to be recognized over a weighted-average period of 2.2 years.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Nonvested stock awards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Stock-settled nonvested stock awards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Nonvested stock awards granted in the form of shares were 2 thousand and 3 thousand for the three months ended March 31, 2018 and 2017, respectively, and 144 thousand and 84 thousand for the six months ended March 31, 2018 and 2017, respectively. As of March 31, 2018, there was $10 million of total unrecognized compensation costs related to these nonvested stock awards. That cost is expected to be recognized over a weighted-average period of 2.0 years.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Cash-settled nonvested stock awards</w:t>
      </w:r>
    </w:p>
    <w:p>
      <w:pPr>
        <w:spacing w:after="0" w:line="108"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Certain nonvested stock awards are granted to employees and are settled in cash upon vesting. As of March 31, 2018, 229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$2 million during both the three months ended March 31, 2018 and 2017, and $4 million and $3 million during the six months ended March 31, 2018 and 2017, respectively.</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Executive performance incentive and retention program</w:t>
      </w:r>
    </w:p>
    <w:p>
      <w:pPr>
        <w:spacing w:after="0" w:line="108"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During 2016, certain executives were granted performance-based restricted shares of Ashland in order to provide an incentive to remain employed in the period after the full separation. At March 31, 2018, there were 61 thousand shares outstanding in connection with these awards, which includes forfeitures and the cumulative value of forfeitable dividends. The expense recognition for these awards commenced upon completing the full separation of Valvoline which occurred on May 12, 2017, as discussed further in Note B, and resulted in $1 million and $3 million of expense for the three and six months ended March 31, 2018, respectively. As of March 31, 2018, there was $6 million of total unrecognized compensation costs related to these awards.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Performance awards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 sponsors a long-term incentive plan that awards performance shares/units to certain key employees that are primarily tied to Ashland’s overall financial performance relative to internal targets. Additionally, certain outstanding performance awards are tied to Ashland's overall financial performance relative to the financial performance of selected industry peer groups. Awards are granted annually, with each award covering a three-year vesting period.</w:t>
      </w:r>
    </w:p>
    <w:p>
      <w:pPr>
        <w:spacing w:after="0" w:line="83"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For awards granted in fiscal 2016, each performance share/unit is convertible to one share of Ashland Common Stock. These plans are recorded as a component of stockholders’ equity in the Condensed Consolidated Balance Sheets. Performance measures used to determine the actual number of performance shares issuable upon vesting include an equal weighting of Ashland’s total shareholder return (TSR)</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0" w:name="page31"/>
    <w:bookmarkEnd w:id="3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performance and Ashland’s return on investment (ROI) performance as compared to the internal targets. TSR relative to peers is considered a market condition while ROI is considered a performance condition under applicable U.S. GAAP.</w:t>
      </w:r>
    </w:p>
    <w:p>
      <w:pPr>
        <w:spacing w:after="0" w:line="69" w:lineRule="exact"/>
        <w:rPr>
          <w:sz w:val="20"/>
          <w:szCs w:val="20"/>
          <w:color w:val="auto"/>
        </w:rPr>
      </w:pPr>
    </w:p>
    <w:p>
      <w:pPr>
        <w:jc w:val="both"/>
        <w:ind w:left="400"/>
        <w:spacing w:after="0" w:line="316" w:lineRule="auto"/>
        <w:rPr>
          <w:sz w:val="20"/>
          <w:szCs w:val="20"/>
          <w:color w:val="auto"/>
        </w:rPr>
      </w:pPr>
      <w:r>
        <w:rPr>
          <w:rFonts w:ascii="Arial" w:cs="Arial" w:eastAsia="Arial" w:hAnsi="Arial"/>
          <w:sz w:val="16"/>
          <w:szCs w:val="16"/>
          <w:color w:val="auto"/>
        </w:rPr>
        <w:t>For awards granted in fiscal 2017 and 2018, the performance measure used to determine the actual number of performance shares/units issuable upon vesting is the financial performance of Ashland compared to award targets. The financial performance award metric is considered a performance condition under applicable U.S. GAAP. Additionally, the actual number of performance shares/units issuable upon vesting can be potentially increased or decreased based on a TSR performance modifier relative to peers of Ashland. For awards granted in fiscal 2017, each performance unit will be settled in cash based on the fair value of Ashland common stock. For awards granted in fiscal 2018, each performance share/unit is convertible to one share of Ashland Common Stock.</w:t>
      </w:r>
    </w:p>
    <w:p>
      <w:pPr>
        <w:spacing w:after="0" w:line="32"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Nonvested performance shares/units do not entitle employees to vote the shares or to receive any dividends thereon. No performance shares/units were granted for the three months ended March 31, 2018 and 2017. Performance shares/units granted for the six months ended March 31, 2018 and 2017 were 101 thousand and 56 thousand, respectively. As of March 31, 2018, there was $15 million of total unrecognized compensation costs related to performance shares/units. That cost is expected to be recognized over a weighted-average period of 2.0 years.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REPORTABLE SEGMENT INFORMATION</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is the primary measure on the Statements of Consolidated Comprehensive Income (Loss) that is reviewed by the chief operating decision maker in assessing each reportable segment's financial performance. Ashland does not aggregate operating segments to arrive at these reportable segments.</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Change in Reportable Segments</w:t>
      </w:r>
    </w:p>
    <w:p>
      <w:pPr>
        <w:spacing w:after="0" w:line="108"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Subsequent to completing the separation from Valvoline Inc. on May 12, 2017, Ashland's operations are managed by the chief operating decision maker within the following three reportable segments: Specialty Ingredients, Composites and Intermediates and Solvents. As a result, the financial information for the new reportable segments (Composites and Intermediates and Solvents) has been disclosed for all periods presented. Prior to the separation from Valvoline Inc., Composites and Intermediates and Solvents were reporting units included within the previous Ashland Performance Materials reportable segment.</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Reportable segment business descriptions</w:t>
      </w:r>
    </w:p>
    <w:p>
      <w:pPr>
        <w:spacing w:after="0" w:line="108"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Specialty Ingredients is a global leader in cellulose ethers, vinyl pyrrolidones and biofunctionals. It offers industry-leading products, technologies and resources for solving formulation and product-performance challenges. Specialty Ingredients uses natural, synthetic and semisynthetic polymers derived from cellulose ethers, vinyl pyrrolidones, acrylic polymers, polyester and polyurethane-based adhesives, and plant and seed extract. Specialty Ingredients’ end markets offer comprehensive and innovative solutions for today’s demanding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 On May 17, 2017, Ashland completed its acquisition of the stock of Pharmachem, a leading provider of quality ingredients to the global health and wellness industries and high-value differentiated products to fragrance and flavor houses. With 14 manufacturing facilities in the United States and Mexico, New Jersey-based Pharmachem develops, manufactures and supplies custom and branded nutritional and fragrance products. See Note C for more information.</w:t>
      </w:r>
    </w:p>
    <w:p>
      <w:pPr>
        <w:spacing w:after="0" w:line="80"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Composites is a global leader in unsaturated polyester resins, vinyl ester resins and gelcoats. The Composites business manufactures and sells a broad range of general-purpose and high-performance grades</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1" w:name="page32"/>
    <w:bookmarkEnd w:id="31"/>
    <w:p>
      <w:pPr>
        <w:ind w:right="442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right="420"/>
        <w:spacing w:after="0" w:line="258" w:lineRule="auto"/>
        <w:rPr>
          <w:sz w:val="20"/>
          <w:szCs w:val="20"/>
          <w:color w:val="auto"/>
        </w:rPr>
      </w:pPr>
      <w:r>
        <w:rPr>
          <w:rFonts w:ascii="Arial" w:cs="Arial" w:eastAsia="Arial" w:hAnsi="Arial"/>
          <w:sz w:val="19"/>
          <w:szCs w:val="19"/>
          <w:color w:val="auto"/>
        </w:rPr>
        <w:t>of unsaturated polyester and vinyl ester resins, gelcoats and low-profile additives for the reinforced plastics industry. The products in the Composites business provide an array of functional properties including corrosion resistance, fire retardance, ultraviolet resistance, water and chemical resistance, high mechanical strength, impact and scratch resistance and high strength-to-weight ratios. Key end markets include transportation, construction, marine and infrastructure. In addition, the business manufactures and sells molten maleic anhydride for the manufacture of a variety of products such as unsaturated polyester resins, copolymers, lubricating oil additives, alkenyl succinic anhydrides, malic acid, fumaric acid and numerous derivative chemicals. Key markets include composites, personal care, dispersants and paper sizing.</w:t>
      </w:r>
    </w:p>
    <w:p>
      <w:pPr>
        <w:spacing w:after="0" w:line="71" w:lineRule="exact"/>
        <w:rPr>
          <w:sz w:val="20"/>
          <w:szCs w:val="20"/>
          <w:color w:val="auto"/>
        </w:rPr>
      </w:pPr>
    </w:p>
    <w:p>
      <w:pPr>
        <w:jc w:val="both"/>
        <w:ind w:left="400" w:right="420"/>
        <w:spacing w:after="0" w:line="282" w:lineRule="auto"/>
        <w:rPr>
          <w:sz w:val="20"/>
          <w:szCs w:val="20"/>
          <w:color w:val="auto"/>
        </w:rPr>
      </w:pPr>
      <w:r>
        <w:rPr>
          <w:rFonts w:ascii="Arial" w:cs="Arial" w:eastAsia="Arial" w:hAnsi="Arial"/>
          <w:sz w:val="18"/>
          <w:szCs w:val="18"/>
          <w:color w:val="auto"/>
        </w:rPr>
        <w:t>Intermediates and Solvents is a leading producer of 1,4 butanediol (BDO)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54" w:lineRule="exact"/>
        <w:rPr>
          <w:sz w:val="20"/>
          <w:szCs w:val="20"/>
          <w:color w:val="auto"/>
        </w:rPr>
      </w:pPr>
    </w:p>
    <w:p>
      <w:pPr>
        <w:jc w:val="both"/>
        <w:ind w:left="400" w:right="420"/>
        <w:spacing w:after="0" w:line="316"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Reportable segment results</w:t>
      </w:r>
    </w:p>
    <w:p>
      <w:pPr>
        <w:spacing w:after="0" w:line="108" w:lineRule="exact"/>
        <w:rPr>
          <w:sz w:val="20"/>
          <w:szCs w:val="20"/>
          <w:color w:val="auto"/>
        </w:rPr>
      </w:pPr>
    </w:p>
    <w:p>
      <w:pPr>
        <w:jc w:val="both"/>
        <w:ind w:left="400" w:right="42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7" w:lineRule="exact"/>
        <w:rPr>
          <w:sz w:val="20"/>
          <w:szCs w:val="20"/>
          <w:color w:val="auto"/>
        </w:rPr>
      </w:pPr>
    </w:p>
    <w:p>
      <w:pPr>
        <w:jc w:val="both"/>
        <w:ind w:left="400" w:right="44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and six months ended March 31, 2018 and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6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Three months ended</w:t>
            </w: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225"/>
              <w:spacing w:after="0"/>
              <w:rPr>
                <w:sz w:val="20"/>
                <w:szCs w:val="20"/>
                <w:color w:val="auto"/>
              </w:rPr>
            </w:pPr>
            <w:r>
              <w:rPr>
                <w:rFonts w:ascii="Arial" w:cs="Arial" w:eastAsia="Arial" w:hAnsi="Arial"/>
                <w:sz w:val="18"/>
                <w:szCs w:val="18"/>
                <w:color w:val="auto"/>
              </w:rPr>
              <w:t>Six months ended</w:t>
            </w:r>
          </w:p>
        </w:tc>
        <w:tc>
          <w:tcPr>
            <w:tcW w:w="82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SALES</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80" w:type="dxa"/>
            <w:vAlign w:val="bottom"/>
            <w:gridSpan w:val="3"/>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544</w:t>
            </w:r>
          </w:p>
        </w:tc>
        <w:tc>
          <w:tcPr>
            <w:tcW w:w="72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Composites</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19"/>
                <w:szCs w:val="19"/>
                <w:color w:val="auto"/>
              </w:rPr>
            </w:pPr>
          </w:p>
        </w:tc>
      </w:tr>
      <w:tr>
        <w:trPr>
          <w:trHeight w:val="263"/>
        </w:trPr>
        <w:tc>
          <w:tcPr>
            <w:tcW w:w="420" w:type="dxa"/>
            <w:vAlign w:val="bottom"/>
          </w:tcPr>
          <w:p>
            <w:pPr>
              <w:spacing w:after="0"/>
              <w:rPr>
                <w:sz w:val="22"/>
                <w:szCs w:val="22"/>
                <w:color w:val="auto"/>
              </w:rPr>
            </w:pPr>
          </w:p>
        </w:tc>
        <w:tc>
          <w:tcPr>
            <w:tcW w:w="36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806</w:t>
            </w:r>
          </w:p>
        </w:tc>
        <w:tc>
          <w:tcPr>
            <w:tcW w:w="18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1,816</w:t>
            </w:r>
          </w:p>
        </w:tc>
        <w:tc>
          <w:tcPr>
            <w:tcW w:w="18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1,510</w:t>
            </w:r>
          </w:p>
        </w:tc>
        <w:tc>
          <w:tcPr>
            <w:tcW w:w="420" w:type="dxa"/>
            <w:vAlign w:val="bottom"/>
          </w:tcPr>
          <w:p>
            <w:pPr>
              <w:spacing w:after="0"/>
              <w:rPr>
                <w:sz w:val="22"/>
                <w:szCs w:val="22"/>
                <w:color w:val="auto"/>
              </w:rPr>
            </w:pPr>
          </w:p>
        </w:tc>
      </w:tr>
      <w:tr>
        <w:trPr>
          <w:trHeight w:val="210"/>
        </w:trPr>
        <w:tc>
          <w:tcPr>
            <w:tcW w:w="4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Specialty Ingredients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080" w:type="dxa"/>
            <w:vAlign w:val="bottom"/>
            <w:gridSpan w:val="3"/>
          </w:tcPr>
          <w:p>
            <w:pPr>
              <w:jc w:val="right"/>
              <w:ind w:right="6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7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800" w:type="dxa"/>
            <w:vAlign w:val="bottom"/>
          </w:tcPr>
          <w:p>
            <w:pPr>
              <w:jc w:val="right"/>
              <w:ind w:right="6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Composites</w:t>
            </w: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61"/>
        </w:trPr>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32</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This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In addition, Ashland may from time to time make forward-looking statements in its annual reports,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program to eliminate certain existing corporate and Specialty Ingredients expenses (including the possibility that such cost eliminations may not occur or may take longer to implement than anticipated); the expected divestiture of its Composites segment and for the butanediol (BDO) manufacturing facility in Marl, Germany, and related merchant Intermediates and Solvents (I&amp;S) products (including, in each case, the possibility that a transaction may not occur or that, if a transaction does occur, Ashland may not realize the anticipated benefits from such transaction); the impact of acquisitions and/or divestitures Ashland has made or may make, including the acquisition of Pharmachem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Ashland’s ability to generate sufficient cash to finance its stock repurchase plans; the potential that Ashland does not realize all of the expected benefits of the separation of its Valvoline business; the potential that the Tax Cuts and Jobs Act enacted on December 22, 2017 will have a negative impact on Ashland’s financial results, and severe weather, natural disasters, cyber events and legal proceedings and claims (including product recalls, environmental and asbestos matters). Various risks and uncertainties may cause actual results to differ materially from those stated, projected or implied by any forward-looking statements, including,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4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0" w:right="44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293" w:lineRule="exact"/>
        <w:rPr>
          <w:sz w:val="20"/>
          <w:szCs w:val="20"/>
          <w:color w:val="auto"/>
        </w:rPr>
      </w:pPr>
    </w:p>
    <w:p>
      <w:pPr>
        <w:jc w:val="center"/>
        <w:ind w:right="9300"/>
        <w:spacing w:after="0"/>
        <w:rPr>
          <w:sz w:val="20"/>
          <w:szCs w:val="20"/>
          <w:color w:val="auto"/>
        </w:rPr>
      </w:pPr>
      <w:r>
        <w:rPr>
          <w:rFonts w:ascii="Arial" w:cs="Arial" w:eastAsia="Arial" w:hAnsi="Arial"/>
          <w:sz w:val="19"/>
          <w:szCs w:val="19"/>
          <w:b w:val="1"/>
          <w:bCs w:val="1"/>
          <w:color w:val="auto"/>
        </w:rPr>
        <w:t>BUSINESS OVERVIEW</w:t>
      </w:r>
    </w:p>
    <w:p>
      <w:pPr>
        <w:spacing w:after="0" w:line="119" w:lineRule="exact"/>
        <w:rPr>
          <w:sz w:val="20"/>
          <w:szCs w:val="20"/>
          <w:color w:val="auto"/>
        </w:rPr>
      </w:pPr>
    </w:p>
    <w:p>
      <w:pPr>
        <w:jc w:val="center"/>
        <w:ind w:right="932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400" w:right="420"/>
        <w:spacing w:after="0" w:line="269" w:lineRule="auto"/>
        <w:rPr>
          <w:sz w:val="20"/>
          <w:szCs w:val="20"/>
          <w:color w:val="auto"/>
        </w:rPr>
      </w:pPr>
      <w:r>
        <w:rPr>
          <w:rFonts w:ascii="Arial" w:cs="Arial" w:eastAsia="Arial" w:hAnsi="Arial"/>
          <w:sz w:val="19"/>
          <w:szCs w:val="19"/>
          <w:color w:val="auto"/>
        </w:rPr>
        <w:t>Ashland is a premier global leader in providing specialty chemical solutions to customers in a wide range of consumer and industrial markets, including adhesives, architectural coatings, construction, energy, food and beverage, personal care and pharmaceutical. With approximately 6,500 employees worldwide, Ashland serves customers in more than 100 countries.</w:t>
      </w:r>
    </w:p>
    <w:p>
      <w:pPr>
        <w:spacing w:after="0" w:line="62" w:lineRule="exact"/>
        <w:rPr>
          <w:sz w:val="20"/>
          <w:szCs w:val="20"/>
          <w:color w:val="auto"/>
        </w:rPr>
      </w:pPr>
    </w:p>
    <w:p>
      <w:pPr>
        <w:jc w:val="both"/>
        <w:ind w:left="400" w:right="420"/>
        <w:spacing w:after="0" w:line="316" w:lineRule="auto"/>
        <w:rPr>
          <w:sz w:val="20"/>
          <w:szCs w:val="20"/>
          <w:color w:val="auto"/>
        </w:rPr>
      </w:pPr>
      <w:r>
        <w:rPr>
          <w:rFonts w:ascii="Arial" w:cs="Arial" w:eastAsia="Arial" w:hAnsi="Arial"/>
          <w:sz w:val="17"/>
          <w:szCs w:val="17"/>
          <w:color w:val="auto"/>
        </w:rPr>
        <w:t xml:space="preserve">Ashland’s sales generated outside of North America were 60% for both the three and six months ended March 31, 2018 </w:t>
      </w:r>
      <w:r>
        <w:rPr>
          <w:rFonts w:ascii="Arial" w:cs="Arial" w:eastAsia="Arial" w:hAnsi="Arial"/>
          <w:sz w:val="18"/>
          <w:szCs w:val="18"/>
          <w:color w:val="auto"/>
        </w:rPr>
        <w:t>and 2017. Sales by</w:t>
      </w:r>
      <w:r>
        <w:rPr>
          <w:rFonts w:ascii="Arial" w:cs="Arial" w:eastAsia="Arial" w:hAnsi="Arial"/>
          <w:sz w:val="17"/>
          <w:szCs w:val="17"/>
          <w:color w:val="auto"/>
        </w:rPr>
        <w:t xml:space="preserve"> </w:t>
      </w:r>
      <w:r>
        <w:rPr>
          <w:rFonts w:ascii="Arial" w:cs="Arial" w:eastAsia="Arial" w:hAnsi="Arial"/>
          <w:sz w:val="18"/>
          <w:szCs w:val="18"/>
          <w:color w:val="auto"/>
        </w:rPr>
        <w:t>region expressed as a percentage of total consolidated sales for the three and six months ended March 31 were as follows:</w:t>
      </w:r>
    </w:p>
    <w:p>
      <w:pPr>
        <w:spacing w:after="0" w:line="14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54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7"/>
              </w:rPr>
              <w:t>Three months ended</w:t>
            </w:r>
          </w:p>
        </w:tc>
        <w:tc>
          <w:tcPr>
            <w:tcW w:w="8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0"/>
              </w:rPr>
              <w:t>Six months ended</w:t>
            </w:r>
          </w:p>
        </w:tc>
        <w:tc>
          <w:tcPr>
            <w:tcW w:w="860" w:type="dxa"/>
            <w:vAlign w:val="bottom"/>
            <w:tcBorders>
              <w:top w:val="single" w:sz="8" w:color="auto"/>
            </w:tcBorders>
          </w:tcPr>
          <w:p>
            <w:pPr>
              <w:spacing w:after="0"/>
              <w:rPr>
                <w:sz w:val="21"/>
                <w:szCs w:val="21"/>
                <w:color w:val="auto"/>
              </w:rPr>
            </w:pPr>
          </w:p>
        </w:tc>
      </w:tr>
      <w:tr>
        <w:trPr>
          <w:trHeight w:val="230"/>
        </w:trPr>
        <w:tc>
          <w:tcPr>
            <w:tcW w:w="3540" w:type="dxa"/>
            <w:vAlign w:val="bottom"/>
          </w:tcPr>
          <w:p>
            <w:pPr>
              <w:spacing w:after="0"/>
              <w:rPr>
                <w:sz w:val="20"/>
                <w:szCs w:val="20"/>
                <w:color w:val="auto"/>
              </w:rPr>
            </w:pPr>
          </w:p>
        </w:tc>
        <w:tc>
          <w:tcPr>
            <w:tcW w:w="26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3"/>
              </w:rPr>
              <w:t>March 31</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3"/>
              </w:rPr>
              <w:t>March 31</w:t>
            </w:r>
          </w:p>
        </w:tc>
        <w:tc>
          <w:tcPr>
            <w:tcW w:w="860" w:type="dxa"/>
            <w:vAlign w:val="bottom"/>
            <w:tcBorders>
              <w:bottom w:val="single" w:sz="8" w:color="auto"/>
            </w:tcBorders>
          </w:tcPr>
          <w:p>
            <w:pPr>
              <w:spacing w:after="0"/>
              <w:rPr>
                <w:sz w:val="20"/>
                <w:szCs w:val="20"/>
                <w:color w:val="auto"/>
              </w:rPr>
            </w:pPr>
          </w:p>
        </w:tc>
      </w:tr>
      <w:tr>
        <w:trPr>
          <w:trHeight w:val="223"/>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Europe</w:t>
            </w: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5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Ashland includes only U.S. and Canada in its North America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Subsequent to completing the separation from Valvoline Inc., Ashland’s businesses are managed within the following three reportable segments: Specialty Ingredients, Composites and Intermediates and Solvents. For further descriptions of each reportable segment, see “Results of Operations – Reportable Segment Review” beginning on page 48.</w:t>
      </w:r>
    </w:p>
    <w:p>
      <w:pPr>
        <w:spacing w:after="0" w:line="92" w:lineRule="exact"/>
        <w:rPr>
          <w:sz w:val="20"/>
          <w:szCs w:val="20"/>
          <w:color w:val="auto"/>
        </w:rPr>
      </w:pPr>
    </w:p>
    <w:p>
      <w:pPr>
        <w:jc w:val="both"/>
        <w:ind w:left="400" w:right="420"/>
        <w:spacing w:after="0" w:line="260" w:lineRule="auto"/>
        <w:rPr>
          <w:sz w:val="20"/>
          <w:szCs w:val="20"/>
          <w:color w:val="auto"/>
        </w:rPr>
      </w:pPr>
      <w:r>
        <w:rPr>
          <w:rFonts w:ascii="Arial" w:cs="Arial" w:eastAsia="Arial" w:hAnsi="Arial"/>
          <w:sz w:val="20"/>
          <w:szCs w:val="20"/>
          <w:color w:val="auto"/>
        </w:rPr>
        <w:t>The contribution to sales by each reportable segment expressed as a percentage of total consolidated sales for the three and six months ended March 31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54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7"/>
              </w:rPr>
              <w:t>Three months ended</w:t>
            </w:r>
          </w:p>
        </w:tc>
        <w:tc>
          <w:tcPr>
            <w:tcW w:w="8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0"/>
              </w:rPr>
              <w:t>Six months ended</w:t>
            </w:r>
          </w:p>
        </w:tc>
        <w:tc>
          <w:tcPr>
            <w:tcW w:w="8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3"/>
              </w:rPr>
              <w:t>March 31</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3"/>
              </w:rPr>
              <w:t>March 31</w:t>
            </w:r>
          </w:p>
        </w:tc>
        <w:tc>
          <w:tcPr>
            <w:tcW w:w="8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Composites</w:t>
            </w: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872"/>
        </w:trPr>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00" w:type="dxa"/>
            <w:vAlign w:val="bottom"/>
            <w:gridSpan w:val="3"/>
          </w:tcPr>
          <w:p>
            <w:pPr>
              <w:jc w:val="right"/>
              <w:ind w:right="760"/>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71" w:right="219" w:bottom="1440" w:gutter="0" w:footer="0" w:header="0"/>
        </w:sectPr>
      </w:pPr>
    </w:p>
    <w:bookmarkStart w:id="34" w:name="page35"/>
    <w:bookmarkEnd w:id="34"/>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8880"/>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jc w:val="center"/>
        <w:ind w:right="8880"/>
        <w:spacing w:after="0"/>
        <w:rPr>
          <w:sz w:val="20"/>
          <w:szCs w:val="20"/>
          <w:color w:val="auto"/>
        </w:rPr>
      </w:pPr>
      <w:r>
        <w:rPr>
          <w:rFonts w:ascii="Arial" w:cs="Arial" w:eastAsia="Arial" w:hAnsi="Arial"/>
          <w:sz w:val="20"/>
          <w:szCs w:val="20"/>
          <w:b w:val="1"/>
          <w:bCs w:val="1"/>
          <w:color w:val="auto"/>
        </w:rPr>
        <w:t>Business results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Ashland’s net income was $73 million in the current quarter compared to $105 million in the prior year quarter. Ashland’s Adjusted EBITDA increased by 30% to $179 million (see U.S. GAAP reconciliation on page 40). The increase in Adjusted EBITDA was due to growth across all three reportable segments with Specialty Ingredients reporting an increase of $26 million and Composites and Intermediates and Solvents each reporting an increase of $7 million. Excluding the acquisition of Pharmachem, the increase in profitability for Specialty Ingredients compared to the prior year quarter was primarily driven by improvements in volume and mix and favorable foreign currency exchange. The increase in profitability for both Composites and Intermediates and Solvents was primarily driven by improvements in product pricing.</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segment and Intermediates and Solvents plant</w:t>
      </w:r>
    </w:p>
    <w:p>
      <w:pPr>
        <w:spacing w:after="0" w:line="114"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On March 20, 2018, Ashland announced that it will explore strategic alternatives for its Composites segment and the Intermediates and Solvents’ manufacturing facility in Marl, Germany. Ashland currently expects to divest these assets, which will improve the cost structure and streamline decision making, while becoming more customer focused and accelerating adjusted EBITDA margin growth.</w:t>
      </w:r>
    </w:p>
    <w:p>
      <w:pPr>
        <w:spacing w:after="0" w:line="4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On May 1, 2018, Ashland also announced a program to eliminate a total of $120 million of existing corporate and Specialty Ingredients selling, general and administrative expenses, along with facility-related costs. Under this program:</w:t>
      </w:r>
    </w:p>
    <w:p>
      <w:pPr>
        <w:spacing w:after="0" w:line="69" w:lineRule="exact"/>
        <w:rPr>
          <w:sz w:val="20"/>
          <w:szCs w:val="20"/>
          <w:color w:val="auto"/>
        </w:rPr>
      </w:pPr>
    </w:p>
    <w:p>
      <w:pPr>
        <w:ind w:left="800" w:hanging="400"/>
        <w:spacing w:after="0" w:line="260" w:lineRule="auto"/>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Approximately $70 million of corporate costs allocated to the Composites business and to the butanediol manufacturing facility in Marl, Germany, are expected to be offset or eliminated through transfers and reductions.</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Approximately $50 million of additional costs are expected to be eliminated to drive improved profitability in Specialty Ingredients and accelerate achievement of its adjusted EBITDA margin target of 25-27 percent.</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Ashland expects to achieve the full run-rate savings by the end of calendar year 2019.</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Tax law changes</w:t>
      </w:r>
    </w:p>
    <w:p>
      <w:pPr>
        <w:spacing w:after="0" w:line="114"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At March 31, 2018, Ashland has not completed the internal accounting assessment for the tax effects of enactment of the Tax Act; however, Ashland determined a reasonable estimate of the effects on our existing deferred tax balances and the one-time transition tax. Ashland recognized a provisional amount for the six months ended March 31, 2018, which is included as a component of income tax expense from continuing operations. Ashland recorded net unfavorable tax adjustments of $16 million primarily related to deferred tax rate changes and a one-time transition tax assessed on foreign cash and unremitted earnings.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 repurchase program</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During March 2018, Ashland’s Board of Directors approved a new $1 billion stock repurchase program, which replaced the 2015 stock repurchase program that had $500 million of authorization remaining. Under the new program, Ashland’s common shares may be repurchased in open market transactions, privately negotiated transactions or pursuant to one or more accelerated stock repurchase programs or Rule 10b5-1 plans.</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5" w:name="page36"/>
    <w:bookmarkEnd w:id="35"/>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800" w:hanging="400"/>
        <w:spacing w:after="0" w:line="260" w:lineRule="auto"/>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financing expenses, and depreciation and amortization.</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gain (loss) on acquisitions and divestitures, other income and (expense) and key items (including the remeasurement gains and losses related to pension and other postretirement plans).</w:t>
      </w:r>
    </w:p>
    <w:p>
      <w:pPr>
        <w:spacing w:after="0" w:line="78" w:lineRule="exact"/>
        <w:rPr>
          <w:rFonts w:ascii="Arial" w:cs="Arial" w:eastAsia="Arial" w:hAnsi="Arial"/>
          <w:sz w:val="20"/>
          <w:szCs w:val="20"/>
          <w:color w:val="auto"/>
        </w:rPr>
      </w:pPr>
    </w:p>
    <w:p>
      <w:pPr>
        <w:ind w:left="800" w:hanging="400"/>
        <w:spacing w:after="0"/>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Adjusted EBITDA margin - Adjusted EBITDA, which can include pro forma adjustments, divided by sales.</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9"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Although Ashland provides forward-looking guidance for Adjusted EBITDA, Adjusted diluted EPS and free cash flow, Ashland is not reaffirming or providing forward-looking guidance for U.S. GAAP-reported financial measures or a reconciliation of forward-looking non-GAAP financial measures to the most</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6" w:name="page37"/>
    <w:bookmarkEnd w:id="36"/>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87"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2017 Credit Agreement are based on similar non-GAAP measures and are defined further in the sections that reference this metric.</w:t>
      </w:r>
    </w:p>
    <w:p>
      <w:pPr>
        <w:spacing w:after="0" w:line="61" w:lineRule="exact"/>
        <w:rPr>
          <w:sz w:val="20"/>
          <w:szCs w:val="20"/>
          <w:color w:val="auto"/>
        </w:rPr>
      </w:pPr>
    </w:p>
    <w:p>
      <w:pPr>
        <w:jc w:val="both"/>
        <w:ind w:left="400"/>
        <w:spacing w:after="0" w:line="269" w:lineRule="auto"/>
        <w:rPr>
          <w:sz w:val="20"/>
          <w:szCs w:val="20"/>
          <w:color w:val="auto"/>
        </w:rPr>
      </w:pPr>
      <w:r>
        <w:rPr>
          <w:rFonts w:ascii="Arial" w:cs="Arial" w:eastAsia="Arial" w:hAnsi="Arial"/>
          <w:sz w:val="18"/>
          <w:szCs w:val="18"/>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on page 40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M of the Notes to Consolidated Financial Statements within the 2017 Form 10-K.</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financing expense, income taxes, discontinued operations and other significant events or transactions that are unusual or nonrecurring.</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Key financial results for the three months ended March 31, 2018 and 2017 included the following:</w:t>
      </w:r>
    </w:p>
    <w:p>
      <w:pPr>
        <w:spacing w:after="0" w:line="108" w:lineRule="exact"/>
        <w:rPr>
          <w:sz w:val="20"/>
          <w:szCs w:val="20"/>
          <w:color w:val="auto"/>
        </w:rPr>
      </w:pPr>
    </w:p>
    <w:p>
      <w:pPr>
        <w:ind w:left="800" w:hanging="400"/>
        <w:spacing w:after="0" w:line="260" w:lineRule="auto"/>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Ashland’s net income attributable to Ashland amounted to $73 million and $92 million for the three months ended March 31, 2018 and 2017, respectively, or $1.15 and $1.47 diluted earnings per share, respectively.</w:t>
      </w:r>
    </w:p>
    <w:p>
      <w:pPr>
        <w:spacing w:after="0" w:line="68" w:lineRule="exact"/>
        <w:rPr>
          <w:rFonts w:ascii="Arial" w:cs="Arial" w:eastAsia="Arial" w:hAnsi="Arial"/>
          <w:sz w:val="20"/>
          <w:szCs w:val="20"/>
          <w:color w:val="auto"/>
        </w:rPr>
      </w:pPr>
    </w:p>
    <w:p>
      <w:pPr>
        <w:ind w:left="800" w:hanging="400"/>
        <w:spacing w:after="0" w:line="287" w:lineRule="auto"/>
        <w:tabs>
          <w:tab w:leader="none" w:pos="8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Ashland’s net income attributable to noncontrolling interest amounted to $13 million for the three months ended March 31, 2017 and reflects the noncontrolling interest of Valvoline Inc. before the final separation occurred on May 12, 2017.</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7" w:name="page38"/>
    <w:bookmarkEnd w:id="37"/>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800" w:hanging="400"/>
        <w:spacing w:after="0" w:line="25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income of $7 million and $76 million during the three months ended March 31, 2018 and 2017, respectively. The activity within discontinued operations for the three months ended March 31, 2017 includes the operating results of Valvoline Inc.</w:t>
      </w:r>
    </w:p>
    <w:p>
      <w:pPr>
        <w:spacing w:after="0" w:line="7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Income from continuing operations, which excludes results from discontinued operations, amounted to $66 million and $29 million for the three months ended March 31, 2018 and 2017, respectively.</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effective income tax rates were 1% and a benefit of 21% for the three months ended March 31, 2018 and 2017, respectively, and were impacted by certain discrete items in both the current and prior year quarters.</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Ashland incurred pretax net interest and other financing expense of $29 million for each of the three months ended March 31, 2018 and 2017.</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Operating income was $95 million and $53 million for the three months ended March 31, 2018 and 2017, respectively.</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Key financial results for the six months ended March 31, 2018 and 2017 included the following:</w:t>
      </w:r>
    </w:p>
    <w:p>
      <w:pPr>
        <w:spacing w:after="0" w:line="108" w:lineRule="exact"/>
        <w:rPr>
          <w:sz w:val="20"/>
          <w:szCs w:val="20"/>
          <w:color w:val="auto"/>
        </w:rPr>
      </w:pPr>
    </w:p>
    <w:p>
      <w:pPr>
        <w:ind w:left="800" w:hanging="400"/>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Ashland’s net income attributable to Ashland amounted to $69 million and $91 million for the six months ended March 31, 2018 and 2017, respectively, or $1.08 and $1.47 diluted earnings per share, respectively.</w:t>
      </w:r>
    </w:p>
    <w:p>
      <w:pPr>
        <w:spacing w:after="0" w:line="68" w:lineRule="exact"/>
        <w:rPr>
          <w:rFonts w:ascii="Arial" w:cs="Arial" w:eastAsia="Arial" w:hAnsi="Arial"/>
          <w:sz w:val="20"/>
          <w:szCs w:val="20"/>
          <w:color w:val="auto"/>
        </w:rPr>
      </w:pPr>
    </w:p>
    <w:p>
      <w:pPr>
        <w:ind w:left="800" w:hanging="400"/>
        <w:spacing w:after="0" w:line="287" w:lineRule="auto"/>
        <w:tabs>
          <w:tab w:leader="none" w:pos="8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Ashland’s net income attributable to noncontrolling interest amounted to $24 million for the six months ended March 31, 2017 and reflects the noncontrolling interest of Valvoline Inc. before the final distribution occurred on May 12, 2017.</w:t>
      </w:r>
    </w:p>
    <w:p>
      <w:pPr>
        <w:spacing w:after="0" w:line="44" w:lineRule="exact"/>
        <w:rPr>
          <w:rFonts w:ascii="Arial" w:cs="Arial" w:eastAsia="Arial" w:hAnsi="Arial"/>
          <w:sz w:val="19"/>
          <w:szCs w:val="19"/>
          <w:color w:val="auto"/>
        </w:rPr>
      </w:pPr>
    </w:p>
    <w:p>
      <w:pPr>
        <w:jc w:val="both"/>
        <w:ind w:left="800" w:hanging="400"/>
        <w:spacing w:after="0" w:line="25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income of $10 million and $152 million during the six months ended March 31, 2018 and 2017, respectively. The activity within discontinued operations for the six months ended March 31, 2017 includes the operating results of Valvoline Inc.</w:t>
      </w:r>
    </w:p>
    <w:p>
      <w:pPr>
        <w:spacing w:after="0" w:line="7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Income (loss) from continuing operations, which excludes results from discontinued operations, amounted to income of $59 million and a loss of $37 million for the six months ended March 31, 2018 and 2017, respectively.</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effective income tax rates were 20% and 55% for the six months ended March 31, 2018 and 2017, respectively, and were impacted by certain discrete items in both the current and prior year periods.</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Ashland incurred pretax net interest and other financing expense of $59 million and $152 million for the six months ended March 31, 2018 and 2017, respectively. The prior year period was impacted by $92 million of net charges associated with debt financing activity.</w:t>
      </w:r>
    </w:p>
    <w:p>
      <w:pPr>
        <w:spacing w:after="0" w:line="78" w:lineRule="exact"/>
        <w:rPr>
          <w:rFonts w:ascii="Arial" w:cs="Arial" w:eastAsia="Arial" w:hAnsi="Arial"/>
          <w:sz w:val="20"/>
          <w:szCs w:val="20"/>
          <w:color w:val="auto"/>
        </w:rPr>
      </w:pPr>
    </w:p>
    <w:p>
      <w:pPr>
        <w:ind w:left="800" w:hanging="400"/>
        <w:spacing w:after="0"/>
        <w:tabs>
          <w:tab w:leader="none" w:pos="8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Operating income was $133 million and $68 million for the six months ended March 31, 2018 and 2017, respectively.</w:t>
      </w:r>
    </w:p>
    <w:p>
      <w:pPr>
        <w:spacing w:after="0" w:line="11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Operating income amounted to $95 million and $53 million for the three months ended March 31, 2018 and 2017, respectively. The current and prior year quarters' operating income included certain key items that were excluded to arrive at Adjusted EBITDA. These key items are summarized as follows:</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8" w:name="page39"/>
    <w:bookmarkEnd w:id="38"/>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800" w:hanging="400"/>
        <w:spacing w:after="0"/>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Separation, restructuring and other costs and accelerated depreciation include the following:</w:t>
      </w:r>
    </w:p>
    <w:p>
      <w:pPr>
        <w:spacing w:after="0" w:line="107"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$4 million of accelerated depreciation related to the planned closure of an office building during the three months ended March 31, 2018;</w:t>
      </w:r>
    </w:p>
    <w:p>
      <w:pPr>
        <w:spacing w:after="0" w:line="68" w:lineRule="exact"/>
        <w:rPr>
          <w:rFonts w:ascii="Arial" w:cs="Arial" w:eastAsia="Arial" w:hAnsi="Arial"/>
          <w:sz w:val="20"/>
          <w:szCs w:val="20"/>
          <w:color w:val="auto"/>
        </w:rPr>
      </w:pPr>
    </w:p>
    <w:p>
      <w:pPr>
        <w:ind w:left="1580" w:hanging="383"/>
        <w:spacing w:after="0"/>
        <w:tabs>
          <w:tab w:leader="none" w:pos="15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 million of integration costs related to the acquisition of Pharmachem for the three months ended March 31, 2018;</w:t>
      </w:r>
    </w:p>
    <w:p>
      <w:pPr>
        <w:spacing w:after="0" w:line="130" w:lineRule="exact"/>
        <w:rPr>
          <w:rFonts w:ascii="Arial" w:cs="Arial" w:eastAsia="Arial" w:hAnsi="Arial"/>
          <w:sz w:val="18"/>
          <w:szCs w:val="18"/>
          <w:color w:val="auto"/>
        </w:rPr>
      </w:pPr>
    </w:p>
    <w:p>
      <w:pPr>
        <w:jc w:val="both"/>
        <w:ind w:left="1580" w:hanging="383"/>
        <w:spacing w:after="0" w:line="250" w:lineRule="auto"/>
        <w:tabs>
          <w:tab w:leader="none" w:pos="15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$2 million and $19 million of costs related to the separation of Valvoline during the three months ended March 31, 2018 and 2017, respectively (which included $1 million of accelerated depreciation during the three months ended March 31, 2017); and</w:t>
      </w:r>
    </w:p>
    <w:p>
      <w:pPr>
        <w:spacing w:after="0" w:line="7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0"/>
        </w:numPr>
        <w:rPr>
          <w:rFonts w:ascii="Arial" w:cs="Arial" w:eastAsia="Arial" w:hAnsi="Arial"/>
          <w:sz w:val="20"/>
          <w:szCs w:val="20"/>
          <w:color w:val="auto"/>
        </w:rPr>
      </w:pPr>
      <w:r>
        <w:rPr>
          <w:rFonts w:ascii="Arial" w:cs="Arial" w:eastAsia="Arial" w:hAnsi="Arial"/>
          <w:sz w:val="20"/>
          <w:szCs w:val="20"/>
          <w:color w:val="auto"/>
        </w:rPr>
        <w:t>$2 million of accelerated depreciation for the termination of a contract at a manufacturing facility during the three months ended March 31, 2018; and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$5 million of income related to proceeds from a legal settlement during the three months ended March 31, 2018.</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for the three months ended March 31, 2018 and 2017 included depreciation and amortization of $76 million and $66 million, respectively (which excluded accelerated depreciation of $6 million and $1 million for the three months ended March 31, 2018 and 2017, respectively).</w:t>
      </w:r>
    </w:p>
    <w:p>
      <w:pPr>
        <w:spacing w:after="0" w:line="7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Operating income amounted to $133 million and $68 million for the six months ended March 31, 2018 and 2017, respectively. The current and prior year periods’ operating income included certain key items that were excluded to arrive at Adjusted EBITDA. In addition to the key items within the current and prior year quarters previously discussed, the following are also excluded on a year-to-date basis:</w:t>
      </w:r>
    </w:p>
    <w:p>
      <w:pPr>
        <w:spacing w:after="0" w:line="83" w:lineRule="exact"/>
        <w:rPr>
          <w:sz w:val="20"/>
          <w:szCs w:val="20"/>
          <w:color w:val="auto"/>
        </w:rPr>
      </w:pPr>
    </w:p>
    <w:p>
      <w:pPr>
        <w:ind w:left="800" w:hanging="400"/>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Separation, restructuring and other costs and accelerated depreciation include the following additional key items:</w:t>
      </w:r>
    </w:p>
    <w:p>
      <w:pPr>
        <w:spacing w:after="0" w:line="107"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 additional $6 million and $23 million of costs related to the separation of Valvoline during the six months ended March 31, 2018 and 2017, respectively;</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 additional $4 million of accelerated depreciation related to the planned closure of an office building during the six months ended March 31, 2018;</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 additional $2 million of integration costs related to the acquisition of Pharmachem for the six months ended March 31, 2018;</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 additional $2 million of accelerated depreciation for the termination of a contract at a manufacturing facility during the six months ended March 31, 2018; and</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$1 million of severance and other restructuring charges for the closure of a manufacturing plant during the six months ended March 31, 2018;</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$11 million of environmental charges during the six months ended March 31, 2018;</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$5 million charge for a legal reserve during the six months ended March 31, 2017; and</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remeasurement gain of $2 million associated with the discontinuation of certain post-employment health and life insurance benefits during the six months ended March 31, 2017.</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for the six months ended March 31, 2018 and 2017 included depreciation and amortization of $149 million and $133 million, respectively (which excluded accelerated depreciation of $12 million and $1 million for the six months ended March 31, 2018 and 2017, respectively).</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Adjusted EBITDA and Key Items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EBITDA totaled $179 million and $195 million for the three months ended March 31, 2018 and 2017, respectively, and $292 million and $355 million for the six months ended March 31, 2018 and 2017, respectively. EBITDA and Adjusted EBITDA results in the table below have been prepared to illustrate the</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9" w:name="page40"/>
    <w:bookmarkEnd w:id="39"/>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ongoing effects of Ashland’s operations, which exclude certain key items and the impact of Ashland's previous noncontrolling interest in Valvoline Inc.</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Three months ended</w:t>
            </w:r>
          </w:p>
        </w:tc>
        <w:tc>
          <w:tcPr>
            <w:tcW w:w="20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5"/>
          </w:tcPr>
          <w:p>
            <w:pPr>
              <w:jc w:val="right"/>
              <w:ind w:right="330"/>
              <w:spacing w:after="0"/>
              <w:rPr>
                <w:sz w:val="20"/>
                <w:szCs w:val="20"/>
                <w:color w:val="auto"/>
              </w:rPr>
            </w:pPr>
            <w:r>
              <w:rPr>
                <w:rFonts w:ascii="Arial" w:cs="Arial" w:eastAsia="Arial" w:hAnsi="Arial"/>
                <w:sz w:val="18"/>
                <w:szCs w:val="18"/>
                <w:color w:val="auto"/>
                <w:w w:val="94"/>
              </w:rPr>
              <w:t>Six months ended</w:t>
            </w:r>
          </w:p>
        </w:tc>
      </w:tr>
      <w:tr>
        <w:trPr>
          <w:trHeight w:val="230"/>
        </w:trPr>
        <w:tc>
          <w:tcPr>
            <w:tcW w:w="6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w:t>
            </w:r>
          </w:p>
        </w:tc>
        <w:tc>
          <w:tcPr>
            <w:tcW w:w="4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r>
      <w:tr>
        <w:trPr>
          <w:trHeight w:val="230"/>
        </w:trPr>
        <w:tc>
          <w:tcPr>
            <w:tcW w:w="658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r>
      <w:tr>
        <w:trPr>
          <w:trHeight w:val="230"/>
        </w:trPr>
        <w:tc>
          <w:tcPr>
            <w:tcW w:w="6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355</w:t>
            </w:r>
          </w:p>
        </w:tc>
      </w:tr>
      <w:tr>
        <w:trPr>
          <w:trHeight w:val="230"/>
        </w:trPr>
        <w:tc>
          <w:tcPr>
            <w:tcW w:w="6580" w:type="dxa"/>
            <w:vAlign w:val="bottom"/>
          </w:tcPr>
          <w:p>
            <w:pPr>
              <w:ind w:left="240"/>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Separation, restructuring and other costs</w:t>
            </w:r>
          </w:p>
        </w:tc>
        <w:tc>
          <w:tcPr>
            <w:tcW w:w="1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30"/>
        </w:trPr>
        <w:tc>
          <w:tcPr>
            <w:tcW w:w="6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Accelerated depreciation</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Legal settlement/reserve</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6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Environmental reserve adjustments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Gain on post-employment plan remeasurement</w:t>
            </w:r>
          </w:p>
        </w:tc>
        <w:tc>
          <w:tcPr>
            <w:tcW w:w="1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key items included in EBITDA</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r>
      <w:tr>
        <w:trPr>
          <w:trHeight w:val="26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r>
      <w:tr>
        <w:trPr>
          <w:trHeight w:val="210"/>
        </w:trPr>
        <w:tc>
          <w:tcPr>
            <w:tcW w:w="6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refinancing costs </w:t>
            </w:r>
            <w:r>
              <w:rPr>
                <w:rFonts w:ascii="Arial" w:cs="Arial" w:eastAsia="Arial" w:hAnsi="Arial"/>
                <w:sz w:val="14"/>
                <w:szCs w:val="14"/>
                <w:color w:val="auto"/>
              </w:rPr>
              <w:t>(b)</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key items, before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260"/>
        <w:spacing w:after="0" w:line="230"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$6 million and $1 million of accelerated depreciation for the three months ended March 31, 2018 and 2017, respectively, and $12 million and $1 million of accelerated depreciation for the six months ended March 31, 2018 and 2017, respectively.</w:t>
      </w:r>
    </w:p>
    <w:p>
      <w:pPr>
        <w:ind w:left="660" w:hanging="260"/>
        <w:spacing w:after="0" w:line="237"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Debt refinancing costs during the six months ended March 31, 2017 primarily related to accelerated accretion from the tender offer of the 2029 notes and were recorded within the net interest and other financing expense caption on the Statement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-394335</wp:posOffset>
            </wp:positionV>
            <wp:extent cx="67322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0" w:name="page41"/>
    <w:bookmarkEnd w:id="40"/>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5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89"/>
              </w:rPr>
              <w:t>Three months ended</w:t>
            </w: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5"/>
              </w:rPr>
              <w:t>Six months ended</w:t>
            </w:r>
          </w:p>
        </w:tc>
      </w:tr>
      <w:tr>
        <w:trPr>
          <w:trHeight w:val="230"/>
        </w:trPr>
        <w:tc>
          <w:tcPr>
            <w:tcW w:w="5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0.46</w:t>
            </w: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0.93</w:t>
            </w:r>
          </w:p>
        </w:tc>
        <w:tc>
          <w:tcPr>
            <w:tcW w:w="4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Key items, before tax:</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Separation, restructuring and other costs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0.69</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Legal settlement/reserve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0.07</w:t>
            </w: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Environmental reserve adjustments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Gain on post-employment plan remeasurement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refinancing costs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Key items, before tax</w:t>
            </w:r>
          </w:p>
        </w:tc>
        <w:tc>
          <w:tcPr>
            <w:tcW w:w="10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0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(0.79)</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Key items, after tax</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1.41</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Tax specific key items: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Deferred tax rate changes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One-time transition tax</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0.01</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0.01</w:t>
            </w: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key items</w:t>
            </w: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0.70</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0.83</w:t>
            </w:r>
          </w:p>
        </w:tc>
      </w:tr>
      <w:tr>
        <w:trPr>
          <w:trHeight w:val="20"/>
        </w:trPr>
        <w:tc>
          <w:tcPr>
            <w:tcW w:w="5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260"/>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previously identified above.</w:t>
      </w:r>
    </w:p>
    <w:p>
      <w:pPr>
        <w:ind w:left="660" w:hanging="260"/>
        <w:spacing w:after="0" w:line="237"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-299720</wp:posOffset>
            </wp:positionV>
            <wp:extent cx="67322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and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27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gridSpan w:val="6"/>
          </w:tcPr>
          <w:p>
            <w:pPr>
              <w:ind w:left="120"/>
              <w:spacing w:after="0"/>
              <w:rPr>
                <w:sz w:val="20"/>
                <w:szCs w:val="20"/>
                <w:color w:val="auto"/>
              </w:rPr>
            </w:pPr>
            <w:r>
              <w:rPr>
                <w:rFonts w:ascii="Arial" w:cs="Arial" w:eastAsia="Arial" w:hAnsi="Arial"/>
                <w:sz w:val="18"/>
                <w:szCs w:val="18"/>
                <w:color w:val="auto"/>
              </w:rPr>
              <w:t>Three months ended March 31</w:t>
            </w:r>
          </w:p>
        </w:tc>
        <w:tc>
          <w:tcPr>
            <w:tcW w:w="22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8"/>
              </w:rPr>
              <w:t>Six months ended March 31</w:t>
            </w: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2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974</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1,816</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306</w:t>
            </w:r>
          </w:p>
        </w:tc>
      </w:tr>
    </w:tbl>
    <w:p>
      <w:pPr>
        <w:spacing w:after="0" w:line="199"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table provides a reconciliation of the change in sales between the three and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96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Three months ended</w:t>
            </w: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Six months ended</w:t>
            </w:r>
          </w:p>
        </w:tc>
      </w:t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March 31, 2018</w:t>
            </w: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March 31, 2018</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Acquisitions and divestitures</w:t>
            </w:r>
          </w:p>
        </w:tc>
        <w:tc>
          <w:tcPr>
            <w:tcW w:w="22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50"/>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Currency exchange</w:t>
            </w:r>
          </w:p>
        </w:tc>
        <w:tc>
          <w:tcPr>
            <w:tcW w:w="1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Pricing</w:t>
            </w:r>
          </w:p>
        </w:tc>
        <w:tc>
          <w:tcPr>
            <w:tcW w:w="1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Volume</w:t>
            </w:r>
          </w:p>
        </w:tc>
        <w:tc>
          <w:tcPr>
            <w:tcW w:w="1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 mix</w:t>
            </w:r>
          </w:p>
        </w:tc>
        <w:tc>
          <w:tcPr>
            <w:tcW w:w="18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Change in sales</w:t>
            </w:r>
          </w:p>
        </w:tc>
        <w:tc>
          <w:tcPr>
            <w:tcW w:w="18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r>
      <w:tr>
        <w:trPr>
          <w:trHeight w:val="20"/>
        </w:trPr>
        <w:tc>
          <w:tcPr>
            <w:tcW w:w="3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Sales for the current quarter increased $168 million compared to the prior year quarter. The acquisition of Pharmachem within the Specialty Ingredients reportable segment increased sales by $63 million, or 8%, while the net impact of other acquisitions and divestitures increased sales by $10 million. Favorable foreign currency exchange increased sales by $41 million, or 5%, while improvement in pricing increased sales by $34 million, or 4%. Higher volumes and changes in product mix increased sales by $18 million and $2 million, respectively.</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1" w:name="page42"/>
    <w:bookmarkEnd w:id="41"/>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Sales for the current period increased $306 million compared to the prior year period. The acquisition of Pharmachem within the Specialty Ingredients reportable segment increased sales by $121 million, 8%, while the net impact of other acquisitions and divestitures increased sales by $15 million. Improvements in pricing increased sales by $63 million, or 4%, while favorable foreign currency exchange increased sales by $62 million. Higher volumes and changes in product mix increased sales by $37 million and $8 million, respectively.</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3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w w:val="95"/>
              </w:rPr>
              <w:t>Three months ended March 31</w:t>
            </w:r>
          </w:p>
        </w:tc>
        <w:tc>
          <w:tcPr>
            <w:tcW w:w="160" w:type="dxa"/>
            <w:vAlign w:val="bottom"/>
            <w:tcBorders>
              <w:top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Six months ended March 31</w:t>
            </w:r>
          </w:p>
        </w:tc>
      </w:tr>
      <w:tr>
        <w:trPr>
          <w:trHeight w:val="22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699</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   1,312</w:t>
            </w:r>
          </w:p>
        </w:tc>
        <w:tc>
          <w:tcPr>
            <w:tcW w:w="11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   1,093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r>
      <w:tr>
        <w:trPr>
          <w:trHeight w:val="243"/>
        </w:trPr>
        <w:tc>
          <w:tcPr>
            <w:tcW w:w="338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9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 The following table provides a quantified reconciliation of the changes in cost of sales between the three and six months ended March 31, 2018 and 2017.</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7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2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Six months ended</w:t>
            </w:r>
          </w:p>
        </w:tc>
      </w:tr>
      <w:tr>
        <w:trPr>
          <w:trHeight w:val="230"/>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March 31, 2018</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March 31, 2018</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Changes in:</w:t>
            </w: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and divestitures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Production costs</w:t>
            </w:r>
          </w:p>
        </w:tc>
        <w:tc>
          <w:tcPr>
            <w:tcW w:w="40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Currency exchange</w:t>
            </w: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Volume</w:t>
            </w:r>
          </w:p>
        </w:tc>
        <w:tc>
          <w:tcPr>
            <w:tcW w:w="40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mix</w:t>
            </w: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5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Severance and other restructuring costs</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cost of sales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r>
      <w:tr>
        <w:trPr>
          <w:trHeight w:val="20"/>
        </w:trPr>
        <w:tc>
          <w:tcPr>
            <w:tcW w:w="5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Cost of sales for the current quarter increased $121 million compared to the prior year quarter. The Pharmachem acquisition increased cost of sales by $45 million, or 8%, while the net impact of other acquisitions and divestitures increased cost of sales by $9 million. Unfavorable production costs and foreign currency exchange increased cost of sales by $32 million, or 6%, and $27 million, or 5%, respectively. Higher volumes and changes in product mix increased cost of sales by $6 million and $2 million, respectively.</w:t>
      </w:r>
    </w:p>
    <w:p>
      <w:pPr>
        <w:spacing w:after="0" w:line="100"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u w:val="single" w:color="auto"/>
          <w:color w:val="auto"/>
        </w:rPr>
        <w:t>Year-to-Date</w:t>
      </w:r>
      <w:r>
        <w:rPr>
          <w:rFonts w:ascii="Arial" w:cs="Arial" w:eastAsia="Arial" w:hAnsi="Arial"/>
          <w:sz w:val="18"/>
          <w:szCs w:val="18"/>
          <w:color w:val="auto"/>
        </w:rPr>
        <w:t xml:space="preserve"> - Cost of sales for the current period increased $219 million compared to the prior year period. The Pharmachem acquisition increased cost of sales by $90 million, or 8%, while the net impact of other acquisitions and divestitures increased cost of sales by $14 million. Unfavorable production costs and foreign currency exchange increased cost of sales by $50 million, or 5%, and $43 million, or 4%, respectively. Higher volumes and changes in product mix increased cost of sales by $16 million and $5 million, respectively, while the current period also included $1 million of severance and other restructuring charges related to a plant closure.</w:t>
      </w:r>
    </w:p>
    <w:p>
      <w:pPr>
        <w:spacing w:after="0" w:line="17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8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w w:val="95"/>
              </w:rPr>
              <w:t>Three months ended March 31</w:t>
            </w: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9"/>
              </w:rPr>
              <w:t>Six months ended March 31</w:t>
            </w:r>
          </w:p>
        </w:tc>
      </w:tr>
      <w:tr>
        <w:trPr>
          <w:trHeight w:val="223"/>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334</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380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9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Selling, general and administrative expense for the current quarter increased $8 million compared to the prior year quarter with expenses as a percent of sales decreasing 2.5 percentage points.</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2" w:name="page43"/>
    <w:bookmarkEnd w:id="42"/>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Key drivers of the fluctuation in selling, general and administrative expense compared to the prior year quarter were:</w:t>
      </w:r>
    </w:p>
    <w:p>
      <w:pPr>
        <w:spacing w:after="0" w:line="108" w:lineRule="exact"/>
        <w:rPr>
          <w:sz w:val="20"/>
          <w:szCs w:val="20"/>
          <w:color w:val="auto"/>
        </w:rPr>
      </w:pPr>
    </w:p>
    <w:p>
      <w:pPr>
        <w:ind w:left="800" w:hanging="400"/>
        <w:spacing w:after="0" w:line="260" w:lineRule="auto"/>
        <w:tabs>
          <w:tab w:leader="none" w:pos="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$9 million of incremental costs related to Pharmachem’s operations and $4 million of Pharmachem integration costs during the current quarter;</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increase of $5 million due to foreign currency exchange in the current quarter;</w:t>
      </w:r>
    </w:p>
    <w:p>
      <w:pPr>
        <w:spacing w:after="0" w:line="215" w:lineRule="exact"/>
        <w:rPr>
          <w:rFonts w:ascii="Arial" w:cs="Arial" w:eastAsia="Arial" w:hAnsi="Arial"/>
          <w:sz w:val="20"/>
          <w:szCs w:val="20"/>
          <w:color w:val="auto"/>
        </w:rPr>
      </w:pPr>
    </w:p>
    <w:p>
      <w:pPr>
        <w:ind w:left="800" w:hanging="400"/>
        <w:spacing w:after="0"/>
        <w:tabs>
          <w:tab w:leader="none" w:pos="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$4 million of accelerated depreciation related to the planned closure of an office building during the current quarter;</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increase of $3 million due to higher employee-related costs in the current quarter; and</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$2 million of costs related to the separation of Valvoline during the current quarter compared to $19 million in the prior year quarter.</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Selling, general and administrative expense for the current period increased $22 million compared to the prior year period with expenses as a percent of sales decreasing 2.3 percentage points. Key drivers of the fluctuation in selling, general and administrative expense compared to the prior year period were:</w:t>
      </w:r>
    </w:p>
    <w:p>
      <w:pPr>
        <w:spacing w:after="0" w:line="78" w:lineRule="exact"/>
        <w:rPr>
          <w:sz w:val="20"/>
          <w:szCs w:val="20"/>
          <w:color w:val="auto"/>
        </w:rPr>
      </w:pPr>
    </w:p>
    <w:p>
      <w:pPr>
        <w:ind w:left="800" w:hanging="400"/>
        <w:spacing w:after="0" w:line="260" w:lineRule="auto"/>
        <w:tabs>
          <w:tab w:leader="none" w:pos="8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$20 million of incremental costs related to Pharmachem’s operations and $6 million of Pharmachem integration costs during the current period;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$18 million and $8 million in net environmental-related expenses during the current and prior year periods, respectively;</w:t>
      </w:r>
    </w:p>
    <w:p>
      <w:pPr>
        <w:spacing w:after="0" w:line="119" w:lineRule="exact"/>
        <w:rPr>
          <w:rFonts w:ascii="Arial" w:cs="Arial" w:eastAsia="Arial" w:hAnsi="Arial"/>
          <w:sz w:val="19"/>
          <w:szCs w:val="19"/>
          <w:color w:val="auto"/>
        </w:rPr>
      </w:pPr>
    </w:p>
    <w:p>
      <w:pPr>
        <w:ind w:left="800" w:hanging="400"/>
        <w:spacing w:after="0"/>
        <w:tabs>
          <w:tab w:leader="none" w:pos="8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increase of $10 million due to foreign currency exchange in the current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$8 million of accelerated depreciation related to the planned closure of an office building during the current period;</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$8 million of costs related to the separation of Valvoline during the current period compared to $42 million in the prior year period;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increase of $7 million due to higher employee-related costs in the current period; and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$5 million charge for a legal reserve during the prior year period.</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7"/>
          </w:tcPr>
          <w:p>
            <w:pPr>
              <w:ind w:left="120"/>
              <w:spacing w:after="0"/>
              <w:rPr>
                <w:sz w:val="20"/>
                <w:szCs w:val="20"/>
                <w:color w:val="auto"/>
              </w:rPr>
            </w:pPr>
            <w:r>
              <w:rPr>
                <w:rFonts w:ascii="Arial" w:cs="Arial" w:eastAsia="Arial" w:hAnsi="Arial"/>
                <w:sz w:val="18"/>
                <w:szCs w:val="18"/>
                <w:color w:val="auto"/>
              </w:rPr>
              <w:t>Three months ended March 31</w:t>
            </w:r>
          </w:p>
        </w:tc>
        <w:tc>
          <w:tcPr>
            <w:tcW w:w="272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ind w:left="44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Research and development expense remained relatively consistent with the prior year quarter.</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Research and development expense remained relatively consistent with the prior year period.</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8"/>
          </w:tcPr>
          <w:p>
            <w:pPr>
              <w:ind w:left="120"/>
              <w:spacing w:after="0"/>
              <w:rPr>
                <w:sz w:val="20"/>
                <w:szCs w:val="20"/>
                <w:color w:val="auto"/>
              </w:rPr>
            </w:pPr>
            <w:r>
              <w:rPr>
                <w:rFonts w:ascii="Arial" w:cs="Arial" w:eastAsia="Arial" w:hAnsi="Arial"/>
                <w:sz w:val="18"/>
                <w:szCs w:val="18"/>
                <w:color w:val="auto"/>
              </w:rPr>
              <w:t>Three months ended March 31</w:t>
            </w:r>
          </w:p>
        </w:tc>
        <w:tc>
          <w:tcPr>
            <w:tcW w:w="24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7"/>
          </w:tcPr>
          <w:p>
            <w:pPr>
              <w:jc w:val="right"/>
              <w:ind w:right="45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Equity and other income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Equity income </w:t>
            </w:r>
            <w:r>
              <w:rPr>
                <w:rFonts w:ascii="Arial" w:cs="Arial" w:eastAsia="Arial" w:hAnsi="Arial"/>
                <w:sz w:val="14"/>
                <w:szCs w:val="14"/>
                <w:color w:val="auto"/>
              </w:rPr>
              <w:t>(a)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4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0"/>
        </w:trPr>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Activity of $0 denotes value less than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3" w:name="page44"/>
    <w:bookmarkEnd w:id="43"/>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Other income increased compared to the prior year quarter primarily due to the current quarter including $5 million of proceeds from a legal settlement, partially offset by $2 million of accelerated depreciation for the termination of a contract at a manufacturing facility.</w:t>
      </w:r>
    </w:p>
    <w:p>
      <w:pPr>
        <w:spacing w:after="0" w:line="7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Excluding the impact from the items previously discussed in the current quarter analysis, other income remained relatively consistent compared with the prior year period.</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40" w:type="dxa"/>
            <w:vAlign w:val="bottom"/>
            <w:tcBorders>
              <w:top w:val="single" w:sz="8" w:color="auto"/>
              <w:bottom w:val="single" w:sz="8" w:color="auto"/>
            </w:tcBorders>
            <w:gridSpan w:val="7"/>
          </w:tcPr>
          <w:p>
            <w:pPr>
              <w:jc w:val="right"/>
              <w:ind w:right="330"/>
              <w:spacing w:after="0"/>
              <w:rPr>
                <w:sz w:val="20"/>
                <w:szCs w:val="20"/>
                <w:color w:val="auto"/>
              </w:rPr>
            </w:pPr>
            <w:r>
              <w:rPr>
                <w:rFonts w:ascii="Arial" w:cs="Arial" w:eastAsia="Arial" w:hAnsi="Arial"/>
                <w:sz w:val="18"/>
                <w:szCs w:val="18"/>
                <w:color w:val="auto"/>
                <w:w w:val="93"/>
              </w:rPr>
              <w:t>Three months ended March 31</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18"/>
        </w:trPr>
        <w:tc>
          <w:tcPr>
            <w:tcW w:w="4540" w:type="dxa"/>
            <w:vAlign w:val="bottom"/>
          </w:tcPr>
          <w:p>
            <w:pPr>
              <w:spacing w:after="0"/>
              <w:rPr>
                <w:sz w:val="20"/>
                <w:szCs w:val="20"/>
                <w:color w:val="auto"/>
              </w:rPr>
            </w:pPr>
            <w:r>
              <w:rPr>
                <w:rFonts w:ascii="Arial" w:cs="Arial" w:eastAsia="Arial" w:hAnsi="Arial"/>
                <w:sz w:val="18"/>
                <w:szCs w:val="18"/>
                <w:b w:val="1"/>
                <w:bCs w:val="1"/>
                <w:color w:val="auto"/>
              </w:rPr>
              <w:t>Net interest and other financing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expense (income)</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securities income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financing costs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Net interest and other financing expense remained consistent with the prior year quarter. Available-for-sale securities income of $5 million and $4 million during the current and the prior year quarters, respectively, represents investment income and realized gains related to restricted investments discussed in Note E of the Notes to Condensed Consolidated Financial Statements.</w:t>
      </w:r>
    </w:p>
    <w:p>
      <w:pPr>
        <w:spacing w:after="0" w:line="83"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u w:val="single" w:color="auto"/>
          <w:color w:val="auto"/>
        </w:rPr>
        <w:t>Year-to-Date</w:t>
      </w:r>
      <w:r>
        <w:rPr>
          <w:rFonts w:ascii="Arial" w:cs="Arial" w:eastAsia="Arial" w:hAnsi="Arial"/>
          <w:sz w:val="18"/>
          <w:szCs w:val="18"/>
          <w:color w:val="auto"/>
        </w:rPr>
        <w:t xml:space="preserve"> - Net interest and other financing expense decreased $93 million during the current period compared to the prior year period. The current period decrease in interest expense of $89 million was primarily due to the prior year period including $92 million of accelerated accretion related to the December 2016 tender offer of the 2029 notes. Available-for-sale securities income of $8 million and $7 million during the current and the prior year periods, respectively, represents investment income and realized gains related to restricted investments discussed in Note E of the Notes to Condensed Consolidated Financial Statements.</w:t>
      </w:r>
    </w:p>
    <w:p>
      <w:pPr>
        <w:spacing w:after="0" w:line="17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5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6"/>
          </w:tcPr>
          <w:p>
            <w:pPr>
              <w:ind w:left="120"/>
              <w:spacing w:after="0"/>
              <w:rPr>
                <w:sz w:val="20"/>
                <w:szCs w:val="20"/>
                <w:color w:val="auto"/>
              </w:rPr>
            </w:pPr>
            <w:r>
              <w:rPr>
                <w:rFonts w:ascii="Arial" w:cs="Arial" w:eastAsia="Arial" w:hAnsi="Arial"/>
                <w:sz w:val="18"/>
                <w:szCs w:val="18"/>
                <w:color w:val="auto"/>
              </w:rPr>
              <w:t>Three months ended March 31</w:t>
            </w:r>
          </w:p>
        </w:tc>
        <w:tc>
          <w:tcPr>
            <w:tcW w:w="24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Other net periodic benefit income remained relatively consistent with the prior year quarter.</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decrease in other net periodic benefit income compared to the prior year period primarily related to a $2 million gain on the remeasurement of certain post-employment health and life insurance benefit plans that were discontinued during the prior year period.</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5"/>
          </w:tcPr>
          <w:p>
            <w:pPr>
              <w:ind w:left="120"/>
              <w:spacing w:after="0"/>
              <w:rPr>
                <w:sz w:val="20"/>
                <w:szCs w:val="20"/>
                <w:color w:val="auto"/>
              </w:rPr>
            </w:pPr>
            <w:r>
              <w:rPr>
                <w:rFonts w:ascii="Arial" w:cs="Arial" w:eastAsia="Arial" w:hAnsi="Arial"/>
                <w:sz w:val="18"/>
                <w:szCs w:val="18"/>
                <w:color w:val="auto"/>
              </w:rPr>
              <w:t>Three months ended March 31</w:t>
            </w:r>
          </w:p>
        </w:tc>
        <w:tc>
          <w:tcPr>
            <w:tcW w:w="1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8"/>
              </w:rPr>
              <w:t>Change</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on divestitures</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ind w:left="44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There was no activity during the current and prior year quarters.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Year-to-Date</w:t>
      </w:r>
      <w:r>
        <w:rPr>
          <w:rFonts w:ascii="Arial" w:cs="Arial" w:eastAsia="Arial" w:hAnsi="Arial"/>
          <w:sz w:val="18"/>
          <w:szCs w:val="18"/>
          <w:color w:val="auto"/>
        </w:rPr>
        <w:t xml:space="preserve"> - The activity in the current and prior year periods primarily related to post-closing adjustments for certain divestitures.</w:t>
      </w:r>
    </w:p>
    <w:p>
      <w:pPr>
        <w:spacing w:after="0" w:line="200" w:lineRule="exact"/>
        <w:rPr>
          <w:sz w:val="20"/>
          <w:szCs w:val="20"/>
          <w:color w:val="auto"/>
        </w:rPr>
      </w:pPr>
    </w:p>
    <w:p>
      <w:pPr>
        <w:spacing w:after="0" w:line="2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4" w:name="page45"/>
    <w:bookmarkEnd w:id="44"/>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w w:val="94"/>
              </w:rPr>
              <w:t>Three months ended March 31</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9"/>
              </w:rPr>
              <w:t>Six months ended March 31</w:t>
            </w:r>
          </w:p>
        </w:tc>
      </w:tr>
      <w:tr>
        <w:trPr>
          <w:trHeight w:val="223"/>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302"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Ashland’s effective tax rate in any interim period is subject to adjustments related to discrete items and the mix of domestic and foreign operating results. The overall effective tax rate was 1% for the three months ended March 31, 2018 and was primarily impacted by income mix and a favorable tax discrete adjustment of $4 million related to a deferred tax rate change for a foreign entity.</w:t>
      </w:r>
    </w:p>
    <w:p>
      <w:pPr>
        <w:spacing w:after="0" w:line="83"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The overall effective tax rate was a benefit of 21% for the three months ended March 31, 2017 and was impacted by income mix and net favorable tax discrete items of $4 million primarily related to unrecognized tax benefits due to lapse of the statute of limitations.</w:t>
      </w:r>
    </w:p>
    <w:p>
      <w:pPr>
        <w:spacing w:after="0" w:line="22"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overall effective tax rate was 20% for the six months ended March 31, 2018 and was primarily impacted by income mix, a deferred tax rate change for a foreign entity and net unfavorable tax discrete adjustments of $16 million related to the Tax Act. These net unfavorable adjustments included deferred tax rate changes and a one-time transition tax assessed on foreign cash and unremitted earnings.</w:t>
      </w:r>
    </w:p>
    <w:p>
      <w:pPr>
        <w:spacing w:after="0" w:line="83"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The overall effective tax rate was 55% for the six months ended March 31, 2017 and was impacted by income mix and net favorable tax discrete items of $4 million primarily related to unrecognized tax benefits due to lapse of the statute of limitations.</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effective tax rate during the three and six months ended March 31, 2018 and 2017 was significantly impacted by the following tax specific key items:</w:t>
      </w:r>
    </w:p>
    <w:p>
      <w:pPr>
        <w:spacing w:after="0" w:line="69" w:lineRule="exact"/>
        <w:rPr>
          <w:sz w:val="20"/>
          <w:szCs w:val="20"/>
          <w:color w:val="auto"/>
        </w:rPr>
      </w:pPr>
    </w:p>
    <w:p>
      <w:pPr>
        <w:ind w:left="800" w:hanging="400"/>
        <w:spacing w:after="0" w:line="260" w:lineRule="auto"/>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favorable adjustment of $4 million related to a deferred tax rate change for a foreign entity during the three months ended March 31, 2018;</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favorable adjustment of $126 million for the remeasurement of the domestic deferred tax balances resulting from the enactment of the Tax Cuts and Jobs Act (Tax Act) during the six months ended March 31, 2018; and</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 unfavorable adjustment of $142 million for a one-time transition tax resulting from the enactment of the Tax Act during the six months ended March 31, 2018.</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200" w:lineRule="exact"/>
        <w:rPr>
          <w:sz w:val="20"/>
          <w:szCs w:val="20"/>
          <w:color w:val="auto"/>
        </w:rPr>
      </w:pP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5" w:name="page46"/>
    <w:bookmarkEnd w:id="45"/>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7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4"/>
          </w:tcPr>
          <w:p>
            <w:pPr>
              <w:jc w:val="right"/>
              <w:ind w:right="450"/>
              <w:spacing w:after="0"/>
              <w:rPr>
                <w:sz w:val="20"/>
                <w:szCs w:val="20"/>
                <w:color w:val="auto"/>
              </w:rPr>
            </w:pPr>
            <w:r>
              <w:rPr>
                <w:rFonts w:ascii="Arial" w:cs="Arial" w:eastAsia="Arial" w:hAnsi="Arial"/>
                <w:sz w:val="18"/>
                <w:szCs w:val="18"/>
                <w:color w:val="auto"/>
                <w:w w:val="93"/>
              </w:rPr>
              <w:t>Three months ended</w:t>
            </w: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Six months ended</w:t>
            </w:r>
          </w:p>
        </w:tc>
        <w:tc>
          <w:tcPr>
            <w:tcW w:w="600" w:type="dxa"/>
            <w:vAlign w:val="bottom"/>
            <w:tcBorders>
              <w:top w:val="single" w:sz="8" w:color="auto"/>
            </w:tcBorders>
          </w:tcPr>
          <w:p>
            <w:pPr>
              <w:spacing w:after="0"/>
              <w:rPr>
                <w:sz w:val="21"/>
                <w:szCs w:val="21"/>
                <w:color w:val="auto"/>
              </w:rPr>
            </w:pPr>
          </w:p>
        </w:tc>
      </w:tr>
      <w:tr>
        <w:trPr>
          <w:trHeight w:val="230"/>
        </w:trPr>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2017</w:t>
            </w: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30"/>
        </w:trPr>
        <w:tc>
          <w:tcPr>
            <w:tcW w:w="5760" w:type="dxa"/>
            <w:vAlign w:val="bottom"/>
          </w:tcPr>
          <w:p>
            <w:pPr>
              <w:ind w:left="12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(82)</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137</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7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before income taxes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74</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43</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107</w:t>
            </w:r>
          </w:p>
        </w:tc>
        <w:tc>
          <w:tcPr>
            <w:tcW w:w="6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55</w:t>
            </w: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Income tax rate adjustments: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30"/>
        </w:trPr>
        <w:tc>
          <w:tcPr>
            <w:tcW w:w="5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effect of key items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49</w:t>
            </w:r>
          </w:p>
        </w:tc>
      </w:tr>
      <w:tr>
        <w:trPr>
          <w:trHeight w:val="230"/>
        </w:trPr>
        <w:tc>
          <w:tcPr>
            <w:tcW w:w="5760" w:type="dxa"/>
            <w:vAlign w:val="bottom"/>
          </w:tcPr>
          <w:p>
            <w:pPr>
              <w:ind w:left="1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Deferred tax rate changes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tcPr>
          <w:p>
            <w:pPr>
              <w:ind w:left="360"/>
              <w:spacing w:after="0"/>
              <w:rPr>
                <w:sz w:val="20"/>
                <w:szCs w:val="20"/>
                <w:color w:val="auto"/>
              </w:rPr>
            </w:pPr>
            <w:r>
              <w:rPr>
                <w:rFonts w:ascii="Arial" w:cs="Arial" w:eastAsia="Arial" w:hAnsi="Arial"/>
                <w:sz w:val="18"/>
                <w:szCs w:val="18"/>
                <w:color w:val="auto"/>
              </w:rPr>
              <w:t>One-time transition tax</w:t>
            </w:r>
          </w:p>
        </w:tc>
        <w:tc>
          <w:tcPr>
            <w:tcW w:w="22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income tax rate adjustments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w:t>
            </w:r>
          </w:p>
        </w:tc>
      </w:tr>
      <w:tr>
        <w:trPr>
          <w:trHeight w:val="223"/>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income tax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0"/>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Effective tax rate, excluding key items (Non-GAAP)</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bl>
    <w:p>
      <w:pPr>
        <w:spacing w:after="0" w:line="224" w:lineRule="exact"/>
        <w:rPr>
          <w:sz w:val="20"/>
          <w:szCs w:val="20"/>
          <w:color w:val="auto"/>
        </w:rPr>
      </w:pPr>
    </w:p>
    <w:p>
      <w:pPr>
        <w:ind w:left="660" w:hanging="260"/>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Management, Discussion and Analysis for a summary of the key items, before tax.</w:t>
      </w:r>
    </w:p>
    <w:p>
      <w:pPr>
        <w:ind w:left="660" w:hanging="260"/>
        <w:spacing w:after="0" w:line="237"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previously disclosed in this Management,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-299720</wp:posOffset>
            </wp:positionV>
            <wp:extent cx="67322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75"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7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8"/>
          </w:tcPr>
          <w:p>
            <w:pPr>
              <w:ind w:left="120"/>
              <w:spacing w:after="0"/>
              <w:rPr>
                <w:sz w:val="20"/>
                <w:szCs w:val="20"/>
                <w:color w:val="auto"/>
              </w:rPr>
            </w:pPr>
            <w:r>
              <w:rPr>
                <w:rFonts w:ascii="Arial" w:cs="Arial" w:eastAsia="Arial" w:hAnsi="Arial"/>
                <w:sz w:val="18"/>
                <w:szCs w:val="18"/>
                <w:color w:val="auto"/>
              </w:rPr>
              <w:t>Three months ended March 31</w:t>
            </w:r>
          </w:p>
        </w:tc>
        <w:tc>
          <w:tcPr>
            <w:tcW w:w="24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7"/>
          </w:tcPr>
          <w:p>
            <w:pPr>
              <w:jc w:val="right"/>
              <w:ind w:right="43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05"/>
        </w:trPr>
        <w:tc>
          <w:tcPr>
            <w:tcW w:w="3720" w:type="dxa"/>
            <w:vAlign w:val="bottom"/>
          </w:tcPr>
          <w:p>
            <w:pPr>
              <w:spacing w:after="0" w:line="205" w:lineRule="exact"/>
              <w:rPr>
                <w:sz w:val="20"/>
                <w:szCs w:val="20"/>
                <w:color w:val="auto"/>
              </w:rPr>
            </w:pPr>
            <w:r>
              <w:rPr>
                <w:rFonts w:ascii="Arial" w:cs="Arial" w:eastAsia="Arial" w:hAnsi="Arial"/>
                <w:sz w:val="18"/>
                <w:szCs w:val="18"/>
                <w:b w:val="1"/>
                <w:bCs w:val="1"/>
                <w:color w:val="auto"/>
              </w:rPr>
              <w:t>Income from discontinued operations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4"/>
        </w:trPr>
        <w:tc>
          <w:tcPr>
            <w:tcW w:w="3720" w:type="dxa"/>
            <w:vAlign w:val="bottom"/>
          </w:tcPr>
          <w:p>
            <w:pPr>
              <w:ind w:left="220"/>
              <w:spacing w:after="0"/>
              <w:rPr>
                <w:sz w:val="20"/>
                <w:szCs w:val="20"/>
                <w:color w:val="auto"/>
              </w:rPr>
            </w:pPr>
            <w:r>
              <w:rPr>
                <w:rFonts w:ascii="Arial" w:cs="Arial" w:eastAsia="Arial" w:hAnsi="Arial"/>
                <w:sz w:val="18"/>
                <w:szCs w:val="18"/>
                <w:b w:val="1"/>
                <w:bCs w:val="1"/>
                <w:color w:val="auto"/>
              </w:rPr>
              <w:t>(net of taxes)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3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Valvoline</w:t>
            </w:r>
          </w:p>
        </w:tc>
        <w:tc>
          <w:tcPr>
            <w:tcW w:w="10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Asbestos-related litigation</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3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Water Technologies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3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u w:val="single" w:color="auto"/>
          <w:color w:val="auto"/>
        </w:rPr>
        <w:t>Current Quarter</w:t>
      </w:r>
      <w:r>
        <w:rPr>
          <w:rFonts w:ascii="Arial" w:cs="Arial" w:eastAsia="Arial" w:hAnsi="Arial"/>
          <w:sz w:val="19"/>
          <w:szCs w:val="19"/>
          <w:color w:val="auto"/>
        </w:rPr>
        <w:t xml:space="preserve"> - As a result of the full separation of Valvoline Inc. on May 12, 2017, the operating results related to Valvoline Inc., including the operating results of the former Valvoline reportable segment, have been reflected as discontinued operations (net of tax) within the Statement of Consolidated Comprehensive Income (Loss). The activity within the current quarter primarily represents subsequent adjustments that were made in conjunction with the Tax Matters Agreement. See Note B for more information on the Tax Matters Agreement. During the prior year quarter, Valvoline's sales and pre-tax operating income included in discontinued operations were $514 million and $117 million, respectively.</w:t>
      </w:r>
    </w:p>
    <w:p>
      <w:pPr>
        <w:spacing w:after="0" w:line="71"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current quarter also included $3 million of income related to receipts from insurance carriers for asbestos-related litigation while the prior year quarter included a tax adjustment related to the sale of Ashland Water Technologies.</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Valvoline activity within the current period represents subsequent adjustments that were made in conjunction with the Tax Matters Agreement. During the prior year period, Valvoline's sales and pre-tax operating income included in discontinued operations were $1,003 million and $237 million, respectively.</w:t>
      </w: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6" w:name="page47"/>
    <w:bookmarkEnd w:id="46"/>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40" w:type="dxa"/>
            <w:vAlign w:val="bottom"/>
            <w:tcBorders>
              <w:top w:val="single" w:sz="8" w:color="auto"/>
              <w:bottom w:val="single" w:sz="8" w:color="auto"/>
            </w:tcBorders>
            <w:gridSpan w:val="5"/>
          </w:tcPr>
          <w:p>
            <w:pPr>
              <w:jc w:val="right"/>
              <w:ind w:right="330"/>
              <w:spacing w:after="0"/>
              <w:rPr>
                <w:sz w:val="20"/>
                <w:szCs w:val="20"/>
                <w:color w:val="auto"/>
              </w:rPr>
            </w:pPr>
            <w:r>
              <w:rPr>
                <w:rFonts w:ascii="Arial" w:cs="Arial" w:eastAsia="Arial" w:hAnsi="Arial"/>
                <w:sz w:val="18"/>
                <w:szCs w:val="18"/>
                <w:color w:val="auto"/>
                <w:w w:val="93"/>
              </w:rPr>
              <w:t>Three months ended March 31</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w w:val="97"/>
              </w:rPr>
              <w:t>Six months ended March 31</w:t>
            </w:r>
          </w:p>
        </w:tc>
      </w:tr>
      <w:tr>
        <w:trPr>
          <w:trHeight w:val="22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Net income attributable to</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noncontrolling interest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r>
    </w:tbl>
    <w:p>
      <w:pPr>
        <w:spacing w:after="0" w:line="19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Since Ashland's ownership interest in Valvoline Inc. was approximately 83% until the final separation on May 12, 2017, the amount of net income attributable to the outside stockholders' of approximately 17% noncontrolling interest in Valvoline Inc. is presented within this caption on the Statement of Consolidated Comprehensive Income (Loss) for the three and six months ended March 31, 2017.</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A comparative analysis of the components of other comprehensive income (loss) is provided below for the three and six months ended March 31, 2018 and 2017.</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39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7"/>
          </w:tcPr>
          <w:p>
            <w:pPr>
              <w:jc w:val="right"/>
              <w:ind w:right="310"/>
              <w:spacing w:after="0"/>
              <w:rPr>
                <w:sz w:val="20"/>
                <w:szCs w:val="20"/>
                <w:color w:val="auto"/>
              </w:rPr>
            </w:pPr>
            <w:r>
              <w:rPr>
                <w:rFonts w:ascii="Arial" w:cs="Arial" w:eastAsia="Arial" w:hAnsi="Arial"/>
                <w:sz w:val="18"/>
                <w:szCs w:val="18"/>
                <w:color w:val="auto"/>
                <w:w w:val="92"/>
              </w:rPr>
              <w:t>Three months ended March 31</w:t>
            </w: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w w:val="96"/>
              </w:rPr>
              <w:t>Six months ended March 31</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r>
      <w:tr>
        <w:trPr>
          <w:trHeight w:val="218"/>
        </w:trPr>
        <w:tc>
          <w:tcPr>
            <w:tcW w:w="39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(loss) (net of taxes)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translation gain (loss)</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144</w:t>
            </w: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Pension and postretirement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obligation adjustment</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change in available-for-sale securities</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144</w:t>
            </w:r>
          </w:p>
        </w:tc>
      </w:tr>
      <w:tr>
        <w:trPr>
          <w:trHeight w:val="20"/>
        </w:trPr>
        <w:tc>
          <w:tcPr>
            <w:tcW w:w="3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Total other comprehensive income, net of tax, for the current quarter decreased $15 million compared to the prior year quarter as a result of the following components:</w:t>
      </w:r>
    </w:p>
    <w:p>
      <w:pPr>
        <w:spacing w:after="0" w:line="69" w:lineRule="exact"/>
        <w:rPr>
          <w:sz w:val="20"/>
          <w:szCs w:val="20"/>
          <w:color w:val="auto"/>
        </w:rPr>
      </w:pPr>
    </w:p>
    <w:p>
      <w:pPr>
        <w:jc w:val="both"/>
        <w:ind w:left="800" w:hanging="400"/>
        <w:spacing w:after="0" w:line="246"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For the three months ended March 31, 2018, the change in unrealized gain from foreign currency translation adjustments was $55 million compared to a gain of $60 million for the three months ended March 31, 2017.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800" w:hanging="400"/>
        <w:spacing w:after="0" w:line="31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three months ended March 31, 2018, the net change in available-for-sale securities related to restricted investments amounted to a loss of $6 million compared to a gain of $6 million during the three months ended March 31, 2017.</w:t>
      </w:r>
    </w:p>
    <w:p>
      <w:pPr>
        <w:spacing w:after="0" w:line="22" w:lineRule="exact"/>
        <w:rPr>
          <w:rFonts w:ascii="Arial" w:cs="Arial" w:eastAsia="Arial" w:hAnsi="Arial"/>
          <w:sz w:val="18"/>
          <w:szCs w:val="18"/>
          <w:color w:val="auto"/>
        </w:rPr>
      </w:pPr>
    </w:p>
    <w:p>
      <w:pPr>
        <w:jc w:val="both"/>
        <w:ind w:left="800" w:hanging="400"/>
        <w:spacing w:after="0" w:line="250"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pension and postretirement obligation adjustment was $2 million for the three months ended March 31, 2017. This amount related to amortization of unrecognized prior services credits for pension and other postretirement benefit plans and was reclassified into net income during the prior year quarter.</w:t>
      </w:r>
    </w:p>
    <w:p>
      <w:pPr>
        <w:spacing w:after="0" w:line="78"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Total other comprehensive income (loss), net of tax, for the current period increased $144 million compared to the prior year period as a result of the following components:</w:t>
      </w:r>
    </w:p>
    <w:p>
      <w:pPr>
        <w:spacing w:after="0" w:line="69" w:lineRule="exact"/>
        <w:rPr>
          <w:sz w:val="20"/>
          <w:szCs w:val="20"/>
          <w:color w:val="auto"/>
        </w:rPr>
      </w:pPr>
    </w:p>
    <w:p>
      <w:pPr>
        <w:jc w:val="both"/>
        <w:ind w:left="800" w:hanging="400"/>
        <w:spacing w:after="0" w:line="246" w:lineRule="auto"/>
        <w:tabs>
          <w:tab w:leader="none" w:pos="8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For the six months ended March 31, 2018, the change in unrealized gain (loss) from foreign currency translation adjustments was a gain of $58 million compared to a loss of $86 million for the six months ended March 31, 2017.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net change in available-for-sale securities related to restricted investments amounted to gains of $2 million and $6 million during the six months ended March 31, 2018 and 2017, respectively.</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pension and postretirement obligation adjustment was $4 million for the six months ended March 31, 2017. This amount related to amortization of unrecognized prior services credits for pension and other postretirement benefit plans and was reclassified into net income during the prior year period.</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7" w:name="page48"/>
    <w:bookmarkEnd w:id="47"/>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Subsequent to completing the separation from Valvoline Inc. on May 12, 2017, Ashland's operations are managed within the following three reportable segments: Specialty Ingredients, Composites and Intermediates and Solvents.</w:t>
      </w:r>
    </w:p>
    <w:p>
      <w:pPr>
        <w:spacing w:after="0" w:line="69"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7"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(loss)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caption to the Statements of Consolidated Comprehensive Income (Loss).</w:t>
      </w:r>
    </w:p>
    <w:p>
      <w:pPr>
        <w:spacing w:after="0" w:line="1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8" w:name="page49"/>
    <w:bookmarkEnd w:id="48"/>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statistical operating information by reportable segment for the three and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3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Six months ended</w:t>
            </w:r>
          </w:p>
        </w:tc>
        <w:tc>
          <w:tcPr>
            <w:tcW w:w="860" w:type="dxa"/>
            <w:vAlign w:val="bottom"/>
            <w:tcBorders>
              <w:top w:val="single" w:sz="8" w:color="auto"/>
            </w:tcBorders>
          </w:tcPr>
          <w:p>
            <w:pPr>
              <w:spacing w:after="0"/>
              <w:rPr>
                <w:sz w:val="21"/>
                <w:szCs w:val="21"/>
                <w:color w:val="auto"/>
              </w:rPr>
            </w:pPr>
          </w:p>
        </w:tc>
      </w:tr>
      <w:tr>
        <w:trPr>
          <w:trHeight w:val="230"/>
        </w:trPr>
        <w:tc>
          <w:tcPr>
            <w:tcW w:w="3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45"/>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0"/>
                <w:szCs w:val="20"/>
                <w:color w:val="auto"/>
              </w:rPr>
            </w:pPr>
          </w:p>
        </w:tc>
      </w:tr>
      <w:tr>
        <w:trPr>
          <w:trHeight w:val="223"/>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r>
      <w:tr>
        <w:trPr>
          <w:trHeight w:val="223"/>
        </w:trPr>
        <w:tc>
          <w:tcPr>
            <w:tcW w:w="3300" w:type="dxa"/>
            <w:vAlign w:val="bottom"/>
          </w:tcPr>
          <w:p>
            <w:pPr>
              <w:spacing w:after="0"/>
              <w:rPr>
                <w:sz w:val="20"/>
                <w:szCs w:val="20"/>
                <w:color w:val="auto"/>
              </w:rPr>
            </w:pPr>
            <w:r>
              <w:rPr>
                <w:rFonts w:ascii="Arial" w:cs="Arial" w:eastAsia="Arial" w:hAnsi="Arial"/>
                <w:sz w:val="18"/>
                <w:szCs w:val="18"/>
                <w:b w:val="1"/>
                <w:bCs w:val="1"/>
                <w:color w:val="auto"/>
              </w:rPr>
              <w:t>Sales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10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646</w:t>
            </w:r>
          </w:p>
        </w:tc>
        <w:tc>
          <w:tcPr>
            <w:tcW w:w="9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1,196</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1,026</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Composites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351</w:t>
            </w: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6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133</w:t>
            </w:r>
          </w:p>
        </w:tc>
      </w:tr>
      <w:tr>
        <w:trPr>
          <w:trHeight w:val="263"/>
        </w:trPr>
        <w:tc>
          <w:tcPr>
            <w:tcW w:w="3300" w:type="dxa"/>
            <w:vAlign w:val="bottom"/>
            <w:tcBorders>
              <w:bottom w:val="single" w:sz="8" w:color="CFF0FC"/>
            </w:tcBorders>
          </w:tcPr>
          <w:p>
            <w:pPr>
              <w:spacing w:after="0"/>
              <w:rPr>
                <w:sz w:val="22"/>
                <w:szCs w:val="22"/>
                <w:color w:val="auto"/>
              </w:rPr>
            </w:pPr>
          </w:p>
        </w:tc>
        <w:tc>
          <w:tcPr>
            <w:tcW w:w="6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974</w:t>
            </w:r>
          </w:p>
        </w:tc>
        <w:tc>
          <w:tcPr>
            <w:tcW w:w="1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806</w:t>
            </w:r>
          </w:p>
        </w:tc>
        <w:tc>
          <w:tcPr>
            <w:tcW w:w="1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1,816</w:t>
            </w:r>
          </w:p>
        </w:tc>
        <w:tc>
          <w:tcPr>
            <w:tcW w:w="16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1,510</w:t>
            </w: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Specialty Ingredients</w:t>
            </w:r>
          </w:p>
        </w:tc>
        <w:tc>
          <w:tcPr>
            <w:tcW w:w="10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89</w:t>
            </w:r>
          </w:p>
        </w:tc>
        <w:tc>
          <w:tcPr>
            <w:tcW w:w="94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114</w:t>
            </w: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Composites</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29</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6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r>
      <w:tr>
        <w:trPr>
          <w:trHeight w:val="263"/>
        </w:trPr>
        <w:tc>
          <w:tcPr>
            <w:tcW w:w="3300" w:type="dxa"/>
            <w:vAlign w:val="bottom"/>
            <w:tcBorders>
              <w:bottom w:val="single" w:sz="8" w:color="CFF0FC"/>
            </w:tcBorders>
          </w:tcPr>
          <w:p>
            <w:pPr>
              <w:spacing w:after="0"/>
              <w:rPr>
                <w:sz w:val="22"/>
                <w:szCs w:val="22"/>
                <w:color w:val="auto"/>
              </w:rPr>
            </w:pPr>
          </w:p>
        </w:tc>
        <w:tc>
          <w:tcPr>
            <w:tcW w:w="6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w:t>
            </w: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Specialty Ingredients</w:t>
            </w:r>
          </w:p>
        </w:tc>
        <w:tc>
          <w:tcPr>
            <w:tcW w:w="10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94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107</w:t>
            </w: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Composites</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16</w:t>
            </w: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6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r>
      <w:tr>
        <w:trPr>
          <w:trHeight w:val="263"/>
        </w:trPr>
        <w:tc>
          <w:tcPr>
            <w:tcW w:w="3300" w:type="dxa"/>
            <w:vAlign w:val="bottom"/>
            <w:tcBorders>
              <w:bottom w:val="single" w:sz="8" w:color="CFF0FC"/>
            </w:tcBorders>
          </w:tcPr>
          <w:p>
            <w:pPr>
              <w:spacing w:after="0"/>
              <w:rPr>
                <w:sz w:val="22"/>
                <w:szCs w:val="22"/>
                <w:color w:val="auto"/>
              </w:rPr>
            </w:pPr>
          </w:p>
        </w:tc>
        <w:tc>
          <w:tcPr>
            <w:tcW w:w="6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134</w:t>
            </w: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information</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Specialty Ingredients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10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10.1</w:t>
            </w:r>
          </w:p>
        </w:tc>
        <w:tc>
          <w:tcPr>
            <w:tcW w:w="9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8.2</w:t>
            </w:r>
          </w:p>
        </w:tc>
      </w:tr>
      <w:tr>
        <w:trPr>
          <w:trHeight w:val="230"/>
        </w:trPr>
        <w:tc>
          <w:tcPr>
            <w:tcW w:w="330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157.0</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153.3</w:t>
            </w:r>
          </w:p>
        </w:tc>
      </w:tr>
      <w:tr>
        <w:trPr>
          <w:trHeight w:val="230"/>
        </w:trPr>
        <w:tc>
          <w:tcPr>
            <w:tcW w:w="3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Gross profit as a percent of sales</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Composites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10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3.7</w:t>
            </w:r>
          </w:p>
        </w:tc>
        <w:tc>
          <w:tcPr>
            <w:tcW w:w="9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2.8</w:t>
            </w:r>
          </w:p>
        </w:tc>
      </w:tr>
      <w:tr>
        <w:trPr>
          <w:trHeight w:val="230"/>
        </w:trPr>
        <w:tc>
          <w:tcPr>
            <w:tcW w:w="330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188.3</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163.1</w:t>
            </w:r>
          </w:p>
        </w:tc>
      </w:tr>
      <w:tr>
        <w:trPr>
          <w:trHeight w:val="230"/>
        </w:trPr>
        <w:tc>
          <w:tcPr>
            <w:tcW w:w="3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Gross profit as a percent of sales</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10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w:t>
            </w:r>
          </w:p>
        </w:tc>
      </w:tr>
      <w:tr>
        <w:trPr>
          <w:trHeight w:val="230"/>
        </w:trPr>
        <w:tc>
          <w:tcPr>
            <w:tcW w:w="330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75.4</w:t>
            </w:r>
          </w:p>
        </w:tc>
      </w:tr>
      <w:tr>
        <w:trPr>
          <w:trHeight w:val="230"/>
        </w:trPr>
        <w:tc>
          <w:tcPr>
            <w:tcW w:w="3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Gross profit as a percent of sales</w:t>
            </w:r>
          </w:p>
        </w:tc>
        <w:tc>
          <w:tcPr>
            <w:tcW w:w="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Gross profit is defined as sales, less cost of sales divided by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Sales by region expressed as a percentage of reportable segment sales for the three and six months ended March 31, 2018 and 2017 were as follows. Ashland includes only U.S. and Canada in its North American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131445</wp:posOffset>
            </wp:positionV>
            <wp:extent cx="6663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1920" w:type="dxa"/>
            <w:vAlign w:val="bottom"/>
          </w:tcPr>
          <w:p>
            <w:pPr>
              <w:spacing w:after="0"/>
              <w:rPr>
                <w:sz w:val="18"/>
                <w:szCs w:val="18"/>
                <w:color w:val="auto"/>
              </w:rPr>
            </w:pPr>
          </w:p>
        </w:tc>
        <w:tc>
          <w:tcPr>
            <w:tcW w:w="4340" w:type="dxa"/>
            <w:vAlign w:val="bottom"/>
            <w:gridSpan w:val="6"/>
          </w:tcPr>
          <w:p>
            <w:pPr>
              <w:ind w:left="740"/>
              <w:spacing w:after="0"/>
              <w:rPr>
                <w:sz w:val="20"/>
                <w:szCs w:val="20"/>
                <w:color w:val="auto"/>
              </w:rPr>
            </w:pPr>
            <w:r>
              <w:rPr>
                <w:rFonts w:ascii="Arial" w:cs="Arial" w:eastAsia="Arial" w:hAnsi="Arial"/>
                <w:sz w:val="17"/>
                <w:szCs w:val="17"/>
                <w:color w:val="auto"/>
              </w:rPr>
              <w:t>Three months ended March 31, 2018</w:t>
            </w:r>
          </w:p>
        </w:tc>
        <w:tc>
          <w:tcPr>
            <w:tcW w:w="4240" w:type="dxa"/>
            <w:vAlign w:val="bottom"/>
            <w:gridSpan w:val="5"/>
          </w:tcPr>
          <w:p>
            <w:pPr>
              <w:jc w:val="right"/>
              <w:ind w:right="935"/>
              <w:spacing w:after="0"/>
              <w:rPr>
                <w:sz w:val="20"/>
                <w:szCs w:val="20"/>
                <w:color w:val="auto"/>
              </w:rPr>
            </w:pPr>
            <w:r>
              <w:rPr>
                <w:rFonts w:ascii="Arial" w:cs="Arial" w:eastAsia="Arial" w:hAnsi="Arial"/>
                <w:sz w:val="17"/>
                <w:szCs w:val="17"/>
                <w:color w:val="auto"/>
              </w:rPr>
              <w:t>Six months ended March 31, 2018</w:t>
            </w:r>
          </w:p>
        </w:tc>
      </w:tr>
      <w:tr>
        <w:trPr>
          <w:trHeight w:val="207"/>
        </w:trPr>
        <w:tc>
          <w:tcPr>
            <w:tcW w:w="19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Specialty</w:t>
            </w: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Intermediates</w:t>
            </w:r>
          </w:p>
        </w:tc>
        <w:tc>
          <w:tcPr>
            <w:tcW w:w="14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Specialty</w:t>
            </w: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Intermediates</w:t>
            </w:r>
          </w:p>
        </w:tc>
      </w:tr>
      <w:tr>
        <w:trPr>
          <w:trHeight w:val="218"/>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1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Ingredients</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color w:val="auto"/>
              </w:rPr>
              <w:t>Composites</w:t>
            </w:r>
          </w:p>
        </w:tc>
        <w:tc>
          <w:tcPr>
            <w:tcW w:w="1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and Solvents</w:t>
            </w:r>
          </w:p>
        </w:tc>
        <w:tc>
          <w:tcPr>
            <w:tcW w:w="1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Ingredients</w:t>
            </w:r>
          </w:p>
        </w:tc>
        <w:tc>
          <w:tcPr>
            <w:tcW w:w="148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Composites</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and Solvents</w:t>
            </w:r>
          </w:p>
        </w:tc>
      </w:tr>
      <w:tr>
        <w:trPr>
          <w:trHeight w:val="212"/>
        </w:trPr>
        <w:tc>
          <w:tcPr>
            <w:tcW w:w="192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Europe</w:t>
            </w:r>
          </w:p>
        </w:tc>
        <w:tc>
          <w:tcPr>
            <w:tcW w:w="130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6"/>
        </w:trPr>
        <w:tc>
          <w:tcPr>
            <w:tcW w:w="192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1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19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1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9" w:name="page50"/>
    <w:bookmarkEnd w:id="49"/>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92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gridSpan w:val="6"/>
          </w:tcPr>
          <w:p>
            <w:pPr>
              <w:ind w:left="780"/>
              <w:spacing w:after="0"/>
              <w:rPr>
                <w:sz w:val="20"/>
                <w:szCs w:val="20"/>
                <w:color w:val="auto"/>
              </w:rPr>
            </w:pPr>
            <w:r>
              <w:rPr>
                <w:rFonts w:ascii="Arial" w:cs="Arial" w:eastAsia="Arial" w:hAnsi="Arial"/>
                <w:sz w:val="17"/>
                <w:szCs w:val="17"/>
                <w:color w:val="auto"/>
              </w:rPr>
              <w:t>Three months ended March 31, 2017</w:t>
            </w:r>
          </w:p>
        </w:tc>
        <w:tc>
          <w:tcPr>
            <w:tcW w:w="4280" w:type="dxa"/>
            <w:vAlign w:val="bottom"/>
            <w:tcBorders>
              <w:top w:val="single" w:sz="8" w:color="auto"/>
            </w:tcBorders>
            <w:gridSpan w:val="5"/>
          </w:tcPr>
          <w:p>
            <w:pPr>
              <w:jc w:val="right"/>
              <w:ind w:right="975"/>
              <w:spacing w:after="0"/>
              <w:rPr>
                <w:sz w:val="20"/>
                <w:szCs w:val="20"/>
                <w:color w:val="auto"/>
              </w:rPr>
            </w:pPr>
            <w:r>
              <w:rPr>
                <w:rFonts w:ascii="Arial" w:cs="Arial" w:eastAsia="Arial" w:hAnsi="Arial"/>
                <w:sz w:val="17"/>
                <w:szCs w:val="17"/>
                <w:color w:val="auto"/>
              </w:rPr>
              <w:t>Six months ended March 31, 2017</w:t>
            </w:r>
          </w:p>
        </w:tc>
      </w:tr>
      <w:tr>
        <w:trPr>
          <w:trHeight w:val="205"/>
        </w:trPr>
        <w:tc>
          <w:tcPr>
            <w:tcW w:w="192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Specialty</w:t>
            </w: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Intermediates</w:t>
            </w:r>
          </w:p>
        </w:tc>
        <w:tc>
          <w:tcPr>
            <w:tcW w:w="14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Specialty</w:t>
            </w: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Intermediates</w:t>
            </w:r>
          </w:p>
        </w:tc>
      </w:tr>
      <w:tr>
        <w:trPr>
          <w:trHeight w:val="218"/>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14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Ingredients</w:t>
            </w:r>
          </w:p>
        </w:tc>
        <w:tc>
          <w:tcPr>
            <w:tcW w:w="146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Composites</w:t>
            </w:r>
          </w:p>
        </w:tc>
        <w:tc>
          <w:tcPr>
            <w:tcW w:w="1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and Solvents</w:t>
            </w:r>
          </w:p>
        </w:tc>
        <w:tc>
          <w:tcPr>
            <w:tcW w:w="1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Ingredients</w:t>
            </w:r>
          </w:p>
        </w:tc>
        <w:tc>
          <w:tcPr>
            <w:tcW w:w="148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Composites</w:t>
            </w: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and Solvents</w:t>
            </w:r>
          </w:p>
        </w:tc>
      </w:tr>
      <w:tr>
        <w:trPr>
          <w:trHeight w:val="212"/>
        </w:trPr>
        <w:tc>
          <w:tcPr>
            <w:tcW w:w="192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6"/>
        </w:trPr>
        <w:tc>
          <w:tcPr>
            <w:tcW w:w="192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1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6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19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1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Specialty Ingredients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Specialty Ingredients is a global leader in cellulose ethers, vinyl pyrrolidones and biofunctionals. It offers industry-leading products, technologies and resources for solving formulation and product-performance challenges. Specialty Ingredients uses natural, synthetic and semisynthetic polymers derived from cellulose ethers, vinyl pyrrolidones, acrylic polymers, polyester and polyurethane-based adhesives, and plant and seed extract. Specialty Ingredients’ end markets offer comprehensive and innovative solutions for today’s demanding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1"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On May 17, 2017, Ashland completed its acquisition of the stock of Pharmachem, a leading provider of quality ingredients to the global health and wellness industries and high-value differentiated products to fragrance and flavor houses. With annual revenues of approximately $300 million and 14 manufacturing facilities in the United States and Mexico, New Jersey-based Pharmachem develops, manufactures and supplies custom and branded nutritional and fragrance products. See Note C within the Notes to Condensed Consolidated Financial Statements for more information.</w:t>
      </w:r>
    </w:p>
    <w:p>
      <w:pPr>
        <w:spacing w:after="0" w:line="7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Additionally, Ashland completed the transfer of its ownership interest in a consolidated joint venture during the third quarter of fiscal 2017.</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March 2018 quarter compared to March 2017 quarter</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Specialty Ingredients’ sales increased $102 million to $646 million in the current quarter. The acquisition of Pharmachem increased sales by $63 million, or 12%. Favorable foreign currency exchange increased sales by $24 million, while volume and mix combined to increase sales by $22 million. In addition, improved product pricing increased sales by $3 million. These increases were partially offset by a decrease of $10 million from divestitures which was primarily related to the transfer of ownership interest in a consolidated joint venture.</w:t>
      </w:r>
    </w:p>
    <w:p>
      <w:pPr>
        <w:spacing w:after="0" w:line="87"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Gross profit during the current quarter increased $28 million compared to the prior year quarter. The acquisition of Pharmachem increased gross profit by $18 million while improved volume and mix combined to increase gross profit by $11 million. Favorable foreign currency exchange increased gross profit by $12 million. These increases were partially offset by the net impact of pricing and costs which decreased gross profit by $12 million and the joint venture divestiture which decreased gross profit by $1 million. In total, gross profit margin during the current quarter decreased 1.2 percentage points as compared to the prior year quarter to 33.6%.</w:t>
      </w:r>
    </w:p>
    <w:p>
      <w:pPr>
        <w:spacing w:after="0" w:line="57"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Selling, general and administrative expenses (which include research and development expenses throughout the reportable segment discussion and analysis) increased $11 million in the current quarter as compared to the prior year quarter largely due to incremental costs of $9 million related to Pharmachem’s operations. The remaining increase in selling, general and administrative expenses was primarily due to foreign currency exchange. Equity and other income decreased $2 million compared to the prior year quarter due to accelerated depreciation during the current quarter related to the termination of a contract at a manufacturing facility.</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0" w:name="page51"/>
    <w:bookmarkEnd w:id="50"/>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$89 million for the current quarter compared to $74 million in the prior year quarter. Current quarter EBITDA increased $24 million to $151 million, while Adjusted EBITDA increased $26 million to $153 million. Adjusted EBITDA margin increased 0.4 percentage points in the current quarter to 23.7%.</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2018 year-to-date compared to fiscal 2017 year-to-date</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Specialty Ingredients’ sales increased $170 million to $1,196 million in the current period. The acquisition of Pharmachem increased sales by $121 million, or 12%. Favorable foreign currency exchange increased sales by $35 million, while volume and mix combined to increase sales by $31 million. In addition, improved product pricing increased sales by $4 million. These increases were partially offset by a decrease of $21 million from divestitures which was primarily related to the transfer of ownership interest in a consolidated joint venture.</w:t>
      </w:r>
    </w:p>
    <w:p>
      <w:pPr>
        <w:spacing w:after="0" w:line="87"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Gross profit during the current quarter increased $47 million compared to the prior year period. The acquisition of Pharmachem increased gross profit by $31 million while improved volume and mix combined to increase gross profit by $19 million. Favorable foreign currency exchange increased gross profit by $16 million. These increases were partially offset by the net impact of pricing and costs which decreased gross profit by $17 million and the joint venture divestiture which decreased gross profit by $2 million. In total, gross profit margin during the current period decreased 0.9 percentage points as compared to the prior year period to 32.6%.</w:t>
      </w:r>
    </w:p>
    <w:p>
      <w:pPr>
        <w:spacing w:after="0" w:line="5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Selling, general and administrative expenses increased $26 million in the current period as compared to the prior year period largely due to incremental costs of $20 million related to Pharmachem’s operations. The remaining increase in selling, general and administrative expenses was primarily due to higher employee-related costs and unfavorable foreign currency exchange. Equity and other income decreased $4 million compared to the prior year period due to accelerated depreciation during the current period related to the termination of a contract at a manufacturing facility.</w:t>
      </w:r>
    </w:p>
    <w:p>
      <w:pPr>
        <w:spacing w:after="0" w:line="87"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$131 million for the current period compared to $114 million in the prior year period. Current period EBITDA increased $32 million to $253 million, while Adjusted EBITDA increased $37 million to $258 million. Adjusted EBITDA margin increased 0.1 percentage points in the current period to 21.6%.</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The following EBITDA presentation for the three and six months ended March 31, 2018 and 2017 below is provided as a means to enhance the understanding of financial measurements that Ashland has internally determined to be relevant measures of comparison for the results of Specialty Ingredients. Adjusted EBITDA results have been prepared to illustrate the ongoing effects of Ashland's operations, which exclude certain key items. The key items within the current quarter and period related to accelerated depreciation for the termination of a contract at a manufacturing facility and severance and other restructuring charges for the closure of a manufacturing plant. There were no unusual or key items that affected comparability for EBITDA during the prior year quarter or prior year period.</w:t>
      </w:r>
    </w:p>
    <w:p>
      <w:pPr>
        <w:spacing w:after="0" w:line="1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1" w:name="page52"/>
    <w:bookmarkEnd w:id="51"/>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4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Six months ended</w:t>
            </w: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w:t>
            </w:r>
          </w:p>
        </w:tc>
        <w:tc>
          <w:tcPr>
            <w:tcW w:w="98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6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6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253</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Accelerated depreciation</w:t>
            </w: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Severance and other restructuring costs</w:t>
            </w: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Adjusted EBITDA</w:t>
            </w:r>
          </w:p>
        </w:tc>
        <w:tc>
          <w:tcPr>
            <w:tcW w:w="6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Excludes $2 million and $4 million of accelerated depreciation for the three and six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w:t>
      </w:r>
    </w:p>
    <w:p>
      <w:pPr>
        <w:spacing w:after="0" w:line="114" w:lineRule="exact"/>
        <w:rPr>
          <w:sz w:val="20"/>
          <w:szCs w:val="20"/>
          <w:color w:val="auto"/>
        </w:rPr>
      </w:pPr>
    </w:p>
    <w:p>
      <w:pPr>
        <w:jc w:val="both"/>
        <w:ind w:left="400"/>
        <w:spacing w:after="0" w:line="311" w:lineRule="auto"/>
        <w:rPr>
          <w:sz w:val="20"/>
          <w:szCs w:val="20"/>
          <w:color w:val="auto"/>
        </w:rPr>
      </w:pPr>
      <w:r>
        <w:rPr>
          <w:rFonts w:ascii="Arial" w:cs="Arial" w:eastAsia="Arial" w:hAnsi="Arial"/>
          <w:sz w:val="16"/>
          <w:szCs w:val="16"/>
          <w:color w:val="auto"/>
        </w:rPr>
        <w:t>Composites is a global leader in unsaturated polyester resins, vinyl ester resins and gelcoats. The Composites business manufactures and sells a broad range of general-purpose and high-performance grades of unsaturated polyester and vinyl ester resins, gelcoats and low-profile additives for the reinforced plastics industry. The products in the Composites business provide an array of functional properties including corrosion resistance, fire retardance, ultraviolet resistance, water and chemical resistance, high mechanical strength, impact and scratch resistance and high strength-to-weight ratios. Key end markets include transportation, construction, marine and infrastructure. In addition, the business manufactures and sells molten maleic anhydride for the manufacture of a variety of products such as unsaturated polyester resins, copolymers, lubricating oil additives, alkenyl succinic anhydrides, malic acid, fumaric acid and numerous derivative chemicals. Key markets include composites, personal care, dispersants and paper sizing.</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March 2018 quarter compared to March 2017 quarter</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Composites’ sales increased $52 million to $238 million in the current quarter. The acquisition of an unsaturated polyester resins manufacturing facility in the third of quarter of fiscal 2017 increased sales by $20 million, or 11%, while improved product pricing increased sales by $17 million, or 9%. Favorable foreign currency exchange increased sales by $10 million, while improved volume and mix increased sales by $5 million as metric tons sold increased to 97.1 thousand in the current quarter.</w:t>
      </w:r>
    </w:p>
    <w:p>
      <w:pPr>
        <w:spacing w:after="0" w:line="5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Gross profit increased $11 million in the current quarter compared to the prior year quarter. The net effects of pricing and costs increased gross profit by $6 million. The facility acquisition and favorable foreign currency exchange each increased gross profit by $2 million, while changes in volume and mix combined to increase gross profit by $1 million. In total, gross profit margin increased 0.4 percentage points as compared to the prior year quarter to 18.9%.</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Selling, general and administrative expenses during the current quarter increased $5 million compared to the prior year quarter primarily due to higher employee-related costs and unfavorable foreign currency exchange. Equity and other income remained consistent with the prior year quarter.</w:t>
      </w:r>
    </w:p>
    <w:p>
      <w:pPr>
        <w:spacing w:after="0" w:line="78" w:lineRule="exact"/>
        <w:rPr>
          <w:sz w:val="20"/>
          <w:szCs w:val="20"/>
          <w:color w:val="auto"/>
        </w:rPr>
      </w:pPr>
    </w:p>
    <w:p>
      <w:pPr>
        <w:jc w:val="both"/>
        <w:ind w:left="400" w:right="20"/>
        <w:spacing w:after="0" w:line="316" w:lineRule="auto"/>
        <w:rPr>
          <w:sz w:val="20"/>
          <w:szCs w:val="20"/>
          <w:color w:val="auto"/>
        </w:rPr>
      </w:pPr>
      <w:r>
        <w:rPr>
          <w:rFonts w:ascii="Arial" w:cs="Arial" w:eastAsia="Arial" w:hAnsi="Arial"/>
          <w:sz w:val="18"/>
          <w:szCs w:val="18"/>
          <w:color w:val="auto"/>
        </w:rPr>
        <w:t>Operating income totaled $19 million in the current quarter compared to $13 million in the prior year quarter. EBITDA increased $7 million to $25 million in the current quarter, while EBITDA margin increased 0.8 percentage points in the current quarter to 10.5%.</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2018 year-to-date compared to fiscal 2017 year-to-date</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Composites’ sales increased $105 million to $456 million in the current period. The acquisition of an unsaturated polyester resins manufacturing facility and improved product pricing each increased sales by $36 million, or 10%. Improved volume and mix increased sales by $17 million, as metric tons sold increased to 188.3 thousand in the current period, while favorable foreign currency exchange increased sales by $16 million.</w:t>
      </w:r>
    </w:p>
    <w:p>
      <w:pPr>
        <w:spacing w:after="0" w:line="8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Gross profit increased $15 million in the current period compared to the prior year period. The net effects of pricing and costs increased gross profit by $5 million, while changes in volume and mix combined to</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2" w:name="page53"/>
    <w:bookmarkEnd w:id="52"/>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increase gross profit by $4 million. The facility acquisition and favorable foreign currency exchange each increased gross profit by $3 million. In total, gross profit margin decreased 1.1 percentage points as compared to the prior year period to 18.6%.</w:t>
      </w:r>
    </w:p>
    <w:p>
      <w:pPr>
        <w:spacing w:after="0" w:line="45"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Selling, general and administrative expenses during the current period increased $9 million compared to the prior year period primarily due to higher employee-related costs and unfavorable foreign currency exchange. Equity and other income increased $1 million compared to the prior year period.</w:t>
      </w:r>
    </w:p>
    <w:p>
      <w:pPr>
        <w:spacing w:after="0" w:line="78" w:lineRule="exact"/>
        <w:rPr>
          <w:sz w:val="20"/>
          <w:szCs w:val="20"/>
          <w:color w:val="auto"/>
        </w:rPr>
      </w:pPr>
    </w:p>
    <w:p>
      <w:pPr>
        <w:jc w:val="both"/>
        <w:ind w:left="400" w:right="20"/>
        <w:spacing w:after="0" w:line="316" w:lineRule="auto"/>
        <w:rPr>
          <w:sz w:val="20"/>
          <w:szCs w:val="20"/>
          <w:color w:val="auto"/>
        </w:rPr>
      </w:pPr>
      <w:r>
        <w:rPr>
          <w:rFonts w:ascii="Arial" w:cs="Arial" w:eastAsia="Arial" w:hAnsi="Arial"/>
          <w:sz w:val="18"/>
          <w:szCs w:val="18"/>
          <w:color w:val="auto"/>
        </w:rPr>
        <w:t>Operating income totaled $36 million in the current period compared to $29 million in the prior year quarter. EBITDA increased $8 million to $47 million in the current period, while EBITDA margin decreased 0.8 percentage points in the current period to 10.3%.</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following EBITDA presentation for the three and six months ended March 31, 2018 and 2017 below is provided as a means to enhance the understanding of financial measurements that Ashland has internally determined to be relevant measures of comparison for the results of Composites. There were no unusual or key items that affected comparability for EBITDA during the current and prior year quarters or periods.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42"/>
        </w:trPr>
        <w:tc>
          <w:tcPr>
            <w:tcW w:w="40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Six months ended</w:t>
            </w:r>
          </w:p>
        </w:tc>
        <w:tc>
          <w:tcPr>
            <w:tcW w:w="720" w:type="dxa"/>
            <w:vAlign w:val="bottom"/>
            <w:tcBorders>
              <w:top w:val="single" w:sz="8" w:color="auto"/>
            </w:tcBorders>
          </w:tcPr>
          <w:p>
            <w:pPr>
              <w:spacing w:after="0"/>
              <w:rPr>
                <w:sz w:val="21"/>
                <w:szCs w:val="21"/>
                <w:color w:val="auto"/>
              </w:rPr>
            </w:pPr>
          </w:p>
        </w:tc>
      </w:tr>
      <w:tr>
        <w:trPr>
          <w:trHeight w:val="230"/>
        </w:trPr>
        <w:tc>
          <w:tcPr>
            <w:tcW w:w="40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r>
      <w:tr>
        <w:trPr>
          <w:trHeight w:val="22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9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0"/>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2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0"/>
        </w:trPr>
        <w:tc>
          <w:tcPr>
            <w:tcW w:w="4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Intermediates and Solvents is a leading producer of 1,4 butanediol (BDO)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March 2018 quarter compared to March 2017 quarter</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Intermediates and Solvents’ sales increased $14 million to $90 million in the current quarter. Improved product pricing increased sales by $14 million, while favorable foreign currency exchange increased sales by $7 million. The combination of lower volumes and unfavorable mix decreased sales by $7 million</w:t>
      </w:r>
    </w:p>
    <w:p>
      <w:pPr>
        <w:spacing w:after="0" w:line="7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Gross profit increased $7 million during the current quarter compared to the prior year quarter. The net impact of pricing and costs increased gross profit by $13 million primarily due to improvements in product pricing. Higher facility turn around costs in the current quarter resulted in a $6 million decrease in gross profit as a result of a significant planned plant shutdown that occurred in the current quarter. In total, gross profit margin increased 7.9 percentage points as compared to the prior year quarter to 13.4%.</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Selling, general and administrative expenses remained consistent with the prior year quarter.</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$4 million in the current quarter as compared to a loss of $3 million in the prior year quarter. EBITDA increased $7 million to $12 million in the current quarter, while EBITDA margin increased 6.7 percentage points in the current quarter to 13.3%.</w:t>
      </w:r>
    </w:p>
    <w:p>
      <w:pPr>
        <w:spacing w:after="0" w:line="18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3" w:name="page54"/>
    <w:bookmarkEnd w:id="53"/>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2018 year-to-date compared to fiscal 2017 year-to-date</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Intermediates and Solvents’ sales increased $31 million to $164 million in the current period. Improved product pricing increased sales by $23 million while favorable foreign currency exchange increased sales by $11 million. The combination of lower volumes and unfavorable mix decreased sales by $3 million.</w:t>
      </w:r>
    </w:p>
    <w:p>
      <w:pPr>
        <w:spacing w:after="0" w:line="7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Gross profit increased $24 million during the current period compared to the prior year period. The net impact of pricing and costs increased gross profit by $20 million primarily due to improvements in product pricing. Lower facility turn around costs in the current period resulted in an $3 million increase in gross profit. Volume declines were more than offset by product mix improvements to increase gross profit by $1 million. In total, gross profit margin increased 14.2 percentage points as compared to the prior year period to 17.0%.</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Selling, general and administrative expenses remained consistent with the prior year period.</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$13 million in the current period as compared to a loss of $11 million in the prior year period. EBITDA increased $23 million to $28 million in the current period, while EBITDA margin increased 13.3 percentage points in the current period to 17.1%.</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following EBITDA presentation for the three and six months ended March 31, 2018 and 2017 is provided as a means to enhance the understanding of financial measurements that Ashland has internally determined to be relevant measures of comparison for the results of Intermediates and Solvents. There were no unusual or key items that affected comparability for EBITDA during the current and prior year quarters or periods.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Six months ended</w:t>
            </w:r>
          </w:p>
        </w:tc>
        <w:tc>
          <w:tcPr>
            <w:tcW w:w="740" w:type="dxa"/>
            <w:vAlign w:val="bottom"/>
            <w:tcBorders>
              <w:top w:val="single" w:sz="8" w:color="auto"/>
            </w:tcBorders>
          </w:tcPr>
          <w:p>
            <w:pPr>
              <w:spacing w:after="0"/>
              <w:rPr>
                <w:sz w:val="21"/>
                <w:szCs w:val="21"/>
                <w:color w:val="auto"/>
              </w:rPr>
            </w:pPr>
          </w:p>
        </w:tc>
      </w:tr>
      <w:tr>
        <w:trPr>
          <w:trHeight w:val="230"/>
        </w:trPr>
        <w:tc>
          <w:tcPr>
            <w:tcW w:w="3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r>
      <w:tr>
        <w:trPr>
          <w:trHeight w:val="223"/>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38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23"/>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9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0"/>
        </w:trPr>
        <w:tc>
          <w:tcPr>
            <w:tcW w:w="3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and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29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Six months ended</w:t>
            </w:r>
          </w:p>
        </w:tc>
        <w:tc>
          <w:tcPr>
            <w:tcW w:w="740" w:type="dxa"/>
            <w:vAlign w:val="bottom"/>
            <w:tcBorders>
              <w:top w:val="single" w:sz="8" w:color="auto"/>
            </w:tcBorders>
          </w:tcPr>
          <w:p>
            <w:pPr>
              <w:spacing w:after="0"/>
              <w:rPr>
                <w:sz w:val="21"/>
                <w:szCs w:val="21"/>
                <w:color w:val="auto"/>
              </w:rPr>
            </w:pPr>
          </w:p>
        </w:tc>
      </w:tr>
      <w:tr>
        <w:trPr>
          <w:trHeight w:val="230"/>
        </w:trPr>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r>
      <w:tr>
        <w:trPr>
          <w:trHeight w:val="223"/>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Restructuring activities </w:t>
            </w:r>
            <w:r>
              <w:rPr>
                <w:rFonts w:ascii="Arial" w:cs="Arial" w:eastAsia="Arial" w:hAnsi="Arial"/>
                <w:sz w:val="14"/>
                <w:szCs w:val="14"/>
                <w:color w:val="auto"/>
              </w:rPr>
              <w:t>(a)</w:t>
            </w:r>
          </w:p>
        </w:tc>
        <w:tc>
          <w:tcPr>
            <w:tcW w:w="15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Environmental expenses</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Legal settlement/reserve</w:t>
            </w: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w:t>
            </w:r>
          </w:p>
        </w:tc>
        <w:tc>
          <w:tcPr>
            <w:tcW w:w="1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expense</w:t>
            </w:r>
          </w:p>
        </w:tc>
        <w:tc>
          <w:tcPr>
            <w:tcW w:w="1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800" w:hanging="400"/>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separation, severance, integration and stranded divestiture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March 2018 quarter compared to March 2017 quarter</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$17 million and $31 million for the three months ended March 31, 2018 and 2017, respectively. The current and prior year quarters included charges for restructuring activities of $12 million and $23 million, respectively, which were comprised of the following items:</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4" w:name="page55"/>
    <w:bookmarkEnd w:id="54"/>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800" w:hanging="400"/>
        <w:spacing w:after="0"/>
        <w:tabs>
          <w:tab w:leader="none" w:pos="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$4 million of accelerated depreciation related to the planned closure of an office building during the current quarter;</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$4 million of integration costs related to the acquisition of Pharmachem during the current quarter;</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$2 million and $19 million of costs related to the separation of Valvoline during the current and prior year quarters, respectively; and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$2 million and $4 million of stranded divestiture costs during the current and prior year quarters, respectively.</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remaining unallocated items primarily included environmental expenses of $4 million during both the current and prior year quarters and $5 million of income related to proceeds from a legal settlement during the current quarter.</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2018 year-to-date compared to fiscal 2017 year-to-date</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$47 million and $64 million for the six months ended March 31, 2018 and 2017, respectively. The current and prior year periods included charges for restructuring activities of $26 million and $47 million, respectively, which were comprised of the following items:</w:t>
      </w:r>
    </w:p>
    <w:p>
      <w:pPr>
        <w:spacing w:after="0" w:line="78" w:lineRule="exact"/>
        <w:rPr>
          <w:sz w:val="20"/>
          <w:szCs w:val="20"/>
          <w:color w:val="auto"/>
        </w:rPr>
      </w:pPr>
    </w:p>
    <w:p>
      <w:pPr>
        <w:ind w:left="800" w:hanging="400"/>
        <w:spacing w:after="0"/>
        <w:tabs>
          <w:tab w:leader="none" w:pos="8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$8 million of accelerated depreciation related to the planned closure of an office building during the current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$6 million of integration costs related to the acquisition of Pharmachem during the current period;</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$8 million and $42 million of costs related to the separation of Valvoline during the current and prior year periods, respectively; and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$4 million and $5 million of stranded divestiture costs during the current and prior year periods, respectively.</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remaining unallocated items during the current period primarily included $18 million for environmental expenses and $5 million of income related to proceeds from a legal settlement while the remaining items during the prior year period primarily included $8 million for environmental expenses and $5 million of expense for a legal reserve.</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had $225 million in cash and cash equivalents as of March 31, 2018, of which $207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 However, due to the recent Tax Act, Ashland will be reassessing this position in future quarters.</w:t>
      </w:r>
    </w:p>
    <w:p>
      <w:pPr>
        <w:spacing w:after="0" w:line="57"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six months ended March 31, 2018 and 2017.</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5" w:name="page56"/>
    <w:bookmarkEnd w:id="55"/>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4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185"/>
              <w:spacing w:after="0"/>
              <w:rPr>
                <w:sz w:val="20"/>
                <w:szCs w:val="20"/>
                <w:color w:val="auto"/>
              </w:rPr>
            </w:pPr>
            <w:r>
              <w:rPr>
                <w:rFonts w:ascii="Arial" w:cs="Arial" w:eastAsia="Arial" w:hAnsi="Arial"/>
                <w:sz w:val="18"/>
                <w:szCs w:val="18"/>
                <w:color w:val="auto"/>
              </w:rPr>
              <w:t>Six months ended</w:t>
            </w:r>
          </w:p>
        </w:tc>
        <w:tc>
          <w:tcPr>
            <w:tcW w:w="740" w:type="dxa"/>
            <w:vAlign w:val="bottom"/>
            <w:tcBorders>
              <w:top w:val="single" w:sz="8" w:color="auto"/>
            </w:tcBorders>
          </w:tcPr>
          <w:p>
            <w:pPr>
              <w:spacing w:after="0"/>
              <w:rPr>
                <w:sz w:val="21"/>
                <w:szCs w:val="21"/>
                <w:color w:val="auto"/>
              </w:rPr>
            </w:pPr>
          </w:p>
        </w:tc>
      </w:tr>
      <w:tr>
        <w:trPr>
          <w:trHeight w:val="230"/>
        </w:trPr>
        <w:tc>
          <w:tcPr>
            <w:tcW w:w="7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provided (used) by:</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4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0"/>
        </w:trPr>
        <w:tc>
          <w:tcPr>
            <w:tcW w:w="7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4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4"/>
          </w:tcPr>
          <w:p>
            <w:pPr>
              <w:jc w:val="right"/>
              <w:ind w:right="165"/>
              <w:spacing w:after="0"/>
              <w:rPr>
                <w:sz w:val="20"/>
                <w:szCs w:val="20"/>
                <w:color w:val="auto"/>
              </w:rPr>
            </w:pPr>
            <w:r>
              <w:rPr>
                <w:rFonts w:ascii="Arial" w:cs="Arial" w:eastAsia="Arial" w:hAnsi="Arial"/>
                <w:sz w:val="18"/>
                <w:szCs w:val="18"/>
                <w:color w:val="auto"/>
              </w:rPr>
              <w:t>Six months ended</w:t>
            </w:r>
          </w:p>
        </w:tc>
        <w:tc>
          <w:tcPr>
            <w:tcW w:w="740" w:type="dxa"/>
            <w:vAlign w:val="bottom"/>
            <w:tcBorders>
              <w:top w:val="single" w:sz="8" w:color="auto"/>
            </w:tcBorders>
          </w:tcPr>
          <w:p>
            <w:pPr>
              <w:spacing w:after="0"/>
              <w:rPr>
                <w:sz w:val="21"/>
                <w:szCs w:val="21"/>
                <w:color w:val="auto"/>
              </w:rPr>
            </w:pPr>
          </w:p>
        </w:tc>
      </w:tr>
      <w:tr>
        <w:trPr>
          <w:trHeight w:val="230"/>
        </w:trPr>
        <w:tc>
          <w:tcPr>
            <w:tcW w:w="74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r>
      <w:tr>
        <w:trPr>
          <w:trHeight w:val="223"/>
        </w:trPr>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05"/>
        </w:trPr>
        <w:tc>
          <w:tcPr>
            <w:tcW w:w="746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provided (used) by operating activities from</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4"/>
        </w:trPr>
        <w:tc>
          <w:tcPr>
            <w:tcW w:w="7460" w:type="dxa"/>
            <w:vAlign w:val="bottom"/>
          </w:tcPr>
          <w:p>
            <w:pPr>
              <w:ind w:left="120"/>
              <w:spacing w:after="0"/>
              <w:rPr>
                <w:sz w:val="20"/>
                <w:szCs w:val="20"/>
                <w:color w:val="auto"/>
              </w:rPr>
            </w:pPr>
            <w:r>
              <w:rPr>
                <w:rFonts w:ascii="Arial" w:cs="Arial" w:eastAsia="Arial" w:hAnsi="Arial"/>
                <w:sz w:val="18"/>
                <w:szCs w:val="18"/>
                <w:b w:val="1"/>
                <w:bCs w:val="1"/>
                <w:color w:val="auto"/>
              </w:rPr>
              <w:t>continuing operations</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r>
      <w:tr>
        <w:trPr>
          <w:trHeight w:val="230"/>
        </w:trPr>
        <w:tc>
          <w:tcPr>
            <w:tcW w:w="7460" w:type="dxa"/>
            <w:vAlign w:val="bottom"/>
          </w:tcPr>
          <w:p>
            <w:pPr>
              <w:ind w:left="240"/>
              <w:spacing w:after="0"/>
              <w:rPr>
                <w:sz w:val="20"/>
                <w:szCs w:val="20"/>
                <w:color w:val="auto"/>
              </w:rPr>
            </w:pPr>
            <w:r>
              <w:rPr>
                <w:rFonts w:ascii="Arial" w:cs="Arial" w:eastAsia="Arial" w:hAnsi="Arial"/>
                <w:sz w:val="18"/>
                <w:szCs w:val="18"/>
                <w:color w:val="auto"/>
              </w:rPr>
              <w:t>Income from discontinued operations (net of income taxes)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7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7460" w:type="dxa"/>
            <w:vAlign w:val="bottom"/>
          </w:tcPr>
          <w:p>
            <w:pPr>
              <w:ind w:left="36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4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r>
      <w:tr>
        <w:trPr>
          <w:trHeight w:val="230"/>
        </w:trPr>
        <w:tc>
          <w:tcPr>
            <w:tcW w:w="7460" w:type="dxa"/>
            <w:vAlign w:val="bottom"/>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4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30"/>
        </w:trPr>
        <w:tc>
          <w:tcPr>
            <w:tcW w:w="74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600"/>
              <w:spacing w:after="0"/>
              <w:rPr>
                <w:sz w:val="20"/>
                <w:szCs w:val="20"/>
                <w:color w:val="auto"/>
              </w:rPr>
            </w:pPr>
            <w:r>
              <w:rPr>
                <w:rFonts w:ascii="Arial" w:cs="Arial" w:eastAsia="Arial" w:hAnsi="Arial"/>
                <w:sz w:val="18"/>
                <w:szCs w:val="18"/>
                <w:color w:val="auto"/>
              </w:rPr>
              <w:t>Stock based compensation expense</w:t>
            </w:r>
          </w:p>
        </w:tc>
        <w:tc>
          <w:tcPr>
            <w:tcW w:w="4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74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Excess tax benefit on stock based compensation</w:t>
            </w: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7460" w:type="dxa"/>
            <w:vAlign w:val="bottom"/>
          </w:tcPr>
          <w:p>
            <w:pPr>
              <w:ind w:left="600"/>
              <w:spacing w:after="0"/>
              <w:rPr>
                <w:sz w:val="20"/>
                <w:szCs w:val="20"/>
                <w:color w:val="auto"/>
              </w:rPr>
            </w:pPr>
            <w:r>
              <w:rPr>
                <w:rFonts w:ascii="Arial" w:cs="Arial" w:eastAsia="Arial" w:hAnsi="Arial"/>
                <w:sz w:val="18"/>
                <w:szCs w:val="18"/>
                <w:color w:val="auto"/>
              </w:rPr>
              <w:t>Gain on early retirement of debt</w:t>
            </w:r>
          </w:p>
        </w:tc>
        <w:tc>
          <w:tcPr>
            <w:tcW w:w="4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4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Realized gains and investment income on available-for-sale securities</w:t>
            </w: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460" w:type="dxa"/>
            <w:vAlign w:val="bottom"/>
          </w:tcPr>
          <w:p>
            <w:pPr>
              <w:ind w:left="600"/>
              <w:spacing w:after="0"/>
              <w:rPr>
                <w:sz w:val="20"/>
                <w:szCs w:val="20"/>
                <w:color w:val="auto"/>
              </w:rPr>
            </w:pPr>
            <w:r>
              <w:rPr>
                <w:rFonts w:ascii="Arial" w:cs="Arial" w:eastAsia="Arial" w:hAnsi="Arial"/>
                <w:sz w:val="18"/>
                <w:szCs w:val="18"/>
                <w:color w:val="auto"/>
              </w:rPr>
              <w:t>Net loss on divestitures</w:t>
            </w:r>
          </w:p>
        </w:tc>
        <w:tc>
          <w:tcPr>
            <w:tcW w:w="4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74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Pension contributions</w:t>
            </w: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60" w:type="dxa"/>
            <w:vAlign w:val="bottom"/>
          </w:tcPr>
          <w:p>
            <w:pPr>
              <w:ind w:left="600"/>
              <w:spacing w:after="0"/>
              <w:rPr>
                <w:sz w:val="20"/>
                <w:szCs w:val="20"/>
                <w:color w:val="auto"/>
              </w:rPr>
            </w:pPr>
            <w:r>
              <w:rPr>
                <w:rFonts w:ascii="Arial" w:cs="Arial" w:eastAsia="Arial" w:hAnsi="Arial"/>
                <w:sz w:val="18"/>
                <w:szCs w:val="18"/>
                <w:color w:val="auto"/>
              </w:rPr>
              <w:t>Gain on post-employment plan remeasurement</w:t>
            </w:r>
          </w:p>
        </w:tc>
        <w:tc>
          <w:tcPr>
            <w:tcW w:w="4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4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Change in operating assets and liabilities (a)</w:t>
            </w: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Total cash flows used by operating activities from continuing operations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Excludes changes resulting from operations acquired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91"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Cash flows used from operating activities from continuing operations, a major source of Ashland’s liquidity, amounted to zero and a cash outflow of $2 million in the current and prior year periods, respectively.</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The cash results during each period are primarily driven by net income (loss),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6" w:name="page57"/>
    <w:bookmarkEnd w:id="56"/>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color w:val="auto"/>
        </w:rPr>
        <w:t>Changes in net working capital accounted for outflows of $189 million and $68 million for the six months ended March 31, 2018 and 2017, respectively, and were driven by the following:</w:t>
      </w:r>
    </w:p>
    <w:p>
      <w:pPr>
        <w:spacing w:after="0" w:line="69" w:lineRule="exact"/>
        <w:rPr>
          <w:sz w:val="20"/>
          <w:szCs w:val="20"/>
          <w:color w:val="auto"/>
        </w:rPr>
      </w:pPr>
    </w:p>
    <w:p>
      <w:pPr>
        <w:ind w:left="800" w:hanging="400"/>
        <w:spacing w:after="0" w:line="260" w:lineRule="auto"/>
        <w:tabs>
          <w:tab w:leader="none" w:pos="8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Accounts receivable - There were cash outflows of $108 million and $49 million during the current and prior year periods, respectively, which were primarily due to increased sales compared to the prior year period.</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Inventory – There was a cash outflow of $18 million and a cash inflow of $9 million during the current and prior year periods, respectively, which were primarily due to sales volumes and inventory management strategies.</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Trade and other payables - There were cash outflows of $63 million and $28 million during the current and prior year periods, respectively, which were primarily driven by seasonal declines in trade payables and incentive compensation payouts from the prior year paid during the first quarter of each fiscal year.</w:t>
      </w:r>
    </w:p>
    <w:p>
      <w:pPr>
        <w:spacing w:after="0" w:line="7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The remaining outflows within changes in operating assets and liabilities of $40 million and $124 million in the current and prior year periods, respectively, relate primarily to adjustments to certain accruals and long-term assets and liabilities as well as income taxes received and paid.</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Operating cash flows for the current period included income from continuing operations of $59 million, noncash adjustments of $161 million for depreciation and amortization and $4 million for debt issuance cost amortization.</w:t>
      </w:r>
    </w:p>
    <w:p>
      <w:pPr>
        <w:spacing w:after="0" w:line="69"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Operating cash flows for the prior year period included a loss from continuing operations of $37 million million and noncash adjustments of $134 million for depreciation and amortization and $97 million for original issue discount and debt issuance cost amortization, including $92 million of accelerated accretion related to the tender offer of the 2029 notes.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Six months ended</w:t>
            </w:r>
          </w:p>
        </w:tc>
        <w:tc>
          <w:tcPr>
            <w:tcW w:w="600" w:type="dxa"/>
            <w:vAlign w:val="bottom"/>
            <w:tcBorders>
              <w:top w:val="single" w:sz="8" w:color="auto"/>
            </w:tcBorders>
          </w:tcPr>
          <w:p>
            <w:pPr>
              <w:spacing w:after="0"/>
              <w:rPr>
                <w:sz w:val="21"/>
                <w:szCs w:val="21"/>
                <w:color w:val="auto"/>
              </w:rPr>
            </w:pPr>
          </w:p>
        </w:tc>
      </w:tr>
      <w:tr>
        <w:trPr>
          <w:trHeight w:val="230"/>
        </w:trPr>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05"/>
        </w:trPr>
        <w:tc>
          <w:tcPr>
            <w:tcW w:w="798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provided (used) by investing activities from</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7980" w:type="dxa"/>
            <w:vAlign w:val="bottom"/>
          </w:tcPr>
          <w:p>
            <w:pPr>
              <w:ind w:left="120"/>
              <w:spacing w:after="0"/>
              <w:rPr>
                <w:sz w:val="20"/>
                <w:szCs w:val="20"/>
                <w:color w:val="auto"/>
              </w:rPr>
            </w:pPr>
            <w:r>
              <w:rPr>
                <w:rFonts w:ascii="Arial" w:cs="Arial" w:eastAsia="Arial" w:hAnsi="Arial"/>
                <w:sz w:val="18"/>
                <w:szCs w:val="18"/>
                <w:b w:val="1"/>
                <w:bCs w:val="1"/>
                <w:color w:val="auto"/>
              </w:rPr>
              <w:t>continuing operations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operations - net of cash acquired</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(uses) from sale of operations</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Life insurance payments</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Reimbursement from restricted investments</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sales of available-for-sale securities</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available-for-sale securities</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the settlement of derivative instruments</w:t>
            </w:r>
          </w:p>
        </w:tc>
        <w:tc>
          <w:tcPr>
            <w:tcW w:w="3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for the settlement of derivative instruments</w:t>
            </w: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Cash used by investing activities was $100 million and $63 million for the current and prior year periods, respectively. The significant cash investing activities for the current period primarily related to cash outflows of $60 million for property additions compared to $73 million in the prior year period. The</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7" w:name="page58"/>
    <w:bookmarkEnd w:id="57"/>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current period also included cash outflows of $37 million related to payments for a corporate-owned life insurance policy loan and $11 million for the purchase of Vornia Limited.</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Six months ended</w:t>
            </w:r>
          </w:p>
        </w:tc>
        <w:tc>
          <w:tcPr>
            <w:tcW w:w="600" w:type="dxa"/>
            <w:vAlign w:val="bottom"/>
            <w:tcBorders>
              <w:top w:val="single" w:sz="8" w:color="auto"/>
            </w:tcBorders>
          </w:tcPr>
          <w:p>
            <w:pPr>
              <w:spacing w:after="0"/>
              <w:rPr>
                <w:sz w:val="21"/>
                <w:szCs w:val="21"/>
                <w:color w:val="auto"/>
              </w:rPr>
            </w:pPr>
          </w:p>
        </w:tc>
      </w:tr>
      <w:tr>
        <w:trPr>
          <w:trHeight w:val="230"/>
        </w:trPr>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05"/>
        </w:trPr>
        <w:tc>
          <w:tcPr>
            <w:tcW w:w="798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provided (used) by financing activities from</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7980" w:type="dxa"/>
            <w:vAlign w:val="bottom"/>
          </w:tcPr>
          <w:p>
            <w:pPr>
              <w:ind w:left="120"/>
              <w:spacing w:after="0"/>
              <w:rPr>
                <w:sz w:val="20"/>
                <w:szCs w:val="20"/>
                <w:color w:val="auto"/>
              </w:rPr>
            </w:pPr>
            <w:r>
              <w:rPr>
                <w:rFonts w:ascii="Arial" w:cs="Arial" w:eastAsia="Arial" w:hAnsi="Arial"/>
                <w:sz w:val="18"/>
                <w:szCs w:val="18"/>
                <w:b w:val="1"/>
                <w:bCs w:val="1"/>
                <w:color w:val="auto"/>
              </w:rPr>
              <w:t>continuing operations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long-term debt</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Premium on long-term debt</w:t>
            </w:r>
          </w:p>
        </w:tc>
        <w:tc>
          <w:tcPr>
            <w:tcW w:w="3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short-term debt</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paid</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financing activities from continuing operations</w:t>
            </w: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flows used by financing activities was $220 million for the current period as compared to $473 million for the prior year period.</w:t>
      </w:r>
    </w:p>
    <w:p>
      <w:pPr>
        <w:spacing w:after="0" w:line="131"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Significant cash financing activities for the current period included short-term debt net repayments of $181 million related to the 2017 Revolving Credit Facility and the accounts receivable securitization. The outstanding balance of the 2017 Revolving Credit Facility and a portion of the accounts receivable securitization were repaid using approximately $300 million of cash that was repatriated in January 2018. The current period included cash dividends paid of $0.45 per share, for a total of $28 million.</w:t>
      </w:r>
    </w:p>
    <w:p>
      <w:pPr>
        <w:spacing w:after="0" w:line="5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Significant cash financing activities for the prior year period included cash outflows of $254 million related to the repayments of a portion of the 2029 notes, 2022 notes and 2018 notes. Additionally, the prior year period included short-term debt net repayments of $151 million, which was primarily related to the $150 million full repayment of a term loan held by a foreign subsidiary. The prior year period included cash dividends paid of $0.78 per share, for a total of $48 million.</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six months ended March 31,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Six months ended</w:t>
            </w:r>
          </w:p>
        </w:tc>
        <w:tc>
          <w:tcPr>
            <w:tcW w:w="600" w:type="dxa"/>
            <w:vAlign w:val="bottom"/>
            <w:tcBorders>
              <w:top w:val="single" w:sz="8" w:color="auto"/>
            </w:tcBorders>
          </w:tcPr>
          <w:p>
            <w:pPr>
              <w:spacing w:after="0"/>
              <w:rPr>
                <w:sz w:val="21"/>
                <w:szCs w:val="21"/>
                <w:color w:val="auto"/>
              </w:rPr>
            </w:pPr>
          </w:p>
        </w:tc>
      </w:tr>
      <w:tr>
        <w:trPr>
          <w:trHeight w:val="230"/>
        </w:trPr>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Investing cash flows</w:t>
            </w:r>
          </w:p>
        </w:tc>
        <w:tc>
          <w:tcPr>
            <w:tcW w:w="3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cash flows</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cash used by discontinued operations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Cash flows for discontinued operations in the current period primarily related to previously divested businesses, including net payments of asbestos and environmental liabilities.</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Cash flows for discontinued operations in the prior year period primarily relate to net cash outflows of $15 million related to the activity of Valvoline Inc. The remaining cash flows in the prior year period related to other previously divested businesses, including net payments of asbestos and environmental liabilities.</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8" w:name="page59"/>
    <w:bookmarkEnd w:id="58"/>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periods. Free cash flow does not reflect adjustments for certain non-discretionary cash flows such as mandatory debt repayments.</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Six months ended</w:t>
            </w:r>
          </w:p>
        </w:tc>
        <w:tc>
          <w:tcPr>
            <w:tcW w:w="600" w:type="dxa"/>
            <w:vAlign w:val="bottom"/>
            <w:tcBorders>
              <w:top w:val="single" w:sz="8" w:color="auto"/>
            </w:tcBorders>
          </w:tcPr>
          <w:p>
            <w:pPr>
              <w:spacing w:after="0"/>
              <w:rPr>
                <w:sz w:val="21"/>
                <w:szCs w:val="21"/>
                <w:color w:val="auto"/>
              </w:rPr>
            </w:pPr>
          </w:p>
        </w:tc>
      </w:tr>
      <w:tr>
        <w:trPr>
          <w:trHeight w:val="230"/>
        </w:trPr>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color w:val="auto"/>
              </w:rPr>
              <w:t>March 31</w:t>
            </w:r>
          </w:p>
        </w:tc>
        <w:tc>
          <w:tcPr>
            <w:tcW w:w="60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Total cash flows used by operating activities from continuing operations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Includes $29 million and $40 million of restructuring payments for the six months ended March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86"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At March 31, 2018, working capital (current assets minus current liabilities, excluding long-term debt due within one year) amounted to $1,012 million, compared to $941 million at September 30, 2017. Liquid assets (cash, cash equivalents and accounts receivable) amounted to 132% and 122% of current liabilities at March 31, 2018 and September 30, 2017, respectively.</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summary reflects Ashland’s cash and unused borrowing capacity as of March 31, 2018 and September 30, 2017.</w:t>
      </w:r>
    </w:p>
    <w:p>
      <w:pPr>
        <w:spacing w:after="0" w:line="249"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548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March 31</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September 30</w:t>
            </w:r>
          </w:p>
        </w:tc>
      </w:tr>
      <w:tr>
        <w:trPr>
          <w:trHeight w:val="230"/>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color w:val="auto"/>
              </w:rPr>
              <w:t>Cash and investment securities</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w:t>
            </w:r>
          </w:p>
        </w:tc>
      </w:tr>
      <w:tr>
        <w:trPr>
          <w:trHeight w:val="230"/>
        </w:trPr>
        <w:tc>
          <w:tcPr>
            <w:tcW w:w="5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Unused borrowing capacity</w:t>
            </w:r>
          </w:p>
        </w:tc>
        <w:tc>
          <w:tcPr>
            <w:tcW w:w="27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2017 Revolving credit facility</w:t>
            </w:r>
          </w:p>
        </w:tc>
        <w:tc>
          <w:tcPr>
            <w:tcW w:w="2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579</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 facility</w:t>
            </w:r>
          </w:p>
        </w:tc>
        <w:tc>
          <w:tcPr>
            <w:tcW w:w="27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bl>
    <w:p>
      <w:pPr>
        <w:spacing w:after="0" w:line="199" w:lineRule="exact"/>
        <w:rPr>
          <w:sz w:val="20"/>
          <w:szCs w:val="20"/>
          <w:color w:val="auto"/>
        </w:rPr>
      </w:pPr>
    </w:p>
    <w:p>
      <w:pPr>
        <w:jc w:val="both"/>
        <w:ind w:left="400" w:right="20"/>
        <w:spacing w:after="0" w:line="246" w:lineRule="auto"/>
        <w:rPr>
          <w:sz w:val="20"/>
          <w:szCs w:val="20"/>
          <w:color w:val="auto"/>
        </w:rPr>
      </w:pPr>
      <w:r>
        <w:rPr>
          <w:rFonts w:ascii="Arial" w:cs="Arial" w:eastAsia="Arial" w:hAnsi="Arial"/>
          <w:sz w:val="20"/>
          <w:szCs w:val="20"/>
          <w:color w:val="auto"/>
        </w:rPr>
        <w:t>The borrowing capacity remaining under the 2017 Revolving Credit Facility was $752 million due to a reduction of $48 million for letters of credit outstanding at March 31, 2018. In total, Ashland’s available liquidity position, which includes cash, the revolving credit facility and the accounts receivable securitization facility, was $1,044 million at March 31, 2018, compared to $1,180 million at September 30, 2017.</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summary reflects Ashland’s debt as of March 31, 2018 and September 30, 2017.</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66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March 31</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September 30</w:t>
            </w:r>
          </w:p>
        </w:tc>
      </w:tr>
      <w:tr>
        <w:trPr>
          <w:trHeight w:val="230"/>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6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1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2,584</w:t>
            </w:r>
          </w:p>
        </w:tc>
      </w:tr>
      <w:tr>
        <w:trPr>
          <w:trHeight w:val="223"/>
        </w:trPr>
        <w:tc>
          <w:tcPr>
            <w:tcW w:w="6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debt</w:t>
            </w:r>
          </w:p>
        </w:tc>
        <w:tc>
          <w:tcPr>
            <w:tcW w:w="1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2,638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2,819</w:t>
            </w:r>
          </w:p>
        </w:tc>
      </w:tr>
      <w:tr>
        <w:trPr>
          <w:trHeight w:val="20"/>
        </w:trPr>
        <w:tc>
          <w:tcPr>
            <w:tcW w:w="6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Includes $23 million and $25 million of debt issuance cost discounts as of March 31, 2018 and September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9" w:name="page60"/>
    <w:bookmarkEnd w:id="59"/>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The current portion of long-term debt was $11 million at March 31, 2018. Debt as a percent of capital employed was 43% at March 31, 2018 and 45% at September 30, 2017. At March 31, 2018, Ashland’s total debt had an outstanding principal balance of $2,713 million, discounts of $52 million, and debt issuance costs of $23 million. The scheduled aggregate maturities of long-term debt by year (including the current portion and excluding debt issuance costs) are as follows: $3 million remaining in 2018, $11 million in 2019, $269 million in 2020, $56 million in 2021 and $1,279 million in 2022.</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Accounts receivable securitization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During March 2018, the termination date of the accounts receivable securitization facility was extended from March 2018 to March 2020. The available funding for qualified receivables under the accounts receivable securitization facility increased from $100 million to $115 million. No other changes are expected to have a significant impact to Ashland's results of operations and financial position.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2017 Credit Agreement</w:t>
      </w:r>
    </w:p>
    <w:p>
      <w:pPr>
        <w:spacing w:after="0" w:line="108"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On May 17, 2017, in conjunction with the closing of the Pharmachem acquisition, Ashland entered into a secured credit agreement (the 2017 Credit Agreement) with a group of lenders. The 2017 Credit Agreement provided for (i) a $250 million three-year term loan A facility (the Three-Year TLA Facility), (ii) a $250 million five-year term loan A facility (the Five-Year TLA Facility and together with the Three-Year TLA Facility, the TLA Facilities) and (iii) a $680 million five-year revolving credit facility (including a $125 million letter of credit sublimit) (the 2017 Revolving Credit Facility). Proceeds of borrowings under the TLA Facilities were used solely to finance the acquisition of Pharmachem, while the proceeds of the 2017 Revolving Credit Facility were used to finance, in part, the acquisition of Pharmachem, to refinance the 2015 Senior Credit Agreement and for general corporate purposes. On May 19, 2017, Ashland entered into Amendment No. 1 to the 2017 Credit Agreement, which increased the aggregate commitments under the 2017 Revolving Credit Facility from $680 million to $800 million.</w:t>
      </w:r>
    </w:p>
    <w:p>
      <w:pPr>
        <w:spacing w:after="0" w:line="77"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At Ashland’s option, loans issued under the 2017 Credit Agreement bear interest at either LIBOR or an alternate base rate, in each case plus the applicable interest rate margin. Loans bear interest at LIBOR plus 1.75% per annum, in the case of LIBOR borrowings, or at the alternate base rate plus 0.75%, in the alternative, through and including the date of delivery of a quarterly compliance certificate and thereafter the interest rate will fluctuate between LIBOR plus 1.375% per annum and LIBOR plus 2.500% per annum (or between the alternate base rate plus 0.375% per annum and the alternate base rate plus 1.500% per annum), based upon Ashland’s secured facilities ratings or the consolidated net leverage ratio (as defined in the 2017 Credit Agreement) (whichever yields a lower applicable interest rate margin) at such time. In addition, Ashland was required to pay fees of 0.25% per annum on the daily unused amount of the 2017 Revolving Credit Facility through and including the date of delivery of a compliance certificate, and thereafter the fee rate will fluctuate between 0.175% and 0.40% per annum, based upon Ashland’s secured facilities rating or the consolidated net leverage ratio (whichever yields a lower applicable rate). The TLA Facilities may be prepaid at any time without premium. The Three-Year TLA Facility will not amortize and will be due on May 17, 2020. The Five-Year TLA Facility will not amortize in each of the first, second and third years and will amortize at a rate of 20% per annum in each of the fourth and fifth years (payable in equal quarterly installments), with the outstanding balance of the Five-Year TLA Facility to be paid on May 17, 2022.</w:t>
      </w:r>
    </w:p>
    <w:p>
      <w:pPr>
        <w:spacing w:after="0" w:line="66"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On June 14, 2017, Ashland entered into Amendment No. 2 to the 2017 Credit Agreement, which provided for a new $600 million seven-year senior secured term loan B facility (the 2017 TLB Facility). At Ashland’s option, loans issued under the 2017 TLB Facility bear interest at either (x) LIBOR plus 2.00% per annum or (y) an alternate base rate plus 1.00% per annum. The 2017 TLB Facility may be prepaid at any time. The 2017 TLB Facility amortizes at a rate of 1.00% per annum (payable in equal quarterly installments) with the outstanding balance to be paid on May 17, 2024.</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0" w:name="page61"/>
    <w:bookmarkEnd w:id="60"/>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6.50% junior subordinated notes due 2029</w:t>
      </w:r>
    </w:p>
    <w:p>
      <w:pPr>
        <w:spacing w:after="0" w:line="10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In December 2016, Hercules LLC (Hercules) (formerly Hercules Incorporated), an indirect wholly-owned subsidiary of Ashland, repurchased, through a cash tender offer (the Tender Offer), $182 million of the aggregate principal par value amount of its 6.50% junior subordinated notes due 2029 (2029 notes) for an aggregate purchase price of $177 million. As a result of the Tender Offer, the carrying value of the 2029 notes was reduced by $90 million and Ashland recognized a $92 million charge related to accelerated accretion of the recorded debt discount (compared to the total par value) and $5 million of a net gain related to the repayment of the debt. The charge and net gain are included in the net interest and other financing expense caption of the Statements of Consolidated Comprehensive Income (Loss) for the six months ended March 31, 2017.</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Open market repurchases of 4.750% notes due 2022 and 3.875% notes due 2018</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During the six months ended March 31, 2017, Ashland executed open market repurchases of its 4.750% notes due 2022 (2022 notes) and its 3.875% notes due 2018 (2018 notes). As a result of these repurchases, the carrying values of the 2022 notes and 2018 notes were reduced by $39 million and $41 million, respectively. Ashland recognized a $3 million charge related to premiums paid in the open market repurchases and accelerated amortization of previously capitalized debt issuance costs, which is included in the net interest and other financing expense caption of the Statements of Consolidated Comprehensive Income (Loss) for the six months ended March 31, 2017.</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Ashland’s corporate credit rating with Standard &amp; Poor’s is BB, while Moody’s Investor Services is Ba2. Moody’s Investor Services and Standard &amp; Poor's outlooks both remained at stable. Subsequent changes to these ratings may have an effect on Ashland’s borrowing rate or ability to access capital markets in the future.</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Ashland's most recent credit agreement (the 2017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2018, Ashland is in compliance with all debt agreement covenant restrictions under the 2017 Credit Agreement.</w:t>
      </w:r>
    </w:p>
    <w:p>
      <w:pPr>
        <w:spacing w:after="0" w:line="87"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maximum consolidated net leverage ratio permitted under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40. In general, consolidated indebtedness includes debt plus all purchase money indebtedness, banker’s acceptances and bank guaranties, deferred purchase price of property or services, attributable indebtedness and guarantees.</w:t>
      </w:r>
    </w:p>
    <w:p>
      <w:pPr>
        <w:spacing w:after="0" w:line="67"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minimum required consolidated interest coverage ratio under the 2017 Credit Agreement is 3.0. The 2017 Credit Agreement defines the consolidated interest coverage ratio as the ratio of Covenant Adjusted EBITDA to consolidated interest charges for any measurement period.</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1" w:name="page62"/>
    <w:bookmarkEnd w:id="61"/>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At March 31, 2018, Ashland’s calculation of the consolidated net leverage ratio was 3.8, which is below the maximum consolidated ratio permitted under the 2017 Credit Agreement of 4.5. At March 31, 2018, Ashland’s calculation of the consolidated interest coverage ratio was 4.8, which exceeds the minimum required consolidated ratio of 3.0.</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average change in Covenant Adjusted EBITDA of $100 million would have an approximate 0.6x effect on the consolidated net leverage ratio and a 0.8x effect on the consolidated interest coverage ratio. The average change in consolidated indebtedness of $100 million would affect the consolidated leverage ratio by approximately 0.2x.</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 projects that cash flow from operations and other available financial resources such as cash on hand and revolving credit should be sufficient to meet investing and financing requirements to enable Ashland to comply with the covenants and other terms of its financing obligations. These projections are based on various assumptions that include, but are not limited to: operational results, capital expenditures, working capital needs and tax payments and receipts.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Total equity increased $105 million since September 30, 2017 to $3,511 million at March 31, 2018. The increase of $105 million was due to net income of $69 million, deferred translation gains of $58 million, $4 million for common shares issued under stock incentive and other plans, and a $2 million net increase in available-for-sale securities. These increases were partially offset by cash dividends of $28 million.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 repurchase program</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April 2015, Ashland's Board of Directors approved a $1 billion share repurchase authorization that was set to expire on December 31, 2017 (the 2015 stock repurchase program). During September 2017, Ashland's Board of Directors extended the 2015 stock repurchase program indefinitely, at which point $500 million of share repurchase authorization remained under the 2015 stock repurchase program.</w:t>
      </w:r>
    </w:p>
    <w:p>
      <w:pPr>
        <w:spacing w:after="0" w:line="83"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March 31, 2018, $1 billion remained available for repurchase under this authorization.</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400" w:right="20"/>
        <w:spacing w:after="0" w:line="282" w:lineRule="auto"/>
        <w:rPr>
          <w:sz w:val="20"/>
          <w:szCs w:val="20"/>
          <w:color w:val="auto"/>
        </w:rPr>
      </w:pPr>
      <w:r>
        <w:rPr>
          <w:rFonts w:ascii="Arial" w:cs="Arial" w:eastAsia="Arial" w:hAnsi="Arial"/>
          <w:sz w:val="18"/>
          <w:szCs w:val="18"/>
          <w:color w:val="auto"/>
        </w:rPr>
        <w:t>In May 2017, subsequent to the final distribution of Valvoline Inc.'s common stock, the Board of Directors of Ashland announced a quarterly cash dividend of 22.5 cents per share to eligible stockholders at record which was paid for quarterly dividends in the first and second quarters of fiscal 2018 and the third and fourth quarters of fiscal 2017. This represented a reduction from the previous quarterly dividend of 39 cents per share which was paid for quarterly dividends in the first and second quarters of fiscal 2017.</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Capital expenditures were $60 million for the six months ended March 31, 2018 and averaged approximately $217 million during the last three fiscal years.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Contractual obligations and commitments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 a result of the Tax Act that was enacted during December 2017, Ashland has currently estimated and identified that the one-time transition tax related to the new law is estimated to be approximately $160 million payable over eight years, with the first payment of approximately $13 million due during the first quarter of fiscal year 2019. Ashland will continue to reassess this estimate in future periods.</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2" w:name="page63"/>
    <w:bookmarkEnd w:id="62"/>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In addition, during January 2018, Ashland repatriated approximately $300 million in cash that was used to repay existing debt. There were no other significant changes to the contractual obligations table as presented at September 30, 2017.</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2017.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six months ended March 31, 2018.</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Year 2018</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Ashland updated its financial outlook for fiscal 2018 as shown in the table below.</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20" w:type="dxa"/>
            <w:vAlign w:val="bottom"/>
            <w:tcBorders>
              <w:top w:val="single" w:sz="8" w:color="auto"/>
              <w:bottom w:val="single" w:sz="8" w:color="auto"/>
            </w:tcBorders>
          </w:tcPr>
          <w:p>
            <w:pPr>
              <w:spacing w:after="0"/>
              <w:rPr>
                <w:sz w:val="21"/>
                <w:szCs w:val="21"/>
                <w:color w:val="auto"/>
              </w:rPr>
            </w:pPr>
          </w:p>
        </w:tc>
        <w:tc>
          <w:tcPr>
            <w:tcW w:w="3940" w:type="dxa"/>
            <w:vAlign w:val="bottom"/>
            <w:tcBorders>
              <w:top w:val="single" w:sz="8" w:color="auto"/>
              <w:bottom w:val="single" w:sz="8" w:color="auto"/>
            </w:tcBorders>
            <w:gridSpan w:val="2"/>
          </w:tcPr>
          <w:p>
            <w:pPr>
              <w:jc w:val="center"/>
              <w:ind w:left="1270"/>
              <w:spacing w:after="0"/>
              <w:rPr>
                <w:sz w:val="20"/>
                <w:szCs w:val="20"/>
                <w:color w:val="auto"/>
              </w:rPr>
            </w:pPr>
            <w:r>
              <w:rPr>
                <w:rFonts w:ascii="Arial" w:cs="Arial" w:eastAsia="Arial" w:hAnsi="Arial"/>
                <w:sz w:val="18"/>
                <w:szCs w:val="18"/>
                <w:b w:val="1"/>
                <w:bCs w:val="1"/>
                <w:color w:val="auto"/>
                <w:w w:val="94"/>
              </w:rPr>
              <w:t>Prior FY 2018 Outlook</w:t>
            </w:r>
          </w:p>
        </w:tc>
        <w:tc>
          <w:tcPr>
            <w:tcW w:w="272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2"/>
              </w:rPr>
              <w:t>Updated FY 2018 Outlook</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$590 million</w:t>
            </w:r>
          </w:p>
        </w:tc>
        <w:tc>
          <w:tcPr>
            <w:tcW w:w="2720" w:type="dxa"/>
            <w:vAlign w:val="bottom"/>
            <w:shd w:val="clear" w:color="auto" w:fill="CFF0FC"/>
          </w:tcPr>
          <w:p>
            <w:pPr>
              <w:jc w:val="center"/>
              <w:ind w:left="50"/>
              <w:spacing w:after="0"/>
              <w:rPr>
                <w:sz w:val="20"/>
                <w:szCs w:val="20"/>
                <w:color w:val="auto"/>
              </w:rPr>
            </w:pPr>
            <w:r>
              <w:rPr>
                <w:rFonts w:ascii="Arial" w:cs="Arial" w:eastAsia="Arial" w:hAnsi="Arial"/>
                <w:sz w:val="18"/>
                <w:szCs w:val="18"/>
                <w:color w:val="auto"/>
                <w:w w:val="93"/>
              </w:rPr>
              <w:t>$565 - $585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Composites</w:t>
            </w:r>
          </w:p>
        </w:tc>
        <w:tc>
          <w:tcPr>
            <w:tcW w:w="2300" w:type="dxa"/>
            <w:vAlign w:val="bottom"/>
          </w:tcPr>
          <w:p>
            <w:pPr>
              <w:jc w:val="right"/>
              <w:spacing w:after="0"/>
              <w:rPr>
                <w:sz w:val="20"/>
                <w:szCs w:val="20"/>
                <w:color w:val="auto"/>
              </w:rPr>
            </w:pPr>
            <w:r>
              <w:rPr>
                <w:rFonts w:ascii="Arial" w:cs="Arial" w:eastAsia="Arial" w:hAnsi="Arial"/>
                <w:sz w:val="18"/>
                <w:szCs w:val="18"/>
                <w:color w:val="auto"/>
              </w:rPr>
              <w:t>$85</w:t>
            </w:r>
          </w:p>
        </w:tc>
        <w:tc>
          <w:tcPr>
            <w:tcW w:w="1640" w:type="dxa"/>
            <w:vAlign w:val="bottom"/>
          </w:tcPr>
          <w:p>
            <w:pPr>
              <w:ind w:left="40"/>
              <w:spacing w:after="0"/>
              <w:rPr>
                <w:sz w:val="20"/>
                <w:szCs w:val="20"/>
                <w:color w:val="auto"/>
              </w:rPr>
            </w:pPr>
            <w:r>
              <w:rPr>
                <w:rFonts w:ascii="Arial" w:cs="Arial" w:eastAsia="Arial" w:hAnsi="Arial"/>
                <w:sz w:val="18"/>
                <w:szCs w:val="18"/>
                <w:color w:val="auto"/>
              </w:rPr>
              <w:t>- $95 million</w:t>
            </w:r>
          </w:p>
        </w:tc>
        <w:tc>
          <w:tcPr>
            <w:tcW w:w="2720" w:type="dxa"/>
            <w:vAlign w:val="bottom"/>
          </w:tcPr>
          <w:p>
            <w:pPr>
              <w:jc w:val="center"/>
              <w:ind w:left="50"/>
              <w:spacing w:after="0"/>
              <w:rPr>
                <w:sz w:val="20"/>
                <w:szCs w:val="20"/>
                <w:color w:val="auto"/>
              </w:rPr>
            </w:pPr>
            <w:r>
              <w:rPr>
                <w:rFonts w:ascii="Arial" w:cs="Arial" w:eastAsia="Arial" w:hAnsi="Arial"/>
                <w:sz w:val="18"/>
                <w:szCs w:val="18"/>
                <w:color w:val="auto"/>
                <w:w w:val="94"/>
              </w:rPr>
              <w:t>$90 - $100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&amp; Solvents</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$50 million</w:t>
            </w:r>
          </w:p>
        </w:tc>
        <w:tc>
          <w:tcPr>
            <w:tcW w:w="2720" w:type="dxa"/>
            <w:vAlign w:val="bottom"/>
            <w:shd w:val="clear" w:color="auto" w:fill="CFF0FC"/>
          </w:tcPr>
          <w:p>
            <w:pPr>
              <w:jc w:val="center"/>
              <w:ind w:left="50"/>
              <w:spacing w:after="0"/>
              <w:rPr>
                <w:sz w:val="20"/>
                <w:szCs w:val="20"/>
                <w:color w:val="auto"/>
              </w:rPr>
            </w:pPr>
            <w:r>
              <w:rPr>
                <w:rFonts w:ascii="Arial" w:cs="Arial" w:eastAsia="Arial" w:hAnsi="Arial"/>
                <w:sz w:val="18"/>
                <w:szCs w:val="18"/>
                <w:color w:val="auto"/>
                <w:w w:val="95"/>
              </w:rPr>
              <w:t>$50 - $60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Unallocated and other</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c>
          <w:tcPr>
            <w:tcW w:w="1640" w:type="dxa"/>
            <w:vAlign w:val="bottom"/>
          </w:tcPr>
          <w:p>
            <w:pPr>
              <w:ind w:left="40"/>
              <w:spacing w:after="0"/>
              <w:rPr>
                <w:sz w:val="20"/>
                <w:szCs w:val="20"/>
                <w:color w:val="auto"/>
              </w:rPr>
            </w:pPr>
            <w:r>
              <w:rPr>
                <w:rFonts w:ascii="Arial" w:cs="Arial" w:eastAsia="Arial" w:hAnsi="Arial"/>
                <w:sz w:val="18"/>
                <w:szCs w:val="18"/>
                <w:color w:val="auto"/>
              </w:rPr>
              <w:t>- $45 million)</w:t>
            </w:r>
          </w:p>
        </w:tc>
        <w:tc>
          <w:tcPr>
            <w:tcW w:w="2720" w:type="dxa"/>
            <w:vAlign w:val="bottom"/>
          </w:tcPr>
          <w:p>
            <w:pPr>
              <w:jc w:val="center"/>
              <w:ind w:left="50"/>
              <w:spacing w:after="0"/>
              <w:rPr>
                <w:sz w:val="20"/>
                <w:szCs w:val="20"/>
                <w:color w:val="auto"/>
              </w:rPr>
            </w:pPr>
            <w:r>
              <w:rPr>
                <w:rFonts w:ascii="Arial" w:cs="Arial" w:eastAsia="Arial" w:hAnsi="Arial"/>
                <w:sz w:val="18"/>
                <w:szCs w:val="18"/>
                <w:color w:val="auto"/>
                <w:w w:val="89"/>
              </w:rPr>
              <w:t>No change</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2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Key Operating Metrics</w:t>
            </w:r>
          </w:p>
        </w:tc>
        <w:tc>
          <w:tcPr>
            <w:tcW w:w="2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3940" w:type="dxa"/>
            <w:vAlign w:val="bottom"/>
            <w:gridSpan w:val="2"/>
            <w:shd w:val="clear" w:color="auto" w:fill="CFF0FC"/>
          </w:tcPr>
          <w:p>
            <w:pPr>
              <w:jc w:val="center"/>
              <w:ind w:left="1270"/>
              <w:spacing w:after="0"/>
              <w:rPr>
                <w:sz w:val="20"/>
                <w:szCs w:val="20"/>
                <w:color w:val="auto"/>
              </w:rPr>
            </w:pPr>
            <w:r>
              <w:rPr>
                <w:rFonts w:ascii="Arial" w:cs="Arial" w:eastAsia="Arial" w:hAnsi="Arial"/>
                <w:sz w:val="18"/>
                <w:szCs w:val="18"/>
                <w:color w:val="auto"/>
                <w:w w:val="95"/>
              </w:rPr>
              <w:t>&gt;$220 million</w:t>
            </w:r>
          </w:p>
        </w:tc>
        <w:tc>
          <w:tcPr>
            <w:tcW w:w="2720" w:type="dxa"/>
            <w:vAlign w:val="bottom"/>
            <w:shd w:val="clear" w:color="auto" w:fill="CFF0FC"/>
          </w:tcPr>
          <w:p>
            <w:pPr>
              <w:jc w:val="center"/>
              <w:ind w:left="50"/>
              <w:spacing w:after="0"/>
              <w:rPr>
                <w:sz w:val="20"/>
                <w:szCs w:val="20"/>
                <w:color w:val="auto"/>
              </w:rPr>
            </w:pPr>
            <w:r>
              <w:rPr>
                <w:rFonts w:ascii="Arial" w:cs="Arial" w:eastAsia="Arial" w:hAnsi="Arial"/>
                <w:sz w:val="18"/>
                <w:szCs w:val="18"/>
                <w:color w:val="auto"/>
                <w:w w:val="89"/>
              </w:rPr>
              <w:t>No 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Adjusted diluted EPS</w:t>
            </w:r>
          </w:p>
        </w:tc>
        <w:tc>
          <w:tcPr>
            <w:tcW w:w="3940" w:type="dxa"/>
            <w:vAlign w:val="bottom"/>
            <w:gridSpan w:val="2"/>
          </w:tcPr>
          <w:p>
            <w:pPr>
              <w:jc w:val="right"/>
              <w:ind w:right="730"/>
              <w:spacing w:after="0"/>
              <w:rPr>
                <w:sz w:val="20"/>
                <w:szCs w:val="20"/>
                <w:color w:val="auto"/>
              </w:rPr>
            </w:pPr>
            <w:r>
              <w:rPr>
                <w:rFonts w:ascii="Arial" w:cs="Arial" w:eastAsia="Arial" w:hAnsi="Arial"/>
                <w:sz w:val="18"/>
                <w:szCs w:val="18"/>
                <w:color w:val="auto"/>
              </w:rPr>
              <w:t>$2.90 - $3.10</w:t>
            </w:r>
          </w:p>
        </w:tc>
        <w:tc>
          <w:tcPr>
            <w:tcW w:w="2720" w:type="dxa"/>
            <w:vAlign w:val="bottom"/>
          </w:tcPr>
          <w:p>
            <w:pPr>
              <w:jc w:val="right"/>
              <w:ind w:right="710"/>
              <w:spacing w:after="0"/>
              <w:rPr>
                <w:sz w:val="20"/>
                <w:szCs w:val="20"/>
                <w:color w:val="auto"/>
              </w:rPr>
            </w:pPr>
            <w:r>
              <w:rPr>
                <w:rFonts w:ascii="Arial" w:cs="Arial" w:eastAsia="Arial" w:hAnsi="Arial"/>
                <w:sz w:val="18"/>
                <w:szCs w:val="18"/>
                <w:color w:val="auto"/>
              </w:rPr>
              <w:t>$3.30 - $3.50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2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Corporate Items</w:t>
            </w:r>
          </w:p>
        </w:tc>
        <w:tc>
          <w:tcPr>
            <w:tcW w:w="2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&amp; amortization</w:t>
            </w:r>
          </w:p>
        </w:tc>
        <w:tc>
          <w:tcPr>
            <w:tcW w:w="3940" w:type="dxa"/>
            <w:vAlign w:val="bottom"/>
            <w:gridSpan w:val="2"/>
            <w:shd w:val="clear" w:color="auto" w:fill="CFF0FC"/>
          </w:tcPr>
          <w:p>
            <w:pPr>
              <w:jc w:val="center"/>
              <w:ind w:left="1270"/>
              <w:spacing w:after="0"/>
              <w:rPr>
                <w:sz w:val="20"/>
                <w:szCs w:val="20"/>
                <w:color w:val="auto"/>
              </w:rPr>
            </w:pPr>
            <w:r>
              <w:rPr>
                <w:rFonts w:ascii="Arial" w:cs="Arial" w:eastAsia="Arial" w:hAnsi="Arial"/>
                <w:sz w:val="18"/>
                <w:szCs w:val="18"/>
                <w:color w:val="auto"/>
                <w:w w:val="95"/>
              </w:rPr>
              <w:t>~$290 million</w:t>
            </w:r>
          </w:p>
        </w:tc>
        <w:tc>
          <w:tcPr>
            <w:tcW w:w="2720" w:type="dxa"/>
            <w:vAlign w:val="bottom"/>
            <w:shd w:val="clear" w:color="auto" w:fill="CFF0FC"/>
          </w:tcPr>
          <w:p>
            <w:pPr>
              <w:jc w:val="center"/>
              <w:ind w:left="50"/>
              <w:spacing w:after="0"/>
              <w:rPr>
                <w:sz w:val="20"/>
                <w:szCs w:val="20"/>
                <w:color w:val="auto"/>
              </w:rPr>
            </w:pPr>
            <w:r>
              <w:rPr>
                <w:rFonts w:ascii="Arial" w:cs="Arial" w:eastAsia="Arial" w:hAnsi="Arial"/>
                <w:sz w:val="18"/>
                <w:szCs w:val="18"/>
                <w:color w:val="auto"/>
                <w:w w:val="95"/>
              </w:rPr>
              <w:t>~$300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expense</w:t>
            </w:r>
          </w:p>
        </w:tc>
        <w:tc>
          <w:tcPr>
            <w:tcW w:w="2300" w:type="dxa"/>
            <w:vAlign w:val="bottom"/>
          </w:tcPr>
          <w:p>
            <w:pPr>
              <w:jc w:val="right"/>
              <w:spacing w:after="0"/>
              <w:rPr>
                <w:sz w:val="20"/>
                <w:szCs w:val="20"/>
                <w:color w:val="auto"/>
              </w:rPr>
            </w:pPr>
            <w:r>
              <w:rPr>
                <w:rFonts w:ascii="Arial" w:cs="Arial" w:eastAsia="Arial" w:hAnsi="Arial"/>
                <w:sz w:val="18"/>
                <w:szCs w:val="18"/>
                <w:color w:val="auto"/>
              </w:rPr>
              <w:t>$125</w:t>
            </w:r>
          </w:p>
        </w:tc>
        <w:tc>
          <w:tcPr>
            <w:tcW w:w="1640" w:type="dxa"/>
            <w:vAlign w:val="bottom"/>
          </w:tcPr>
          <w:p>
            <w:pPr>
              <w:ind w:left="40"/>
              <w:spacing w:after="0"/>
              <w:rPr>
                <w:sz w:val="20"/>
                <w:szCs w:val="20"/>
                <w:color w:val="auto"/>
              </w:rPr>
            </w:pPr>
            <w:r>
              <w:rPr>
                <w:rFonts w:ascii="Arial" w:cs="Arial" w:eastAsia="Arial" w:hAnsi="Arial"/>
                <w:sz w:val="18"/>
                <w:szCs w:val="18"/>
                <w:color w:val="auto"/>
              </w:rPr>
              <w:t>- $135 million</w:t>
            </w:r>
          </w:p>
        </w:tc>
        <w:tc>
          <w:tcPr>
            <w:tcW w:w="2720" w:type="dxa"/>
            <w:vAlign w:val="bottom"/>
          </w:tcPr>
          <w:p>
            <w:pPr>
              <w:jc w:val="center"/>
              <w:ind w:left="50"/>
              <w:spacing w:after="0"/>
              <w:rPr>
                <w:sz w:val="20"/>
                <w:szCs w:val="20"/>
                <w:color w:val="auto"/>
              </w:rPr>
            </w:pPr>
            <w:r>
              <w:rPr>
                <w:rFonts w:ascii="Arial" w:cs="Arial" w:eastAsia="Arial" w:hAnsi="Arial"/>
                <w:sz w:val="18"/>
                <w:szCs w:val="18"/>
                <w:color w:val="auto"/>
                <w:w w:val="93"/>
              </w:rPr>
              <w:t>$123 - $128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1"/>
              </w:rPr>
              <w:t>16 - 20%</w:t>
            </w:r>
          </w:p>
        </w:tc>
        <w:tc>
          <w:tcPr>
            <w:tcW w:w="272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rPr>
              <w:t>13 - 17%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expenditures</w:t>
            </w:r>
          </w:p>
        </w:tc>
        <w:tc>
          <w:tcPr>
            <w:tcW w:w="2300" w:type="dxa"/>
            <w:vAlign w:val="bottom"/>
          </w:tcPr>
          <w:p>
            <w:pPr>
              <w:jc w:val="right"/>
              <w:spacing w:after="0"/>
              <w:rPr>
                <w:sz w:val="20"/>
                <w:szCs w:val="20"/>
                <w:color w:val="auto"/>
              </w:rPr>
            </w:pPr>
            <w:r>
              <w:rPr>
                <w:rFonts w:ascii="Arial" w:cs="Arial" w:eastAsia="Arial" w:hAnsi="Arial"/>
                <w:sz w:val="18"/>
                <w:szCs w:val="18"/>
                <w:color w:val="auto"/>
              </w:rPr>
              <w:t>$195</w:t>
            </w:r>
          </w:p>
        </w:tc>
        <w:tc>
          <w:tcPr>
            <w:tcW w:w="1640" w:type="dxa"/>
            <w:vAlign w:val="bottom"/>
          </w:tcPr>
          <w:p>
            <w:pPr>
              <w:ind w:left="40"/>
              <w:spacing w:after="0"/>
              <w:rPr>
                <w:sz w:val="20"/>
                <w:szCs w:val="20"/>
                <w:color w:val="auto"/>
              </w:rPr>
            </w:pPr>
            <w:r>
              <w:rPr>
                <w:rFonts w:ascii="Arial" w:cs="Arial" w:eastAsia="Arial" w:hAnsi="Arial"/>
                <w:sz w:val="18"/>
                <w:szCs w:val="18"/>
                <w:color w:val="auto"/>
              </w:rPr>
              <w:t>- $205 million</w:t>
            </w:r>
          </w:p>
        </w:tc>
        <w:tc>
          <w:tcPr>
            <w:tcW w:w="2720" w:type="dxa"/>
            <w:vAlign w:val="bottom"/>
          </w:tcPr>
          <w:p>
            <w:pPr>
              <w:jc w:val="center"/>
              <w:ind w:left="50"/>
              <w:spacing w:after="0"/>
              <w:rPr>
                <w:sz w:val="20"/>
                <w:szCs w:val="20"/>
                <w:color w:val="auto"/>
              </w:rPr>
            </w:pPr>
            <w:r>
              <w:rPr>
                <w:rFonts w:ascii="Arial" w:cs="Arial" w:eastAsia="Arial" w:hAnsi="Arial"/>
                <w:sz w:val="18"/>
                <w:szCs w:val="18"/>
                <w:color w:val="auto"/>
                <w:w w:val="89"/>
              </w:rPr>
              <w:t>No 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Diluted share count</w:t>
            </w:r>
          </w:p>
        </w:tc>
        <w:tc>
          <w:tcPr>
            <w:tcW w:w="3940" w:type="dxa"/>
            <w:vAlign w:val="bottom"/>
            <w:gridSpan w:val="2"/>
            <w:shd w:val="clear" w:color="auto" w:fill="CFF0FC"/>
          </w:tcPr>
          <w:p>
            <w:pPr>
              <w:jc w:val="center"/>
              <w:ind w:left="1270"/>
              <w:spacing w:after="0"/>
              <w:rPr>
                <w:sz w:val="20"/>
                <w:szCs w:val="20"/>
                <w:color w:val="auto"/>
              </w:rPr>
            </w:pPr>
            <w:r>
              <w:rPr>
                <w:rFonts w:ascii="Arial" w:cs="Arial" w:eastAsia="Arial" w:hAnsi="Arial"/>
                <w:sz w:val="18"/>
                <w:szCs w:val="18"/>
                <w:color w:val="auto"/>
                <w:w w:val="99"/>
              </w:rPr>
              <w:t>~64 million</w:t>
            </w:r>
          </w:p>
        </w:tc>
        <w:tc>
          <w:tcPr>
            <w:tcW w:w="2720" w:type="dxa"/>
            <w:vAlign w:val="bottom"/>
            <w:shd w:val="clear" w:color="auto" w:fill="CFF0FC"/>
          </w:tcPr>
          <w:p>
            <w:pPr>
              <w:jc w:val="center"/>
              <w:ind w:left="50"/>
              <w:spacing w:after="0"/>
              <w:rPr>
                <w:sz w:val="20"/>
                <w:szCs w:val="20"/>
                <w:color w:val="auto"/>
              </w:rPr>
            </w:pPr>
            <w:r>
              <w:rPr>
                <w:rFonts w:ascii="Arial" w:cs="Arial" w:eastAsia="Arial" w:hAnsi="Arial"/>
                <w:sz w:val="18"/>
                <w:szCs w:val="18"/>
                <w:color w:val="auto"/>
                <w:w w:val="89"/>
              </w:rPr>
              <w:t>No change</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Third Quarter of 2018</w:t>
      </w:r>
    </w:p>
    <w:p>
      <w:pPr>
        <w:spacing w:after="0" w:line="108" w:lineRule="exact"/>
        <w:rPr>
          <w:sz w:val="20"/>
          <w:szCs w:val="20"/>
          <w:color w:val="auto"/>
        </w:rPr>
      </w:pPr>
    </w:p>
    <w:p>
      <w:pPr>
        <w:ind w:left="400"/>
        <w:spacing w:after="0" w:line="287" w:lineRule="auto"/>
        <w:rPr>
          <w:sz w:val="20"/>
          <w:szCs w:val="20"/>
          <w:color w:val="auto"/>
        </w:rPr>
      </w:pPr>
      <w:r>
        <w:rPr>
          <w:rFonts w:ascii="Arial" w:cs="Arial" w:eastAsia="Arial" w:hAnsi="Arial"/>
          <w:sz w:val="19"/>
          <w:szCs w:val="19"/>
          <w:color w:val="auto"/>
        </w:rPr>
        <w:t>For the third quarter of fiscal 2018, Ashland expects Adjusted diluted EPS to be in the range of $0.95-$1.05 per diluted share, compared to $0.83 in the prior-year period. This estimate assumes an effective tax rate of 17% for the third quarter.</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3" w:name="page64"/>
    <w:bookmarkEnd w:id="63"/>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market risk exposure at March 31, 2018 is generally consistent with the types of market risk exposures presented in Ashland’s Annual Report on Form 10-K for the fiscal year ended September 30, 2017.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i w:val="1"/>
          <w:iCs w:val="1"/>
          <w:color w:val="auto"/>
        </w:rPr>
        <w:t xml:space="preserve">Disclosure Controls and Procedures </w:t>
      </w:r>
      <w:r>
        <w:rPr>
          <w:rFonts w:ascii="Arial" w:cs="Arial" w:eastAsia="Arial" w:hAnsi="Arial"/>
          <w:sz w:val="19"/>
          <w:szCs w:val="19"/>
          <w:color w:val="auto"/>
        </w:rPr>
        <w:t>- As of the end of the period covered by this quarterly report, Ashland, under the supervision and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March 31, 2018.</w:t>
      </w:r>
    </w:p>
    <w:p>
      <w:pPr>
        <w:spacing w:after="0" w:line="73"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six months ended March 31, 2018,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83"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During the June 2017 quarter, Ashland completed its purchase of Pharmachem. Although management believes appropriate internal controls and procedures have been maintained, Pharmachem’s controls and procedures for the recording, processing, and summarizing of financial information have not been fully evaluated by Ashland’s management as of March 31, 2018. As such, there is a risk that deficiencies may exist and not yet be identified that could constitute significant deficiencies or in the aggregate, a material weakness related to Pharmachem's businesses.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description of Ashland’s material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firstLine="401"/>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9"/>
          <w:szCs w:val="19"/>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2"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K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firstLine="409"/>
        <w:spacing w:after="0" w:line="256" w:lineRule="auto"/>
        <w:tabs>
          <w:tab w:leader="none" w:pos="740" w:val="left"/>
        </w:tabs>
        <w:numPr>
          <w:ilvl w:val="0"/>
          <w:numId w:val="3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CERCLA and Similar State Law Sites - </w:t>
      </w:r>
      <w:r>
        <w:rPr>
          <w:rFonts w:ascii="Arial" w:cs="Arial" w:eastAsia="Arial" w:hAnsi="Arial"/>
          <w:sz w:val="19"/>
          <w:szCs w:val="19"/>
          <w:color w:val="auto"/>
        </w:rPr>
        <w:t>Under the Comprehensive Environmental Response, Compensation and Liability Act of 1980</w:t>
      </w:r>
      <w:r>
        <w:rPr>
          <w:rFonts w:ascii="Arial" w:cs="Arial" w:eastAsia="Arial" w:hAnsi="Arial"/>
          <w:sz w:val="19"/>
          <w:szCs w:val="19"/>
          <w:i w:val="1"/>
          <w:iCs w:val="1"/>
          <w:color w:val="auto"/>
        </w:rPr>
        <w:t xml:space="preserve"> </w:t>
      </w:r>
      <w:r>
        <w:rPr>
          <w:rFonts w:ascii="Arial" w:cs="Arial" w:eastAsia="Arial" w:hAnsi="Arial"/>
          <w:sz w:val="19"/>
          <w:szCs w:val="19"/>
          <w:color w:val="auto"/>
        </w:rPr>
        <w:t>and similar state laws, Ashland and its subsidiaries may be subject to joint and several liability for cleanup costs in connection with alleged releases of hazardous substances at sites where it has been identified as a “potentially responsible party” (PRP). As of March 31, 2018, Ashland and its subsidiaries have been identified as a PRP by U.S. federal and state authorities, or by private parties seeking contribution, for the cost of environmental investigation and/or cleanup at 83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6" w:lineRule="exact"/>
        <w:rPr>
          <w:rFonts w:ascii="Arial" w:cs="Arial" w:eastAsia="Arial" w:hAnsi="Arial"/>
          <w:sz w:val="19"/>
          <w:szCs w:val="19"/>
          <w:i w:val="1"/>
          <w:iCs w:val="1"/>
          <w:color w:val="auto"/>
        </w:rPr>
      </w:pPr>
    </w:p>
    <w:p>
      <w:pPr>
        <w:jc w:val="both"/>
        <w:ind w:firstLine="409"/>
        <w:spacing w:after="0" w:line="273" w:lineRule="auto"/>
        <w:tabs>
          <w:tab w:leader="none" w:pos="809"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Hattiesburg, Mississippi Resource Conservation and Recovery Act Matter - </w:t>
      </w:r>
      <w:r>
        <w:rPr>
          <w:rFonts w:ascii="Arial" w:cs="Arial" w:eastAsia="Arial" w:hAnsi="Arial"/>
          <w:sz w:val="18"/>
          <w:szCs w:val="18"/>
          <w:color w:val="auto"/>
        </w:rPr>
        <w:t>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5" w:name="page66"/>
    <w:bookmarkEnd w:id="65"/>
    <w:p>
      <w:pPr>
        <w:jc w:val="both"/>
        <w:ind w:firstLine="409"/>
        <w:spacing w:after="0" w:line="255" w:lineRule="auto"/>
        <w:tabs>
          <w:tab w:leader="none" w:pos="746" w:val="left"/>
        </w:tabs>
        <w:numPr>
          <w:ilvl w:val="0"/>
          <w:numId w:val="35"/>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Lower Passaic River, New Jersey Matters - </w:t>
      </w:r>
      <w:r>
        <w:rPr>
          <w:rFonts w:ascii="Arial" w:cs="Arial" w:eastAsia="Arial" w:hAnsi="Arial"/>
          <w:sz w:val="19"/>
          <w:szCs w:val="19"/>
          <w:color w:val="auto"/>
        </w:rPr>
        <w:t>Ashland, through two formerly owned facilities, and ISP, through a now-closed facility,</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Occidental to conduct and pay for the remedial design. The USEPA has advised that it will be working to secure similar agreements with other PRPs. The release of the FFS Record of Decision did not have a material adverse impact on Ashland’s business and financial operations; however, there are a number of contingencies in the future that could possibly have a material impact including adverse rulings or verdicts, allocation proceedings and related orders.</w:t>
      </w:r>
    </w:p>
    <w:p>
      <w:pPr>
        <w:spacing w:after="0" w:line="77"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K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ind w:firstLine="401"/>
        <w:spacing w:after="0" w:line="243" w:lineRule="auto"/>
        <w:rPr>
          <w:sz w:val="20"/>
          <w:szCs w:val="20"/>
          <w:color w:val="auto"/>
        </w:rPr>
      </w:pPr>
      <w:r>
        <w:rPr>
          <w:rFonts w:ascii="Arial" w:cs="Arial" w:eastAsia="Arial" w:hAnsi="Arial"/>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2018. There is a reasonable possibility that a loss exceeding amounts already recognized may be incurred related to these actions; however, Ashland believes that such potential losses were immaterial as of March 31, 2018.</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jc w:val="both"/>
        <w:ind w:right="20" w:firstLine="401"/>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66" w:name="page67"/>
    <w:bookmarkEnd w:id="66"/>
    <w:p>
      <w:pPr>
        <w:jc w:val="center"/>
        <w:ind w:right="3560"/>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125" w:lineRule="exact"/>
        <w:rPr>
          <w:sz w:val="20"/>
          <w:szCs w:val="20"/>
          <w:color w:val="auto"/>
        </w:rPr>
      </w:pPr>
    </w:p>
    <w:p>
      <w:pPr>
        <w:jc w:val="center"/>
        <w:ind w:right="3560"/>
        <w:spacing w:after="0"/>
        <w:rPr>
          <w:sz w:val="20"/>
          <w:szCs w:val="20"/>
          <w:color w:val="auto"/>
        </w:rPr>
      </w:pPr>
      <w:r>
        <w:rPr>
          <w:rFonts w:ascii="Arial" w:cs="Arial" w:eastAsia="Arial" w:hAnsi="Arial"/>
          <w:sz w:val="19"/>
          <w:szCs w:val="19"/>
          <w:color w:val="auto"/>
        </w:rPr>
        <w:t>Share repurchase activity during the three months ended March 31, 2018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4020" w:type="dxa"/>
            <w:vAlign w:val="bottom"/>
            <w:gridSpan w:val="4"/>
          </w:tcPr>
          <w:p>
            <w:pPr>
              <w:jc w:val="right"/>
              <w:ind w:right="910"/>
              <w:spacing w:after="0"/>
              <w:rPr>
                <w:sz w:val="20"/>
                <w:szCs w:val="20"/>
                <w:color w:val="auto"/>
              </w:rPr>
            </w:pPr>
            <w:r>
              <w:rPr>
                <w:rFonts w:ascii="Arial" w:cs="Arial" w:eastAsia="Arial" w:hAnsi="Arial"/>
                <w:sz w:val="18"/>
                <w:szCs w:val="18"/>
                <w:color w:val="auto"/>
              </w:rPr>
              <w:t>Issuer Purchases of Equity Securities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color w:val="auto"/>
              </w:rPr>
              <w:t>Dollar Value of</w:t>
            </w:r>
          </w:p>
        </w:tc>
        <w:tc>
          <w:tcPr>
            <w:tcW w:w="0" w:type="dxa"/>
            <w:vAlign w:val="bottom"/>
          </w:tcPr>
          <w:p>
            <w:pPr>
              <w:spacing w:after="0"/>
              <w:rPr>
                <w:sz w:val="1"/>
                <w:szCs w:val="1"/>
                <w:color w:val="auto"/>
              </w:rPr>
            </w:pPr>
          </w:p>
        </w:tc>
      </w:tr>
      <w:tr>
        <w:trPr>
          <w:trHeight w:val="215"/>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Total Number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Shares that May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Average Price</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w w:val="99"/>
              </w:rPr>
              <w:t>Shares Purchased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0"/>
              </w:rPr>
              <w:t>Yet Be Purchased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w w:val="97"/>
              </w:rPr>
              <w:t>Paid Per Share,</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as Part of Publicly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Under the Plans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Total Number of</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including</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Announced Plans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or Programs</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ind w:left="1240"/>
              <w:spacing w:after="0"/>
              <w:rPr>
                <w:sz w:val="20"/>
                <w:szCs w:val="20"/>
                <w:color w:val="auto"/>
              </w:rPr>
            </w:pPr>
            <w:r>
              <w:rPr>
                <w:rFonts w:ascii="Arial" w:cs="Arial" w:eastAsia="Arial" w:hAnsi="Arial"/>
                <w:sz w:val="18"/>
                <w:szCs w:val="18"/>
                <w:color w:val="auto"/>
              </w:rPr>
              <w:t>Q2 Fiscal Periods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Shares Purchased</w:t>
            </w:r>
          </w:p>
        </w:tc>
        <w:tc>
          <w:tcPr>
            <w:tcW w:w="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commission</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or Programs</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 millions)(a)</w:t>
            </w: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January 1, 2018 to January 31, 2018:</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Employee Tax Withholdings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3,105</w:t>
            </w:r>
          </w:p>
        </w:tc>
        <w:tc>
          <w:tcPr>
            <w:tcW w:w="400" w:type="dxa"/>
            <w:vAlign w:val="bottom"/>
          </w:tcPr>
          <w:p>
            <w:pPr>
              <w:spacing w:after="0"/>
              <w:rPr>
                <w:sz w:val="20"/>
                <w:szCs w:val="20"/>
                <w:color w:val="auto"/>
              </w:rPr>
            </w:pPr>
            <w:r>
              <w:rPr>
                <w:rFonts w:ascii="Arial" w:cs="Arial" w:eastAsia="Arial" w:hAnsi="Arial"/>
                <w:sz w:val="18"/>
                <w:szCs w:val="18"/>
                <w:color w:val="auto"/>
              </w:rPr>
              <w:t>(b)</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72.39</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February 1, 2018 to February 28, 2018:</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Employee Tax Withholdings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1,224</w:t>
            </w:r>
          </w:p>
        </w:tc>
        <w:tc>
          <w:tcPr>
            <w:tcW w:w="400" w:type="dxa"/>
            <w:vAlign w:val="bottom"/>
          </w:tcPr>
          <w:p>
            <w:pPr>
              <w:spacing w:after="0"/>
              <w:rPr>
                <w:sz w:val="20"/>
                <w:szCs w:val="20"/>
                <w:color w:val="auto"/>
              </w:rPr>
            </w:pPr>
            <w:r>
              <w:rPr>
                <w:rFonts w:ascii="Arial" w:cs="Arial" w:eastAsia="Arial" w:hAnsi="Arial"/>
                <w:sz w:val="18"/>
                <w:szCs w:val="18"/>
                <w:color w:val="auto"/>
              </w:rPr>
              <w:t>(b)</w:t>
            </w:r>
          </w:p>
        </w:tc>
        <w:tc>
          <w:tcPr>
            <w:tcW w:w="42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70.24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March 1, 2018 to March 31, 2018:</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Employee Tax Withholdings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230"/>
              <w:spacing w:after="0"/>
              <w:rPr>
                <w:sz w:val="20"/>
                <w:szCs w:val="20"/>
                <w:color w:val="auto"/>
              </w:rPr>
            </w:pPr>
            <w:r>
              <w:rPr>
                <w:rFonts w:ascii="Arial" w:cs="Arial" w:eastAsia="Arial" w:hAnsi="Arial"/>
                <w:sz w:val="18"/>
                <w:szCs w:val="18"/>
                <w:color w:val="auto"/>
              </w:rPr>
              <w:t>67.10</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4,334</w:t>
            </w:r>
          </w:p>
        </w:tc>
        <w:tc>
          <w:tcPr>
            <w:tcW w:w="4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09"/>
        <w:spacing w:after="0" w:line="276" w:lineRule="auto"/>
        <w:tabs>
          <w:tab w:leader="none" w:pos="72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April 2015, the Company's Board of Directors authorized a program to repurchase up to $1 billion of the Company's stock, with the authorization expiring December 31, 2017. In September 2017, the Company's Board of Directors renewed the program for the remaining $500 million. 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March 31, 2018, $1 billion remains available for repurchase under this authorization.</w:t>
      </w:r>
    </w:p>
    <w:p>
      <w:pPr>
        <w:spacing w:after="0" w:line="70" w:lineRule="exact"/>
        <w:rPr>
          <w:rFonts w:ascii="Arial" w:cs="Arial" w:eastAsia="Arial" w:hAnsi="Arial"/>
          <w:sz w:val="18"/>
          <w:szCs w:val="18"/>
          <w:color w:val="auto"/>
        </w:rPr>
      </w:pPr>
    </w:p>
    <w:p>
      <w:pPr>
        <w:ind w:left="740" w:hanging="331"/>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withheld from employees to cover their withholding requirements for personal income taxes related to the vesting of restricted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ITEM 6. EXHIBITS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(a)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80" w:type="dxa"/>
            <w:vAlign w:val="bottom"/>
          </w:tcPr>
          <w:p>
            <w:pPr>
              <w:ind w:left="60"/>
              <w:spacing w:after="0"/>
              <w:rPr>
                <w:sz w:val="20"/>
                <w:szCs w:val="20"/>
                <w:color w:val="auto"/>
              </w:rPr>
            </w:pPr>
            <w:r>
              <w:rPr>
                <w:rFonts w:ascii="Arial" w:cs="Arial" w:eastAsia="Arial" w:hAnsi="Arial"/>
                <w:sz w:val="20"/>
                <w:szCs w:val="20"/>
                <w:color w:val="auto"/>
              </w:rPr>
              <w:t>12*</w:t>
            </w:r>
          </w:p>
        </w:tc>
        <w:tc>
          <w:tcPr>
            <w:tcW w:w="37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Computation of Ratio of Earnings to Fixed Charges.</w:t>
            </w:r>
          </w:p>
        </w:tc>
        <w:tc>
          <w:tcPr>
            <w:tcW w:w="62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80" w:type="dxa"/>
            <w:vAlign w:val="bottom"/>
          </w:tcPr>
          <w:p>
            <w:pPr>
              <w:ind w:left="60"/>
              <w:spacing w:after="0"/>
              <w:rPr>
                <w:sz w:val="20"/>
                <w:szCs w:val="20"/>
                <w:color w:val="auto"/>
              </w:rPr>
            </w:pPr>
            <w:r>
              <w:rPr>
                <w:rFonts w:ascii="Arial" w:cs="Arial" w:eastAsia="Arial" w:hAnsi="Arial"/>
                <w:sz w:val="20"/>
                <w:szCs w:val="20"/>
                <w:color w:val="auto"/>
              </w:rPr>
              <w:t>31.1*</w:t>
            </w:r>
          </w:p>
        </w:tc>
        <w:tc>
          <w:tcPr>
            <w:tcW w:w="9980" w:type="dxa"/>
            <w:vAlign w:val="bottom"/>
            <w:gridSpan w:val="5"/>
          </w:tcPr>
          <w:p>
            <w:pPr>
              <w:spacing w:after="0"/>
              <w:rPr>
                <w:sz w:val="20"/>
                <w:szCs w:val="20"/>
                <w:color w:val="auto"/>
              </w:rPr>
            </w:pPr>
            <w:r>
              <w:rPr>
                <w:rFonts w:ascii="Arial" w:cs="Arial" w:eastAsia="Arial" w:hAnsi="Arial"/>
                <w:sz w:val="18"/>
                <w:szCs w:val="18"/>
                <w:color w:val="0000EE"/>
                <w:w w:val="96"/>
              </w:rPr>
              <w:t>Certificate of William A. Wulfsohn, Chief Executive Officer of Ashland pursuant to Section 302 of the Sarbanes-Oxley Act of 2002.</w:t>
            </w:r>
          </w:p>
        </w:tc>
        <w:tc>
          <w:tcPr>
            <w:tcW w:w="0" w:type="dxa"/>
            <w:vAlign w:val="bottom"/>
          </w:tcPr>
          <w:p>
            <w:pPr>
              <w:spacing w:after="0"/>
              <w:rPr>
                <w:sz w:val="1"/>
                <w:szCs w:val="1"/>
                <w:color w:val="auto"/>
              </w:rPr>
            </w:pPr>
          </w:p>
        </w:tc>
      </w:tr>
      <w:tr>
        <w:trPr>
          <w:trHeight w:val="331"/>
        </w:trPr>
        <w:tc>
          <w:tcPr>
            <w:tcW w:w="1380" w:type="dxa"/>
            <w:vAlign w:val="bottom"/>
          </w:tcPr>
          <w:p>
            <w:pPr>
              <w:ind w:left="60"/>
              <w:spacing w:after="0"/>
              <w:rPr>
                <w:sz w:val="20"/>
                <w:szCs w:val="20"/>
                <w:color w:val="auto"/>
              </w:rPr>
            </w:pPr>
            <w:r>
              <w:rPr>
                <w:rFonts w:ascii="Arial" w:cs="Arial" w:eastAsia="Arial" w:hAnsi="Arial"/>
                <w:sz w:val="20"/>
                <w:szCs w:val="20"/>
                <w:color w:val="auto"/>
              </w:rPr>
              <w:t>31.2*</w:t>
            </w:r>
          </w:p>
        </w:tc>
        <w:tc>
          <w:tcPr>
            <w:tcW w:w="95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w w:val="97"/>
              </w:rPr>
              <w:t>Certificate of J. Kevin Willis, Chief Financial Officer of Ashland pursuant to Section 302 of the Sarbanes-Oxley Act of 2002.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60"/>
              <w:spacing w:after="0"/>
              <w:rPr>
                <w:sz w:val="20"/>
                <w:szCs w:val="20"/>
                <w:color w:val="auto"/>
              </w:rPr>
            </w:pPr>
            <w:r>
              <w:rPr>
                <w:rFonts w:ascii="Arial" w:cs="Arial" w:eastAsia="Arial" w:hAnsi="Arial"/>
                <w:sz w:val="20"/>
                <w:szCs w:val="20"/>
                <w:color w:val="auto"/>
              </w:rPr>
              <w:t>32*</w:t>
            </w:r>
          </w:p>
        </w:tc>
        <w:tc>
          <w:tcPr>
            <w:tcW w:w="3640" w:type="dxa"/>
            <w:vAlign w:val="bottom"/>
            <w:shd w:val="clear" w:color="auto" w:fill="0000EE"/>
          </w:tcPr>
          <w:p>
            <w:pPr>
              <w:spacing w:after="0" w:line="20" w:lineRule="exact"/>
              <w:rPr>
                <w:sz w:val="1"/>
                <w:szCs w:val="1"/>
                <w:color w:val="auto"/>
              </w:rPr>
            </w:pPr>
          </w:p>
        </w:tc>
        <w:tc>
          <w:tcPr>
            <w:tcW w:w="540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80" w:type="dxa"/>
            <w:vAlign w:val="bottom"/>
            <w:vMerge w:val="continue"/>
          </w:tcPr>
          <w:p>
            <w:pPr>
              <w:spacing w:after="0"/>
              <w:rPr>
                <w:sz w:val="24"/>
                <w:szCs w:val="24"/>
                <w:color w:val="auto"/>
              </w:rPr>
            </w:pPr>
          </w:p>
        </w:tc>
        <w:tc>
          <w:tcPr>
            <w:tcW w:w="99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4"/>
              </w:rPr>
              <w:t>Certificate of William A. Wulfsohn, Chief Executive Officer of Ashland, and J. Kevin Willis, Chief Financial Officer of Ashland pursuant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5"/>
          </w:tcPr>
          <w:p>
            <w:pPr>
              <w:spacing w:after="0" w:line="196" w:lineRule="exact"/>
              <w:rPr>
                <w:sz w:val="20"/>
                <w:szCs w:val="20"/>
                <w:color w:val="auto"/>
              </w:rPr>
            </w:pPr>
            <w:r>
              <w:rPr>
                <w:rFonts w:ascii="Arial" w:cs="Arial" w:eastAsia="Arial" w:hAnsi="Arial"/>
                <w:sz w:val="18"/>
                <w:szCs w:val="18"/>
                <w:color w:val="0000EE"/>
              </w:rPr>
              <w:t>to Section 906 of the Sarbanes-Oxley Act of 2002.</w:t>
            </w:r>
          </w:p>
        </w:tc>
        <w:tc>
          <w:tcPr>
            <w:tcW w:w="0" w:type="dxa"/>
            <w:vAlign w:val="bottom"/>
          </w:tcPr>
          <w:p>
            <w:pPr>
              <w:spacing w:after="0"/>
              <w:rPr>
                <w:sz w:val="1"/>
                <w:szCs w:val="1"/>
                <w:color w:val="auto"/>
              </w:rPr>
            </w:pPr>
          </w:p>
        </w:tc>
      </w:tr>
      <w:tr>
        <w:trPr>
          <w:trHeight w:val="376"/>
        </w:trPr>
        <w:tc>
          <w:tcPr>
            <w:tcW w:w="1380" w:type="dxa"/>
            <w:vAlign w:val="bottom"/>
          </w:tcPr>
          <w:p>
            <w:pPr>
              <w:spacing w:after="0"/>
              <w:rPr>
                <w:sz w:val="20"/>
                <w:szCs w:val="20"/>
                <w:color w:val="auto"/>
              </w:rPr>
            </w:pPr>
            <w:r>
              <w:rPr>
                <w:rFonts w:ascii="Arial" w:cs="Arial" w:eastAsia="Arial" w:hAnsi="Arial"/>
                <w:sz w:val="20"/>
                <w:szCs w:val="20"/>
                <w:color w:val="auto"/>
              </w:rPr>
              <w:t>101.INS**</w:t>
            </w:r>
          </w:p>
        </w:tc>
        <w:tc>
          <w:tcPr>
            <w:tcW w:w="3640" w:type="dxa"/>
            <w:vAlign w:val="bottom"/>
            <w:tcBorders>
              <w:top w:val="single" w:sz="8" w:color="0000EE"/>
            </w:tcBorders>
          </w:tcPr>
          <w:p>
            <w:pPr>
              <w:spacing w:after="0"/>
              <w:rPr>
                <w:sz w:val="20"/>
                <w:szCs w:val="20"/>
                <w:color w:val="auto"/>
              </w:rPr>
            </w:pPr>
            <w:r>
              <w:rPr>
                <w:rFonts w:ascii="Arial" w:cs="Arial" w:eastAsia="Arial" w:hAnsi="Arial"/>
                <w:sz w:val="20"/>
                <w:szCs w:val="20"/>
                <w:color w:val="auto"/>
              </w:rPr>
              <w:t>XBRL Instance Document.</w:t>
            </w:r>
          </w:p>
        </w:tc>
        <w:tc>
          <w:tcPr>
            <w:tcW w:w="6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101.SCH**</w:t>
            </w:r>
          </w:p>
        </w:tc>
        <w:tc>
          <w:tcPr>
            <w:tcW w:w="9980" w:type="dxa"/>
            <w:vAlign w:val="bottom"/>
            <w:gridSpan w:val="5"/>
          </w:tcPr>
          <w:p>
            <w:pPr>
              <w:spacing w:after="0"/>
              <w:rPr>
                <w:sz w:val="20"/>
                <w:szCs w:val="20"/>
                <w:color w:val="auto"/>
              </w:rPr>
            </w:pPr>
            <w:r>
              <w:rPr>
                <w:rFonts w:ascii="Arial" w:cs="Arial" w:eastAsia="Arial" w:hAnsi="Arial"/>
                <w:sz w:val="20"/>
                <w:szCs w:val="20"/>
                <w:color w:val="auto"/>
              </w:rPr>
              <w:t>XBRL Taxonomy Extension Schema Document.</w:t>
            </w: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101.CAL**</w:t>
            </w:r>
          </w:p>
        </w:tc>
        <w:tc>
          <w:tcPr>
            <w:tcW w:w="9980" w:type="dxa"/>
            <w:vAlign w:val="bottom"/>
            <w:gridSpan w:val="5"/>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101.DEF**</w:t>
            </w:r>
          </w:p>
        </w:tc>
        <w:tc>
          <w:tcPr>
            <w:tcW w:w="9980" w:type="dxa"/>
            <w:vAlign w:val="bottom"/>
            <w:gridSpan w:val="5"/>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101.LAB**</w:t>
            </w:r>
          </w:p>
        </w:tc>
        <w:tc>
          <w:tcPr>
            <w:tcW w:w="9980" w:type="dxa"/>
            <w:vAlign w:val="bottom"/>
            <w:gridSpan w:val="5"/>
          </w:tcPr>
          <w:p>
            <w:pPr>
              <w:spacing w:after="0"/>
              <w:rPr>
                <w:sz w:val="20"/>
                <w:szCs w:val="20"/>
                <w:color w:val="auto"/>
              </w:rPr>
            </w:pPr>
            <w:r>
              <w:rPr>
                <w:rFonts w:ascii="Arial" w:cs="Arial" w:eastAsia="Arial" w:hAnsi="Arial"/>
                <w:sz w:val="20"/>
                <w:szCs w:val="20"/>
                <w:color w:val="auto"/>
              </w:rPr>
              <w:t>XBRL Taxonomy Extension Label Linkbase Document.</w:t>
            </w: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101.PRE**</w:t>
            </w:r>
          </w:p>
        </w:tc>
        <w:tc>
          <w:tcPr>
            <w:tcW w:w="9980" w:type="dxa"/>
            <w:vAlign w:val="bottom"/>
            <w:gridSpan w:val="5"/>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*Filed herewith.</w:t>
      </w:r>
    </w:p>
    <w:p>
      <w:pPr>
        <w:spacing w:after="0" w:line="108" w:lineRule="exact"/>
        <w:rPr>
          <w:sz w:val="20"/>
          <w:szCs w:val="20"/>
          <w:color w:val="auto"/>
        </w:rPr>
      </w:pPr>
    </w:p>
    <w:p>
      <w:pPr>
        <w:jc w:val="both"/>
        <w:ind w:firstLine="401"/>
        <w:spacing w:after="0" w:line="244" w:lineRule="auto"/>
        <w:rPr>
          <w:sz w:val="20"/>
          <w:szCs w:val="20"/>
          <w:color w:val="auto"/>
        </w:rPr>
      </w:pPr>
      <w:r>
        <w:rPr>
          <w:rFonts w:ascii="Arial" w:cs="Arial" w:eastAsia="Arial" w:hAnsi="Arial"/>
          <w:sz w:val="20"/>
          <w:szCs w:val="20"/>
          <w:color w:val="auto"/>
        </w:rPr>
        <w:t>**Attached as Exhibit 101 to this report are the following documents formatted in XBRL (Extensible Business Reporting Language): (i) Statements of Consolidated Comprehensive Income (Loss) for the three and six months ended March 31, 2018 and March 31, 2017; (ii) Condensed Consolidated Balance Sheets at March 31, 2018 and September 30, 2017; (iii) Statements of Consolidated Equity at March 31, 2018; (iv) Statements of Condensed Consolidated Cash Flows for the six months ended March 31, 2018 and March 31, 2017; and (v) Notes to Condensed Consolidated Financial Statements.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SM </w:t>
      </w:r>
      <w:r>
        <w:rPr>
          <w:rFonts w:ascii="Arial" w:cs="Arial" w:eastAsia="Arial" w:hAnsi="Arial"/>
          <w:sz w:val="19"/>
          <w:szCs w:val="19"/>
          <w:color w:val="auto"/>
        </w:rPr>
        <w:t>Service mark, Ashland or its subsidiaries, registered in various countries.</w:t>
      </w:r>
    </w:p>
    <w:p>
      <w:pPr>
        <w:spacing w:after="0" w:line="119" w:lineRule="exact"/>
        <w:rPr>
          <w:sz w:val="20"/>
          <w:szCs w:val="20"/>
          <w:color w:val="auto"/>
        </w:rPr>
      </w:pPr>
    </w:p>
    <w:p>
      <w:pPr>
        <w:ind w:left="660" w:hanging="251"/>
        <w:spacing w:after="0"/>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Trademark, Ashland or its subsidiaries, registered in various countries.</w:t>
      </w:r>
    </w:p>
    <w:p>
      <w:pPr>
        <w:spacing w:after="0" w:line="218"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0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Ashland Global Holdings Inc.</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1"/>
              </w:rPr>
              <w:t>(Registrant)</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May 2, 2018</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211"/>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 Kevin Willis</w:t>
            </w:r>
          </w:p>
        </w:tc>
      </w:tr>
    </w:tbl>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3"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ASHLAND GLOBAL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4"/>
          </w:tcPr>
          <w:p>
            <w:pPr>
              <w:jc w:val="right"/>
              <w:ind w:right="230"/>
              <w:spacing w:after="0"/>
              <w:rPr>
                <w:sz w:val="20"/>
                <w:szCs w:val="20"/>
                <w:color w:val="auto"/>
              </w:rPr>
            </w:pPr>
            <w:r>
              <w:rPr>
                <w:rFonts w:ascii="Arial" w:cs="Arial" w:eastAsia="Arial" w:hAnsi="Arial"/>
                <w:sz w:val="18"/>
                <w:szCs w:val="18"/>
                <w:color w:val="auto"/>
                <w:w w:val="92"/>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5"/>
              </w:rPr>
              <w:t>Years ended September 30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183"/>
        </w:trPr>
        <w:tc>
          <w:tcPr>
            <w:tcW w:w="4740" w:type="dxa"/>
            <w:vAlign w:val="bottom"/>
            <w:gridSpan w:val="4"/>
          </w:tcPr>
          <w:p>
            <w:pPr>
              <w:spacing w:after="0" w:line="182" w:lineRule="exact"/>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Interest portion of rental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deferred debt expense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Distributions in excess of (less than) earnings of unconsolidated</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33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gridSpan w:val="3"/>
          </w:tcPr>
          <w:p>
            <w:pPr>
              <w:spacing w:after="0" w:line="189" w:lineRule="exact"/>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Interest portion of rental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deferred debt expense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(C)</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8"/>
        <w:spacing w:after="0" w:line="277" w:lineRule="auto"/>
        <w:tabs>
          <w:tab w:leader="none" w:pos="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$98 million would have been required for the year ended September 30, 2017.</w:t>
      </w:r>
    </w:p>
    <w:p>
      <w:pPr>
        <w:spacing w:after="0" w:line="62" w:lineRule="exact"/>
        <w:rPr>
          <w:rFonts w:ascii="Arial" w:cs="Arial" w:eastAsia="Arial" w:hAnsi="Arial"/>
          <w:sz w:val="18"/>
          <w:szCs w:val="18"/>
          <w:color w:val="auto"/>
        </w:rPr>
      </w:pPr>
    </w:p>
    <w:p>
      <w:pPr>
        <w:ind w:right="340" w:firstLine="8"/>
        <w:spacing w:after="0" w:line="277" w:lineRule="auto"/>
        <w:tabs>
          <w:tab w:leader="none" w:pos="2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$308 million would have been required for the year ended September 30, 2016.</w:t>
      </w:r>
    </w:p>
    <w:p>
      <w:pPr>
        <w:spacing w:after="0" w:line="62" w:lineRule="exact"/>
        <w:rPr>
          <w:rFonts w:ascii="Arial" w:cs="Arial" w:eastAsia="Arial" w:hAnsi="Arial"/>
          <w:sz w:val="18"/>
          <w:szCs w:val="18"/>
          <w:color w:val="auto"/>
        </w:rPr>
      </w:pPr>
    </w:p>
    <w:p>
      <w:pPr>
        <w:ind w:right="340" w:firstLine="8"/>
        <w:spacing w:after="0" w:line="277" w:lineRule="auto"/>
        <w:tabs>
          <w:tab w:leader="none" w:pos="2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$152 million would have been required for the year ended September 30, 2015.</w:t>
      </w:r>
    </w:p>
    <w:p>
      <w:pPr>
        <w:spacing w:after="0" w:line="62" w:lineRule="exact"/>
        <w:rPr>
          <w:rFonts w:ascii="Arial" w:cs="Arial" w:eastAsia="Arial" w:hAnsi="Arial"/>
          <w:sz w:val="18"/>
          <w:szCs w:val="18"/>
          <w:color w:val="auto"/>
        </w:rPr>
      </w:pPr>
    </w:p>
    <w:p>
      <w:pPr>
        <w:ind w:right="340" w:firstLine="8"/>
        <w:spacing w:after="0" w:line="277" w:lineRule="auto"/>
        <w:tabs>
          <w:tab w:leader="none" w:pos="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$421 million would have been required for the year ended September 30, 2014.</w:t>
      </w:r>
    </w:p>
    <w:p>
      <w:pPr>
        <w:spacing w:after="0" w:line="62" w:lineRule="exact"/>
        <w:rPr>
          <w:rFonts w:ascii="Arial" w:cs="Arial" w:eastAsia="Arial" w:hAnsi="Arial"/>
          <w:sz w:val="18"/>
          <w:szCs w:val="18"/>
          <w:color w:val="auto"/>
        </w:rPr>
      </w:pPr>
    </w:p>
    <w:p>
      <w:pPr>
        <w:ind w:right="60" w:firstLine="8"/>
        <w:spacing w:after="0" w:line="277" w:lineRule="auto"/>
        <w:tabs>
          <w:tab w:leader="none" w:pos="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$83 million would have been required for the six months ended March 31, 2017.</w:t>
      </w:r>
    </w:p>
    <w:p>
      <w:pPr>
        <w:sectPr>
          <w:pgSz w:w="11900" w:h="16838" w:orient="portrait"/>
          <w:cols w:equalWidth="0" w:num="1">
            <w:col w:w="11420"/>
          </w:cols>
          <w:pgMar w:left="240" w:top="34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William A. Wulfsohn, certify that:</w:t>
      </w:r>
    </w:p>
    <w:p>
      <w:pPr>
        <w:spacing w:after="0" w:line="108" w:lineRule="exact"/>
        <w:rPr>
          <w:sz w:val="20"/>
          <w:szCs w:val="20"/>
          <w:color w:val="auto"/>
        </w:rPr>
      </w:pPr>
    </w:p>
    <w:p>
      <w:pPr>
        <w:ind w:left="800" w:hanging="400"/>
        <w:spacing w:after="0"/>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May 2, 2018</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Chairman and Chief Executive Officer</w:t>
      </w:r>
    </w:p>
    <w:p>
      <w:pPr>
        <w:ind w:left="63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39"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0"/>
        <w:spacing w:after="0"/>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May 2, 2018</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Chief Financial Officer</w:t>
      </w:r>
    </w:p>
    <w:p>
      <w:pPr>
        <w:ind w:left="63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339"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March 31, 2018, as filed with the Securities and Exchange Commission on the date hereof (the “Report”), each of the undersigned, William A. Wulfsohn,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0"/>
        <w:spacing w:after="0"/>
        <w:tabs>
          <w:tab w:leader="none" w:pos="8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0"/>
        <w:spacing w:after="0" w:line="244" w:lineRule="auto"/>
        <w:tabs>
          <w:tab w:leader="none" w:pos="8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May 2, 2018</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May 2, 2018</w:t>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amp;"/>
      <w:numFmt w:val="bullet"/>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lvl w:ilvl="1">
      <w:lvlJc w:val="left"/>
      <w:lvlText w:val="◦"/>
      <w:numFmt w:val="bullet"/>
      <w:start w:val="1"/>
    </w:lvl>
  </w:abstractNum>
  <w:abstractNum w:abstractNumId="20">
    <w:nsid w:val="7C3DBD3D"/>
    <w:multiLevelType w:val="hybridMultilevel"/>
    <w:lvl w:ilvl="0">
      <w:lvlJc w:val="left"/>
      <w:lvlText w:val="•"/>
      <w:numFmt w:val="bullet"/>
      <w:start w:val="1"/>
    </w:lvl>
    <w:lvl w:ilvl="1">
      <w:lvlJc w:val="left"/>
      <w:lvlText w:val="◦"/>
      <w:numFmt w:val="bullet"/>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3"/>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upp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2019-12-08T14:50:57Z</dcterms:created>
  <dcterms:modified xsi:type="dcterms:W3CDTF">2019-12-08T14:50:57Z</dcterms:modified>
</cp:coreProperties>
</file>