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LAMPKIN ROBIN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8145 BLAZER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19808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ASHLAND INC.</w:t>
              </w:r>
            </w:hyperlink>
            <w:r>
              <w:rPr/>
              <w:t xml:space="preserve"> [ </w:t>
            </w:r>
            <w:r>
              <w:rPr>
                <w:rFonts w:ascii="Times;serif" w:hAnsi="Times;serif"/>
                <w:color w:val="0000FF"/>
                <w:sz w:val="24"/>
                <w:shd w:fill="FFFFFF" w:val="clear"/>
              </w:rPr>
              <w:t>ASH</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GC &amp; Secretary</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1,806</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74.58</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6,825</w:t>
            </w:r>
            <w:r>
              <w:rPr>
                <w:rFonts w:ascii="Times;serif" w:hAnsi="Times;serif"/>
                <w:color w:val="008000"/>
                <w:position w:val="7"/>
                <w:sz w:val="16"/>
                <w:sz w:val="20"/>
                <w:shd w:fill="FFFFFF" w:val="clear"/>
              </w:rPr>
              <w:t>(1)</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526</w:t>
            </w:r>
            <w:r>
              <w:rPr>
                <w:rFonts w:ascii="Times;serif" w:hAnsi="Times;serif"/>
                <w:color w:val="008000"/>
                <w:position w:val="7"/>
                <w:sz w:val="16"/>
                <w:sz w:val="20"/>
                <w:shd w:fill="FFFFFF" w:val="clear"/>
              </w:rPr>
              <w:t>(2)</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74.58</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6,299</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865</w:t>
            </w:r>
            <w:r>
              <w:rPr>
                <w:rFonts w:ascii="Times;serif" w:hAnsi="Times;serif"/>
                <w:color w:val="008000"/>
                <w:position w:val="7"/>
                <w:sz w:val="16"/>
                <w:sz w:val="20"/>
                <w:shd w:fill="FFFFFF" w:val="clear"/>
              </w:rPr>
              <w:t>(3)</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401(k) Plan</w:t>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1,806</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1,806</w:t>
            </w:r>
            <w:r>
              <w:rPr>
                <w:rFonts w:ascii="Times;serif" w:hAnsi="Times;serif"/>
                <w:color w:val="008000"/>
                <w:position w:val="7"/>
                <w:sz w:val="16"/>
                <w:sz w:val="20"/>
                <w:shd w:fill="FFFFFF" w:val="clear"/>
              </w:rPr>
              <w:t>(1)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Balance includes additional Restricted Stock Units acquired in lieu of cash dividends. The amount reported reflects a correction to the number of Restricted Stock Units previously reported on the Reporting Person's Form 4 filed on August 15, 2023, which indadvertantly overstated the number of Restricted Stock Units granted on August 11, 2023. The correct number of Restricted Stock Units granted on August 11, 2023 was 1,806.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Payment of tax liability by withholding securities incident to the vesting of Restricted Stock Units acquired pursuant to Ashland's incentive plan as approved by the shareholders and exempt pursuant to Rule 16b-3.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Total inlcudes dividends accrued in reporting person's 401(k) savings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Restricted Stock Unit (RSU) represents a right to receive one (1) share of ASH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August 11, 2023, the Reporting Person was granted 1,806 RSUs, vesting on August 11, 2026, provided that the Reporting Person remains in continuous employment with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Serena S. Kenost, Attorney-In-Fact for Robin E. Lampkin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89313" TargetMode="External"/><Relationship Id="rId5" Type="http://schemas.openxmlformats.org/officeDocument/2006/relationships/hyperlink" Target="http://www.sec.gov/cgi-bin/browse-edgar?action=getcompany&amp;CIK=000167486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756</Words>
  <Characters>4070</Characters>
  <CharactersWithSpaces>4731</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