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107315</wp:posOffset>
            </wp:positionV>
            <wp:extent cx="1775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20" w:lineRule="exact"/>
        <w:rPr>
          <w:sz w:val="24"/>
          <w:szCs w:val="24"/>
          <w:color w:val="auto"/>
        </w:rPr>
      </w:pPr>
    </w:p>
    <w:p>
      <w:pPr>
        <w:ind w:left="1460" w:right="320" w:hanging="480"/>
        <w:spacing w:after="0" w:line="237"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1460" w:right="300" w:hanging="480"/>
        <w:spacing w:after="0" w:line="256" w:lineRule="auto"/>
        <w:tabs>
          <w:tab w:leader="none" w:pos="1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3791585</wp:posOffset>
            </wp:positionH>
            <wp:positionV relativeFrom="paragraph">
              <wp:posOffset>-10160</wp:posOffset>
            </wp:positionV>
            <wp:extent cx="1060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333-211719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ASHLAND GLOBAL HOLDINGS INC.</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I.R.S. No. 81-2587835</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50 E. RiverCenter Boulevard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Covington, Kentucky 41011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Telephone Number (859) 815-3333</w:t>
      </w:r>
    </w:p>
    <w:p>
      <w:pPr>
        <w:spacing w:after="0" w:line="130" w:lineRule="exact"/>
        <w:rPr>
          <w:sz w:val="24"/>
          <w:szCs w:val="24"/>
          <w:color w:val="auto"/>
        </w:rPr>
      </w:pPr>
    </w:p>
    <w:p>
      <w:pPr>
        <w:jc w:val="both"/>
        <w:ind w:firstLine="49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1" w:lineRule="exact"/>
        <w:rPr>
          <w:sz w:val="24"/>
          <w:szCs w:val="24"/>
          <w:color w:val="auto"/>
        </w:rPr>
      </w:pPr>
    </w:p>
    <w:tbl>
      <w:tblPr>
        <w:tblLayout w:type="fixed"/>
        <w:tblInd w:w="114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0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19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0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438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3840" w:type="dxa"/>
            <w:vAlign w:val="bottom"/>
          </w:tcPr>
          <w:p>
            <w:pPr>
              <w:ind w:left="10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firstLine="49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500" w:right="152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June 30, 2018, there were 62,426,191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7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Three months ended</w:t>
            </w:r>
          </w:p>
        </w:tc>
        <w:tc>
          <w:tcPr>
            <w:tcW w:w="5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Nine months ended</w:t>
            </w:r>
          </w:p>
        </w:tc>
        <w:tc>
          <w:tcPr>
            <w:tcW w:w="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(In millions except per share data - unaudited)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94"/>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940" w:type="dxa"/>
            <w:vAlign w:val="bottom"/>
            <w:tcBorders>
              <w:top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971</w:t>
            </w:r>
          </w:p>
        </w:tc>
        <w:tc>
          <w:tcPr>
            <w:tcW w:w="2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870</w:t>
            </w:r>
          </w:p>
        </w:tc>
        <w:tc>
          <w:tcPr>
            <w:tcW w:w="4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2,787</w:t>
            </w:r>
          </w:p>
        </w:tc>
        <w:tc>
          <w:tcPr>
            <w:tcW w:w="760" w:type="dxa"/>
            <w:vAlign w:val="bottom"/>
            <w:tcBorders>
              <w:top w:val="single" w:sz="8" w:color="auto"/>
            </w:tcBorders>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4"/>
              </w:rPr>
              <w:t>2,380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681</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1,993</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1,729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interest and other financing expense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on acquisitions and divestitures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 xml:space="preserve">Net income attributable to noncontrolling interest </w:t>
            </w:r>
            <w:r>
              <w:rPr>
                <w:rFonts w:ascii="Arial" w:cs="Arial" w:eastAsia="Arial" w:hAnsi="Arial"/>
                <w:sz w:val="14"/>
                <w:szCs w:val="14"/>
                <w:color w:val="auto"/>
              </w:rPr>
              <w:t>(a)</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Ashland</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Basic earnings per share - Note L</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0.57</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(0.26)</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1.51</w:t>
            </w:r>
          </w:p>
        </w:tc>
        <w:tc>
          <w:tcPr>
            <w:tcW w:w="76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Income (loss) from discontinued operations attributable to Ashland</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(0.28)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(loss) attributable to Ashland</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(0.54)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 Note L</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9"/>
                <w:szCs w:val="19"/>
                <w:color w:val="auto"/>
              </w:rPr>
            </w:pP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(0.26)</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discontinued operations attributable to Ashland</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(0.28)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(loss) attributable to Ashland</w:t>
            </w:r>
          </w:p>
        </w:tc>
        <w:tc>
          <w:tcPr>
            <w:tcW w:w="7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0.56</w:t>
            </w:r>
          </w:p>
        </w:tc>
        <w:tc>
          <w:tcPr>
            <w:tcW w:w="20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(0.54)</w:t>
            </w:r>
          </w:p>
        </w:tc>
        <w:tc>
          <w:tcPr>
            <w:tcW w:w="2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76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7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 attributable to Ashland</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7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40" w:right="20" w:hanging="232"/>
        <w:spacing w:after="0" w:line="253"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and nine months ended June 30, 2017, this represents the income attributable to the previous noncontrolling interest in Valvoline Inc., whose results are now included within discontinued operations. See Note B for more information.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ind w:right="44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June 30</w:t>
            </w:r>
          </w:p>
        </w:tc>
        <w:tc>
          <w:tcPr>
            <w:tcW w:w="48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(In millions - unaudited)</w:t>
            </w:r>
          </w:p>
        </w:tc>
        <w:tc>
          <w:tcPr>
            <w:tcW w:w="2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83"/>
        </w:trPr>
        <w:tc>
          <w:tcPr>
            <w:tcW w:w="68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w w:val="91"/>
              </w:rPr>
              <w:t>ASSETS</w:t>
            </w:r>
          </w:p>
        </w:tc>
        <w:tc>
          <w:tcPr>
            <w:tcW w:w="4520" w:type="dxa"/>
            <w:vAlign w:val="bottom"/>
            <w:gridSpan w:val="2"/>
          </w:tcPr>
          <w:p>
            <w:pPr>
              <w:spacing w:after="0"/>
              <w:rPr>
                <w:sz w:val="15"/>
                <w:szCs w:val="15"/>
                <w:color w:val="auto"/>
              </w:rPr>
            </w:pPr>
          </w:p>
        </w:tc>
        <w:tc>
          <w:tcPr>
            <w:tcW w:w="2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Current assets</w:t>
            </w:r>
          </w:p>
        </w:tc>
        <w:tc>
          <w:tcPr>
            <w:tcW w:w="2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2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current assets</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Cost</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3,826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1,933</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Net property, plant and equipment</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Goodwill - Note G</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2,447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Intangibles - Note G</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investments - Note E</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304</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Asbestos insurance receivable - Note K</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2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assets</w:t>
            </w:r>
          </w:p>
        </w:tc>
        <w:tc>
          <w:tcPr>
            <w:tcW w:w="2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6,552</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6,715</w:t>
            </w:r>
          </w:p>
        </w:tc>
        <w:tc>
          <w:tcPr>
            <w:tcW w:w="0" w:type="dxa"/>
            <w:vAlign w:val="bottom"/>
          </w:tcPr>
          <w:p>
            <w:pPr>
              <w:spacing w:after="0"/>
              <w:rPr>
                <w:sz w:val="1"/>
                <w:szCs w:val="1"/>
                <w:color w:val="auto"/>
              </w:rPr>
            </w:pPr>
          </w:p>
        </w:tc>
      </w:tr>
      <w:tr>
        <w:trPr>
          <w:trHeight w:val="263"/>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2120" w:type="dxa"/>
            <w:vAlign w:val="bottom"/>
          </w:tcPr>
          <w:p>
            <w:pPr>
              <w:spacing w:after="0"/>
              <w:rPr>
                <w:sz w:val="22"/>
                <w:szCs w:val="22"/>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8,224</w:t>
            </w:r>
          </w:p>
        </w:tc>
        <w:tc>
          <w:tcPr>
            <w:tcW w:w="16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2900" w:type="dxa"/>
            <w:vAlign w:val="bottom"/>
            <w:tcBorders>
              <w:top w:val="single" w:sz="8" w:color="CFF0FC"/>
            </w:tcBorders>
            <w:shd w:val="clear" w:color="auto" w:fill="CFF0FC"/>
          </w:tcPr>
          <w:p>
            <w:pPr>
              <w:spacing w:after="0"/>
              <w:rPr>
                <w:sz w:val="18"/>
                <w:szCs w:val="18"/>
                <w:color w:val="auto"/>
              </w:rPr>
            </w:pPr>
          </w:p>
        </w:tc>
        <w:tc>
          <w:tcPr>
            <w:tcW w:w="212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2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2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2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current liabilities</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Noncurrent liabilities</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 - Note H</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2,450</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Asbestos litigation reserve - Note K</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Employee benefit obligations - Note J</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3"/>
          </w:tcPr>
          <w:p>
            <w:pPr>
              <w:ind w:left="240"/>
              <w:spacing w:after="0"/>
              <w:rPr>
                <w:sz w:val="20"/>
                <w:szCs w:val="20"/>
                <w:color w:val="auto"/>
              </w:rPr>
            </w:pPr>
            <w:r>
              <w:rPr>
                <w:rFonts w:ascii="Arial" w:cs="Arial" w:eastAsia="Arial" w:hAnsi="Arial"/>
                <w:sz w:val="18"/>
                <w:szCs w:val="18"/>
                <w:color w:val="auto"/>
              </w:rPr>
              <w:t>Total noncurrent liabilities</w:t>
            </w: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4,083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Commitments and contingencies - Note K</w:t>
            </w: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2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3,399</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290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8,224</w:t>
            </w: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(a) Accounts receivable includes an allowance for doubtful accounts of $9 million at both June 30, 2018 and September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3" w:name="page4"/>
    <w:bookmarkEnd w:id="3"/>
    <w:p>
      <w:pPr>
        <w:ind w:right="44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Common</w:t>
            </w:r>
          </w:p>
        </w:tc>
        <w:tc>
          <w:tcPr>
            <w:tcW w:w="2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Paid-in</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w w:val="88"/>
              </w:rPr>
              <w:t>comprehensive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stock</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capital</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earnings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income (loss)</w:t>
            </w:r>
          </w:p>
        </w:tc>
        <w:tc>
          <w:tcPr>
            <w:tcW w:w="62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color w:val="auto"/>
                <w:w w:val="93"/>
              </w:rPr>
              <w:t>(a)</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Total</w:t>
            </w: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2017</w:t>
            </w:r>
          </w:p>
        </w:tc>
        <w:tc>
          <w:tcPr>
            <w:tcW w:w="200" w:type="dxa"/>
            <w:vAlign w:val="bottom"/>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931</w:t>
            </w: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62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3,406</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Total comprehensive income (loss)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2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w:t>
            </w:r>
          </w:p>
        </w:tc>
      </w:tr>
      <w:tr>
        <w:trPr>
          <w:trHeight w:val="230"/>
        </w:trPr>
        <w:tc>
          <w:tcPr>
            <w:tcW w:w="5240" w:type="dxa"/>
            <w:vAlign w:val="bottom"/>
          </w:tcPr>
          <w:p>
            <w:pPr>
              <w:ind w:left="50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Regular dividends, $0.70 per common share</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 xml:space="preserve">Common shares issued under stock incentive and other plans </w:t>
            </w:r>
            <w:r>
              <w:rPr>
                <w:rFonts w:ascii="Arial" w:cs="Arial" w:eastAsia="Arial" w:hAnsi="Arial"/>
                <w:sz w:val="14"/>
                <w:szCs w:val="14"/>
                <w:color w:val="auto"/>
                <w:w w:val="96"/>
              </w:rPr>
              <w:t>(b)</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2018</w:t>
            </w:r>
          </w:p>
        </w:tc>
        <w:tc>
          <w:tcPr>
            <w:tcW w:w="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3,399</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both"/>
        <w:ind w:left="240" w:hanging="232"/>
        <w:spacing w:after="0" w:line="234" w:lineRule="auto"/>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June 30, 2018 and September 30, 2017, the after-tax accumulated other comprehensive loss attributable to Ashland of $300 million and $222 million, respectively, was each comprised of net unrealized translation losses of $328 million and $246 million, respectively, net unrealized gains on available-for-sale securities of $25 million and $21 million, respectively, and unrecognized prior service credits as a result of certain employee benefit plan amendments of $3 million for each period.</w:t>
      </w:r>
    </w:p>
    <w:p>
      <w:pPr>
        <w:ind w:left="240" w:hanging="232"/>
        <w:spacing w:after="0"/>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Common shares issued were 308,779 for the nine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4" w:name="page5"/>
    <w:bookmarkEnd w:id="4"/>
    <w:p>
      <w:pPr>
        <w:ind w:right="44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STATEMENTS OF CONDENSED CONSOLIDATED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4"/>
          </w:tcPr>
          <w:p>
            <w:pPr>
              <w:jc w:val="right"/>
              <w:ind w:right="154"/>
              <w:spacing w:after="0"/>
              <w:rPr>
                <w:sz w:val="20"/>
                <w:szCs w:val="20"/>
                <w:color w:val="auto"/>
              </w:rPr>
            </w:pPr>
            <w:r>
              <w:rPr>
                <w:rFonts w:ascii="Arial" w:cs="Arial" w:eastAsia="Arial" w:hAnsi="Arial"/>
                <w:sz w:val="14"/>
                <w:szCs w:val="14"/>
                <w:color w:val="auto"/>
              </w:rPr>
              <w:t>Nine months ended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20" w:type="dxa"/>
            <w:vAlign w:val="bottom"/>
            <w:vMerge w:val="restart"/>
          </w:tcPr>
          <w:p>
            <w:pPr>
              <w:spacing w:after="0"/>
              <w:rPr>
                <w:sz w:val="20"/>
                <w:szCs w:val="20"/>
                <w:color w:val="auto"/>
              </w:rPr>
            </w:pPr>
            <w:r>
              <w:rPr>
                <w:rFonts w:ascii="Arial" w:cs="Arial" w:eastAsia="Arial" w:hAnsi="Arial"/>
                <w:sz w:val="14"/>
                <w:szCs w:val="14"/>
                <w:color w:val="auto"/>
              </w:rPr>
              <w:t>(In millions - unaudited)</w:t>
            </w: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color w:val="auto"/>
              </w:rPr>
              <w:t>June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2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2018</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146"/>
        </w:trPr>
        <w:tc>
          <w:tcPr>
            <w:tcW w:w="8820" w:type="dxa"/>
            <w:vAlign w:val="bottom"/>
          </w:tcPr>
          <w:p>
            <w:pPr>
              <w:spacing w:after="0" w:line="147" w:lineRule="exact"/>
              <w:rPr>
                <w:sz w:val="20"/>
                <w:szCs w:val="20"/>
                <w:color w:val="auto"/>
              </w:rPr>
            </w:pPr>
            <w:r>
              <w:rPr>
                <w:rFonts w:ascii="Arial" w:cs="Arial" w:eastAsia="Arial" w:hAnsi="Arial"/>
                <w:sz w:val="14"/>
                <w:szCs w:val="14"/>
                <w:b w:val="1"/>
                <w:bCs w:val="1"/>
                <w:color w:val="auto"/>
              </w:rPr>
              <w:t>CASH FLOWS PROVIDED (USED) BY OPERATING ACTIVITIES FROM</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20" w:type="dxa"/>
            <w:vAlign w:val="bottom"/>
          </w:tcPr>
          <w:p>
            <w:pPr>
              <w:ind w:left="140"/>
              <w:spacing w:after="0"/>
              <w:rPr>
                <w:sz w:val="20"/>
                <w:szCs w:val="20"/>
                <w:color w:val="auto"/>
              </w:rPr>
            </w:pPr>
            <w:r>
              <w:rPr>
                <w:rFonts w:ascii="Arial" w:cs="Arial" w:eastAsia="Arial" w:hAnsi="Arial"/>
                <w:sz w:val="14"/>
                <w:szCs w:val="14"/>
                <w:b w:val="1"/>
                <w:bCs w:val="1"/>
                <w:color w:val="auto"/>
              </w:rPr>
              <w:t>CONTINUING OPERATIONS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104</w:t>
            </w:r>
          </w:p>
        </w:tc>
        <w:tc>
          <w:tcPr>
            <w:tcW w:w="26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43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Income from discontinued operations (net of income taxes)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income from continuing operations to</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38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236</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Original issue discount and debt issuance costs amortization</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income taxes</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Distributions from affiliates</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Stock based compensation expense</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Excess tax benefit on stock based compensation</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on early retirement of debt</w:t>
            </w:r>
          </w:p>
        </w:tc>
        <w:tc>
          <w:tcPr>
            <w:tcW w:w="3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Realized gains and investment income on available-for-sale securities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Net loss on acquisitions and divestitures</w:t>
            </w:r>
          </w:p>
        </w:tc>
        <w:tc>
          <w:tcPr>
            <w:tcW w:w="3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Pension contributions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Gain on post-employment plan remeasurement</w:t>
            </w:r>
          </w:p>
        </w:tc>
        <w:tc>
          <w:tcPr>
            <w:tcW w:w="3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8820" w:type="dxa"/>
            <w:vAlign w:val="bottom"/>
            <w:tcBorders>
              <w:bottom w:val="single" w:sz="8" w:color="CFF0FC"/>
            </w:tcBorders>
          </w:tcPr>
          <w:p>
            <w:pPr>
              <w:ind w:left="500"/>
              <w:spacing w:after="0"/>
              <w:rPr>
                <w:sz w:val="20"/>
                <w:szCs w:val="20"/>
                <w:color w:val="auto"/>
              </w:rPr>
            </w:pPr>
            <w:r>
              <w:rPr>
                <w:rFonts w:ascii="Arial" w:cs="Arial" w:eastAsia="Arial" w:hAnsi="Arial"/>
                <w:sz w:val="14"/>
                <w:szCs w:val="14"/>
                <w:color w:val="auto"/>
              </w:rPr>
              <w:t xml:space="preserve">Change in operating assets and liabilities </w:t>
            </w:r>
            <w:r>
              <w:rPr>
                <w:rFonts w:ascii="Arial" w:cs="Arial" w:eastAsia="Arial" w:hAnsi="Arial"/>
                <w:sz w:val="12"/>
                <w:szCs w:val="12"/>
                <w:color w:val="auto"/>
              </w:rPr>
              <w:t>(a)</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6"/>
        </w:trPr>
        <w:tc>
          <w:tcPr>
            <w:tcW w:w="88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cash flows provided by operating activities from continuing operations</w:t>
            </w: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129</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2"/>
        </w:trPr>
        <w:tc>
          <w:tcPr>
            <w:tcW w:w="8820" w:type="dxa"/>
            <w:vAlign w:val="bottom"/>
          </w:tcPr>
          <w:p>
            <w:pPr>
              <w:spacing w:after="0"/>
              <w:rPr>
                <w:sz w:val="20"/>
                <w:szCs w:val="20"/>
                <w:color w:val="auto"/>
              </w:rPr>
            </w:pPr>
            <w:r>
              <w:rPr>
                <w:rFonts w:ascii="Arial" w:cs="Arial" w:eastAsia="Arial" w:hAnsi="Arial"/>
                <w:sz w:val="14"/>
                <w:szCs w:val="14"/>
                <w:b w:val="1"/>
                <w:bCs w:val="1"/>
                <w:color w:val="auto"/>
              </w:rPr>
              <w:t>CASH FLOWS PROVIDED (USED) BY INVESTING ACTIVITIES FROM</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140"/>
              <w:spacing w:after="0"/>
              <w:rPr>
                <w:sz w:val="20"/>
                <w:szCs w:val="20"/>
                <w:color w:val="auto"/>
              </w:rPr>
            </w:pPr>
            <w:r>
              <w:rPr>
                <w:rFonts w:ascii="Arial" w:cs="Arial" w:eastAsia="Arial" w:hAnsi="Arial"/>
                <w:sz w:val="14"/>
                <w:szCs w:val="14"/>
                <w:b w:val="1"/>
                <w:bCs w:val="1"/>
                <w:color w:val="auto"/>
              </w:rPr>
              <w:t>CONTINUING OPERATIONS</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Additions to property, plant and equipment</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disposal of property, plant and equipment</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Purchase of operations - net of cash acquired</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 of operations</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Life insurance payments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purchase of funds restricted for specific transactions</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Reimbursement from restricted investments</w:t>
            </w:r>
          </w:p>
        </w:tc>
        <w:tc>
          <w:tcPr>
            <w:tcW w:w="3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sales of available-for-sale securities</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Purchase of available-for-sale securities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settlement of derivative instruments</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88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Payments for the settlement of derivative instruments</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6"/>
        </w:trPr>
        <w:tc>
          <w:tcPr>
            <w:tcW w:w="88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cash flows used by investing activities from continuing operations</w:t>
            </w:r>
          </w:p>
        </w:tc>
        <w:tc>
          <w:tcPr>
            <w:tcW w:w="3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(135)</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162"/>
        </w:trPr>
        <w:tc>
          <w:tcPr>
            <w:tcW w:w="8820" w:type="dxa"/>
            <w:vAlign w:val="bottom"/>
          </w:tcPr>
          <w:p>
            <w:pPr>
              <w:spacing w:after="0"/>
              <w:rPr>
                <w:sz w:val="20"/>
                <w:szCs w:val="20"/>
                <w:color w:val="auto"/>
              </w:rPr>
            </w:pPr>
            <w:r>
              <w:rPr>
                <w:rFonts w:ascii="Arial" w:cs="Arial" w:eastAsia="Arial" w:hAnsi="Arial"/>
                <w:sz w:val="14"/>
                <w:szCs w:val="14"/>
                <w:b w:val="1"/>
                <w:bCs w:val="1"/>
                <w:color w:val="auto"/>
              </w:rPr>
              <w:t>CASH FLOWS PROVIDED (USED) BY FINANCING ACTIVITIES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140"/>
              <w:spacing w:after="0"/>
              <w:rPr>
                <w:sz w:val="20"/>
                <w:szCs w:val="20"/>
                <w:color w:val="auto"/>
              </w:rPr>
            </w:pPr>
            <w:r>
              <w:rPr>
                <w:rFonts w:ascii="Arial" w:cs="Arial" w:eastAsia="Arial" w:hAnsi="Arial"/>
                <w:sz w:val="14"/>
                <w:szCs w:val="14"/>
                <w:b w:val="1"/>
                <w:bCs w:val="1"/>
                <w:color w:val="auto"/>
              </w:rPr>
              <w:t>FROM CONTINUING OPERATIONS</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Proceeds from issuance of long-term debt</w:t>
            </w:r>
          </w:p>
        </w:tc>
        <w:tc>
          <w:tcPr>
            <w:tcW w:w="3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Repayment of long-term debt</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Premium on long-term debt</w:t>
            </w:r>
          </w:p>
        </w:tc>
        <w:tc>
          <w:tcPr>
            <w:tcW w:w="3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(repayment of) short-term debt</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2"/>
        </w:trPr>
        <w:tc>
          <w:tcPr>
            <w:tcW w:w="8820" w:type="dxa"/>
            <w:vAlign w:val="bottom"/>
          </w:tcPr>
          <w:p>
            <w:pPr>
              <w:ind w:left="260"/>
              <w:spacing w:after="0"/>
              <w:rPr>
                <w:sz w:val="20"/>
                <w:szCs w:val="20"/>
                <w:color w:val="auto"/>
              </w:rPr>
            </w:pPr>
            <w:r>
              <w:rPr>
                <w:rFonts w:ascii="Arial" w:cs="Arial" w:eastAsia="Arial" w:hAnsi="Arial"/>
                <w:sz w:val="14"/>
                <w:szCs w:val="14"/>
                <w:color w:val="auto"/>
              </w:rPr>
              <w:t>Debt issuance costs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dividends paid</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88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Stock based compensation employee withholding taxes paid in cash</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88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cash flows provided (used) by financing activities from continuing operations</w:t>
            </w:r>
          </w:p>
        </w:tc>
        <w:tc>
          <w:tcPr>
            <w:tcW w:w="3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(346)</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56"/>
        </w:trPr>
        <w:tc>
          <w:tcPr>
            <w:tcW w:w="8820" w:type="dxa"/>
            <w:vAlign w:val="bottom"/>
          </w:tcPr>
          <w:p>
            <w:pPr>
              <w:spacing w:after="0" w:line="155" w:lineRule="exact"/>
              <w:rPr>
                <w:sz w:val="20"/>
                <w:szCs w:val="20"/>
                <w:color w:val="auto"/>
              </w:rPr>
            </w:pPr>
            <w:r>
              <w:rPr>
                <w:rFonts w:ascii="Arial" w:cs="Arial" w:eastAsia="Arial" w:hAnsi="Arial"/>
                <w:sz w:val="14"/>
                <w:szCs w:val="14"/>
                <w:b w:val="1"/>
                <w:bCs w:val="1"/>
                <w:color w:val="auto"/>
              </w:rPr>
              <w:t>CASH PROVIDED (USED) BY CONTINUING OPERATIONS</w:t>
            </w:r>
          </w:p>
        </w:tc>
        <w:tc>
          <w:tcPr>
            <w:tcW w:w="3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(352)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provided (used) by discontinued operations</w:t>
            </w: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Operating cash flows</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Investing cash flows</w:t>
            </w:r>
          </w:p>
        </w:tc>
        <w:tc>
          <w:tcPr>
            <w:tcW w:w="3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62"/>
        </w:trPr>
        <w:tc>
          <w:tcPr>
            <w:tcW w:w="8820" w:type="dxa"/>
            <w:vAlign w:val="bottom"/>
          </w:tcPr>
          <w:p>
            <w:pPr>
              <w:ind w:left="500"/>
              <w:spacing w:after="0"/>
              <w:rPr>
                <w:sz w:val="20"/>
                <w:szCs w:val="20"/>
                <w:color w:val="auto"/>
              </w:rPr>
            </w:pPr>
            <w:r>
              <w:rPr>
                <w:rFonts w:ascii="Arial" w:cs="Arial" w:eastAsia="Arial" w:hAnsi="Arial"/>
                <w:sz w:val="14"/>
                <w:szCs w:val="14"/>
                <w:color w:val="auto"/>
              </w:rPr>
              <w:t>Financing cash flows</w:t>
            </w:r>
          </w:p>
        </w:tc>
        <w:tc>
          <w:tcPr>
            <w:tcW w:w="3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6"/>
        </w:trPr>
        <w:tc>
          <w:tcPr>
            <w:tcW w:w="88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Total cash used by discontinued operations</w:t>
            </w:r>
          </w:p>
        </w:tc>
        <w:tc>
          <w:tcPr>
            <w:tcW w:w="3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62"/>
        </w:trPr>
        <w:tc>
          <w:tcPr>
            <w:tcW w:w="88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Effect of currency exchange rate changes on cash and cash equivalents</w:t>
            </w: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88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DECREASE IN CASH AND CASH EQUIVALENTS</w:t>
            </w:r>
          </w:p>
        </w:tc>
        <w:tc>
          <w:tcPr>
            <w:tcW w:w="3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(384)</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56"/>
        </w:trPr>
        <w:tc>
          <w:tcPr>
            <w:tcW w:w="882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 BEGINNING OF PERIOD</w:t>
            </w:r>
          </w:p>
        </w:tc>
        <w:tc>
          <w:tcPr>
            <w:tcW w:w="38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566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62"/>
        </w:trPr>
        <w:tc>
          <w:tcPr>
            <w:tcW w:w="8820" w:type="dxa"/>
            <w:vAlign w:val="bottom"/>
            <w:shd w:val="clear" w:color="auto" w:fill="CFF0FC"/>
          </w:tcPr>
          <w:p>
            <w:pPr>
              <w:spacing w:after="0"/>
              <w:rPr>
                <w:sz w:val="20"/>
                <w:szCs w:val="20"/>
                <w:color w:val="auto"/>
              </w:rPr>
            </w:pPr>
            <w:r>
              <w:rPr>
                <w:rFonts w:ascii="Arial" w:cs="Arial" w:eastAsia="Arial" w:hAnsi="Arial"/>
                <w:sz w:val="14"/>
                <w:szCs w:val="14"/>
                <w:color w:val="auto"/>
              </w:rPr>
              <w:t>Change in cash and cash equivalents held by Valvoline</w:t>
            </w:r>
          </w:p>
        </w:tc>
        <w:tc>
          <w:tcPr>
            <w:tcW w:w="3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56"/>
        </w:trPr>
        <w:tc>
          <w:tcPr>
            <w:tcW w:w="882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 END OF PERIOD</w:t>
            </w: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182</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 Excludes changes resulting from operations acquired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5" w:name="page6"/>
    <w:bookmarkEnd w:id="5"/>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Basis of presentation</w:t>
      </w:r>
    </w:p>
    <w:p>
      <w:pPr>
        <w:spacing w:after="0" w:line="108"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Additionally, certain prior period data, primarily related to discontinued operations, have been reclassified in the Consolidated Financial Statements and accompanying notes to conform to the current period presentation, as further described in this section. These statements omit certain information and footnote disclosures required for complete annual financial statements and, therefore, should be read in conjunction with Ashland’s Annual Report on Form 10-K for the fiscal year ended September 30, 2017. Results of operations for the period ended June 30, 2018 are not necessarily indicative of the expected results for the remaining quarter in the fiscal year.</w:t>
      </w:r>
    </w:p>
    <w:p>
      <w:pPr>
        <w:spacing w:after="0" w:line="77"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On May 12, 2017, Ashland completed the distribution of its remaining 170 million shares of common stock of Valvoline Inc. which represented approximately 83% of the total outstanding shares of Valvoline Inc.'s common stock. This separation from Valvoline represented a strategic shift in Ashland's business and qualified as a discontinued operation. Accordingly, Valvoline's operating results and cash flows for the three and nine months ended June 30, 2017 have been classified as discontinued operations within the Condensed Consolidated Financial Statements. See Note B for additional information on the separation of Valvoline Inc.</w:t>
      </w:r>
    </w:p>
    <w:p>
      <w:pPr>
        <w:spacing w:after="0" w:line="57"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Subsequent to completing the separation from Valvoline Inc., Ashland's operations are managed within the following three reportable segments: Specialty Ingredients, Composites and Intermediates and Solvents.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Use of estimates, risks and uncertainties</w:t>
      </w:r>
    </w:p>
    <w:p>
      <w:pPr>
        <w:spacing w:after="0" w:line="10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1"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New accounting standards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2017. The following standards relevant to Ashland were either issued or adopted in the current period, or will become effective in a subsequent period.</w:t>
      </w:r>
    </w:p>
    <w:p>
      <w:pPr>
        <w:spacing w:after="0" w:line="83"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In May 2014, the FASB issued accounting guidance outlining a single comprehensive five step model for entities to use in accounting for revenue arising from contracts with customers (ASC 606 Revenue from Contracts with Customers). The new guidance supersedes most current revenue recognition guidance, in an effort to converge the revenue recognition principles within U.S. GAAP. This new guidance also requires entities to disclose certain quantitative and qualitative information regarding the nature, amount, timing and</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6" w:name="page7"/>
    <w:bookmarkEnd w:id="6"/>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69" w:lineRule="auto"/>
        <w:rPr>
          <w:sz w:val="20"/>
          <w:szCs w:val="20"/>
          <w:color w:val="auto"/>
        </w:rPr>
      </w:pPr>
      <w:r>
        <w:rPr>
          <w:rFonts w:ascii="Arial" w:cs="Arial" w:eastAsia="Arial" w:hAnsi="Arial"/>
          <w:sz w:val="18"/>
          <w:szCs w:val="18"/>
          <w:color w:val="auto"/>
        </w:rPr>
        <w:t>uncertainty of qualifying revenue and cash flows arising from contracts with customers. Ashland has formed an implementation team that is continuing to evaluate the impact of the new standard on the Condensed Consolidated Financial Statements and the adoption method options available, as well as the overall impact the new guidance will have on the organization. The assessment process consists of categorizing Ashland’s revenue streams and reviewing the current internal accounting policies and practices to determine potential differences that would result from applying the requirements of the new standard to revenue contracts. Additional discussions and meetings with each revenue stream team have occurred to solicit input and to identify potential impacts and appropriate changes to Ashland’s business processes, systems and controls to support the revenue recognition and disclosure requirements under the new standard. Based on various preliminary assessments conducted to date, Ashland has identified agreements with distributors and customers that are subject to rebate and incentive programs that could contain elements of material rights and/or variable consideration. Ashland does not currently believe that these elements would result in a material change to how revenue would be recognized for these agreements. Ashland is currently completing the last phase of its implementation, which includes final assessment documentation and internal control design for the new standard. Ashland intends to adopt this standard using the modified retrospective approach and does not believe the impact will be material to the Condensed Consolidated Financial Statements but does expect there to be significant additional disclosures within the Notes to Condensed Consolidated Financial Statements. This guidance becomes effective for Ashland on October 1, 2018.</w:t>
      </w:r>
    </w:p>
    <w:p>
      <w:pPr>
        <w:spacing w:after="0" w:line="72"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In February 2018, the FASB issued guidance which permits entities to reclassify tax effects stranded in accumulated other comprehensive income (AOCI) as a result of U.S. tax reform legislation to retained earnings. Additionally, this guidance requires entities to disclose whether they made an election to reclassify the tax effects and to disclose their accounting policy for releasing income tax effects from AOCI. This guidance becomes effective for Ashland on October 1, 2019. Ashland is currently evaluating the impact this guidance may have on Ashland’s Condensed Consolidated Financial Statements.</w:t>
      </w:r>
    </w:p>
    <w:p>
      <w:pPr>
        <w:spacing w:after="0" w:line="73" w:lineRule="exact"/>
        <w:rPr>
          <w:sz w:val="20"/>
          <w:szCs w:val="20"/>
          <w:color w:val="auto"/>
        </w:rPr>
      </w:pPr>
    </w:p>
    <w:p>
      <w:pPr>
        <w:jc w:val="both"/>
        <w:ind w:left="400"/>
        <w:spacing w:after="0" w:line="255" w:lineRule="auto"/>
        <w:rPr>
          <w:sz w:val="20"/>
          <w:szCs w:val="20"/>
          <w:color w:val="auto"/>
        </w:rPr>
      </w:pPr>
      <w:r>
        <w:rPr>
          <w:rFonts w:ascii="Arial" w:cs="Arial" w:eastAsia="Arial" w:hAnsi="Arial"/>
          <w:sz w:val="19"/>
          <w:szCs w:val="19"/>
          <w:color w:val="auto"/>
        </w:rPr>
        <w:t>In March 2017, the FASB issued accounting guidance that will change how employers who sponsor defined benefit pension and/or postretirement benefit plans present the net periodic benefit cost in the Statement of Consolidated Comprehensive Income (Loss). This guidance requires employers to present the service cost component of net periodic benefit cost in the same caption within the Statement of Consolidated Comprehensive Income (Loss) as other employee compensation costs from services rendered during the period. All other components of the net periodic benefit cost will be presented separately outside of the operating income caption. This guidance must be applied retrospectively. Ashland elected to early adopt this guidance on October 1, 2017, which resulted in a reclassification of $3 million in income from the selling, general and administrative expense and cost of sales captions to the other net periodic benefit income caption in the Statement of Consolidated Comprehensive Income (Loss) for the nine months ended June 30, 2017. The components of net periodic benefits income (costs) reclassified primarily relate to interest cost, expected return on assets, curtailments, settlements and actuarial gains and losses. Ashland did not have to adjust the classification of service cost since it previously was recorded within the caption required by the new guidance. See Note J for additional information on net periodic benefit costs.</w:t>
      </w:r>
    </w:p>
    <w:p>
      <w:pPr>
        <w:spacing w:after="0" w:line="77"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In March 2016, the FASB issued new accounting guidance for certain aspects of share-based payments to employees. This guidance requires all excess tax benefits and tax deficiencies related to share-based payments to be recognized as income tax expense in the Statements of Consolidated Comprehensive Income (Loss) instead of additional paid-in capital, and changes the classification of excess tax benefits from a financing activity to an operating activity within the Statements of Condensed Consolidated Cash Flows. This guidance also allows entities to make an accounting policy election to either estimate the number of awards that are expected to vest or account for forfeitures when they occur. In addition, this guidance increases the amount an employer can withhold to cover income taxes on awards and still qualify for equity classification and requires that cash paid by an employer when directly withholding shares for tax-withholding purposes be classified as a financing activity within the Statements of Condensed Consolidated Cash Flows. The guidance became effective for Ashland and was adopted on October 1, 2017. The guidance specifically related to the Statements of Consolidated Comprehensive Income (Loss)</w:t>
      </w:r>
    </w:p>
    <w:p>
      <w:pPr>
        <w:spacing w:after="0" w:line="17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7" w:name="page8"/>
    <w:bookmarkEnd w:id="7"/>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was adopted prospectively while the guidance related to the Statements of Condensed Consolidated Cash Flows was adopted retrospectively, as required by the guidance. Additionally, Ashland made a policy election to account for forfeitures when they occur across all share-based awards. Upon adoption, the overall impact on Ashland's Condensed Consolidated Financial Statements was not significant.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VALVOLINE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Ashland Separation of Valvoline</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On September 22, 2015, Ashland announced that the Board of Directors approved proceeding with a plan to separate Ashland into two independent, publicly traded companies comprising of the new Ashland (now known as Ashland Global Holdings Inc.) and Valvoline Inc. The initial step of the separation, the initial public offering (IPO) of Valvoline Inc., closed on September 28, 2016. As discussed further within the Final Separation section of this Note, Ashland completed the distribution of its remaining shares in Valvoline Inc. on May 12, 2017. The new Ashland is a premier global leader in providing specialty chemical solutions to customers in a wide range of consumer and industrial markets. Key markets and applications include pharmaceutical, personal care, food and beverage, architectural coatings, adhesives, automotive, construction and energy</w:t>
      </w:r>
    </w:p>
    <w:p>
      <w:pPr>
        <w:spacing w:after="0" w:line="71"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After completing the IPO on September 28, 2016 and before the distribution of its remaining shares on May 12, 2017, Ashland owned 170 million shares of Valvoline Inc.’s common stock which represented approximately 83% of the total outstanding shares of Valvoline Inc.’s common stock. As a result, Ashland continued to consolidate Valvoline within the Condensed Consolidated Financial Statements up until the distribution of the remaining shares. The resulting outside stockholders’ interests in Valvoline Inc., which were approximately 17%, was presented separately as a noncontrolling interest within Ashland’s equity in the Condensed Consolidated Balance Sheets up until the distribution of the remaining shares. The amount of consolidated net income attributable to these minority holders is presented as a separate caption on the Statements of Consolidated Comprehensive Income (Loss) for the three and nine months ended June 30, 2017.</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Final Separation</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 completed the distribution of its remaining 170 million shares of common stock of Valvoline Inc. as a pro rata dividend on shares of Ashland common stock outstanding at the close of business on the record date of May 5, 2017. Based on the shares of Ashland common stock outstanding as of May 5, 2017, the record date for the distribution, each share of Ashland common stock received 2.745338 shares of Valvoline common stock in the distribution. The distribution was recorded at the carrying amount of Valvoline Inc.'s net assets which was a deficit of $187 million as of May 12, 2017, as follows:</w:t>
      </w: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8" w:name="page9"/>
    <w:bookmarkEnd w:id="8"/>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60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May 12</w:t>
            </w:r>
          </w:p>
        </w:tc>
      </w:tr>
      <w:tr>
        <w:trPr>
          <w:trHeight w:val="230"/>
        </w:trPr>
        <w:tc>
          <w:tcPr>
            <w:tcW w:w="8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183"/>
        </w:trPr>
        <w:tc>
          <w:tcPr>
            <w:tcW w:w="838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0"/>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Accounts receivable, net</w:t>
            </w:r>
          </w:p>
        </w:tc>
        <w:tc>
          <w:tcPr>
            <w:tcW w:w="8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385</w:t>
            </w: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r>
      <w:tr>
        <w:trPr>
          <w:trHeight w:val="230"/>
        </w:trPr>
        <w:tc>
          <w:tcPr>
            <w:tcW w:w="8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current assets</w:t>
            </w: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r>
      <w:tr>
        <w:trPr>
          <w:trHeight w:val="223"/>
        </w:trPr>
        <w:tc>
          <w:tcPr>
            <w:tcW w:w="8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b w:val="1"/>
                <w:bCs w:val="1"/>
                <w:color w:val="auto"/>
              </w:rPr>
              <w:t>Noncurrent assets</w:t>
            </w: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property, plant and equipment</w:t>
            </w:r>
          </w:p>
        </w:tc>
        <w:tc>
          <w:tcPr>
            <w:tcW w:w="8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329</w:t>
            </w: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and other unconsolidated investments</w:t>
            </w:r>
          </w:p>
        </w:tc>
        <w:tc>
          <w:tcPr>
            <w:tcW w:w="8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8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391</w:t>
            </w: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r>
      <w:tr>
        <w:trPr>
          <w:trHeight w:val="223"/>
        </w:trPr>
        <w:tc>
          <w:tcPr>
            <w:tcW w:w="838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Total noncurrent assets</w:t>
            </w: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1,201</w:t>
            </w:r>
          </w:p>
        </w:tc>
      </w:tr>
      <w:tr>
        <w:trPr>
          <w:trHeight w:val="223"/>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1,942</w:t>
            </w:r>
          </w:p>
        </w:tc>
      </w:tr>
      <w:tr>
        <w:trPr>
          <w:trHeight w:val="183"/>
        </w:trPr>
        <w:tc>
          <w:tcPr>
            <w:tcW w:w="838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LIABILITIES AND EQUITY</w:t>
            </w:r>
          </w:p>
        </w:tc>
        <w:tc>
          <w:tcPr>
            <w:tcW w:w="8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Short-term debt</w:t>
            </w:r>
          </w:p>
        </w:tc>
        <w:tc>
          <w:tcPr>
            <w:tcW w:w="8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75</w:t>
            </w: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8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Trade and other payables</w:t>
            </w:r>
          </w:p>
        </w:tc>
        <w:tc>
          <w:tcPr>
            <w:tcW w:w="8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353</w:t>
            </w: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23"/>
        </w:trPr>
        <w:tc>
          <w:tcPr>
            <w:tcW w:w="8380" w:type="dxa"/>
            <w:vAlign w:val="bottom"/>
            <w:gridSpan w:val="3"/>
          </w:tcPr>
          <w:p>
            <w:pPr>
              <w:ind w:left="24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478</w:t>
            </w: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8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662</w:t>
            </w:r>
          </w:p>
        </w:tc>
      </w:tr>
      <w:tr>
        <w:trPr>
          <w:trHeight w:val="230"/>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 benefit obligations</w:t>
            </w:r>
          </w:p>
        </w:tc>
        <w:tc>
          <w:tcPr>
            <w:tcW w:w="8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826</w:t>
            </w:r>
          </w:p>
        </w:tc>
      </w:tr>
      <w:tr>
        <w:trPr>
          <w:trHeight w:val="230"/>
        </w:trPr>
        <w:tc>
          <w:tcPr>
            <w:tcW w:w="8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r>
      <w:tr>
        <w:trPr>
          <w:trHeight w:val="223"/>
        </w:trPr>
        <w:tc>
          <w:tcPr>
            <w:tcW w:w="83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1,651</w:t>
            </w:r>
          </w:p>
        </w:tc>
      </w:tr>
      <w:tr>
        <w:trPr>
          <w:trHeight w:val="223"/>
        </w:trPr>
        <w:tc>
          <w:tcPr>
            <w:tcW w:w="83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2,129</w:t>
            </w:r>
          </w:p>
        </w:tc>
      </w:tr>
      <w:tr>
        <w:trPr>
          <w:trHeight w:val="223"/>
        </w:trPr>
        <w:tc>
          <w:tcPr>
            <w:tcW w:w="8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deficit</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A Tax Matters Agreement between Ashland and Valvoline Inc. governs the rights and obligations after the separation regarding certain income taxes and other taxes, including certain tax liabilities and benefits, attributes, returns and contests.</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Discontinued Operations Assessment</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Valvoline met the criteria to qualify as a discontinued operation and accordingly, its operating results and cash flows for the three and nine months ended June 30, 2017 have been classified as discontinued operations within the Condensed Consolidated Financial Statements. See Note D for more information.</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Costs of transaction</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Ashland recognized separation costs of $1 million and $28 million for the three months ended June 30, 2018 and 2017, respectively, and $9 million and $82 million for the nine months ended June 30, 2018 and 2017, respectively. Of these amounts, $13 million of separation costs directly related to Valvoline and were included within the discontinued operations caption of the Statement of Consolidated Comprehensive Income (Loss) for the nine months ended June 30, 2017, respectively. Otherwise, separation costs are recorded within the selling, general and administrative expense caption of the Statements of Consolidated Comprehensive Income (Loss).</w:t>
      </w: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9" w:name="page10"/>
    <w:bookmarkEnd w:id="9"/>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 ACQUISITIONS AND DIVESTITURES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Pharmachem</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Background</w:t>
      </w:r>
    </w:p>
    <w:p>
      <w:pPr>
        <w:spacing w:after="0" w:line="108"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On May 17, 2017, Ashland completed its acquisition of the stock of Pharmachem Laboratories, Inc. (Pharmachem), a leading provider of quality ingredients to the global health and wellness industries and high-value differentiated products to fragrance and flavor houses. At the acquisition date, Pharmachem had approximately $300 million in annual revenues and 14 manufacturing facilities located in the United States and Mexico. New Jersey-based Pharmachem develops, manufactures and supplies custom and branded nutritional and fragrance products. Ashland has included Pharmachem within the Specialty Ingredients reportable segment.</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Purchase price allocation</w:t>
      </w:r>
    </w:p>
    <w:p>
      <w:pPr>
        <w:spacing w:after="0" w:line="108"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acquisition was recorded by Ashland using the purchase method of accounting in accordance with applicable U.S. GAAP whereby the total purchase price was allocated to tangible and intangible assets and liabilities acquired based on respective fair values. Goodwill was calculated as the excess of the consideration transferred over the net assets recognized and represents the estimated future economic benefits arising from other assets acquired that could not be individually identified and separately recognized. The factors contributing to the recognition of goodwill were based on strategic benefits that are expected to be realized from the acquisition. None of the goodwill is expected to be deductible for income tax purposes.</w:t>
      </w:r>
    </w:p>
    <w:p>
      <w:pPr>
        <w:spacing w:after="0" w:line="71"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The all-cash purchase price of Pharmachem was $680 million which included working capital adjustments of approximately $20 million. The following table summarizes the values of the assets acquired and liabilities assumed at the date of acquisition.</w:t>
      </w:r>
    </w:p>
    <w:p>
      <w:pPr>
        <w:spacing w:after="0" w:line="141"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852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At</w:t>
            </w:r>
          </w:p>
        </w:tc>
      </w:tr>
      <w:tr>
        <w:trPr>
          <w:trHeight w:val="230"/>
        </w:trPr>
        <w:tc>
          <w:tcPr>
            <w:tcW w:w="8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May 17, 2017</w:t>
            </w:r>
          </w:p>
        </w:tc>
      </w:tr>
      <w:tr>
        <w:trPr>
          <w:trHeight w:val="230"/>
        </w:trPr>
        <w:tc>
          <w:tcPr>
            <w:tcW w:w="8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Purchase price allocation (in millions)</w:t>
            </w: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As Adjusted</w:t>
            </w: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Accounts receivable</w:t>
            </w: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5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74</w:t>
            </w: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330</w:t>
            </w: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290</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5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94</w:t>
            </w: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noncurrent assets</w:t>
            </w:r>
          </w:p>
        </w:tc>
        <w:tc>
          <w:tcPr>
            <w:tcW w:w="5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color w:val="auto"/>
              </w:rPr>
              <w:t>Deferred tax - net</w:t>
            </w:r>
          </w:p>
        </w:tc>
        <w:tc>
          <w:tcPr>
            <w:tcW w:w="5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8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noncurrent liabilities</w:t>
            </w:r>
          </w:p>
        </w:tc>
        <w:tc>
          <w:tcPr>
            <w:tcW w:w="5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purchase price</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680</w:t>
            </w:r>
          </w:p>
        </w:tc>
      </w:tr>
      <w:tr>
        <w:trPr>
          <w:trHeight w:val="20"/>
        </w:trPr>
        <w:tc>
          <w:tcPr>
            <w:tcW w:w="8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As of June 30, 2018, the purchase price allocation for the acquisition was finalized. During the nine months ended June 30, 2018, there were subsequent adjustments of $3 million to property, plant and equipment, $1 million to accounts payable and $1 million to deferred tax liabilities. The combined impact of these adjustments resulted in an increase to goodwill of $3 million.</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Intangible assets identified</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purchase price allocation included $330 million of certain definite-lived intangible assets which are being amortized over the estimated useful life in proportion to the economic benefits consumed. The determination of the useful lives is based upon various industry studies, historical acquisition experience,</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0" w:name="page11"/>
    <w:bookmarkEnd w:id="10"/>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economic factors, and future cash flows of the combined company. In addition, Ashland reviewed certain technological trends and considered the relative stability in the current Pharmachem customer base.</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details the total intangible assets identified as of May 17, 2017.</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67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88"/>
              </w:rPr>
              <w:t>Weighted-average</w:t>
            </w:r>
          </w:p>
        </w:tc>
      </w:tr>
      <w:tr>
        <w:trPr>
          <w:trHeight w:val="230"/>
        </w:trPr>
        <w:tc>
          <w:tcPr>
            <w:tcW w:w="6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60" w:type="dxa"/>
            <w:vAlign w:val="bottom"/>
          </w:tcPr>
          <w:p>
            <w:pPr>
              <w:jc w:val="center"/>
              <w:ind w:left="50"/>
              <w:spacing w:after="0"/>
              <w:rPr>
                <w:sz w:val="20"/>
                <w:szCs w:val="20"/>
                <w:color w:val="auto"/>
              </w:rPr>
            </w:pPr>
            <w:r>
              <w:rPr>
                <w:rFonts w:ascii="Arial" w:cs="Arial" w:eastAsia="Arial" w:hAnsi="Arial"/>
                <w:sz w:val="18"/>
                <w:szCs w:val="18"/>
                <w:color w:val="auto"/>
                <w:w w:val="92"/>
              </w:rPr>
              <w:t>amortization period</w:t>
            </w:r>
          </w:p>
        </w:tc>
      </w:tr>
      <w:tr>
        <w:trPr>
          <w:trHeight w:val="230"/>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 type (in millions)</w:t>
            </w: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21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9"/>
              </w:rPr>
              <w:t>(years)</w:t>
            </w:r>
          </w:p>
        </w:tc>
      </w:tr>
      <w:tr>
        <w:trPr>
          <w:trHeight w:val="223"/>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1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15</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Intellectual property</w:t>
            </w:r>
          </w:p>
        </w:tc>
        <w:tc>
          <w:tcPr>
            <w:tcW w:w="6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160" w:type="dxa"/>
            <w:vAlign w:val="bottom"/>
          </w:tcPr>
          <w:p>
            <w:pPr>
              <w:jc w:val="center"/>
              <w:ind w:left="50"/>
              <w:spacing w:after="0"/>
              <w:rPr>
                <w:sz w:val="20"/>
                <w:szCs w:val="20"/>
                <w:color w:val="auto"/>
              </w:rPr>
            </w:pPr>
            <w:r>
              <w:rPr>
                <w:rFonts w:ascii="Arial" w:cs="Arial" w:eastAsia="Arial" w:hAnsi="Arial"/>
                <w:sz w:val="18"/>
                <w:szCs w:val="18"/>
                <w:color w:val="auto"/>
                <w:w w:val="89"/>
              </w:rPr>
              <w:t>22</w:t>
            </w: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Customer and supplier relationships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21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c>
          <w:tcPr>
            <w:tcW w:w="216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99"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Vornia Limited</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January 2018, Ashland completed the acquisition of Vornia Limited for $12 million, of which $1 million will be paid in future periods. Vornia Limited’s principal activity is the design, development and fabrication of customized biomaterial solutions. The purchase price allocation primarily included $8 million of intellectual property and $4 million of goodwill and has been included within the Specialty Ingredients reportable segment.</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Specialty Ingredients Joint Venture</w:t>
      </w:r>
    </w:p>
    <w:p>
      <w:pPr>
        <w:spacing w:after="0" w:line="114"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During September 2016, Ashland entered into a definitive sale agreement to sell its ownership interest in a Specialty Ingredients joint venture in China, which primarily served the construction end market. Ashland recognized a loss of $12 million before tax in 2016 to recognize the assets at fair value less cost to sell, using Level 2 nonrecurring fair value measurements.</w:t>
      </w:r>
    </w:p>
    <w:p>
      <w:pPr>
        <w:spacing w:after="0" w:line="4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During June 2017, Ashland completed the transfer of its ownership interest in the joint venture and recognized an additional loss of $4 million during the three and nine months ended June 30, 2017 primarily related to a license fee and tax adjustments. The loss was reported within the net loss on acquisitions and divestitures caption within the Statement of Consolidated Comprehensive Income (Loss).</w:t>
      </w:r>
    </w:p>
    <w:p>
      <w:pPr>
        <w:spacing w:after="0" w:line="8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determined this transaction did not qualify for discontinued operations treatment since it did not represent a strategic shift that had or will have a major effect on Ashland’s operations and financial results.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Specialty Ingredients Facility</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During the three months ended June 30, 2017, Ashland committed to a plan to reorganize certain operations within the Specialty Ingredients reportable segment resulting in the closure of a manufacturing facility that was previously operational. As a result of this closure, the remaining value for primarily machinery and equipment related to this facility was written off, which resulted in an $11 million charge for these assets as well as an additional $2 million reserve for employee costs associated with the facility closure during the three and nine months ended June 30, 2017.</w:t>
      </w:r>
    </w:p>
    <w:p>
      <w:pPr>
        <w:spacing w:after="0" w:line="87"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During the three months ended June 30, 2018, Ashland was in the process of finalizing the sale of the facility. As a result, Ashland recognized a loss of $2 million before tax to recognize the building and land at fair value less cost to sell, using Level 2 nonrecurring fair value measurements. The loss was reported within the net loss on acquisitions and divestitures caption within the Statement of Consolidated Comprehensive Income (Loss) for the three and nine months ended June 30, 2018.</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DISCONTINUED OPERATIONS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In previous periods, 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 and are discussed further within this note.</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1" w:name="page12"/>
    <w:bookmarkEnd w:id="11"/>
    <w:p>
      <w:pPr>
        <w:ind w:right="442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right="420"/>
        <w:spacing w:after="0" w:line="243" w:lineRule="auto"/>
        <w:rPr>
          <w:sz w:val="20"/>
          <w:szCs w:val="20"/>
          <w:color w:val="auto"/>
        </w:rPr>
      </w:pPr>
      <w:r>
        <w:rPr>
          <w:rFonts w:ascii="Arial" w:cs="Arial" w:eastAsia="Arial" w:hAnsi="Arial"/>
          <w:sz w:val="20"/>
          <w:szCs w:val="20"/>
          <w:color w:val="auto"/>
        </w:rPr>
        <w:t>As previously discussed in Notes A and B, Ashland completed the distribution of its remaining 170 million shares of common stock of Valvoline Inc. on May 12, 2017. Ashland determined that the Valvoline separation qualified as a discontinued operation, in accordance with U.S. GAAP, since it represents a strategic shift for Ashland and has a major effect on Ashland's operations and financial results. Accordingly, Valvoline's operating results and cash flows for the three and nine months ended June 30, 2017 have been classified as discontinued operations within the Condensed Consolidated Financial Statements. The activity during the three and nine months ended June 30, 2018 generally represents subsequent adjustments that were made in conjunction with the Tax Matters Agreement.</w:t>
      </w:r>
    </w:p>
    <w:p>
      <w:pPr>
        <w:spacing w:after="0" w:line="85" w:lineRule="exact"/>
        <w:rPr>
          <w:sz w:val="20"/>
          <w:szCs w:val="20"/>
          <w:color w:val="auto"/>
        </w:rPr>
      </w:pPr>
    </w:p>
    <w:p>
      <w:pPr>
        <w:jc w:val="both"/>
        <w:ind w:left="400" w:right="420"/>
        <w:spacing w:after="0" w:line="243"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of Ashland, which qualified as a discontinued operation, and from the 2009 acquisition of Hercules LLC (formerly Hercules Incorporated), a wholly-owned subsidiary of Ashland. Adjustments to the recorded litigation reserves and related insurance receivables are recorded within discontinued operations. See Note K for more information related to the adjustments on asbestos liabilities and receivables.</w:t>
      </w:r>
    </w:p>
    <w:p>
      <w:pPr>
        <w:spacing w:after="0" w:line="88" w:lineRule="exact"/>
        <w:rPr>
          <w:sz w:val="20"/>
          <w:szCs w:val="20"/>
          <w:color w:val="auto"/>
        </w:rPr>
      </w:pPr>
    </w:p>
    <w:p>
      <w:pPr>
        <w:jc w:val="both"/>
        <w:ind w:left="400" w:right="420"/>
        <w:spacing w:after="0" w:line="282" w:lineRule="auto"/>
        <w:rPr>
          <w:sz w:val="20"/>
          <w:szCs w:val="20"/>
          <w:color w:val="auto"/>
        </w:rPr>
      </w:pPr>
      <w:r>
        <w:rPr>
          <w:rFonts w:ascii="Arial" w:cs="Arial" w:eastAsia="Arial" w:hAnsi="Arial"/>
          <w:sz w:val="18"/>
          <w:szCs w:val="18"/>
          <w:color w:val="auto"/>
        </w:rPr>
        <w:t>During 2011, Ashland completed the sale of substantially all of the assets and certain liabilities of its global distribution business, which previously comprised the Ashland Distribution (Distribution) reportable segment. Ashland determined that this sale qualified as a discontinued operation, in accordance with U.S. GAAP, since Ashland does not have significant continuing involvement in the Distribution business. Ashland has made subsequent adjustments to the discontinued operations caption related to the sale.</w:t>
      </w:r>
    </w:p>
    <w:p>
      <w:pPr>
        <w:spacing w:after="0" w:line="54"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On July 31, 2014, Ashland completed the sale of the Ashland Water Technologies (Water Technologies) business. Ashland made subsequent post-closing adjustments to the discontinued operations caption as defined by the definitive agreement during the three and nine months ended June 30, 2017.</w:t>
      </w:r>
    </w:p>
    <w:p>
      <w:pPr>
        <w:spacing w:after="0" w:line="78" w:lineRule="exact"/>
        <w:rPr>
          <w:sz w:val="20"/>
          <w:szCs w:val="20"/>
          <w:color w:val="auto"/>
        </w:rPr>
      </w:pPr>
    </w:p>
    <w:p>
      <w:pPr>
        <w:jc w:val="both"/>
        <w:ind w:left="400" w:right="420"/>
        <w:spacing w:after="0" w:line="287" w:lineRule="auto"/>
        <w:rPr>
          <w:sz w:val="20"/>
          <w:szCs w:val="20"/>
          <w:color w:val="auto"/>
        </w:rPr>
      </w:pPr>
      <w:r>
        <w:rPr>
          <w:rFonts w:ascii="Arial" w:cs="Arial" w:eastAsia="Arial" w:hAnsi="Arial"/>
          <w:sz w:val="19"/>
          <w:szCs w:val="19"/>
          <w:color w:val="auto"/>
        </w:rPr>
        <w:t>Components of amounts reflected in the Statements of Consolidated Comprehensive Income (Loss) related to discontinued operations are presented in the following table for the three and nine months ended June 30, 2018 and 2017.</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7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56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2017</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w w:val="99"/>
              </w:rPr>
              <w:t>Income (loss) from discontinued operations (net of tax)</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10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CFF0FC"/>
          </w:tcPr>
          <w:p>
            <w:pPr>
              <w:jc w:val="right"/>
              <w:ind w:right="50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FF0FC"/>
          </w:tcPr>
          <w:p>
            <w:pPr>
              <w:jc w:val="right"/>
              <w:ind w:right="485"/>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Asbestos-related litigation</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Distribution</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Water Technologies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2" w:name="page13"/>
    <w:bookmarkEnd w:id="12"/>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following table presents a reconciliation of the historically reported captions within Ashland's Statements of Consolidated Income (Loss) for the income from discontinued operations attributable to Valvoline for the three and nine months ended June 30, 2017.</w:t>
      </w:r>
    </w:p>
    <w:p>
      <w:pPr>
        <w:spacing w:after="0" w:line="7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2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Three</w:t>
            </w:r>
          </w:p>
        </w:tc>
        <w:tc>
          <w:tcPr>
            <w:tcW w:w="2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Nine</w:t>
            </w:r>
          </w:p>
        </w:tc>
      </w:tr>
      <w:tr>
        <w:trPr>
          <w:trHeight w:val="230"/>
        </w:trPr>
        <w:tc>
          <w:tcPr>
            <w:tcW w:w="7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months ended</w:t>
            </w: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months ended</w:t>
            </w:r>
          </w:p>
        </w:tc>
      </w:tr>
      <w:tr>
        <w:trPr>
          <w:trHeight w:val="23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June 30, 2017</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30, 2017</w:t>
            </w:r>
          </w:p>
        </w:tc>
      </w:tr>
      <w:tr>
        <w:trPr>
          <w:trHeight w:val="223"/>
        </w:trPr>
        <w:tc>
          <w:tcPr>
            <w:tcW w:w="7280" w:type="dxa"/>
            <w:vAlign w:val="bottom"/>
          </w:tcPr>
          <w:p>
            <w:pPr>
              <w:spacing w:after="0"/>
              <w:rPr>
                <w:sz w:val="20"/>
                <w:szCs w:val="20"/>
                <w:color w:val="auto"/>
              </w:rPr>
            </w:pPr>
            <w:r>
              <w:rPr>
                <w:rFonts w:ascii="Arial" w:cs="Arial" w:eastAsia="Arial" w:hAnsi="Arial"/>
                <w:sz w:val="18"/>
                <w:szCs w:val="18"/>
                <w:b w:val="1"/>
                <w:bCs w:val="1"/>
                <w:color w:val="auto"/>
              </w:rPr>
              <w:t>Income (loss) from discontinued operations attributable to Valvoline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1,237</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 income</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Pretax operating income of discontinued operations</w:t>
            </w:r>
          </w:p>
        </w:tc>
        <w:tc>
          <w:tcPr>
            <w:tcW w:w="2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274</w:t>
            </w: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financing expense</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Pretax income of discontinued operations</w:t>
            </w:r>
          </w:p>
        </w:tc>
        <w:tc>
          <w:tcPr>
            <w:tcW w:w="2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252</w:t>
            </w: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3" w:name="page14"/>
    <w:bookmarkEnd w:id="13"/>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summarizes financial instruments subject to recurring fair value measurements as of June 30, 2018.</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8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0"/>
              </w:rPr>
              <w:t>Quoted prices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in active</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markets for</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identical</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2"/>
              </w:rPr>
              <w:t>unobservable</w:t>
            </w:r>
          </w:p>
        </w:tc>
      </w:tr>
      <w:tr>
        <w:trPr>
          <w:trHeight w:val="230"/>
        </w:trPr>
        <w:tc>
          <w:tcPr>
            <w:tcW w:w="3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Carrying</w:t>
            </w: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inputs</w:t>
            </w:r>
          </w:p>
        </w:tc>
      </w:t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value</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Investment of captive insurance company</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7322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6" w:lineRule="exact"/>
        <w:rPr>
          <w:sz w:val="20"/>
          <w:szCs w:val="20"/>
          <w:color w:val="auto"/>
        </w:rPr>
      </w:pPr>
    </w:p>
    <w:p>
      <w:pPr>
        <w:ind w:left="660" w:hanging="26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spacing w:after="0" w:line="13" w:lineRule="exact"/>
        <w:rPr>
          <w:rFonts w:ascii="Arial" w:cs="Arial" w:eastAsia="Arial" w:hAnsi="Arial"/>
          <w:sz w:val="14"/>
          <w:szCs w:val="14"/>
          <w:color w:val="auto"/>
        </w:rPr>
      </w:pPr>
    </w:p>
    <w:p>
      <w:pPr>
        <w:ind w:left="660" w:hanging="260"/>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2017.</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8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0"/>
              </w:rPr>
              <w:t>Quoted prices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in active</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Significant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markets for</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r>
      <w:tr>
        <w:trPr>
          <w:trHeight w:val="216"/>
        </w:trPr>
        <w:tc>
          <w:tcPr>
            <w:tcW w:w="3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identical</w:t>
            </w: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observable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2"/>
              </w:rPr>
              <w:t>unobservable</w:t>
            </w:r>
          </w:p>
        </w:tc>
      </w:tr>
      <w:tr>
        <w:trPr>
          <w:trHeight w:val="230"/>
        </w:trPr>
        <w:tc>
          <w:tcPr>
            <w:tcW w:w="3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Carrying</w:t>
            </w: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inputs</w:t>
            </w:r>
          </w:p>
        </w:tc>
      </w:tr>
      <w:tr>
        <w:trPr>
          <w:trHeight w:val="23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value</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Level 1</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investments </w:t>
            </w:r>
            <w:r>
              <w:rPr>
                <w:rFonts w:ascii="Arial" w:cs="Arial" w:eastAsia="Arial" w:hAnsi="Arial"/>
                <w:sz w:val="14"/>
                <w:szCs w:val="14"/>
                <w:color w:val="auto"/>
              </w:rPr>
              <w:t>(b)</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Investment of captive insurance company</w:t>
            </w: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 at fair value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7322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6" w:lineRule="exact"/>
        <w:rPr>
          <w:sz w:val="20"/>
          <w:szCs w:val="20"/>
          <w:color w:val="auto"/>
        </w:rPr>
      </w:pPr>
    </w:p>
    <w:p>
      <w:pPr>
        <w:ind w:left="660" w:hanging="260"/>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restricted investments is $30 million classified in the other current assets caption on the Condensed Consolidated Balance Sheets.</w:t>
      </w:r>
    </w:p>
    <w:p>
      <w:pPr>
        <w:spacing w:after="0" w:line="13" w:lineRule="exact"/>
        <w:rPr>
          <w:rFonts w:ascii="Arial" w:cs="Arial" w:eastAsia="Arial" w:hAnsi="Arial"/>
          <w:sz w:val="14"/>
          <w:szCs w:val="14"/>
          <w:color w:val="auto"/>
        </w:rPr>
      </w:pPr>
    </w:p>
    <w:p>
      <w:pPr>
        <w:ind w:left="660" w:hanging="260"/>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Restricted investments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2015, Ashland and Hercules entered into a comprehensive settlement agreement related to certain insurance coverage for asbestos bodily injury claims with Underwriters at Lloyd’s, certain London Companies and Chartis (AIG) member companies, along with National Indemnity Company and Resolute</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4" w:name="page15"/>
    <w:bookmarkEnd w:id="14"/>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Management, Inc., under which Ashland and Hercules received a total of $398 million (the January 2015 asbestos insurance settlement). Ashland placed $335 million of the settlement funds from the January 2015 asbestos insurance settlement into a renewable annual trust restricted for the purpose of paying ongoing and future litigation defense and claim settlement costs incurred in conjunction with asbestos claims. These funds were classified primarily as noncurrent restricted investment assets, with $30 million classified within other current assets, in the Condensed Consolidated Balance Sheets as of June 30, 2018 and September 30, 2017, respectively.</w:t>
      </w:r>
    </w:p>
    <w:p>
      <w:pPr>
        <w:spacing w:after="0" w:line="88"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During 2015, Ashland diversified the restricted investments received from the January 2015 asbestos insurance settlement into primarily equity and corporate bond mutual funds that are designated as available-for-sale securities, classified as Level 1 measurements within the fair value hierarchy. Available-for-sale securities are reported at fair value with unrealized gains and losses, net of related deferred income taxes, included in the stockholders' equity section of the Condensed Consolidated Balance Sheets as a component of accumulated other comprehensive income (AOCI). Investment income and realized gains and losses on the available-for-sale securities are reported in the net interest and other financing expense caption in the Statements of Consolidated Comprehensive Income (Loss). The following table provides a summary of the available-for-sale securities portfolio as of June 30, 2018 and September 30, 2017:</w:t>
      </w: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3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June 30</w:t>
            </w:r>
          </w:p>
        </w:tc>
        <w:tc>
          <w:tcPr>
            <w:tcW w:w="4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Original cost</w:t>
            </w:r>
          </w:p>
        </w:tc>
        <w:tc>
          <w:tcPr>
            <w:tcW w:w="2700" w:type="dxa"/>
            <w:vAlign w:val="bottom"/>
            <w:gridSpan w:val="2"/>
            <w:shd w:val="clear" w:color="auto" w:fill="CFF0FC"/>
          </w:tcPr>
          <w:p>
            <w:pPr>
              <w:jc w:val="right"/>
              <w:ind w:right="74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Accumulated adjustments, net</w:t>
            </w:r>
          </w:p>
        </w:tc>
        <w:tc>
          <w:tcPr>
            <w:tcW w:w="18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cost, beginning of year </w:t>
            </w:r>
            <w:r>
              <w:rPr>
                <w:rFonts w:ascii="Arial" w:cs="Arial" w:eastAsia="Arial" w:hAnsi="Arial"/>
                <w:sz w:val="14"/>
                <w:szCs w:val="14"/>
                <w:color w:val="auto"/>
              </w:rPr>
              <w:t>(a)</w:t>
            </w:r>
          </w:p>
        </w:tc>
        <w:tc>
          <w:tcPr>
            <w:tcW w:w="18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311</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w:t>
            </w:r>
          </w:p>
        </w:tc>
        <w:tc>
          <w:tcPr>
            <w:tcW w:w="18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Realized gains</w:t>
            </w:r>
          </w:p>
        </w:tc>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18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18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18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r>
      <w:tr>
        <w:trPr>
          <w:trHeight w:val="20"/>
        </w:trPr>
        <w:tc>
          <w:tcPr>
            <w:tcW w:w="4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732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7" w:lineRule="exact"/>
        <w:rPr>
          <w:sz w:val="20"/>
          <w:szCs w:val="20"/>
          <w:color w:val="auto"/>
        </w:rPr>
      </w:pPr>
    </w:p>
    <w:p>
      <w:pPr>
        <w:ind w:left="660" w:hanging="260"/>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spacing w:after="0" w:line="13" w:lineRule="exact"/>
        <w:rPr>
          <w:rFonts w:ascii="Arial" w:cs="Arial" w:eastAsia="Arial" w:hAnsi="Arial"/>
          <w:sz w:val="14"/>
          <w:szCs w:val="14"/>
          <w:color w:val="auto"/>
        </w:rPr>
      </w:pPr>
    </w:p>
    <w:p>
      <w:pPr>
        <w:ind w:left="660" w:hanging="260"/>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corporate bond mutual funds.</w:t>
      </w:r>
    </w:p>
    <w:p>
      <w:pPr>
        <w:spacing w:after="0" w:line="85"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The following table presents gross unrealized gains and losses for the restricted investment available-for-sale securities as of June 30, 2018 and September 30,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4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Gross</w:t>
            </w:r>
          </w:p>
        </w:tc>
        <w:tc>
          <w:tcPr>
            <w:tcW w:w="1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Gross</w:t>
            </w: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Adjusted Cost</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1"/>
              </w:rPr>
              <w:t>Unrealized Gain</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91"/>
              </w:rPr>
              <w:t>Unrealized Loss</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Fair Value</w:t>
            </w: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As of June 30, 2018</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Demand deposit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Equity mutual fund</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201</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 mutual fund</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r>
      <w:tr>
        <w:trPr>
          <w:trHeight w:val="263"/>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Fair value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r>
      <w:tr>
        <w:trPr>
          <w:trHeight w:val="210"/>
        </w:trPr>
        <w:tc>
          <w:tcPr>
            <w:tcW w:w="4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Demand deposit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Equity mutual fund</w:t>
            </w:r>
          </w:p>
        </w:tc>
        <w:tc>
          <w:tcPr>
            <w:tcW w:w="20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202</w:t>
            </w: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Corporate bond mutual fund</w:t>
            </w: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Fair value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332</w:t>
            </w: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unrealized gains and losses as of June 30, 2018 and September 30, 2017 were recognized within AOCI. Ashland invests in highly-rated investment grade mutual funds. No other-than-temporary impairment was recognized in AOCI during the three and nine months ended June 30, 2018 and 2017.</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5" w:name="page16"/>
    <w:bookmarkEnd w:id="15"/>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table presents the investment income, realized gains and disbursements related to the investments within the portfolio for the three and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29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Three months ended</w:t>
            </w:r>
          </w:p>
        </w:tc>
        <w:tc>
          <w:tcPr>
            <w:tcW w:w="7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Nine months ended</w:t>
            </w:r>
          </w:p>
        </w:tc>
        <w:tc>
          <w:tcPr>
            <w:tcW w:w="620" w:type="dxa"/>
            <w:vAlign w:val="bottom"/>
            <w:tcBorders>
              <w:top w:val="single" w:sz="8" w:color="auto"/>
            </w:tcBorders>
          </w:tcPr>
          <w:p>
            <w:pPr>
              <w:spacing w:after="0"/>
              <w:rPr>
                <w:sz w:val="21"/>
                <w:szCs w:val="21"/>
                <w:color w:val="auto"/>
              </w:rPr>
            </w:pPr>
          </w:p>
        </w:tc>
      </w:tr>
      <w:tr>
        <w:trPr>
          <w:trHeight w:val="230"/>
        </w:trPr>
        <w:tc>
          <w:tcPr>
            <w:tcW w:w="29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June 30</w:t>
            </w:r>
          </w:p>
        </w:tc>
        <w:tc>
          <w:tcPr>
            <w:tcW w:w="620" w:type="dxa"/>
            <w:vAlign w:val="bottom"/>
            <w:tcBorders>
              <w:bottom w:val="single" w:sz="8" w:color="auto"/>
            </w:tcBorders>
          </w:tcPr>
          <w:p>
            <w:pPr>
              <w:spacing w:after="0"/>
              <w:rPr>
                <w:sz w:val="20"/>
                <w:szCs w:val="20"/>
                <w:color w:val="auto"/>
              </w:rPr>
            </w:pPr>
          </w:p>
        </w:tc>
      </w:tr>
      <w:tr>
        <w:trPr>
          <w:trHeight w:val="223"/>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0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w:t>
            </w:r>
          </w:p>
        </w:tc>
        <w:tc>
          <w:tcPr>
            <w:tcW w:w="72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Realized gains</w:t>
            </w: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Disbursements</w:t>
            </w:r>
          </w:p>
        </w:tc>
        <w:tc>
          <w:tcPr>
            <w:tcW w:w="1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w:t>
            </w:r>
          </w:p>
        </w:tc>
        <w:tc>
          <w:tcPr>
            <w:tcW w:w="6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7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Deferred compensation investments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Deferred compensation investments consist of Level 2 measurements within the fair value hierarchy which are comprised primarily of a guaranteed interest fund, a common stock index fund and an intermediate government bond fund. Gains and losses related to deferred compensation investments are immediately recognized within the Statements of Consolidated Comprehensive Income (Loss).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400"/>
        <w:spacing w:after="0" w:line="256"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and nine months ended June 30, 2018 and 2017 within the Statements of Consolidated Comprehensive Income (Loss).</w:t>
      </w:r>
    </w:p>
    <w:p>
      <w:pPr>
        <w:spacing w:after="0" w:line="18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4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Three months ended</w:t>
            </w:r>
          </w:p>
        </w:tc>
        <w:tc>
          <w:tcPr>
            <w:tcW w:w="7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Nine months ended</w:t>
            </w:r>
          </w:p>
        </w:tc>
        <w:tc>
          <w:tcPr>
            <w:tcW w:w="620" w:type="dxa"/>
            <w:vAlign w:val="bottom"/>
            <w:tcBorders>
              <w:top w:val="single" w:sz="8" w:color="auto"/>
            </w:tcBorders>
          </w:tcPr>
          <w:p>
            <w:pPr>
              <w:spacing w:after="0"/>
              <w:rPr>
                <w:sz w:val="21"/>
                <w:szCs w:val="21"/>
                <w:color w:val="auto"/>
              </w:rPr>
            </w:pPr>
          </w:p>
        </w:tc>
      </w:tr>
      <w:tr>
        <w:trPr>
          <w:trHeight w:val="230"/>
        </w:trPr>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June 30</w:t>
            </w:r>
          </w:p>
        </w:tc>
        <w:tc>
          <w:tcPr>
            <w:tcW w:w="620" w:type="dxa"/>
            <w:vAlign w:val="bottom"/>
            <w:tcBorders>
              <w:bottom w:val="single" w:sz="8" w:color="auto"/>
            </w:tcBorders>
          </w:tcPr>
          <w:p>
            <w:pPr>
              <w:spacing w:after="0"/>
              <w:rPr>
                <w:sz w:val="20"/>
                <w:szCs w:val="20"/>
                <w:color w:val="auto"/>
              </w:rPr>
            </w:pPr>
          </w:p>
        </w:tc>
      </w:tr>
      <w:tr>
        <w:trPr>
          <w:trHeight w:val="223"/>
        </w:trPr>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2018</w:t>
            </w: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losses</w:t>
            </w:r>
          </w:p>
        </w:tc>
        <w:tc>
          <w:tcPr>
            <w:tcW w:w="14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w:t>
            </w: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bl>
    <w:p>
      <w:pPr>
        <w:spacing w:after="0" w:line="199"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The following table summarizes the fair values of the outstanding foreign currency derivatives as of June 30, 2018 and September 30, 2017 included in accounts receivable and accrued expenses and other liabilities of the Condensed Consolidated Balance Sheets.</w:t>
      </w:r>
    </w:p>
    <w:p>
      <w:pPr>
        <w:spacing w:after="0" w:line="141"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50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June 30</w:t>
            </w:r>
          </w:p>
        </w:tc>
        <w:tc>
          <w:tcPr>
            <w:tcW w:w="6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assets</w:t>
            </w:r>
          </w:p>
        </w:tc>
        <w:tc>
          <w:tcPr>
            <w:tcW w:w="25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25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66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79</w:t>
            </w:r>
          </w:p>
        </w:tc>
      </w:tr>
      <w:tr>
        <w:trPr>
          <w:trHeight w:val="230"/>
        </w:trPr>
        <w:tc>
          <w:tcPr>
            <w:tcW w:w="450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Foreign currency derivative liabilities</w:t>
            </w:r>
          </w:p>
        </w:tc>
        <w:tc>
          <w:tcPr>
            <w:tcW w:w="25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6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25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460</w:t>
            </w:r>
          </w:p>
        </w:tc>
        <w:tc>
          <w:tcPr>
            <w:tcW w:w="6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1,601</w:t>
            </w:r>
          </w:p>
        </w:tc>
      </w:tr>
    </w:tbl>
    <w:p>
      <w:pPr>
        <w:spacing w:after="0" w:line="19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At June 30, 2018 and September 30, 2017, Ashland's long-term debt (including the current portion and excluding debt issuance cost discounts) had a carrying value of $2,483 million and $2,615 million, respectively, compared to a fair value of $2,541 million and $2,768 million, respectively. The fair values of long-term debt are based on quoted market prices or, if market prices are not available, the present values of the underlying cash flows discounted at Ashland’s incremental borrowing rates, which are deemed to be Level 2 measurements within the fair value hierarchy.</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6" w:name="page17"/>
    <w:bookmarkEnd w:id="16"/>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summarizes Ashland’s inventories as of the reported Condensed Consolidated Balance Sheet dates.</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76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8"/>
                <w:szCs w:val="18"/>
                <w:color w:val="auto"/>
              </w:rPr>
              <w:t>June 30, 2018</w:t>
            </w:r>
          </w:p>
        </w:tc>
        <w:tc>
          <w:tcPr>
            <w:tcW w:w="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September 30, 2017</w:t>
            </w: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Finished products</w:t>
            </w:r>
          </w:p>
        </w:tc>
        <w:tc>
          <w:tcPr>
            <w:tcW w:w="202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390</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Raw materials, supplies and work in process</w:t>
            </w: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LIFO carrying values</w:t>
            </w:r>
          </w:p>
        </w:tc>
        <w:tc>
          <w:tcPr>
            <w:tcW w:w="14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634</w:t>
            </w:r>
          </w:p>
        </w:tc>
      </w:tr>
      <w:tr>
        <w:trPr>
          <w:trHeight w:val="20"/>
        </w:trPr>
        <w:tc>
          <w:tcPr>
            <w:tcW w:w="4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Goodwill</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 reviews goodwill and indefinite-lived intangible assets for impairment annually or when events and circumstances indicate an impairment may have occurred. This annual assessment is performed as of July 1 and consists of Ashland determining each reporting unit’s current fair value compared to its current carrying value. For its July 1, 2017 assessment, Ashland determined that its reporting units for the allocation of goodwill are its three reportable segments: Specialty Ingredients, Composites and Intermediates and Solvents. At that time, Ashland determined no additional impairment existed.</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progression of goodwill by reportable segment for the nine months ended June 30, 2018.</w:t>
      </w:r>
    </w:p>
    <w:p>
      <w:pPr>
        <w:spacing w:after="0" w:line="21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9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Specialty</w:t>
            </w: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Intermediates</w:t>
            </w:r>
          </w:p>
        </w:tc>
        <w:tc>
          <w:tcPr>
            <w:tcW w:w="2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r>
      <w:tr>
        <w:trPr>
          <w:trHeight w:val="230"/>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Ingredients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Composites</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and Solvents</w:t>
            </w:r>
          </w:p>
        </w:tc>
        <w:tc>
          <w:tcPr>
            <w:tcW w:w="520" w:type="dxa"/>
            <w:vAlign w:val="bottom"/>
            <w:tcBorders>
              <w:bottom w:val="single" w:sz="8" w:color="auto"/>
            </w:tcBorders>
            <w:gridSpan w:val="2"/>
          </w:tcPr>
          <w:p>
            <w:pPr>
              <w:jc w:val="right"/>
              <w:ind w:right="285"/>
              <w:spacing w:after="0"/>
              <w:rPr>
                <w:sz w:val="20"/>
                <w:szCs w:val="20"/>
                <w:color w:val="auto"/>
              </w:rPr>
            </w:pPr>
            <w:r>
              <w:rPr>
                <w:rFonts w:ascii="Arial" w:cs="Arial" w:eastAsia="Arial" w:hAnsi="Arial"/>
                <w:sz w:val="14"/>
                <w:szCs w:val="14"/>
                <w:color w:val="auto"/>
                <w:w w:val="81"/>
              </w:rPr>
              <w:t>(a)</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Total</w:t>
            </w: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2,315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5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2,465</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 xml:space="preserve">Acquisitions </w:t>
            </w:r>
            <w:r>
              <w:rPr>
                <w:rFonts w:ascii="Arial" w:cs="Arial" w:eastAsia="Arial" w:hAnsi="Arial"/>
                <w:sz w:val="14"/>
                <w:szCs w:val="14"/>
                <w:color w:val="auto"/>
              </w:rPr>
              <w:t>(b)</w:t>
            </w:r>
          </w:p>
        </w:tc>
        <w:tc>
          <w:tcPr>
            <w:tcW w:w="2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w:t>
            </w: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2,303</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2,447</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800" w:hanging="400"/>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4"/>
          <w:szCs w:val="14"/>
          <w:color w:val="auto"/>
        </w:rPr>
        <w:t>As of June 30, 2018 and September 30, 2017, there was accumulated impairment of $171 million related to the Intermediates and Solvents reportable segment.</w:t>
      </w:r>
    </w:p>
    <w:p>
      <w:pPr>
        <w:spacing w:after="0" w:line="32" w:lineRule="exact"/>
        <w:rPr>
          <w:rFonts w:ascii="Arial" w:cs="Arial" w:eastAsia="Arial" w:hAnsi="Arial"/>
          <w:sz w:val="16"/>
          <w:szCs w:val="16"/>
          <w:color w:val="auto"/>
        </w:rPr>
      </w:pPr>
    </w:p>
    <w:p>
      <w:pPr>
        <w:ind w:left="800" w:hanging="400"/>
        <w:spacing w:after="0" w:line="221"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4"/>
          <w:szCs w:val="14"/>
          <w:color w:val="auto"/>
        </w:rPr>
        <w:t>Relates to the acquisition of Vornia Limited and subsequent adjustments to the initial purchase price of Pharmachem during the nine months ended June 30, 2018. See Note C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-334010</wp:posOffset>
            </wp:positionV>
            <wp:extent cx="67322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Other intangible assets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annually reviews indefinite-lived intangible assets for possible impairment or whenever events or changes in circumstances indicate that carrying amounts may not be recoverable.</w:t>
      </w:r>
    </w:p>
    <w:p>
      <w:pPr>
        <w:spacing w:after="0" w:line="200" w:lineRule="exact"/>
        <w:rPr>
          <w:sz w:val="20"/>
          <w:szCs w:val="20"/>
          <w:color w:val="auto"/>
        </w:rPr>
      </w:pPr>
    </w:p>
    <w:p>
      <w:pPr>
        <w:spacing w:after="0" w:line="3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7" w:name="page18"/>
    <w:bookmarkEnd w:id="17"/>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Intangible assets were comprised of the following as of June 30, 2018 and September 30, 2017.</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61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89"/>
              </w:rPr>
              <w:t>June 30, 2018</w:t>
            </w:r>
          </w:p>
        </w:tc>
        <w:tc>
          <w:tcPr>
            <w:tcW w:w="1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r>
      <w:tr>
        <w:trPr>
          <w:trHeight w:val="222"/>
        </w:trPr>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Net</w:t>
            </w:r>
          </w:p>
        </w:tc>
      </w:tr>
      <w:tr>
        <w:trPr>
          <w:trHeight w:val="230"/>
        </w:trPr>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carrying</w:t>
            </w:r>
          </w:p>
        </w:tc>
      </w:tr>
      <w:tr>
        <w:trPr>
          <w:trHeight w:val="23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Definite-lived intangibles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Trademarks and trade names</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54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398</w:t>
            </w: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Customer and supplier relationships</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507</w:t>
            </w:r>
          </w:p>
        </w:tc>
      </w:tr>
      <w:tr>
        <w:trPr>
          <w:trHeight w:val="22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definite-lived intangibles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948</w:t>
            </w:r>
          </w:p>
        </w:tc>
      </w:tr>
      <w:tr>
        <w:trPr>
          <w:trHeight w:val="223"/>
        </w:trPr>
        <w:tc>
          <w:tcPr>
            <w:tcW w:w="6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Trademarks and trade names</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1,895</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1,249</w:t>
            </w:r>
          </w:p>
        </w:tc>
      </w:tr>
      <w:tr>
        <w:trPr>
          <w:trHeight w:val="20"/>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6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3"/>
        </w:trPr>
        <w:tc>
          <w:tcPr>
            <w:tcW w:w="6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September 30, 2017</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2"/>
        </w:trPr>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Net</w:t>
            </w:r>
          </w:p>
        </w:tc>
      </w:tr>
      <w:tr>
        <w:trPr>
          <w:trHeight w:val="230"/>
        </w:trPr>
        <w:tc>
          <w:tcPr>
            <w:tcW w:w="6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Accumulated</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carrying</w:t>
            </w:r>
          </w:p>
        </w:tc>
      </w:tr>
      <w:tr>
        <w:trPr>
          <w:trHeight w:val="230"/>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Definite-lived intangibles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Trademarks and trade names</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54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431</w:t>
            </w: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Customer and supplier relationships</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777</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542</w:t>
            </w:r>
          </w:p>
        </w:tc>
      </w:tr>
      <w:tr>
        <w:trPr>
          <w:trHeight w:val="22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definite-lived intangibles</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1,018</w:t>
            </w:r>
          </w:p>
        </w:tc>
      </w:tr>
      <w:tr>
        <w:trPr>
          <w:trHeight w:val="223"/>
        </w:trPr>
        <w:tc>
          <w:tcPr>
            <w:tcW w:w="6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Indefinite-lived intangibles</w:t>
            </w: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Trademarks and trade names</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1,902</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(583)</w:t>
            </w:r>
          </w:p>
        </w:tc>
        <w:tc>
          <w:tcPr>
            <w:tcW w:w="180" w:type="dxa"/>
            <w:vAlign w:val="bottom"/>
            <w:gridSpan w:val="2"/>
          </w:tcPr>
          <w:p>
            <w:pPr>
              <w:spacing w:after="0"/>
              <w:rPr>
                <w:sz w:val="19"/>
                <w:szCs w:val="19"/>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1,319</w:t>
            </w:r>
          </w:p>
        </w:tc>
      </w:tr>
      <w:tr>
        <w:trPr>
          <w:trHeight w:val="20"/>
        </w:trPr>
        <w:tc>
          <w:tcPr>
            <w:tcW w:w="6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Amortization expense recognized on intangible assets was $24 million and $20 million for the three months ended June 30, 2018 and 2017, respectively, and $71 million and $58 million for the nine months ended June 30, 2018 and 2017, respectively, and is included in the selling, general and administrative expense caption of the Statements of Consolidated Comprehensive Income (Loss). Estimated amortization expense for future periods is $95 million in 2018 (includes nine months actual and three months estimated), $91 million in 2019, $90 million in 2020, $89 million in 2021 and $88 million in 2022.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w:t>
      </w:r>
    </w:p>
    <w:p>
      <w:pPr>
        <w:spacing w:after="0" w:line="114"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8" w:name="page19"/>
    <w:bookmarkEnd w:id="18"/>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276225</wp:posOffset>
            </wp:positionV>
            <wp:extent cx="67322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June 30, 2018</w:t>
            </w: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September 30, 2017</w:t>
            </w: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152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1,083</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1,082</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Term Loan B, due 2024</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599</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6.875% notes, due 2043</w:t>
            </w: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Term Loan A, due 2022</w:t>
            </w: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Term Loan A, due 2020</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250</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w:t>
            </w: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51</w:t>
            </w: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Medium-term notes, due 2019, interest of 9.4%</w:t>
            </w: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10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10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2,532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2,819</w:t>
            </w:r>
          </w:p>
        </w:tc>
      </w:tr>
      <w:tr>
        <w:trPr>
          <w:trHeight w:val="230"/>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0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10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2,450</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2,584</w:t>
            </w:r>
          </w:p>
        </w:tc>
      </w:tr>
      <w:tr>
        <w:trPr>
          <w:trHeight w:val="20"/>
        </w:trPr>
        <w:tc>
          <w:tcPr>
            <w:tcW w:w="5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85725</wp:posOffset>
            </wp:positionV>
            <wp:extent cx="67322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Other includes $22 million and $25 million of debt issuance cost discounts as of June 30, 2018 and September 30, 2017, respectively.</w:t>
      </w:r>
    </w:p>
    <w:p>
      <w:pPr>
        <w:spacing w:after="0" w:line="111" w:lineRule="exact"/>
        <w:rPr>
          <w:sz w:val="20"/>
          <w:szCs w:val="20"/>
          <w:color w:val="auto"/>
        </w:rPr>
      </w:pPr>
    </w:p>
    <w:p>
      <w:pPr>
        <w:jc w:val="both"/>
        <w:ind w:left="400" w:right="20"/>
        <w:spacing w:after="0" w:line="316" w:lineRule="auto"/>
        <w:rPr>
          <w:sz w:val="20"/>
          <w:szCs w:val="20"/>
          <w:color w:val="auto"/>
        </w:rPr>
      </w:pPr>
      <w:r>
        <w:rPr>
          <w:rFonts w:ascii="Arial" w:cs="Arial" w:eastAsia="Arial" w:hAnsi="Arial"/>
          <w:sz w:val="18"/>
          <w:szCs w:val="18"/>
          <w:color w:val="auto"/>
        </w:rPr>
        <w:t>The scheduled aggregate maturities of long-term debt by year (including the current portion and excluding debt issuance costs) are as follows: $2 million remaining in 2018, $11 million in 2019, $139 million in 2020, $56 million in 2021 and $1,279 million in 2022.</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Ashland Financing Activities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Accounts receivable securitization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During March 2018, the termination date of the accounts receivable securitization facility was extended from March 2018 to March 2020. The available funding for qualified receivables under the accounts receivable securitization facility increased from $100 million to $115 million. No other changes to the agreement are expected to have a significant impact to Ashland's results of operations and financial position.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 repatriation</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nine months ended June 30, 2018, Ashland repatriated approximately $470 million in cash that was primarily used to repay existing debt, principally the outstanding balance of the 2017 Revolving Credit Facility (as defined below) and a portion of the Three-Year TLA facility (as defined below).</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2017 Credit Agreement</w:t>
      </w:r>
    </w:p>
    <w:p>
      <w:pPr>
        <w:spacing w:after="0" w:line="108"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On May 17, 2017, in conjunction with the closing of the Pharmachem acquisition, Ashland entered into a secured credit agreement (the 2017 Credit Agreement) with a group of lenders. The 2017 Credit Agreement provided for (i) a $250 million three-year term loan A facility (the Three-Year TLA Facility), (ii) a $250 million five-year term loan A facility (the Five-Year TLA Facility and together with the Three-Year TLA Facility, the TLA Facilities) and (iii) a $680 million five-year revolving credit facility (including a $125 million letter of credit sublimit) (the 2017 Revolving Credit Facility). Proceeds of borrowings under the TLA Facilities were used solely to finance the acquisition of Pharmachem, while the proceeds of the 2017 Revolving Credit Facility were used to finance, in part, the acquisition of Pharmachem, to refinance the 2015 Senior Credit Agreement and for general corporate purposes. On May 19, 2017, Ashland entered into Amendment No. 1 to the 2017 Credit Agreement, which increased the aggregate commitments under the 2017 Revolving Credit Facility from $680 million to $800 million.</w:t>
      </w:r>
    </w:p>
    <w:p>
      <w:pPr>
        <w:spacing w:after="0" w:line="77"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At Ashland’s option, loans issued under the 2017 Credit Agreement bear interest at either LIBOR or an alternate base rate, in each case plus the applicable interest rate margin. Loans bear interest at LIBOR plus 1.75% per annum, in the case of LIBOR borrowings, or at the alternate base rate plus 0.75%, in the alternative, through and including the date of delivery of a quarterly compliance certificate and thereafter the interest rate will fluctuate between LIBOR plus 1.375% per annum and LIBOR plus 2.500% per annum (or between the alternate base rate plus 0.375% per annum and the alternate base rate plus 1.500% per</w:t>
      </w:r>
    </w:p>
    <w:p>
      <w:pPr>
        <w:spacing w:after="0" w:line="18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19" w:name="page20"/>
    <w:bookmarkEnd w:id="19"/>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42" w:lineRule="auto"/>
        <w:rPr>
          <w:sz w:val="20"/>
          <w:szCs w:val="20"/>
          <w:color w:val="auto"/>
        </w:rPr>
      </w:pPr>
      <w:r>
        <w:rPr>
          <w:rFonts w:ascii="Arial" w:cs="Arial" w:eastAsia="Arial" w:hAnsi="Arial"/>
          <w:sz w:val="20"/>
          <w:szCs w:val="20"/>
          <w:color w:val="auto"/>
        </w:rPr>
        <w:t>annum), based upon Ashland’s secured facilities ratings or the consolidated net leverage ratio (as defined in the 2017 Credit Agreement) (whichever yields a lower applicable interest rate margin) at such time. In addition, Ashland was required to pay fees of 0.25% per annum on the daily unused amount of the 2017 Revolving Credit Facility through and including the date of delivery of a compliance certificate, and thereafter the fee rate fluctuates between 0.175% and 0.40% per annum, based upon Ashland’s secured facilities rating or the consolidated net leverage ratio (whichever yields a lower applicable rate). The TLA Facilities may be prepaid at any time without premium. The Three-Year TLA Facility will not amortize and will be due on May 17, 2020. The Five-Year TLA Facility will not amortize in each of the first, second and third years and will amortize at a rate of 20% per annum in each of the fourth and fifth years (payable in equal quarterly installments), with the outstanding balance of the Five-Year TLA Facility to be paid on May 17, 2022.</w:t>
      </w:r>
    </w:p>
    <w:p>
      <w:pPr>
        <w:spacing w:after="0" w:line="87"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On June 14, 2017, Ashland entered into Amendment No. 2 to the 2017 Credit Agreement, which provided for a new $600 million seven-year senior secured term loan B facility (the 2017 TLB Facility). At Ashland’s option, loans issued under the 2017 TLB Facility bear interest at either (x) LIBOR plus 2.00% per annum or (y) an alternate base rate plus 1.00% per annum. The 2017 TLB Facility may be prepaid at any time. The 2017 TLB Facility amortizes at a rate of 1.00% per annum (payable in equal quarterly installments) with the outstanding balance to be paid on May 17, 2024.</w:t>
      </w:r>
    </w:p>
    <w:p>
      <w:pPr>
        <w:spacing w:after="0" w:line="87"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Ashland incurred $15 million of new debt issuance costs in connection with the 2017 Credit Agreement, of which $2 million was recognized immediately during the three and nine months ended June 30, 2017 within the net interest and other financing expense caption of the Statements of Consolidated Comprehensive Income (Loss). The remaining balance is amortized using the effective interest method. Additionally, as a result of the termination of the 2015 Senior Credit Facility, Ashland recognized a $5 million charge for the accelerated amortization of previously capitalized debt issuance costs, which is included in the net interest and other financing expense caption of the Statements of Consolidated Comprehensive Income (Loss).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2018 financing activity related to the 2017 Credit Agreement</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On May 22, 2018, Ashland entered into Amendment No. 3 to the 2017 Credit Agreement which provided for the re-pricing of the 2017 TLB facility. Due to this amendment, loans issued under the 2017 TLB facility bear interest at LIBOR plus 1.75% per annum (previously LIBOR plus 2.00% per annum). All other significant terms of the agreement remained unchanged. Ashland incurred $1 million of new debt issuance costs in connection with the re-pricing, which was expensed during the three and nine months ended June 30, 2018 within the net interest and other financing expense caption of the Statements of Consolidated Comprehensive Income (Loss).</w:t>
      </w:r>
    </w:p>
    <w:p>
      <w:pPr>
        <w:spacing w:after="0" w:line="8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During the three months ended June 30, 2018, Ashland primarily utilized cash from repatriations and borrowings from the accounts receivable securitization facility to repay $130 million of the outstanding balance of the Three-Year TLA facility. As a result of these repayments, Ashland recognized accelerated amortization of previously capitalized debt issuance costs of less than $1 million during the three and nine months ended June 30, 2018, which was included in the net interest and other financing expense caption of the Statements of Consolidated Comprehensive Income (Loss).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Redemption of 3.875% notes due 2018</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During the third quarter of 2017 in connection with the issuance of the 2017 TLB Facility, Ashland redeemed all of its outstanding 3.875% Senior Notes due 2018 (2018 notes), of which approximately $659 million were outstanding. Proceeds of borrowings under the 2017 TLB Facility, together with cash on hand, were used to pay for the redemption. Ashland recognized a $13 million charge related to premiums paid and accelerated amortization of previously capitalized debt issuance costs, which is included in the net interest and other financing expense caption of the Statements of Consolidated Comprehensive Income for the three and nine months ended June 30, 2017.</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6.50% junior subordinated notes due 2029</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In December 2016, Hercules LLC (Hercules) (formerly Hercules Incorporated), an indirect wholly-owned subsidiary of Ashland, repurchased, through a cash tender offer (the Tender Offer), $182 million of the</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0" w:name="page21"/>
    <w:bookmarkEnd w:id="20"/>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321" w:lineRule="auto"/>
        <w:rPr>
          <w:sz w:val="20"/>
          <w:szCs w:val="20"/>
          <w:color w:val="auto"/>
        </w:rPr>
      </w:pPr>
      <w:r>
        <w:rPr>
          <w:rFonts w:ascii="Arial" w:cs="Arial" w:eastAsia="Arial" w:hAnsi="Arial"/>
          <w:sz w:val="16"/>
          <w:szCs w:val="16"/>
          <w:color w:val="auto"/>
        </w:rPr>
        <w:t>aggregate principal par value amount of its 6.50% junior subordinated notes due 2029 (2029 notes) for an aggregate purchase price of $177 million. As a result of the Tender Offer, the carrying value of the 2029 notes was reduced by $90 million and Ashland recognized a $92 million charge related to accelerated accretion of the recorded debt discount (compared to the total par value) and $5 million of a net gain related to the repayment of the debt. The charge and net gain are included in the net interest and other financing expense caption of the Statements of Consolidated Comprehensive Income (Loss) for the nine months ended June 30, 2017.</w:t>
      </w:r>
    </w:p>
    <w:p>
      <w:pPr>
        <w:spacing w:after="0" w:line="26"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Open market repurchases of 4.750% notes due 2022 and 3.875% notes due 2018</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During the nine months ended June 30, 2017, Ashland executed open market repurchases of its 4.750% notes due 2022 (2022 notes) and its 3.875% notes due 2018 (2018 notes). As a result of these repurchases, the carrying values of the 2022 notes and 2018 notes were reduced by $39 million and $41 million, respectively. Ashland recognized a $3 million charge related to premiums paid in the open market repurchases and accelerated amortization of previously capitalized debt issuance costs, which is included in the net interest and other financing expense caption of the Statements of Consolidated Comprehensive Income (Loss) for the nine months ended June 30, 2017.</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Remaining borrowing capacity</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borrowing capacity remaining under the 2017 Revolving Credit Facility was $750 million due to a reduction of $50 million for letters of credit outstanding as of June 30, 2018. Ashland's total borrowing capacity at June 30, 2018 was $794 million, which included $44 million of available capacity from the accounts receivable securitization facility.</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2018, Ashland is in compliance with all debt agreement covenant restrictions.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2017 Credit Agreement) is 4.5. At June 30, 2018, Ashland’s calculation of the consolidated net leverage ratio was 3.7.</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minimum required consolidated interest coverage ratio under the 2017 Credit Agreement during its entire duration is 3.0. At June 30, 2018, Ashland’s calculation of the interest coverage ratio was 4.9.</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INCOME TAXES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Tax Law Changes</w:t>
      </w:r>
    </w:p>
    <w:p>
      <w:pPr>
        <w:spacing w:after="0" w:line="108"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 Tax Cuts and Jobs Act (Tax Act) was enacted on December 22, 2017. The Tax Act reduces the U.S. federal corporate tax rate from 35% to 21%, requires companies to pay a one-time transition tax on earnings of certain foreign subsidiaries that were previously tax deferred and creates new taxes on certain foreign sourced earnings. At June 30, 2018, Ashland has not completed the internal accounting assessment for the tax effects of enactment of the Tax Act; however, Ashland determined a reasonable estimate of the effects on our existing deferred tax balances and the one-time transition tax. Ashland recognized a provisional amount for the nine months ended June 30, 2018, which is included as a component of income tax expense from continuing operations. Ashland recorded net unfavorable tax adjustments of $16 million during the nine months ended June 30, 2018 primarily related to deferred tax rate changes and a one-time transition tax assessed on foreign cash and unremitted earnings.</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Provisional amounts - Deferred and other income tax assets and liabilities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remeasured certain deferred tax assets and liabilities based on the rates at which they are expected to reverse in the future, which is generally 21%. However, Ashland is still analyzing certain aspects of the</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1" w:name="page22"/>
    <w:bookmarkEnd w:id="21"/>
    <w:p>
      <w:pPr>
        <w:ind w:right="442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Tax Act and refining certain calculations, which could potentially affect the measurement of these balances or potentially give rise to new deferred tax amounts. The provisional amount recorded related to the remeasurement of the deferred tax balance was a favorable tax adjustment of $126 million during the nine months ended June 30, 2018.</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Provisional amounts - Foreign tax effects</w:t>
      </w:r>
    </w:p>
    <w:p>
      <w:pPr>
        <w:spacing w:after="0" w:line="108" w:lineRule="exact"/>
        <w:rPr>
          <w:sz w:val="20"/>
          <w:szCs w:val="20"/>
          <w:color w:val="auto"/>
        </w:rPr>
      </w:pPr>
    </w:p>
    <w:p>
      <w:pPr>
        <w:jc w:val="both"/>
        <w:ind w:left="400" w:right="420"/>
        <w:spacing w:after="0" w:line="255" w:lineRule="auto"/>
        <w:rPr>
          <w:sz w:val="20"/>
          <w:szCs w:val="20"/>
          <w:color w:val="auto"/>
        </w:rPr>
      </w:pPr>
      <w:r>
        <w:rPr>
          <w:rFonts w:ascii="Arial" w:cs="Arial" w:eastAsia="Arial" w:hAnsi="Arial"/>
          <w:sz w:val="19"/>
          <w:szCs w:val="19"/>
          <w:color w:val="auto"/>
        </w:rPr>
        <w:t>The one-time transition tax is based on Ashland's total post-1986 earnings and profits (E&amp;P) of foreign subsidiaries that were previously deferred from U.S. income taxes. Ashland recorded a provisional amount for this one-time transition tax liability of $142 million during the nine months ended June 30, 2018, which is primarily included within the other liabilities caption on the Condensed Consolidated Balance Sheet. Ashland has not yet completed its calculation of the total post-1986 E&amp;P for these foreign subsidiaries. In addition, the transition tax is based in part on the amount of those earnings held in cash and other specified assets. This amount may change when Ashland finalizes the calculation of post-1986 E&amp;P of foreign subsidiaries previously deferred from U.S. federal taxation and finalizes the amounts held in cash or other specified assets. No additional income taxes have been provided for any remaining undistributed foreign earnings not subject to the transition tax, or any additional outside basis difference inherent in these entities, as these amounts continue to be indefinitely reinvested in foreign operations. Ashland determined that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 at this time.</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Current fiscal year</w:t>
      </w:r>
    </w:p>
    <w:p>
      <w:pPr>
        <w:spacing w:after="0" w:line="108" w:lineRule="exact"/>
        <w:rPr>
          <w:sz w:val="20"/>
          <w:szCs w:val="20"/>
          <w:color w:val="auto"/>
        </w:rPr>
      </w:pPr>
    </w:p>
    <w:p>
      <w:pPr>
        <w:jc w:val="both"/>
        <w:ind w:left="400" w:right="420"/>
        <w:spacing w:after="0" w:line="274" w:lineRule="auto"/>
        <w:rPr>
          <w:sz w:val="20"/>
          <w:szCs w:val="20"/>
          <w:color w:val="auto"/>
        </w:rPr>
      </w:pPr>
      <w:r>
        <w:rPr>
          <w:rFonts w:ascii="Arial" w:cs="Arial" w:eastAsia="Arial" w:hAnsi="Arial"/>
          <w:sz w:val="18"/>
          <w:szCs w:val="18"/>
          <w:color w:val="auto"/>
        </w:rPr>
        <w:t>Ashland’s effective tax rate in any interim period is subject to adjustments related to discrete items and the mix of domestic and foreign operating results. The overall effective tax rate was a benefit rate of 16% and expense of 10% for the three and nine months ended June 30, 2018, respectively. The current quarter tax rate was impacted by income mix as well as $8 million from favorable tax discrete items including a valuation allowance release related to a foreign entity and a domestic tax rate change. In addition to income mix, the current nine-month period tax rate was impacted by net unfavorable tax discrete adjustments of $16 million primarily related to the Tax Act, partially offset by a favorable tax discrete adjustment of $4 million related to a deferred tax rate change for a foreign entity and the current quarter favorable discrete items of $8 million previously noted.</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Prior fiscal year</w:t>
      </w:r>
    </w:p>
    <w:p>
      <w:pPr>
        <w:spacing w:after="0" w:line="108" w:lineRule="exact"/>
        <w:rPr>
          <w:sz w:val="20"/>
          <w:szCs w:val="20"/>
          <w:color w:val="auto"/>
        </w:rPr>
      </w:pPr>
    </w:p>
    <w:p>
      <w:pPr>
        <w:jc w:val="both"/>
        <w:ind w:left="400" w:right="420"/>
        <w:spacing w:after="0" w:line="278" w:lineRule="auto"/>
        <w:rPr>
          <w:sz w:val="20"/>
          <w:szCs w:val="20"/>
          <w:color w:val="auto"/>
        </w:rPr>
      </w:pPr>
      <w:r>
        <w:rPr>
          <w:rFonts w:ascii="Arial" w:cs="Arial" w:eastAsia="Arial" w:hAnsi="Arial"/>
          <w:sz w:val="18"/>
          <w:szCs w:val="18"/>
          <w:color w:val="auto"/>
        </w:rPr>
        <w:t>The overall effective tax rate was 20% and 48% for the three and nine months ended June 30, 2017, respectively. The prior quarter tax rate was impacted by income mix and net unfavorable tax discrete adjustments primarily related to changes in the realization of certain historic tax attributes due to the Valvoline distribution and the Pharmachem acquisition as well as tax on certain restructuring items. For the prior nine-month period, the tax rate was primarily impacted by net unfavorable tax discrete adjustments previously noted, partially offset by a reversal for unrecognized tax benefits due to lapse of the statute of limitations.</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Unrecognized tax benefits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Changes in unrecognized tax benefits are summarized as follows for the nine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156210</wp:posOffset>
            </wp:positionV>
            <wp:extent cx="67322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2017</w:t>
            </w:r>
          </w:p>
        </w:tc>
        <w:tc>
          <w:tcPr>
            <w:tcW w:w="4620" w:type="dxa"/>
            <w:vAlign w:val="bottom"/>
            <w:tcBorders>
              <w:top w:val="single" w:sz="8" w:color="auto"/>
            </w:tcBorders>
            <w:gridSpan w:val="2"/>
            <w:shd w:val="clear" w:color="auto" w:fill="CFF0FC"/>
          </w:tcPr>
          <w:p>
            <w:pPr>
              <w:jc w:val="right"/>
              <w:ind w:right="685"/>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8"/>
              </w:rPr>
              <w:t>Increases related to positions taken on items from prior years</w:t>
            </w:r>
          </w:p>
        </w:tc>
        <w:tc>
          <w:tcPr>
            <w:tcW w:w="3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w w:val="96"/>
              </w:rPr>
              <w:t>Decreases related to positions taken on items from prior years</w:t>
            </w:r>
          </w:p>
        </w:tc>
        <w:tc>
          <w:tcPr>
            <w:tcW w:w="3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3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37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Lapse of statute of limitations</w:t>
            </w:r>
          </w:p>
        </w:tc>
        <w:tc>
          <w:tcPr>
            <w:tcW w:w="37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2018</w:t>
            </w:r>
          </w:p>
        </w:tc>
        <w:tc>
          <w:tcPr>
            <w:tcW w:w="37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780" w:type="dxa"/>
            <w:vAlign w:val="bottom"/>
            <w:vMerge w:val="restart"/>
          </w:tcPr>
          <w:p>
            <w:pPr>
              <w:jc w:val="right"/>
              <w:ind w:right="3130"/>
              <w:spacing w:after="0"/>
              <w:rPr>
                <w:sz w:val="20"/>
                <w:szCs w:val="20"/>
                <w:color w:val="auto"/>
              </w:rPr>
            </w:pPr>
            <w:r>
              <w:rPr>
                <w:rFonts w:ascii="Arial" w:cs="Arial" w:eastAsia="Arial" w:hAnsi="Arial"/>
                <w:sz w:val="18"/>
                <w:szCs w:val="18"/>
                <w:color w:val="auto"/>
              </w:rPr>
              <w:t>22</w:t>
            </w: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2" w:name="page23"/>
    <w:bookmarkEnd w:id="22"/>
    <w:p>
      <w:pPr>
        <w:ind w:right="434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both"/>
        <w:ind w:left="400" w:right="340"/>
        <w:spacing w:after="0" w:line="282" w:lineRule="auto"/>
        <w:rPr>
          <w:sz w:val="20"/>
          <w:szCs w:val="20"/>
          <w:color w:val="auto"/>
        </w:rPr>
      </w:pPr>
      <w:r>
        <w:rPr>
          <w:rFonts w:ascii="Arial" w:cs="Arial" w:eastAsia="Arial" w:hAnsi="Arial"/>
          <w:sz w:val="18"/>
          <w:szCs w:val="18"/>
          <w:color w:val="auto"/>
        </w:rPr>
        <w:t>From a combination of statute expirations and audit settlements in the next twelve months, Ashland expects a decrease in the amount accrued for uncertain tax positions of between $35 million and $39 million.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J - EMPLOYEE BENEFIT PLANS</w:t>
      </w:r>
    </w:p>
    <w:p>
      <w:pPr>
        <w:spacing w:after="0" w:line="114" w:lineRule="exact"/>
        <w:rPr>
          <w:sz w:val="20"/>
          <w:szCs w:val="20"/>
          <w:color w:val="auto"/>
        </w:rPr>
      </w:pPr>
    </w:p>
    <w:p>
      <w:pPr>
        <w:jc w:val="both"/>
        <w:ind w:left="400" w:right="340"/>
        <w:spacing w:after="0" w:line="250" w:lineRule="auto"/>
        <w:rPr>
          <w:sz w:val="20"/>
          <w:szCs w:val="20"/>
          <w:color w:val="auto"/>
        </w:rPr>
      </w:pPr>
      <w:r>
        <w:rPr>
          <w:rFonts w:ascii="Arial" w:cs="Arial" w:eastAsia="Arial" w:hAnsi="Arial"/>
          <w:sz w:val="20"/>
          <w:szCs w:val="20"/>
          <w:color w:val="auto"/>
        </w:rPr>
        <w:t>For the nine months ended June 30, 2018, Ashland contributed $7 million to its non-U.S. pension plans and $1 million to its U.S. pension plans. Ashland expects to make additional contributions of approximately $1 million to its non-U.S. plans during the remainder of 2018.</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Plan Remeasurements</w:t>
      </w:r>
    </w:p>
    <w:p>
      <w:pPr>
        <w:spacing w:after="0" w:line="108" w:lineRule="exact"/>
        <w:rPr>
          <w:sz w:val="20"/>
          <w:szCs w:val="20"/>
          <w:color w:val="auto"/>
        </w:rPr>
      </w:pPr>
    </w:p>
    <w:p>
      <w:pPr>
        <w:jc w:val="both"/>
        <w:ind w:left="400" w:right="340"/>
        <w:spacing w:after="0" w:line="269" w:lineRule="auto"/>
        <w:rPr>
          <w:sz w:val="20"/>
          <w:szCs w:val="20"/>
          <w:color w:val="auto"/>
        </w:rPr>
      </w:pPr>
      <w:r>
        <w:rPr>
          <w:rFonts w:ascii="Arial" w:cs="Arial" w:eastAsia="Arial" w:hAnsi="Arial"/>
          <w:sz w:val="19"/>
          <w:szCs w:val="19"/>
          <w:color w:val="auto"/>
        </w:rPr>
        <w:t>Effective January 1, 2017, Ashland discontinued certain post-employment health and life insurance benefits. The effect of these plan changes resulted in a remeasurement gain of $2 million recorded within the other net periodic benefit income caption on the Statement of Consolidated Comprehensive Income (Loss) for the nine months ended June 30, 2017.</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Components of net periodic benefit costs (income)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213"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9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Other postretirement</w:t>
            </w:r>
          </w:p>
        </w:tc>
        <w:tc>
          <w:tcPr>
            <w:tcW w:w="580" w:type="dxa"/>
            <w:vAlign w:val="bottom"/>
            <w:tcBorders>
              <w:top w:val="single" w:sz="8" w:color="auto"/>
            </w:tcBorders>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Pension benefits</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benefits</w:t>
            </w:r>
          </w:p>
        </w:tc>
        <w:tc>
          <w:tcPr>
            <w:tcW w:w="580" w:type="dxa"/>
            <w:vAlign w:val="bottom"/>
            <w:tcBorders>
              <w:bottom w:val="single" w:sz="8" w:color="auto"/>
            </w:tcBorders>
          </w:tcPr>
          <w:p>
            <w:pPr>
              <w:spacing w:after="0"/>
              <w:rPr>
                <w:sz w:val="20"/>
                <w:szCs w:val="20"/>
                <w:color w:val="auto"/>
              </w:rPr>
            </w:pPr>
          </w:p>
        </w:tc>
      </w:tr>
      <w:tr>
        <w:trPr>
          <w:trHeight w:val="223"/>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920" w:type="dxa"/>
            <w:vAlign w:val="bottom"/>
          </w:tcPr>
          <w:p>
            <w:pPr>
              <w:spacing w:after="0"/>
              <w:rPr>
                <w:sz w:val="20"/>
                <w:szCs w:val="20"/>
                <w:color w:val="auto"/>
              </w:rPr>
            </w:pPr>
            <w:r>
              <w:rPr>
                <w:rFonts w:ascii="Arial" w:cs="Arial" w:eastAsia="Arial" w:hAnsi="Arial"/>
                <w:sz w:val="18"/>
                <w:szCs w:val="18"/>
                <w:b w:val="1"/>
                <w:bCs w:val="1"/>
                <w:color w:val="auto"/>
              </w:rPr>
              <w:t>Three months ended June 30</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(a)</w:t>
            </w:r>
          </w:p>
        </w:tc>
        <w:tc>
          <w:tcPr>
            <w:tcW w:w="14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(b)</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(b)</w:t>
            </w: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net periodic benefit costs</w:t>
            </w:r>
          </w:p>
        </w:tc>
        <w:tc>
          <w:tcPr>
            <w:tcW w:w="100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3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Nine months ended June 30</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(a)</w:t>
            </w: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5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(b)</w:t>
            </w: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(b)</w:t>
            </w: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Actuarial gain </w:t>
            </w:r>
            <w:r>
              <w:rPr>
                <w:rFonts w:ascii="Arial" w:cs="Arial" w:eastAsia="Arial" w:hAnsi="Arial"/>
                <w:sz w:val="14"/>
                <w:szCs w:val="14"/>
                <w:color w:val="auto"/>
              </w:rPr>
              <w:t>(b)</w:t>
            </w:r>
          </w:p>
        </w:tc>
        <w:tc>
          <w:tcPr>
            <w:tcW w:w="10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net periodic benefit costs (income)</w:t>
            </w:r>
          </w:p>
        </w:tc>
        <w:tc>
          <w:tcPr>
            <w:tcW w:w="10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5"/>
        </w:trPr>
        <w:tc>
          <w:tcPr>
            <w:tcW w:w="39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bl>
    <w:p>
      <w:pPr>
        <w:ind w:left="800" w:right="300" w:hanging="400"/>
        <w:spacing w:after="0" w:line="226"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Service cost was not impacted by new accounting guidance adopted in 2018 and is therefore still classified within the selling, general and administrative expense and cost of sales captions on the Statements of Consolidated Comprehensive Income (Loss). See Note A for additional information.</w:t>
      </w:r>
    </w:p>
    <w:p>
      <w:pPr>
        <w:ind w:left="800" w:hanging="400"/>
        <w:spacing w:after="0" w:line="237" w:lineRule="auto"/>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components are now classified within the other net periodic benefit income caption on the Statements of Consolidated Comprehensive Income (Loss) due to the adoption of new accounting guidance in the current quarter. See Note A for additional information.</w:t>
      </w:r>
    </w:p>
    <w:p>
      <w:pPr>
        <w:spacing w:after="0" w:line="77" w:lineRule="exact"/>
        <w:rPr>
          <w:sz w:val="20"/>
          <w:szCs w:val="20"/>
          <w:color w:val="auto"/>
        </w:rPr>
      </w:pPr>
    </w:p>
    <w:p>
      <w:pPr>
        <w:jc w:val="both"/>
        <w:ind w:left="400" w:right="340"/>
        <w:spacing w:after="0" w:line="250" w:lineRule="auto"/>
        <w:rPr>
          <w:sz w:val="20"/>
          <w:szCs w:val="20"/>
          <w:color w:val="auto"/>
        </w:rPr>
      </w:pPr>
      <w:r>
        <w:rPr>
          <w:rFonts w:ascii="Arial" w:cs="Arial" w:eastAsia="Arial" w:hAnsi="Arial"/>
          <w:sz w:val="20"/>
          <w:szCs w:val="20"/>
          <w:color w:val="auto"/>
        </w:rPr>
        <w:t>For segment reporting purposes, service cost for continuing operations is proportionately allocated to each segment, excluding the Unallocated and other segment, while all other costs for continuing operations are recorded within the other net periodic benefit income caption on the Statements of Consolidated Comprehensive Income (Loss).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LITIGATION, CLAIMS AND CONTINGENCIES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400" w:right="340"/>
        <w:spacing w:after="0" w:line="282" w:lineRule="auto"/>
        <w:rPr>
          <w:sz w:val="20"/>
          <w:szCs w:val="20"/>
          <w:color w:val="auto"/>
        </w:rPr>
      </w:pPr>
      <w:r>
        <w:rPr>
          <w:rFonts w:ascii="Arial" w:cs="Arial" w:eastAsia="Arial" w:hAnsi="Arial"/>
          <w:sz w:val="18"/>
          <w:szCs w:val="18"/>
          <w:color w:val="auto"/>
        </w:rPr>
        <w:t>Ashland and Hercules have liabilities from claims alleging personal injury caused by exposure to asbestos. To assist in developing and annually updating independent reserve estimates for future asbestos claims and related costs given various assumptions, Ashland retained third party actuarial experts. Prior to 2018, Ashland retained Hamilton, Rabinovitz &amp; Associates, Inc. (HR&amp;A). During 2018, Ashland transitioned these responsibilities to Nathan Associates, Inc. (Nathan). The processes and methodologies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23" w:name="page24"/>
    <w:bookmarkEnd w:id="23"/>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used by Nathan are similar to the ones historically employed by HR&amp;A.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6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86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9"/>
              </w:rPr>
              <w:t>Nine months ended</w:t>
            </w: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86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4"/>
              </w:rPr>
              <w:t>June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color w:val="auto"/>
                <w:w w:val="99"/>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New claims filed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840" w:type="dxa"/>
            <w:vAlign w:val="bottom"/>
            <w:gridSpan w:val="3"/>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Claims dismissed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0"/>
        </w:trPr>
        <w:tc>
          <w:tcPr>
            <w:tcW w:w="3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During the most recent annual update of this estimate completed during the June 2018 quarter, it was determined that the liability for Ashland asbestos-related claims should be decreased by $8 million. Total reserves for asbestos claims were $385 million at June 30, 2018 compared to $419 million at September 30, 2017.</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5"/>
              <w:spacing w:after="0"/>
              <w:rPr>
                <w:sz w:val="20"/>
                <w:szCs w:val="20"/>
                <w:color w:val="auto"/>
              </w:rPr>
            </w:pPr>
            <w:r>
              <w:rPr>
                <w:rFonts w:ascii="Arial" w:cs="Arial" w:eastAsia="Arial" w:hAnsi="Arial"/>
                <w:sz w:val="18"/>
                <w:szCs w:val="18"/>
                <w:color w:val="auto"/>
              </w:rPr>
              <w:t>Nine months ended</w:t>
            </w: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8"/>
                <w:szCs w:val="18"/>
                <w:color w:val="auto"/>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9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415</w:t>
            </w:r>
          </w:p>
        </w:tc>
        <w:tc>
          <w:tcPr>
            <w:tcW w:w="5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438</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Reserve adjustment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6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6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w:t>
            </w:r>
          </w:p>
        </w:tc>
      </w:tr>
      <w:tr>
        <w:trPr>
          <w:trHeight w:val="20"/>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hanging="260"/>
        <w:spacing w:after="0" w:line="25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$31 million and $34 million classified in accrued expenses and other liabilities on the Condensed Consolidated Balance Sheets as of June 30, 2018 and September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-211455</wp:posOffset>
            </wp:positionV>
            <wp:extent cx="67322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4" w:name="page25"/>
    <w:bookmarkEnd w:id="24"/>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83"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At June 30, 2018, Ashland’s receivable for recoveries of litigation defense and claim settlement costs from insurers amounted to $142 million (excluding the Hercules receivable for asbestos claims) compared to $155 million at September 30, 2017. During the June 2018 quarter,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3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5"/>
              <w:spacing w:after="0"/>
              <w:rPr>
                <w:sz w:val="20"/>
                <w:szCs w:val="20"/>
                <w:color w:val="auto"/>
              </w:rPr>
            </w:pPr>
            <w:r>
              <w:rPr>
                <w:rFonts w:ascii="Arial" w:cs="Arial" w:eastAsia="Arial" w:hAnsi="Arial"/>
                <w:sz w:val="18"/>
                <w:szCs w:val="18"/>
                <w:color w:val="auto"/>
              </w:rPr>
              <w:t>Nine months ended</w:t>
            </w: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245"/>
              <w:spacing w:after="0"/>
              <w:rPr>
                <w:sz w:val="20"/>
                <w:szCs w:val="20"/>
                <w:color w:val="auto"/>
              </w:rPr>
            </w:pPr>
            <w:r>
              <w:rPr>
                <w:rFonts w:ascii="Arial" w:cs="Arial" w:eastAsia="Arial" w:hAnsi="Arial"/>
                <w:sz w:val="18"/>
                <w:szCs w:val="18"/>
                <w:color w:val="auto"/>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8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151</w:t>
            </w:r>
          </w:p>
        </w:tc>
        <w:tc>
          <w:tcPr>
            <w:tcW w:w="5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150</w:t>
            </w:r>
          </w:p>
        </w:tc>
        <w:tc>
          <w:tcPr>
            <w:tcW w:w="60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402</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Receivable adjustment</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Amounts collected</w:t>
            </w:r>
          </w:p>
        </w:tc>
        <w:tc>
          <w:tcPr>
            <w:tcW w:w="4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(a)</w:t>
            </w:r>
          </w:p>
        </w:tc>
        <w:tc>
          <w:tcPr>
            <w:tcW w:w="4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142</w:t>
            </w:r>
          </w:p>
        </w:tc>
        <w:tc>
          <w:tcPr>
            <w:tcW w:w="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156</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r>
      <w:tr>
        <w:trPr>
          <w:trHeight w:val="20"/>
        </w:trPr>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Included $15 million and $14 million classified in accounts receivable on the Condensed Consolidated Balance Sheets as of June 30, 2018 and September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-90805</wp:posOffset>
            </wp:positionV>
            <wp:extent cx="67322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8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Hercules asbestos-related litigation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86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center"/>
              <w:ind w:left="390"/>
              <w:spacing w:after="0"/>
              <w:rPr>
                <w:sz w:val="20"/>
                <w:szCs w:val="20"/>
                <w:color w:val="auto"/>
              </w:rPr>
            </w:pPr>
            <w:r>
              <w:rPr>
                <w:rFonts w:ascii="Arial" w:cs="Arial" w:eastAsia="Arial" w:hAnsi="Arial"/>
                <w:sz w:val="18"/>
                <w:szCs w:val="18"/>
                <w:color w:val="auto"/>
                <w:w w:val="89"/>
              </w:rPr>
              <w:t>Nine months ended</w:t>
            </w: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86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84"/>
              </w:rPr>
              <w:t>June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color w:val="auto"/>
                <w:w w:val="99"/>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New claims filed</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Open claims - end of period</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r>
      <w:tr>
        <w:trPr>
          <w:trHeight w:val="20"/>
        </w:trPr>
        <w:tc>
          <w:tcPr>
            <w:tcW w:w="3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the June 2018 quarter, it was determined that the liability for Hercules asbestos-related</w:t>
      </w:r>
    </w:p>
    <w:p>
      <w:pPr>
        <w:spacing w:after="0" w:line="1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5" w:name="page26"/>
    <w:bookmarkEnd w:id="25"/>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400" w:right="20"/>
        <w:spacing w:after="0" w:line="260" w:lineRule="auto"/>
        <w:rPr>
          <w:sz w:val="20"/>
          <w:szCs w:val="20"/>
          <w:color w:val="auto"/>
        </w:rPr>
      </w:pPr>
      <w:r>
        <w:rPr>
          <w:rFonts w:ascii="Arial" w:cs="Arial" w:eastAsia="Arial" w:hAnsi="Arial"/>
          <w:sz w:val="20"/>
          <w:szCs w:val="20"/>
          <w:color w:val="auto"/>
        </w:rPr>
        <w:t>claims should be decreased by $19 million. Total reserves for asbestos claims were $289 million at June 30, 2018 compared to $323 million at September 30, 2017.</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21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2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5"/>
              <w:spacing w:after="0"/>
              <w:rPr>
                <w:sz w:val="20"/>
                <w:szCs w:val="20"/>
                <w:color w:val="auto"/>
              </w:rPr>
            </w:pPr>
            <w:r>
              <w:rPr>
                <w:rFonts w:ascii="Arial" w:cs="Arial" w:eastAsia="Arial" w:hAnsi="Arial"/>
                <w:sz w:val="18"/>
                <w:szCs w:val="18"/>
                <w:color w:val="auto"/>
              </w:rPr>
              <w:t>Nine months ended</w:t>
            </w: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8"/>
                <w:szCs w:val="18"/>
                <w:color w:val="auto"/>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9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321</w:t>
            </w:r>
          </w:p>
        </w:tc>
        <w:tc>
          <w:tcPr>
            <w:tcW w:w="5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Reserve adjustments</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6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62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311</w:t>
            </w:r>
          </w:p>
        </w:tc>
      </w:tr>
      <w:tr>
        <w:trPr>
          <w:trHeight w:val="20"/>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hanging="260"/>
        <w:spacing w:after="0" w:line="25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Included $12 million and $14 million classified in accrued expenses and other liabilities on the Condensed Consolidated Balance Sheets as of June 30, 2018 and September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-211455</wp:posOffset>
            </wp:positionV>
            <wp:extent cx="67322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Hercules asbestos-related receivables</w:t>
      </w:r>
    </w:p>
    <w:p>
      <w:pPr>
        <w:spacing w:after="0" w:line="108"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57"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As of June 30, 2018, Ashland’s receivable for recoveries of litigation defense and claims costs from insurers with respect to Hercules amounted to $54 million compared to $68 million at September 30, 2017. During the June 2018 quarter, the annual update of the model used for purposes of valuing the asbestos reserve and its impact on valuation of future recoveries from insurers was completed. This model update resulted in a decrease of $14 million in the receivable for probable insurance recoveries.</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3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ind w:right="5"/>
              <w:spacing w:after="0"/>
              <w:rPr>
                <w:sz w:val="20"/>
                <w:szCs w:val="20"/>
                <w:color w:val="auto"/>
              </w:rPr>
            </w:pPr>
            <w:r>
              <w:rPr>
                <w:rFonts w:ascii="Arial" w:cs="Arial" w:eastAsia="Arial" w:hAnsi="Arial"/>
                <w:sz w:val="18"/>
                <w:szCs w:val="18"/>
                <w:color w:val="auto"/>
              </w:rPr>
              <w:t>Nine months ended</w:t>
            </w:r>
          </w:p>
        </w:tc>
        <w:tc>
          <w:tcPr>
            <w:tcW w:w="5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r>
      <w:tr>
        <w:trPr>
          <w:trHeight w:val="230"/>
        </w:trPr>
        <w:tc>
          <w:tcPr>
            <w:tcW w:w="3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8"/>
                <w:szCs w:val="18"/>
                <w:color w:val="auto"/>
              </w:rPr>
              <w:t>Years ended September 30</w:t>
            </w:r>
          </w:p>
        </w:tc>
        <w:tc>
          <w:tcPr>
            <w:tcW w:w="80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8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w:t>
            </w:r>
          </w:p>
        </w:tc>
        <w:tc>
          <w:tcPr>
            <w:tcW w:w="58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3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Receivable adjustment</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Insurance settlement</w:t>
            </w: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380" w:type="dxa"/>
            <w:vAlign w:val="bottom"/>
          </w:tcPr>
          <w:p>
            <w:pPr>
              <w:spacing w:after="0"/>
              <w:rPr>
                <w:sz w:val="20"/>
                <w:szCs w:val="20"/>
                <w:color w:val="auto"/>
              </w:rPr>
            </w:pPr>
            <w:r>
              <w:rPr>
                <w:rFonts w:ascii="Arial" w:cs="Arial" w:eastAsia="Arial" w:hAnsi="Arial"/>
                <w:sz w:val="18"/>
                <w:szCs w:val="18"/>
                <w:color w:val="auto"/>
              </w:rPr>
              <w:t>Insurance receivable - end of period</w:t>
            </w:r>
          </w:p>
        </w:tc>
        <w:tc>
          <w:tcPr>
            <w:tcW w:w="4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r>
      <w:tr>
        <w:trPr>
          <w:trHeight w:val="20"/>
        </w:trPr>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w:t>
      </w:r>
    </w:p>
    <w:p>
      <w:pPr>
        <w:spacing w:after="0" w:line="17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6" w:name="page27"/>
    <w:bookmarkEnd w:id="26"/>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$600 million for the Ashland asbestos-related litigation (current reserve of $385 million) and approximately $450 million for the Hercules asbestos-related litigation (current reserve of $289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June 30, 2018, such locations included 82 waste treatment or disposal sites where Ashland has been identified as a potentially responsible party under Superfund or similar state laws, 115 current and former operating facilities (including certain operating facilities conveyed as part of the MAP Transaction) and about 1,225 service station properties, of which 36 are being actively remediated.</w:t>
      </w:r>
    </w:p>
    <w:p>
      <w:pPr>
        <w:spacing w:after="0" w:line="57"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reserves for environmental remediation and related environmental litigation amounted to $192 million at June 30, 2018 compared to $163 million at September 30, 2017, of which $150 million at June 30, 2018 and $121 million at September 30, 2017 were classified in other noncurrent liabilities on the Condensed Consolidated Balance Sheets. The remaining reserves were classified in accrued expenses and other liabilities on the Condensed Consolidated Balance Sheets.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3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4"/>
          </w:tcPr>
          <w:p>
            <w:pPr>
              <w:jc w:val="right"/>
              <w:ind w:right="445"/>
              <w:spacing w:after="0"/>
              <w:rPr>
                <w:sz w:val="20"/>
                <w:szCs w:val="20"/>
                <w:color w:val="auto"/>
              </w:rPr>
            </w:pPr>
            <w:r>
              <w:rPr>
                <w:rFonts w:ascii="Arial" w:cs="Arial" w:eastAsia="Arial" w:hAnsi="Arial"/>
                <w:sz w:val="18"/>
                <w:szCs w:val="18"/>
                <w:color w:val="auto"/>
              </w:rPr>
              <w:t>Nine months ended</w:t>
            </w:r>
          </w:p>
        </w:tc>
        <w:tc>
          <w:tcPr>
            <w:tcW w:w="980" w:type="dxa"/>
            <w:vAlign w:val="bottom"/>
            <w:tcBorders>
              <w:top w:val="single" w:sz="8" w:color="auto"/>
            </w:tcBorders>
          </w:tcPr>
          <w:p>
            <w:pPr>
              <w:spacing w:after="0"/>
              <w:rPr>
                <w:sz w:val="21"/>
                <w:szCs w:val="21"/>
                <w:color w:val="auto"/>
              </w:rPr>
            </w:pPr>
          </w:p>
        </w:tc>
      </w:tr>
      <w:tr>
        <w:trPr>
          <w:trHeight w:val="230"/>
        </w:trPr>
        <w:tc>
          <w:tcPr>
            <w:tcW w:w="63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865"/>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w:t>
            </w:r>
          </w:p>
        </w:tc>
      </w:tr>
      <w:tr>
        <w:trPr>
          <w:trHeight w:val="230"/>
        </w:trPr>
        <w:tc>
          <w:tcPr>
            <w:tcW w:w="632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7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Revised obligation estimates and accretion</w:t>
            </w:r>
          </w:p>
        </w:tc>
        <w:tc>
          <w:tcPr>
            <w:tcW w:w="7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Reserve - end of period</w:t>
            </w: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June 30, 2018 and September 30, 2017, Ashland’s recorded receivable for these probable insurance recoveries was $14 million and $15 million, respectively, of which $13 million at June 30, 2018 and $14 million at September 30, 2017 were classified in other noncurrent assets on the Condensed Consolidated Balance Sheets.</w:t>
      </w:r>
    </w:p>
    <w:p>
      <w:pPr>
        <w:spacing w:after="0" w:line="73"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During the June 2018 quarter, Ashland incurred a $37 million charge for certain environmental liabilities. Of that amount, $18 million related to one site where, after significant research and analysis as part of Ashland’s normal process and protocol for these matters, the estimated cost for the ongoing remediation was finalized. As such, Ashland recorded the expense for this remediation project in the current period since a reasonable estimate that is in accordance with U.S. GAAP provisions could be</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7" w:name="page28"/>
    <w:bookmarkEnd w:id="27"/>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determined. The remaining charges in the current quarter related to normal ongoing remediation cost estimate updates for sites, which is consistent with Ashland’s historical environmental accounting policy.</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and nine months ended June 30, 2018 and 2017.</w:t>
      </w:r>
    </w:p>
    <w:p>
      <w:pPr>
        <w:spacing w:after="0" w:line="7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9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3"/>
          </w:tcPr>
          <w:p>
            <w:pPr>
              <w:jc w:val="right"/>
              <w:ind w:right="85"/>
              <w:spacing w:after="0"/>
              <w:rPr>
                <w:sz w:val="20"/>
                <w:szCs w:val="20"/>
                <w:color w:val="auto"/>
              </w:rPr>
            </w:pPr>
            <w:r>
              <w:rPr>
                <w:rFonts w:ascii="Arial" w:cs="Arial" w:eastAsia="Arial" w:hAnsi="Arial"/>
                <w:sz w:val="18"/>
                <w:szCs w:val="18"/>
                <w:color w:val="auto"/>
              </w:rPr>
              <w:t>Three months ended</w:t>
            </w: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Nine months ended</w:t>
            </w:r>
          </w:p>
        </w:tc>
        <w:tc>
          <w:tcPr>
            <w:tcW w:w="660" w:type="dxa"/>
            <w:vAlign w:val="bottom"/>
            <w:tcBorders>
              <w:top w:val="single" w:sz="8" w:color="auto"/>
            </w:tcBorders>
          </w:tcPr>
          <w:p>
            <w:pPr>
              <w:spacing w:after="0"/>
              <w:rPr>
                <w:sz w:val="21"/>
                <w:szCs w:val="21"/>
                <w:color w:val="auto"/>
              </w:rPr>
            </w:pPr>
          </w:p>
        </w:tc>
      </w:tr>
      <w:tr>
        <w:trPr>
          <w:trHeight w:val="230"/>
        </w:trPr>
        <w:tc>
          <w:tcPr>
            <w:tcW w:w="3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545"/>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rPr>
              <w:t>June 30</w:t>
            </w:r>
          </w:p>
        </w:tc>
        <w:tc>
          <w:tcPr>
            <w:tcW w:w="66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9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920" w:type="dxa"/>
            <w:vAlign w:val="bottom"/>
            <w:gridSpan w:val="2"/>
            <w:shd w:val="clear" w:color="auto" w:fill="CFF0FC"/>
          </w:tcPr>
          <w:p>
            <w:pPr>
              <w:jc w:val="right"/>
              <w:ind w:right="60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58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92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Accretion</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5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23"/>
        </w:trPr>
        <w:tc>
          <w:tcPr>
            <w:tcW w:w="390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30"/>
        </w:trPr>
        <w:tc>
          <w:tcPr>
            <w:tcW w:w="39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Insurance receivable </w:t>
            </w:r>
            <w:r>
              <w:rPr>
                <w:rFonts w:ascii="Arial" w:cs="Arial" w:eastAsia="Arial" w:hAnsi="Arial"/>
                <w:sz w:val="14"/>
                <w:szCs w:val="14"/>
                <w:color w:val="auto"/>
              </w:rPr>
              <w:t>(a)</w:t>
            </w:r>
          </w:p>
        </w:tc>
        <w:tc>
          <w:tcPr>
            <w:tcW w:w="5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3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Total expense, net of receivable activity </w:t>
            </w:r>
            <w:r>
              <w:rPr>
                <w:rFonts w:ascii="Arial" w:cs="Arial" w:eastAsia="Arial" w:hAnsi="Arial"/>
                <w:sz w:val="14"/>
                <w:szCs w:val="14"/>
                <w:color w:val="auto"/>
              </w:rPr>
              <w:t>(b)</w:t>
            </w:r>
          </w:p>
        </w:tc>
        <w:tc>
          <w:tcPr>
            <w:tcW w:w="5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0"/>
        </w:trPr>
        <w:tc>
          <w:tcPr>
            <w:tcW w:w="3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146050</wp:posOffset>
            </wp:positionV>
            <wp:extent cx="67322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44" w:lineRule="exact"/>
        <w:rPr>
          <w:sz w:val="20"/>
          <w:szCs w:val="20"/>
          <w:color w:val="auto"/>
        </w:rPr>
      </w:pPr>
    </w:p>
    <w:p>
      <w:pPr>
        <w:ind w:left="660" w:hanging="260"/>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Activity of $0 denotes value less than $1 million.</w:t>
      </w:r>
    </w:p>
    <w:p>
      <w:pPr>
        <w:jc w:val="both"/>
        <w:ind w:left="660" w:hanging="260"/>
        <w:spacing w:after="0" w:line="255"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Net expense of $3 million and $4 million for the three and nine months ended June 30, 2018, respectively, and $1 million and $3 million for the three and nine months ended June 30, 2017, respectively, relates to divested businesses which qualified for treatment as discontinued operations and for which certain environmental liabilities were retained by Ashland. These amounts are classified within the income from discontinued operations caption of the Statements of Consolidated Comprehensive Income (Loss).</w:t>
      </w:r>
    </w:p>
    <w:p>
      <w:pPr>
        <w:spacing w:after="0" w:line="67"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$440 million. The largest reserve for any site is approximately 15% of the remediation reserve.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2018 and September 30, 2017. There is a reasonable possibility that a loss exceeding amounts already recognized may be incurred related to these actions; however, Ashland believes that such potential losses were immaterial as of June 30,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EARNINGS PER SHARE</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0.7 million and 1.4 million at June 30, 2018 and 2017, respectively. Earnings per share is reported under the treasury stock method.</w:t>
      </w: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8" w:name="page29"/>
    <w:bookmarkEnd w:id="28"/>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7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Three months ended</w:t>
            </w:r>
          </w:p>
        </w:tc>
        <w:tc>
          <w:tcPr>
            <w:tcW w:w="5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Nine months ended</w:t>
            </w:r>
          </w:p>
        </w:tc>
        <w:tc>
          <w:tcPr>
            <w:tcW w:w="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color w:val="auto"/>
              </w:rPr>
              <w:t>June 30</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rPr>
              <w:t>June 30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2017</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(loss) from continuing operations</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780" w:type="dxa"/>
            <w:vAlign w:val="bottom"/>
            <w:gridSpan w:val="2"/>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Weighted-average</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common shares outstanding</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Denominator for diluted EPS - Adjusted weighted-</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average shares and assumed conversions</w:t>
            </w: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EPS from continuing operations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20"/>
              <w:spacing w:after="0"/>
              <w:rPr>
                <w:sz w:val="20"/>
                <w:szCs w:val="20"/>
                <w:color w:val="auto"/>
              </w:rPr>
            </w:pPr>
            <w:r>
              <w:rPr>
                <w:rFonts w:ascii="Arial" w:cs="Arial" w:eastAsia="Arial" w:hAnsi="Arial"/>
                <w:sz w:val="18"/>
                <w:szCs w:val="18"/>
                <w:color w:val="auto"/>
              </w:rPr>
              <w:t>Basic</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0.57</w:t>
            </w: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(0.26)</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(0.85)</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0.56</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(0.26)</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(0.85)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146050</wp:posOffset>
            </wp:positionV>
            <wp:extent cx="67322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18" w:lineRule="exact"/>
        <w:rPr>
          <w:sz w:val="20"/>
          <w:szCs w:val="20"/>
          <w:color w:val="auto"/>
        </w:rPr>
      </w:pPr>
    </w:p>
    <w:p>
      <w:pPr>
        <w:ind w:left="660" w:hanging="260"/>
        <w:spacing w:after="0" w:line="253"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attributable to Ashland during the three and nine months ended June 30, 2017, the effect of the share-based awards convertible to common shares would be antidilutive. In accordance with U.S. GAAP, they have been excluded from the diluted EPS calculation.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M – EQUITY ITEMS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 repurchase programs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April 2015, Ashland's Board of Directors approved a $1 billion share repurchase authorization that was set to expire on December 31, 2017 (the 2015 stock repurchase program). During September 2017, Ashland's Board of Directors extended the 2015 stock repurchase program indefinitely, at which point $500 million of share repurchase authorization remained under the 2015 stock repurchase program.</w:t>
      </w:r>
    </w:p>
    <w:p>
      <w:pPr>
        <w:spacing w:after="0" w:line="83"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June 30, 2018, $1 billion remained available for repurchase under this authorization.</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In May 2018, the Board of Directors of Ashland announced a quarterly cash dividend of 25 cents per share to eligible stockholders at record, which represented an increase from the previous quarterly cash dividend of 22.5 cents per share. This dividend was paid in the third quarter of fiscal 2018.</w:t>
      </w:r>
    </w:p>
    <w:p>
      <w:pPr>
        <w:spacing w:after="0" w:line="78" w:lineRule="exact"/>
        <w:rPr>
          <w:sz w:val="20"/>
          <w:szCs w:val="20"/>
          <w:color w:val="auto"/>
        </w:rPr>
      </w:pPr>
    </w:p>
    <w:p>
      <w:pPr>
        <w:jc w:val="both"/>
        <w:ind w:left="400" w:right="20"/>
        <w:spacing w:after="0" w:line="282" w:lineRule="auto"/>
        <w:rPr>
          <w:sz w:val="20"/>
          <w:szCs w:val="20"/>
          <w:color w:val="auto"/>
        </w:rPr>
      </w:pPr>
      <w:r>
        <w:rPr>
          <w:rFonts w:ascii="Arial" w:cs="Arial" w:eastAsia="Arial" w:hAnsi="Arial"/>
          <w:sz w:val="18"/>
          <w:szCs w:val="18"/>
          <w:color w:val="auto"/>
        </w:rPr>
        <w:t>In May 2017, subsequent to the final distribution of Valvoline Inc.'s common stock, the Board of Directors of Ashland announced a quarterly cash dividend of 22.5 cents per share to eligible stockholders at record which was paid for quarterly dividends in the first and second quarters of fiscal 2018 and the third and fourth quarters of fiscal 2017. This represented a reduction from the previous quarterly dividend of 39 cents per share which was paid for quarterly dividends in the first and second quarters of fiscal 2017.</w:t>
      </w:r>
    </w:p>
    <w:p>
      <w:pPr>
        <w:spacing w:after="0" w:line="4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3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29" w:name="page30"/>
    <w:bookmarkEnd w:id="29"/>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5"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7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r>
      <w:tr>
        <w:trPr>
          <w:trHeight w:val="209"/>
        </w:trPr>
        <w:tc>
          <w:tcPr>
            <w:tcW w:w="3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Tax</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Before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(expense)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(expense)</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benefit</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Net of tax</w:t>
            </w: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Before tax</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benefit</w:t>
            </w:r>
          </w:p>
        </w:tc>
        <w:tc>
          <w:tcPr>
            <w:tcW w:w="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5"/>
              </w:rPr>
              <w:t>Net of tax</w:t>
            </w:r>
          </w:p>
        </w:tc>
      </w:tr>
      <w:tr>
        <w:trPr>
          <w:trHeight w:val="222"/>
        </w:trPr>
        <w:tc>
          <w:tcPr>
            <w:tcW w:w="3780" w:type="dxa"/>
            <w:vAlign w:val="bottom"/>
          </w:tcPr>
          <w:p>
            <w:pPr>
              <w:spacing w:after="0"/>
              <w:rPr>
                <w:sz w:val="20"/>
                <w:szCs w:val="20"/>
                <w:color w:val="auto"/>
              </w:rPr>
            </w:pPr>
            <w:r>
              <w:rPr>
                <w:rFonts w:ascii="Arial" w:cs="Arial" w:eastAsia="Arial" w:hAnsi="Arial"/>
                <w:sz w:val="18"/>
                <w:szCs w:val="18"/>
                <w:b w:val="1"/>
                <w:bCs w:val="1"/>
                <w:color w:val="auto"/>
              </w:rPr>
              <w:t>Three months ended June 30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6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3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107</w:t>
            </w:r>
          </w:p>
        </w:tc>
        <w:tc>
          <w:tcPr>
            <w:tcW w:w="3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Amortization of unrecognized prior</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service credit </w:t>
            </w:r>
            <w:r>
              <w:rPr>
                <w:rFonts w:ascii="Arial" w:cs="Arial" w:eastAsia="Arial" w:hAnsi="Arial"/>
                <w:sz w:val="14"/>
                <w:szCs w:val="14"/>
                <w:color w:val="auto"/>
              </w:rPr>
              <w:t>(a)</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Unrealized gain</w:t>
            </w:r>
          </w:p>
        </w:tc>
        <w:tc>
          <w:tcPr>
            <w:tcW w:w="4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63"/>
        </w:trPr>
        <w:tc>
          <w:tcPr>
            <w:tcW w:w="3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 (loss)</w:t>
            </w:r>
          </w:p>
        </w:tc>
        <w:tc>
          <w:tcPr>
            <w:tcW w:w="4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w:t>
            </w:r>
          </w:p>
        </w:tc>
      </w:tr>
      <w:tr>
        <w:trPr>
          <w:trHeight w:val="210"/>
        </w:trPr>
        <w:tc>
          <w:tcPr>
            <w:tcW w:w="3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b w:val="1"/>
                <w:bCs w:val="1"/>
                <w:color w:val="auto"/>
              </w:rPr>
              <w:t>Nine months ended June 30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30"/>
        </w:trPr>
        <w:tc>
          <w:tcPr>
            <w:tcW w:w="378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unrecognized prior</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30"/>
        </w:trPr>
        <w:tc>
          <w:tcPr>
            <w:tcW w:w="3780" w:type="dxa"/>
            <w:vAlign w:val="bottom"/>
          </w:tcPr>
          <w:p>
            <w:pPr>
              <w:ind w:left="480"/>
              <w:spacing w:after="0"/>
              <w:rPr>
                <w:sz w:val="20"/>
                <w:szCs w:val="20"/>
                <w:color w:val="auto"/>
              </w:rPr>
            </w:pPr>
            <w:r>
              <w:rPr>
                <w:rFonts w:ascii="Arial" w:cs="Arial" w:eastAsia="Arial" w:hAnsi="Arial"/>
                <w:sz w:val="18"/>
                <w:szCs w:val="18"/>
                <w:color w:val="auto"/>
              </w:rPr>
              <w:t xml:space="preserve">service credit </w:t>
            </w:r>
            <w:r>
              <w:rPr>
                <w:rFonts w:ascii="Arial" w:cs="Arial" w:eastAsia="Arial" w:hAnsi="Arial"/>
                <w:sz w:val="14"/>
                <w:szCs w:val="14"/>
                <w:color w:val="auto"/>
              </w:rPr>
              <w:t>(a)</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3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change in available-for-sale securities: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30"/>
        </w:trPr>
        <w:tc>
          <w:tcPr>
            <w:tcW w:w="3780" w:type="dxa"/>
            <w:vAlign w:val="bottom"/>
          </w:tcPr>
          <w:p>
            <w:pPr>
              <w:ind w:left="480"/>
              <w:spacing w:after="0"/>
              <w:rPr>
                <w:sz w:val="20"/>
                <w:szCs w:val="20"/>
                <w:color w:val="auto"/>
              </w:rPr>
            </w:pPr>
            <w:r>
              <w:rPr>
                <w:rFonts w:ascii="Arial" w:cs="Arial" w:eastAsia="Arial" w:hAnsi="Arial"/>
                <w:sz w:val="18"/>
                <w:szCs w:val="18"/>
                <w:color w:val="auto"/>
              </w:rPr>
              <w:t>Unrealized gain</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3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Reclassification adjustment for gains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30"/>
        </w:trPr>
        <w:tc>
          <w:tcPr>
            <w:tcW w:w="378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included in net income</w:t>
            </w:r>
          </w:p>
        </w:tc>
        <w:tc>
          <w:tcPr>
            <w:tcW w:w="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r>
      <w:tr>
        <w:trPr>
          <w:trHeight w:val="20"/>
        </w:trPr>
        <w:tc>
          <w:tcPr>
            <w:tcW w:w="3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hanging="260"/>
        <w:spacing w:after="0" w:line="253"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three and nine months ended June 30, 2017, the amortization of unrecognized prior services credits was related to pension and other postretirement benefit plans that transferred to Valvoline and was classified within the discontinued operations caption on the Statements of Consolidated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-211455</wp:posOffset>
            </wp:positionV>
            <wp:extent cx="67322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N – STOCK INCENTIVE PLANS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Ashland has stock incentive plans under which key employees or directors are granted stock appreciation rights (SARs), performance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52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3"/>
          </w:tcPr>
          <w:p>
            <w:pPr>
              <w:jc w:val="center"/>
              <w:ind w:left="150"/>
              <w:spacing w:after="0"/>
              <w:rPr>
                <w:sz w:val="20"/>
                <w:szCs w:val="20"/>
                <w:color w:val="auto"/>
              </w:rPr>
            </w:pPr>
            <w:r>
              <w:rPr>
                <w:rFonts w:ascii="Arial" w:cs="Arial" w:eastAsia="Arial" w:hAnsi="Arial"/>
                <w:sz w:val="18"/>
                <w:szCs w:val="18"/>
                <w:color w:val="auto"/>
                <w:w w:val="87"/>
              </w:rPr>
              <w:t>Three months ended</w:t>
            </w: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3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84"/>
              </w:rPr>
              <w:t>June 30</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820" w:type="dxa"/>
            <w:vAlign w:val="bottom"/>
            <w:tcBorders>
              <w:bottom w:val="single" w:sz="8" w:color="auto"/>
            </w:tcBorders>
          </w:tcPr>
          <w:p>
            <w:pPr>
              <w:spacing w:after="0"/>
              <w:rPr>
                <w:sz w:val="20"/>
                <w:szCs w:val="20"/>
                <w:color w:val="auto"/>
              </w:rPr>
            </w:pPr>
          </w:p>
        </w:tc>
      </w:tr>
      <w:tr>
        <w:trPr>
          <w:trHeight w:val="223"/>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rPr>
              <w:t xml:space="preserve">2018 </w:t>
            </w:r>
            <w:r>
              <w:rPr>
                <w:rFonts w:ascii="Arial" w:cs="Arial" w:eastAsia="Arial" w:hAnsi="Arial"/>
                <w:sz w:val="14"/>
                <w:szCs w:val="14"/>
                <w:color w:val="auto"/>
              </w:rPr>
              <w:t>(a)</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xml:space="preserve">2017 </w:t>
            </w:r>
            <w:r>
              <w:rPr>
                <w:rFonts w:ascii="Arial" w:cs="Arial" w:eastAsia="Arial" w:hAnsi="Arial"/>
                <w:sz w:val="14"/>
                <w:szCs w:val="14"/>
                <w:color w:val="auto"/>
                <w:w w:val="99"/>
              </w:rPr>
              <w:t>(b)</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 xml:space="preserve">2018 </w:t>
            </w:r>
            <w:r>
              <w:rPr>
                <w:rFonts w:ascii="Arial" w:cs="Arial" w:eastAsia="Arial" w:hAnsi="Arial"/>
                <w:sz w:val="14"/>
                <w:szCs w:val="14"/>
                <w:color w:val="auto"/>
              </w:rPr>
              <w:t>(a)</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14"/>
                <w:szCs w:val="14"/>
                <w:color w:val="auto"/>
              </w:rPr>
              <w:t>(b)</w:t>
            </w: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SARs</w:t>
            </w:r>
          </w:p>
        </w:tc>
        <w:tc>
          <w:tcPr>
            <w:tcW w:w="202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Nonvested stock awards</w:t>
            </w: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16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23"/>
        </w:trPr>
        <w:tc>
          <w:tcPr>
            <w:tcW w:w="3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r>
      <w:tr>
        <w:trPr>
          <w:trHeight w:val="20"/>
        </w:trPr>
        <w:tc>
          <w:tcPr>
            <w:tcW w:w="3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660" w:hanging="260"/>
        <w:spacing w:after="0" w:line="230"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$3 million and $7 million of expense related to cash-settled nonvested restricted stock awards and $2 million and $5 million of expense related to cash-settled performance units during the three and nine months ended June 30, 2018, respectively.</w:t>
      </w:r>
    </w:p>
    <w:p>
      <w:pPr>
        <w:ind w:left="660" w:hanging="260"/>
        <w:spacing w:after="0" w:line="237"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$2 million and $4 million of expense related to cash-settled nonvested restricted stock awards and $1 million and $3 million of expense related to cash-settled performance units during the three and nine months ended June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-394335</wp:posOffset>
            </wp:positionV>
            <wp:extent cx="67322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SARs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SARs are granted to employees or directors at a price equal to the fair market value of the stock on the date of grant and typically become exercisable over periods of one to three years. Unexercised SARs lapse ten years and one month after the date of grant. No SARs were granted for the three months ended June 30, 2018 and 2017. SARs granted for the nine months ended June 30, 2018 and 2017 were 470 thousand and</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30" w:name="page31"/>
    <w:bookmarkEnd w:id="30"/>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422 thousand, respectively. As of June 30, 2018, there was $9 million of total unrecognized compensation costs related to SARs. That cost is expected to be recognized over a weighted-average period of 2.0 years.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Nonvested stock awards</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Nonvested stock awards are granted to employees or directors at a price equal to the fair market value of the stock on the date of grant and generally vest over a one-to-five-year period. However, such shares or units are subject to forfeiture upon termination of service before the vesting period ends.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Stock-settled nonvested stock awards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Nonvested stock awards granted in the form of shares were two thousand and zero for the three months ended June 30, 2018 and 2017, respectively, and 146 thousand and 84 thousand for the nine months ended June 30, 2018 and 2017, respectively. As of June 30, 2018, there was $8 million of total unrecognized compensation costs related to these nonvested stock awards. That cost is expected to be recognized over a weighted-average period of 2.0 years.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Cash-settled nonvested stock awards</w:t>
      </w:r>
    </w:p>
    <w:p>
      <w:pPr>
        <w:spacing w:after="0" w:line="108" w:lineRule="exact"/>
        <w:rPr>
          <w:sz w:val="20"/>
          <w:szCs w:val="20"/>
          <w:color w:val="auto"/>
        </w:rPr>
      </w:pPr>
    </w:p>
    <w:p>
      <w:pPr>
        <w:jc w:val="both"/>
        <w:ind w:left="400"/>
        <w:spacing w:after="0" w:line="321" w:lineRule="auto"/>
        <w:rPr>
          <w:sz w:val="20"/>
          <w:szCs w:val="20"/>
          <w:color w:val="auto"/>
        </w:rPr>
      </w:pPr>
      <w:r>
        <w:rPr>
          <w:rFonts w:ascii="Arial" w:cs="Arial" w:eastAsia="Arial" w:hAnsi="Arial"/>
          <w:sz w:val="16"/>
          <w:szCs w:val="16"/>
          <w:color w:val="auto"/>
        </w:rPr>
        <w:t>Certain nonvested stock awards are granted to employees and are settled in cash upon vesting. As of June 30, 2018, 195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$3 million and $2 million during the three months ended June 30, 2018 and 2017, respectively, and $7 million and $4 million during the nine months ended June 30, 2018 and 2017, respectively.</w:t>
      </w:r>
    </w:p>
    <w:p>
      <w:pPr>
        <w:spacing w:after="0" w:line="26"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Executive performance incentive and retention program</w:t>
      </w:r>
    </w:p>
    <w:p>
      <w:pPr>
        <w:spacing w:after="0" w:line="10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During 2016, certain executives were granted performance-based restricted shares of Ashland in order to provide an incentive to remain employed in the period after the full separation of Ashland and Valvoline. At June 30, 2018, there were 61 thousand shares outstanding in connection with these awards, which includes forfeitures and the cumulative value of forfeitable dividends. The expense recognition for these awards commenced upon completing the full separation of Valvoline which occurred on May 12, 2017, as discussed further in Note B, and resulted in $1 million and $4 million of expense for the three and nine months ended June 30, 2018, respectively, and $1 million of expense for the three and nine months ended June 30, 2017. As of June 30, 2018, there was $5 million of total unrecognized compensation costs related to these awards.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Performance awards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 sponsors a long-term incentive plan that awards performance shares/units to certain key employees that are primarily tied to Ashland’s overall financial performance relative to internal targets. Additionally, certain outstanding performance awards are tied to Ashland's overall financial performance relative to the financial performance of selected industry peer groups. Awards are granted annually, with each award covering a three-year vesting period.</w:t>
      </w:r>
    </w:p>
    <w:p>
      <w:pPr>
        <w:spacing w:after="0" w:line="83"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For awards granted in fiscal 2016, each performance share/unit is convertible to one share of Ashland Common Stock. These plans are recorded as a component of stockholders’ equity in the Condensed Consolidated Balance Sheets. Performance measures used to determine the actual number of performance shares issuable upon vesting include an equal weighting of Ashland’s total shareholder return (TSR) performance and Ashland’s return on investment (ROI) performance as compared to the internal</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31" w:name="page32"/>
    <w:bookmarkEnd w:id="31"/>
    <w:p>
      <w:pPr>
        <w:ind w:right="400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targets. TSR relative to peers is considered a market condition while ROI is considered a performance condition under applicable U.S. GAAP.</w:t>
      </w:r>
    </w:p>
    <w:p>
      <w:pPr>
        <w:spacing w:after="0" w:line="69" w:lineRule="exact"/>
        <w:rPr>
          <w:sz w:val="20"/>
          <w:szCs w:val="20"/>
          <w:color w:val="auto"/>
        </w:rPr>
      </w:pPr>
    </w:p>
    <w:p>
      <w:pPr>
        <w:jc w:val="both"/>
        <w:ind w:left="400"/>
        <w:spacing w:after="0" w:line="316" w:lineRule="auto"/>
        <w:rPr>
          <w:sz w:val="20"/>
          <w:szCs w:val="20"/>
          <w:color w:val="auto"/>
        </w:rPr>
      </w:pPr>
      <w:r>
        <w:rPr>
          <w:rFonts w:ascii="Arial" w:cs="Arial" w:eastAsia="Arial" w:hAnsi="Arial"/>
          <w:sz w:val="16"/>
          <w:szCs w:val="16"/>
          <w:color w:val="auto"/>
        </w:rPr>
        <w:t>For awards granted in fiscal 2017 and 2018, the performance measure used to determine the actual number of performance shares/units issuable upon vesting is the financial performance of Ashland compared to award targets. The financial performance award metric is considered a performance condition under applicable U.S. GAAP. Additionally, the actual number of performance shares/units issuable upon vesting can be potentially increased or decreased based on a TSR performance modifier relative to peers of Ashland. For awards granted in fiscal 2017, each performance unit will be settled in cash based on the fair value of Ashland common stock. For awards granted in fiscal 2018, each performance share/unit is convertible to one share of Ashland Common Stock.</w:t>
      </w:r>
    </w:p>
    <w:p>
      <w:pPr>
        <w:spacing w:after="0" w:line="32"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Nonvested performance shares/units do not entitle employees to vote the shares or to receive any dividends thereon. No performance shares/units were granted for the three months ended June 30, 2018 and 2017. Performance shares/units granted for the nine months ended June 30, 2018 and 2017 were 101 thousand and 56 thousand, respectively. As of June 30, 2018, there was $14 million of total unrecognized compensation costs related to performance shares/units. That cost is expected to be recognized over a weighted-average period of 1.8 years.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O – REPORTABLE SEGMENT INFORMATION</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is the primary measure on the Statements of Consolidated Comprehensive Income (Loss) that is reviewed by the chief operating decision maker in assessing each reportable segment's financial performance. Ashland does not aggregate operating segments to arrive at these reportable segments.</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Change in Reportable Segments</w:t>
      </w:r>
    </w:p>
    <w:p>
      <w:pPr>
        <w:spacing w:after="0" w:line="108"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Subsequent to completing the separation from Valvoline Inc. on May 12, 2017, Ashland's operations are managed by the chief operating decision maker within the following three reportable segments: Specialty Ingredients, Composites and Intermediates and Solvents. As a result, the financial information for the new reportable segments (Composites and Intermediates and Solvents) has been disclosed for all periods presented. Prior to the separation from Valvoline Inc., Composites and Intermediates and Solvents were reporting units included within the previous Ashland Performance Materials reportable segment.</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Reportable segment business descriptions</w:t>
      </w:r>
    </w:p>
    <w:p>
      <w:pPr>
        <w:spacing w:after="0" w:line="108"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Specialty Ingredients is a global leader in cellulose ethers, vinyl pyrrolidones and biofunctionals. It offers industry-leading products, technologies and resources for solving formulation and product-performance challenges. Specialty Ingredients uses natural, synthetic and semisynthetic polymers derived from cellulose ethers, vinyl pyrrolidones, acrylic polymers, polyester and polyurethane-based adhesives, and plant and seed extract. Specialty Ingredients’ end markets offer comprehensive and innovative solutions for today’s demanding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 On May 17, 2017, Ashland completed its acquisition of the stock of Pharmachem, a leading provider of quality ingredients to the global health and wellness industries and high-value differentiated products to fragrance and flavor houses. At the acquisition date, Pharmachem had 14 manufacturing facilities located in the United States and Mexico. New Jersey-based Pharmachem develops, manufactures and supplies custom and branded nutritional and fragrance products. See Note C for more information.</w:t>
      </w:r>
    </w:p>
    <w:p>
      <w:pPr>
        <w:spacing w:after="0" w:line="63"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Composites is a global leader in unsaturated polyester resins, vinyl ester resins and gelcoats. The Composites business manufactures and sells a broad range of general-purpose and high-performance grades of unsaturated polyester and vinyl ester resins, gelcoats and low-profile additives for the reinforced plastics industry. The products in the Composites business provide an array of functional properties including</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32" w:name="page33"/>
    <w:bookmarkEnd w:id="32"/>
    <w:p>
      <w:pPr>
        <w:ind w:right="442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400" w:right="420"/>
        <w:spacing w:after="0" w:line="278" w:lineRule="auto"/>
        <w:rPr>
          <w:sz w:val="20"/>
          <w:szCs w:val="20"/>
          <w:color w:val="auto"/>
        </w:rPr>
      </w:pPr>
      <w:r>
        <w:rPr>
          <w:rFonts w:ascii="Arial" w:cs="Arial" w:eastAsia="Arial" w:hAnsi="Arial"/>
          <w:sz w:val="18"/>
          <w:szCs w:val="18"/>
          <w:color w:val="auto"/>
        </w:rPr>
        <w:t>corrosion resistance, fire retardance, ultraviolet resistance, water and chemical resistance, high mechanical strength, impact and scratch resistance and high strength-to-weight ratios. Key end markets include transportation, construction, marine and infrastructure. In addition, the business manufactures and sells molten maleic anhydride for the manufacture of a variety of products such as unsaturated polyester resins, copolymers, lubricating oil additives, alkenyl succinic anhydrides, malic acid, fumaric acid and numerous derivative chemicals. Key markets include composites, personal care, dispersants and paper sizing.</w:t>
      </w:r>
    </w:p>
    <w:p>
      <w:pPr>
        <w:spacing w:after="0" w:line="57" w:lineRule="exact"/>
        <w:rPr>
          <w:sz w:val="20"/>
          <w:szCs w:val="20"/>
          <w:color w:val="auto"/>
        </w:rPr>
      </w:pPr>
    </w:p>
    <w:p>
      <w:pPr>
        <w:jc w:val="both"/>
        <w:ind w:left="400" w:right="420"/>
        <w:spacing w:after="0" w:line="282" w:lineRule="auto"/>
        <w:rPr>
          <w:sz w:val="20"/>
          <w:szCs w:val="20"/>
          <w:color w:val="auto"/>
        </w:rPr>
      </w:pPr>
      <w:r>
        <w:rPr>
          <w:rFonts w:ascii="Arial" w:cs="Arial" w:eastAsia="Arial" w:hAnsi="Arial"/>
          <w:sz w:val="18"/>
          <w:szCs w:val="18"/>
          <w:color w:val="auto"/>
        </w:rPr>
        <w:t>Intermediates and Solvents is a leading producer of 1,4 butanediol (BDO)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54" w:lineRule="exact"/>
        <w:rPr>
          <w:sz w:val="20"/>
          <w:szCs w:val="20"/>
          <w:color w:val="auto"/>
        </w:rPr>
      </w:pPr>
    </w:p>
    <w:p>
      <w:pPr>
        <w:jc w:val="both"/>
        <w:ind w:left="400" w:right="420"/>
        <w:spacing w:after="0" w:line="316"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Reportable segment results</w:t>
      </w:r>
    </w:p>
    <w:p>
      <w:pPr>
        <w:spacing w:after="0" w:line="108" w:lineRule="exact"/>
        <w:rPr>
          <w:sz w:val="20"/>
          <w:szCs w:val="20"/>
          <w:color w:val="auto"/>
        </w:rPr>
      </w:pPr>
    </w:p>
    <w:p>
      <w:pPr>
        <w:jc w:val="both"/>
        <w:ind w:left="400" w:right="42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7" w:lineRule="exact"/>
        <w:rPr>
          <w:sz w:val="20"/>
          <w:szCs w:val="20"/>
          <w:color w:val="auto"/>
        </w:rPr>
      </w:pPr>
    </w:p>
    <w:p>
      <w:pPr>
        <w:jc w:val="both"/>
        <w:ind w:left="400" w:right="440"/>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and nine months ended June 30, 2018 and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6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4"/>
          </w:tcPr>
          <w:p>
            <w:pPr>
              <w:jc w:val="right"/>
              <w:ind w:right="190"/>
              <w:spacing w:after="0"/>
              <w:rPr>
                <w:sz w:val="20"/>
                <w:szCs w:val="20"/>
                <w:color w:val="auto"/>
              </w:rPr>
            </w:pPr>
            <w:r>
              <w:rPr>
                <w:rFonts w:ascii="Arial" w:cs="Arial" w:eastAsia="Arial" w:hAnsi="Arial"/>
                <w:sz w:val="18"/>
                <w:szCs w:val="18"/>
                <w:color w:val="auto"/>
              </w:rPr>
              <w:t>Three months ended</w:t>
            </w:r>
          </w:p>
        </w:tc>
        <w:tc>
          <w:tcPr>
            <w:tcW w:w="7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right"/>
              <w:ind w:right="185"/>
              <w:spacing w:after="0"/>
              <w:rPr>
                <w:sz w:val="20"/>
                <w:szCs w:val="20"/>
                <w:color w:val="auto"/>
              </w:rPr>
            </w:pPr>
            <w:r>
              <w:rPr>
                <w:rFonts w:ascii="Arial" w:cs="Arial" w:eastAsia="Arial" w:hAnsi="Arial"/>
                <w:sz w:val="18"/>
                <w:szCs w:val="18"/>
                <w:color w:val="auto"/>
              </w:rPr>
              <w:t>Nine months ended</w:t>
            </w:r>
          </w:p>
        </w:tc>
        <w:tc>
          <w:tcPr>
            <w:tcW w:w="80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625"/>
              <w:spacing w:after="0"/>
              <w:rPr>
                <w:sz w:val="20"/>
                <w:szCs w:val="20"/>
                <w:color w:val="auto"/>
              </w:rPr>
            </w:pPr>
            <w:r>
              <w:rPr>
                <w:rFonts w:ascii="Arial" w:cs="Arial" w:eastAsia="Arial" w:hAnsi="Arial"/>
                <w:sz w:val="18"/>
                <w:szCs w:val="18"/>
                <w:color w:val="auto"/>
              </w:rPr>
              <w:t>June 30</w:t>
            </w:r>
          </w:p>
        </w:tc>
        <w:tc>
          <w:tcPr>
            <w:tcW w:w="8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SALES</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80" w:type="dxa"/>
            <w:vAlign w:val="bottom"/>
            <w:gridSpan w:val="3"/>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591</w:t>
            </w:r>
          </w:p>
        </w:tc>
        <w:tc>
          <w:tcPr>
            <w:tcW w:w="68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1,834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1,617</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Composites</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202</w:t>
            </w:r>
          </w:p>
        </w:tc>
        <w:tc>
          <w:tcPr>
            <w:tcW w:w="420" w:type="dxa"/>
            <w:vAlign w:val="bottom"/>
          </w:tcPr>
          <w:p>
            <w:pPr>
              <w:spacing w:after="0"/>
              <w:rPr>
                <w:sz w:val="19"/>
                <w:szCs w:val="19"/>
                <w:color w:val="auto"/>
              </w:rPr>
            </w:pPr>
          </w:p>
        </w:tc>
      </w:tr>
      <w:tr>
        <w:trPr>
          <w:trHeight w:val="263"/>
        </w:trPr>
        <w:tc>
          <w:tcPr>
            <w:tcW w:w="420" w:type="dxa"/>
            <w:vAlign w:val="bottom"/>
          </w:tcPr>
          <w:p>
            <w:pPr>
              <w:spacing w:after="0"/>
              <w:rPr>
                <w:sz w:val="22"/>
                <w:szCs w:val="22"/>
                <w:color w:val="auto"/>
              </w:rPr>
            </w:pPr>
          </w:p>
        </w:tc>
        <w:tc>
          <w:tcPr>
            <w:tcW w:w="36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870</w:t>
            </w:r>
          </w:p>
        </w:tc>
        <w:tc>
          <w:tcPr>
            <w:tcW w:w="18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2,787</w:t>
            </w:r>
          </w:p>
        </w:tc>
        <w:tc>
          <w:tcPr>
            <w:tcW w:w="18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2,380</w:t>
            </w:r>
          </w:p>
        </w:tc>
        <w:tc>
          <w:tcPr>
            <w:tcW w:w="420" w:type="dxa"/>
            <w:vAlign w:val="bottom"/>
          </w:tcPr>
          <w:p>
            <w:pPr>
              <w:spacing w:after="0"/>
              <w:rPr>
                <w:sz w:val="22"/>
                <w:szCs w:val="22"/>
                <w:color w:val="auto"/>
              </w:rPr>
            </w:pPr>
          </w:p>
        </w:tc>
      </w:tr>
      <w:tr>
        <w:trPr>
          <w:trHeight w:val="210"/>
        </w:trPr>
        <w:tc>
          <w:tcPr>
            <w:tcW w:w="4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Specialty Ingredients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080" w:type="dxa"/>
            <w:vAlign w:val="bottom"/>
            <w:gridSpan w:val="3"/>
          </w:tcPr>
          <w:p>
            <w:pPr>
              <w:jc w:val="right"/>
              <w:ind w:right="6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6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9"/>
                <w:szCs w:val="19"/>
                <w:color w:val="auto"/>
              </w:rPr>
            </w:pPr>
          </w:p>
        </w:tc>
        <w:tc>
          <w:tcPr>
            <w:tcW w:w="820" w:type="dxa"/>
            <w:vAlign w:val="bottom"/>
          </w:tcPr>
          <w:p>
            <w:pPr>
              <w:jc w:val="right"/>
              <w:ind w:right="6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Composites</w:t>
            </w: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5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61"/>
        </w:trPr>
        <w:tc>
          <w:tcPr>
            <w:tcW w:w="4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33</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This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In addition, Ashland may from time to time make forward-looking statements in its annual reports,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program to eliminate certain existing corporate and Specialty Ingredients expenses (including the possibility that such cost eliminations may not occur or may take longer to implement than anticipated), the expected divestiture of its Composites segment and the butanediol (BDO) manufacturing facility in Marl, Germany, and related merchant Intermediates and Solvents (I&amp;S) products (including, in each case, the possibility that a transaction may not occur or that, if a transaction does occur, Ashland may not realize the anticipated benefits from such transaction), the impact of acquisitions and/or divestitures Ashland has made or may make, including the acquisition of Pharmachem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Ashland’s ability to generate sufficient cash to finance its stock repurchase plans; the potential that Ashland does not realize all of the expected benefits of the separation of its Valvoline business; the potential that the Tax Cuts and Jobs Act enacted on December 22, 2017 will have a negative impact on Ashland’s financial results, and severe weather, natural disasters, cyber events and legal proceedings and claims (including product recalls, environmental and asbestos matters). Various risks and uncertainties may cause actual results to differ materially from those stated, projected or implied by any forward-looking statements, including,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442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0" w:right="44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293" w:lineRule="exact"/>
        <w:rPr>
          <w:sz w:val="20"/>
          <w:szCs w:val="20"/>
          <w:color w:val="auto"/>
        </w:rPr>
      </w:pPr>
    </w:p>
    <w:p>
      <w:pPr>
        <w:jc w:val="center"/>
        <w:ind w:right="9300"/>
        <w:spacing w:after="0"/>
        <w:rPr>
          <w:sz w:val="20"/>
          <w:szCs w:val="20"/>
          <w:color w:val="auto"/>
        </w:rPr>
      </w:pPr>
      <w:r>
        <w:rPr>
          <w:rFonts w:ascii="Arial" w:cs="Arial" w:eastAsia="Arial" w:hAnsi="Arial"/>
          <w:sz w:val="19"/>
          <w:szCs w:val="19"/>
          <w:b w:val="1"/>
          <w:bCs w:val="1"/>
          <w:color w:val="auto"/>
        </w:rPr>
        <w:t>BUSINESS OVERVIEW</w:t>
      </w:r>
    </w:p>
    <w:p>
      <w:pPr>
        <w:spacing w:after="0" w:line="119" w:lineRule="exact"/>
        <w:rPr>
          <w:sz w:val="20"/>
          <w:szCs w:val="20"/>
          <w:color w:val="auto"/>
        </w:rPr>
      </w:pPr>
    </w:p>
    <w:p>
      <w:pPr>
        <w:jc w:val="center"/>
        <w:ind w:right="932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400" w:right="420"/>
        <w:spacing w:after="0" w:line="269" w:lineRule="auto"/>
        <w:rPr>
          <w:sz w:val="20"/>
          <w:szCs w:val="20"/>
          <w:color w:val="auto"/>
        </w:rPr>
      </w:pPr>
      <w:r>
        <w:rPr>
          <w:rFonts w:ascii="Arial" w:cs="Arial" w:eastAsia="Arial" w:hAnsi="Arial"/>
          <w:sz w:val="19"/>
          <w:szCs w:val="19"/>
          <w:color w:val="auto"/>
        </w:rPr>
        <w:t>Ashland is a premier global leader in providing specialty chemical solutions to customers in a wide range of consumer and industrial markets, including adhesives, architectural coatings, construction, energy, food and beverage, personal care and pharmaceutical. With approximately 6,500 employees worldwide, Ashland serves customers in more than 100 countries.</w:t>
      </w:r>
    </w:p>
    <w:p>
      <w:pPr>
        <w:spacing w:after="0" w:line="62"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Ashland’s sales generated outside of North America were 60% and 59% for the three months ended June 30, 2018 and 2017, respectively, and 60% for both the nine months ended June 30, 2018 and 2017. Sales by region expressed as a percentage of total consolidated sales for the three and nine months ended June 30 were as follows:</w:t>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22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9"/>
              </w:rPr>
              <w:t>Three months ended</w:t>
            </w:r>
          </w:p>
        </w:tc>
        <w:tc>
          <w:tcPr>
            <w:tcW w:w="8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9"/>
              </w:rPr>
              <w:t>Nine months ended</w:t>
            </w:r>
          </w:p>
        </w:tc>
        <w:tc>
          <w:tcPr>
            <w:tcW w:w="860" w:type="dxa"/>
            <w:vAlign w:val="bottom"/>
            <w:tcBorders>
              <w:top w:val="single" w:sz="8" w:color="auto"/>
            </w:tcBorders>
          </w:tcPr>
          <w:p>
            <w:pPr>
              <w:spacing w:after="0"/>
              <w:rPr>
                <w:sz w:val="21"/>
                <w:szCs w:val="21"/>
                <w:color w:val="auto"/>
              </w:rPr>
            </w:pPr>
          </w:p>
        </w:tc>
      </w:tr>
      <w:tr>
        <w:trPr>
          <w:trHeight w:val="230"/>
        </w:trPr>
        <w:tc>
          <w:tcPr>
            <w:tcW w:w="3220" w:type="dxa"/>
            <w:vAlign w:val="bottom"/>
          </w:tcPr>
          <w:p>
            <w:pPr>
              <w:spacing w:after="0"/>
              <w:rPr>
                <w:sz w:val="20"/>
                <w:szCs w:val="20"/>
                <w:color w:val="auto"/>
              </w:rPr>
            </w:pPr>
          </w:p>
        </w:tc>
        <w:tc>
          <w:tcPr>
            <w:tcW w:w="27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7"/>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7"/>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Europe</w:t>
            </w: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3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322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Ashland includes only U.S. and Canada in its North America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segments</w:t>
      </w:r>
    </w:p>
    <w:p>
      <w:pPr>
        <w:spacing w:after="0" w:line="114"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color w:val="auto"/>
        </w:rPr>
        <w:t>Ashland’s businesses are managed within the following three reportable segments: Specialty Ingredients, Composites and Intermediates and Solvents. For further descriptions of each reportable segment, see “Results of Operations – Reportable Segment Review” beginning on page 50.</w:t>
      </w:r>
    </w:p>
    <w:p>
      <w:pPr>
        <w:spacing w:after="0" w:line="92" w:lineRule="exact"/>
        <w:rPr>
          <w:sz w:val="20"/>
          <w:szCs w:val="20"/>
          <w:color w:val="auto"/>
        </w:rPr>
      </w:pPr>
    </w:p>
    <w:p>
      <w:pPr>
        <w:jc w:val="both"/>
        <w:ind w:left="400" w:right="440"/>
        <w:spacing w:after="0" w:line="260" w:lineRule="auto"/>
        <w:rPr>
          <w:sz w:val="20"/>
          <w:szCs w:val="20"/>
          <w:color w:val="auto"/>
        </w:rPr>
      </w:pPr>
      <w:r>
        <w:rPr>
          <w:rFonts w:ascii="Arial" w:cs="Arial" w:eastAsia="Arial" w:hAnsi="Arial"/>
          <w:sz w:val="20"/>
          <w:szCs w:val="20"/>
          <w:color w:val="auto"/>
        </w:rPr>
        <w:t>The contribution to sales by each reportable segment expressed as a percentage of total consolidated sales for the three and nine months ended June 30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540" w:type="dxa"/>
            <w:vAlign w:val="bottom"/>
            <w:tcBorders>
              <w:top w:val="single" w:sz="8" w:color="auto"/>
            </w:tcBorders>
          </w:tcPr>
          <w:p>
            <w:pPr>
              <w:spacing w:after="0"/>
              <w:rPr>
                <w:sz w:val="21"/>
                <w:szCs w:val="21"/>
                <w:color w:val="auto"/>
              </w:rPr>
            </w:pPr>
          </w:p>
        </w:tc>
        <w:tc>
          <w:tcPr>
            <w:tcW w:w="2600" w:type="dxa"/>
            <w:vAlign w:val="bottom"/>
            <w:tcBorders>
              <w:top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7"/>
              </w:rPr>
              <w:t>Three months ended</w:t>
            </w:r>
          </w:p>
        </w:tc>
        <w:tc>
          <w:tcPr>
            <w:tcW w:w="8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9"/>
              </w:rPr>
              <w:t>Nine months ended</w:t>
            </w:r>
          </w:p>
        </w:tc>
        <w:tc>
          <w:tcPr>
            <w:tcW w:w="84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4"/>
              </w:rPr>
              <w:t>June 30</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4"/>
              </w:rPr>
              <w:t>June 30</w:t>
            </w:r>
          </w:p>
        </w:tc>
        <w:tc>
          <w:tcPr>
            <w:tcW w:w="8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Reportable Segment</w:t>
            </w: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Composites</w:t>
            </w: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872"/>
        </w:trPr>
        <w:tc>
          <w:tcPr>
            <w:tcW w:w="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00" w:type="dxa"/>
            <w:vAlign w:val="bottom"/>
            <w:gridSpan w:val="3"/>
          </w:tcPr>
          <w:p>
            <w:pPr>
              <w:jc w:val="right"/>
              <w:ind w:right="760"/>
              <w:spacing w:after="0"/>
              <w:rPr>
                <w:sz w:val="20"/>
                <w:szCs w:val="20"/>
                <w:color w:val="auto"/>
              </w:rPr>
            </w:pPr>
            <w:r>
              <w:rPr>
                <w:rFonts w:ascii="Arial" w:cs="Arial" w:eastAsia="Arial" w:hAnsi="Arial"/>
                <w:sz w:val="18"/>
                <w:szCs w:val="18"/>
                <w:color w:val="auto"/>
              </w:rPr>
              <w:t>35</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71" w:right="219" w:bottom="1440" w:gutter="0" w:footer="0" w:header="0"/>
        </w:sectPr>
      </w:pPr>
    </w:p>
    <w:bookmarkStart w:id="35" w:name="page36"/>
    <w:bookmarkEnd w:id="35"/>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8880"/>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jc w:val="center"/>
        <w:ind w:right="8880"/>
        <w:spacing w:after="0"/>
        <w:rPr>
          <w:sz w:val="20"/>
          <w:szCs w:val="20"/>
          <w:color w:val="auto"/>
        </w:rPr>
      </w:pPr>
      <w:r>
        <w:rPr>
          <w:rFonts w:ascii="Arial" w:cs="Arial" w:eastAsia="Arial" w:hAnsi="Arial"/>
          <w:sz w:val="20"/>
          <w:szCs w:val="20"/>
          <w:b w:val="1"/>
          <w:bCs w:val="1"/>
          <w:color w:val="auto"/>
        </w:rPr>
        <w:t>Business results</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Ashland’s net income was $36 million in the current quarter compared to a net loss of $30 million in the prior year quarter. Ashland’s Adjusted EBITDA increased by 17% to $189 million (see U.S. GAAP reconciliation on page 42). The increase in Adjusted EBITDA was primarily due to growth at both the Specialty Ingredients and Intermediates and Solvents reportable segments. Excluding the acquisition of Pharmachem, the increase in profitability for Specialty Ingredients compared to the prior year quarter was primarily driven by improved volume and mix as well as favorable foreign currency exchange. The improvement in profitability for Intermediates and Solvents was primarily driven by improved product pricing.</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segment and Intermediates and Solvents plant</w:t>
      </w:r>
    </w:p>
    <w:p>
      <w:pPr>
        <w:spacing w:after="0" w:line="114"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On March 20, 2018, Ashland announced that it will explore strategic alternatives for its Composites segment and the Intermediates and Solvents manufacturing facility in Marl, Germany. Ashland currently expects to divest these assets, which will streamline its business portfolio, focusing it more on the higher margin, less volatile and more specialized portions of the business.</w:t>
      </w:r>
    </w:p>
    <w:p>
      <w:pPr>
        <w:spacing w:after="0" w:line="3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EBITDA Margin Acceleration Plan</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early May 2018, Ashland announced a program to accelerate EBITDA margin growth by creating a leaner, more cost competitive company with improved operating efficiency, faster decision making and a stronger customer focus. Under this program, Ashland intends to eliminate a total of $120 million of existing allocated costs, direct expenses within Specialty Ingredients SG&amp;A, and facility-related costs as follows:</w:t>
      </w:r>
    </w:p>
    <w:p>
      <w:pPr>
        <w:spacing w:after="0" w:line="83" w:lineRule="exact"/>
        <w:rPr>
          <w:sz w:val="20"/>
          <w:szCs w:val="20"/>
          <w:color w:val="auto"/>
        </w:rPr>
      </w:pPr>
    </w:p>
    <w:p>
      <w:pPr>
        <w:jc w:val="both"/>
        <w:ind w:left="800" w:hanging="400"/>
        <w:spacing w:after="0" w:line="250" w:lineRule="auto"/>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Approximately $70 million of costs allocated to the Composites business and to the butanediol manufacturing facility in Marl, Germany, are expected to be offset or eliminated through transfers and reductions. This reduction is intended to eliminate stranded costs.</w:t>
      </w:r>
    </w:p>
    <w:p>
      <w:pPr>
        <w:spacing w:after="0" w:line="7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Approximately $50 million of additional costs are expected to be eliminated to drive improved profitability in Specialty Ingredients and accelerate achievement of its adjusted EBITDA margin target of 25-27 percent.</w:t>
      </w:r>
    </w:p>
    <w:p>
      <w:pPr>
        <w:spacing w:after="0" w:line="6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 continues to expect to achieve the full $120 million in run-rate savings by the end of calendar year 2019. An initial $20 million in annualized run-rate savings under this program is expected by the end of the September 2018 quarter. An additional $30 million in run-rate savings is expected in the December 2018 quarter, bringing the total annualized run-rate to $50 million by the end of calendar 2018.</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Tax law changes</w:t>
      </w:r>
    </w:p>
    <w:p>
      <w:pPr>
        <w:spacing w:after="0" w:line="114"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The Tax Cuts and Jobs Act (Tax Act) was enacted on December 22, 2017. The Tax Act reduces the U.S. federal corporate tax rate from 35% to 21%, requires companies to pay a one-time transition tax on earnings of certain foreign subsidiaries that were previously tax deferred and creates new taxes on certain foreign sourced earnings. At June 30, 2018, Ashland has not completed the internal accounting assessment for the tax effects of enactment of the Tax Act; however, Ashland determined a reasonable estimate of the effects on its existing deferred tax balances and the one-time transition tax. Ashland recognized a provisional amount for the nine months ended June 30, 2018, which is included as a component of income tax expense from continuing operations. Ashland recorded net unfavorable tax adjustments of $16 million primarily related to deferred tax rate changes and a one-time transition tax assessed on foreign cash and unremitted earnings.</w:t>
      </w:r>
    </w:p>
    <w:p>
      <w:pPr>
        <w:spacing w:after="0" w:line="18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36" w:name="page37"/>
    <w:bookmarkEnd w:id="36"/>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 repurchase program</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During March 2018, Ashland’s Board of Directors approved a new $1 billion stock repurchase program, which replaced the 2015 stock repurchase program that had $500 million of authorization remaining. Under the new program, Ashland’s common shares may be repurchased in open market transactions, privately negotiated transactions or pursuant to one or more accelerated stock repurchase programs or Rule 10b5-1 plans.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In May 2018, the Board of Directors of Ashland announced a quarterly cash dividend of 25 cents per share, which represented an increase from the previous quarterly cash dividend of 22.5 cents per share. This dividend was paid in the third quarter of fiscal 2018.</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800" w:hanging="400"/>
        <w:spacing w:after="0" w:line="260" w:lineRule="auto"/>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financing expenses, and depreciation and amortization.</w:t>
      </w:r>
    </w:p>
    <w:p>
      <w:pPr>
        <w:spacing w:after="0" w:line="6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gain (loss) on acquisitions and divestitures, other income and (expense) and key items (including the remeasurement gains and losses related to pension and other postretirement plans).</w:t>
      </w:r>
    </w:p>
    <w:p>
      <w:pPr>
        <w:spacing w:after="0" w:line="78" w:lineRule="exact"/>
        <w:rPr>
          <w:rFonts w:ascii="Arial" w:cs="Arial" w:eastAsia="Arial" w:hAnsi="Arial"/>
          <w:sz w:val="20"/>
          <w:szCs w:val="20"/>
          <w:color w:val="auto"/>
        </w:rPr>
      </w:pPr>
    </w:p>
    <w:p>
      <w:pPr>
        <w:ind w:left="800" w:hanging="400"/>
        <w:spacing w:after="0"/>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Adjusted EBITDA margin - Adjusted EBITDA, which can include pro forma adjustments, divided by sales.</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ind w:left="400"/>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37" w:name="page38"/>
    <w:bookmarkEnd w:id="37"/>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shares for the applicable period. Ashland’s management believes this presentation is helpful to illustrate how the key items have impacted this metric during the applicable period.</w:t>
      </w:r>
    </w:p>
    <w:p>
      <w:pPr>
        <w:spacing w:after="0" w:line="69"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Although Ashland provides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1"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2017 Credit Agreement are based on similar non-GAAP measures and are defined further in the sections that reference this metric.</w:t>
      </w:r>
    </w:p>
    <w:p>
      <w:pPr>
        <w:spacing w:after="0" w:line="61" w:lineRule="exact"/>
        <w:rPr>
          <w:sz w:val="20"/>
          <w:szCs w:val="20"/>
          <w:color w:val="auto"/>
        </w:rPr>
      </w:pPr>
    </w:p>
    <w:p>
      <w:pPr>
        <w:jc w:val="both"/>
        <w:ind w:left="400"/>
        <w:spacing w:after="0" w:line="269" w:lineRule="auto"/>
        <w:rPr>
          <w:sz w:val="20"/>
          <w:szCs w:val="20"/>
          <w:color w:val="auto"/>
        </w:rPr>
      </w:pPr>
      <w:r>
        <w:rPr>
          <w:rFonts w:ascii="Arial" w:cs="Arial" w:eastAsia="Arial" w:hAnsi="Arial"/>
          <w:sz w:val="18"/>
          <w:szCs w:val="18"/>
          <w:color w:val="auto"/>
        </w:rPr>
        <w:t>In accordance with U.S. GAAP, Ashland recognizes actuarial gains and losses for defined benefit pension and other postretirement benefit plans annually in the fourth quarter of each fiscal year and whenever a plan is determined to qualify for a remeasurement during a fiscal year. Actuarial gains and losses occur when actual experience differs from the estimates used to allocate the change in value of pension and other postretirement benefit plans to expense throughout the year or when assumptions change, as they may each year. Significant factors that can contribute to the recognition of actuarial gains and losses include changes in discount rates used to remeasure pension and other postretirement obligations on an annual basis or upon a qualifying remeasurement, differences between actual and expected returns on plan assets and other changes in actuarial assumptions, for example, the life expectancy of plan participants. Management believes Adjusted EBITDA, which includes the expected return on pension plan assets yet excludes both the actual return on pension plan assets and the impact of actuarial gains and losses, provides investors with a meaningful supplemental presentation of Ashland’s operating performance (see the Adjusted EBITDA reconciliation table on page 42 for additional details on exact amounts included within this non-GAAP measure related to pension and other postretirement plans.) Management believes these actuarial gains and losses are primarily financing activities that are more reflective of changes in current conditions in global financial markets (and in particular interest rates) that are not directly related to the underlying business. For further information on the actuarial assumptions and plan assets referenced above, see Note M of the Notes to Consolidated Financial Statements within the 2017 Form 10-K.</w:t>
      </w:r>
    </w:p>
    <w:p>
      <w:pPr>
        <w:spacing w:after="0" w:line="18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38" w:name="page39"/>
    <w:bookmarkEnd w:id="38"/>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ind w:left="400" w:right="2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financing expense, income taxes, discontinued operations and other significant events or transactions that are unusual or nonrecurring.</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Key financial results for the three months ended June 30, 2018 and 2017 included the following:</w:t>
      </w:r>
    </w:p>
    <w:p>
      <w:pPr>
        <w:spacing w:after="0" w:line="108" w:lineRule="exact"/>
        <w:rPr>
          <w:sz w:val="20"/>
          <w:szCs w:val="20"/>
          <w:color w:val="auto"/>
        </w:rPr>
      </w:pPr>
    </w:p>
    <w:p>
      <w:pPr>
        <w:jc w:val="both"/>
        <w:ind w:left="800" w:hanging="400"/>
        <w:spacing w:after="0" w:line="25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Ashland’s net income (loss) attributable to Ashland amounted to income of $36 million and a loss of $33 million for the three months ended June 30, 2018 and 2017, respectively, or income of $0.56 and a loss of $0.54 diluted earnings per share, respectively.</w:t>
      </w:r>
    </w:p>
    <w:p>
      <w:pPr>
        <w:spacing w:after="0" w:line="78" w:lineRule="exact"/>
        <w:rPr>
          <w:rFonts w:ascii="Arial" w:cs="Arial" w:eastAsia="Arial" w:hAnsi="Arial"/>
          <w:sz w:val="20"/>
          <w:szCs w:val="20"/>
          <w:color w:val="auto"/>
        </w:rPr>
      </w:pPr>
    </w:p>
    <w:p>
      <w:pPr>
        <w:ind w:left="800" w:hanging="400"/>
        <w:spacing w:after="0" w:line="287" w:lineRule="auto"/>
        <w:tabs>
          <w:tab w:leader="none" w:pos="8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Ashland’s net income attributable to noncontrolling interest amounted to $3 million for the three months ended June 30, 2017 and reflects the noncontrolling interest of Valvoline Inc. before the final separation occurred on May 12, 2017.</w:t>
      </w:r>
    </w:p>
    <w:p>
      <w:pPr>
        <w:spacing w:after="0" w:line="44" w:lineRule="exact"/>
        <w:rPr>
          <w:rFonts w:ascii="Arial" w:cs="Arial" w:eastAsia="Arial" w:hAnsi="Arial"/>
          <w:sz w:val="19"/>
          <w:szCs w:val="19"/>
          <w:color w:val="auto"/>
        </w:rPr>
      </w:pPr>
    </w:p>
    <w:p>
      <w:pPr>
        <w:jc w:val="both"/>
        <w:ind w:left="800" w:hanging="400"/>
        <w:spacing w:after="0" w:line="291"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Discontinued operations, which are reported net of taxes, resulted in zero and a loss of $14 million during the three months ended June 30, 2018 and 2017, respectively. The activity within discontinued operations for the three months ended June 30, 2017 includes the operating results of Valvoline Inc. for the period prior to the final separation on May 12, 2017.</w:t>
      </w:r>
    </w:p>
    <w:p>
      <w:pPr>
        <w:spacing w:after="0" w:line="43" w:lineRule="exact"/>
        <w:rPr>
          <w:rFonts w:ascii="Arial" w:cs="Arial" w:eastAsia="Arial" w:hAnsi="Arial"/>
          <w:sz w:val="18"/>
          <w:szCs w:val="18"/>
          <w:color w:val="auto"/>
        </w:rPr>
      </w:pPr>
    </w:p>
    <w:p>
      <w:pPr>
        <w:ind w:left="800" w:hanging="400"/>
        <w:spacing w:after="0" w:line="26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Income (loss) from continuing operations, which excludes results from discontinued operations, amounted to income of $36 million and a loss of $16 million for the three months ended June 30, 2018 and 2017, respectively.</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effective income tax rates were a benefit of 16% and 20% for the three months ended June 30, 2018 and 2017, respectively, and were impacted by certain tax discrete items in both the current and prior year quarters.</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Ashland incurred pretax net interest and other financing expense of $33 million and $51 million for the three months ended June 30, 2018 and 2017, respectively.</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Operating income was $66 million and $37 million for the three months ended June 30, 2018 and 2017, respectively.</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Key financial results for the nine months ended June 30, 2018 and 2017 included the following:</w:t>
      </w:r>
    </w:p>
    <w:p>
      <w:pPr>
        <w:spacing w:after="0" w:line="108" w:lineRule="exact"/>
        <w:rPr>
          <w:sz w:val="20"/>
          <w:szCs w:val="20"/>
          <w:color w:val="auto"/>
        </w:rPr>
      </w:pPr>
    </w:p>
    <w:p>
      <w:pPr>
        <w:ind w:left="800" w:hanging="400"/>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Ashland’s net income attributable to Ashland amounted to $104 million and $58 million for the nine months ended June 30, 2018 and 2017, respectively, or $1.64 and $0.93 diluted earnings per share, respectively.</w:t>
      </w:r>
    </w:p>
    <w:p>
      <w:pPr>
        <w:spacing w:after="0" w:line="68" w:lineRule="exact"/>
        <w:rPr>
          <w:rFonts w:ascii="Arial" w:cs="Arial" w:eastAsia="Arial" w:hAnsi="Arial"/>
          <w:sz w:val="20"/>
          <w:szCs w:val="20"/>
          <w:color w:val="auto"/>
        </w:rPr>
      </w:pPr>
    </w:p>
    <w:p>
      <w:pPr>
        <w:ind w:left="800" w:hanging="400"/>
        <w:spacing w:after="0" w:line="287" w:lineRule="auto"/>
        <w:tabs>
          <w:tab w:leader="none" w:pos="8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Ashland’s net income attributable to noncontrolling interest amounted to $27 million for the nine months ended June 30, 2017 and reflects the noncontrolling interest of Valvoline Inc. before the final distribution occurred on May 12, 2017.</w:t>
      </w:r>
    </w:p>
    <w:p>
      <w:pPr>
        <w:spacing w:after="0" w:line="44" w:lineRule="exact"/>
        <w:rPr>
          <w:rFonts w:ascii="Arial" w:cs="Arial" w:eastAsia="Arial" w:hAnsi="Arial"/>
          <w:sz w:val="19"/>
          <w:szCs w:val="19"/>
          <w:color w:val="auto"/>
        </w:rPr>
      </w:pPr>
    </w:p>
    <w:p>
      <w:pPr>
        <w:jc w:val="both"/>
        <w:ind w:left="800" w:hanging="400"/>
        <w:spacing w:after="0" w:line="291"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Discontinued operations, which are reported net of taxes, resulted in income of $9 million and $138 million during the nine months ended June 30, 2018 and 2017, respectively. The activity within discontinued operations for the nine months ended June 30, 2017 includes the operating results of Valvoline Inc. for the period prior to the final separation on May 12, 2017.</w:t>
      </w:r>
    </w:p>
    <w:p>
      <w:pPr>
        <w:spacing w:after="0" w:line="43" w:lineRule="exact"/>
        <w:rPr>
          <w:rFonts w:ascii="Arial" w:cs="Arial" w:eastAsia="Arial" w:hAnsi="Arial"/>
          <w:sz w:val="18"/>
          <w:szCs w:val="18"/>
          <w:color w:val="auto"/>
        </w:rPr>
      </w:pPr>
    </w:p>
    <w:p>
      <w:pPr>
        <w:ind w:left="800" w:hanging="400"/>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Income (loss) from continuing operations, which excludes results from discontinued operations, amounted to income of $95 million and a loss of $53 million for the nine months ended June 30, 2018 and 2017, respectively.</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39" w:name="page40"/>
    <w:bookmarkEnd w:id="39"/>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800" w:hanging="400"/>
        <w:spacing w:after="0" w:line="260" w:lineRule="auto"/>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effective income tax rates were 10% and 48% for the nine months ended June 30, 2018 and 2017, respectively, and were impacted by certain tax discrete items in both the current and prior year periods.</w:t>
      </w:r>
    </w:p>
    <w:p>
      <w:pPr>
        <w:spacing w:after="0" w:line="6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Ashland incurred pretax net interest and other financing expense of $93 million and $203 million for the nine months ended June 30, 2018 and 2017, respectively. The prior year period was impacted by $92 million of net charges and fees associated with debt financing activity.</w:t>
      </w:r>
    </w:p>
    <w:p>
      <w:pPr>
        <w:spacing w:after="0" w:line="78" w:lineRule="exact"/>
        <w:rPr>
          <w:rFonts w:ascii="Arial" w:cs="Arial" w:eastAsia="Arial" w:hAnsi="Arial"/>
          <w:sz w:val="20"/>
          <w:szCs w:val="20"/>
          <w:color w:val="auto"/>
        </w:rPr>
      </w:pPr>
    </w:p>
    <w:p>
      <w:pPr>
        <w:ind w:left="800" w:hanging="400"/>
        <w:spacing w:after="0"/>
        <w:tabs>
          <w:tab w:leader="none" w:pos="8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Operating income was $200 million and $105 million for the nine months ended June 30, 2018 and 2017, respectively.</w:t>
      </w:r>
    </w:p>
    <w:p>
      <w:pPr>
        <w:spacing w:after="0" w:line="11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Operating income amounted to $66 million and $37 million for the three months ended June 30, 2018 and 2017, respectively. The current and prior year quarters' operating income included certain key items that were excluded to arrive at Adjusted EBITDA. These key items are summarized as follows:</w:t>
      </w:r>
    </w:p>
    <w:p>
      <w:pPr>
        <w:spacing w:after="0" w:line="78" w:lineRule="exact"/>
        <w:rPr>
          <w:sz w:val="20"/>
          <w:szCs w:val="20"/>
          <w:color w:val="auto"/>
        </w:rPr>
      </w:pPr>
    </w:p>
    <w:p>
      <w:pPr>
        <w:ind w:left="800" w:hanging="400"/>
        <w:spacing w:after="0"/>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Separation, restructuring and other costs and accelerated depreciation include the following:</w:t>
      </w:r>
    </w:p>
    <w:p>
      <w:pPr>
        <w:spacing w:after="0" w:line="107"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a lease abandonment charge of $7 million related to the exit from an office building during the three months ended June 30, 2018;</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$5 million of costs related to the exploration of strategic alternatives for the Composites segment and Marl facility during the three months ended June 30, 2018;</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$2 million of accelerated depreciation related to the termination of a contract at a manufacturing facility during the three months ended June 30, 2018;</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$1 million and $28 million of costs related to the separation of Valvoline during the three months ended June 30, 2018 and 2017, respectively;</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$1 million of integration costs related to the acquisition of Pharmachem for both the three months ended June 30, 2018 and 2017, respectively; and</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$13 million of restructuring charges for a plant closure during the three months ended June 30, 2017 (which included $11 million of accelerated depreciation);</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$33 million and $9 million of environmental expense during the three months ended June 30, 2018 and 2017, respectively (see Note K for more information);</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$2 million and $6 million of a net loss on acquisitions and divestitures during the three months ended June 30, 2018 and 2017, respectively; and</w:t>
      </w:r>
    </w:p>
    <w:p>
      <w:pPr>
        <w:spacing w:after="0" w:line="82"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$1 million of noncash charges during the three months ended June 30, 2017 related to the fair value assessment of inventory acquired from Pharmachem at the date of acquisition.</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for the three months ended June 30, 2018 and 2017 included depreciation and amortization of $74 million and $72 million, respectively (which excluded accelerated depreciation of $2 million and $11 million for the three months ended June 30, 2018 and 2017, respectively).</w:t>
      </w:r>
    </w:p>
    <w:p>
      <w:pPr>
        <w:spacing w:after="0" w:line="7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Operating income amounted to $200 million and $105 million for the nine months ended June 30, 2018 and 2017, respectively. The current and prior year periods’ operating income included certain key items that were excluded to arrive at Adjusted EBITDA. In addition to the key items within the current and prior year quarters previously discussed, the following are also excluded on a year-to-date basis:</w:t>
      </w:r>
    </w:p>
    <w:p>
      <w:pPr>
        <w:spacing w:after="0" w:line="83" w:lineRule="exact"/>
        <w:rPr>
          <w:sz w:val="20"/>
          <w:szCs w:val="20"/>
          <w:color w:val="auto"/>
        </w:rPr>
      </w:pPr>
    </w:p>
    <w:p>
      <w:pPr>
        <w:ind w:left="800" w:hanging="400"/>
        <w:spacing w:after="0"/>
        <w:tabs>
          <w:tab w:leader="none" w:pos="8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Separation, restructuring and other costs and accelerated depreciation include the following additional key items:</w:t>
      </w:r>
    </w:p>
    <w:p>
      <w:pPr>
        <w:spacing w:after="0" w:line="218"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0" w:name="page41"/>
    <w:bookmarkEnd w:id="40"/>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1580" w:hanging="383"/>
        <w:spacing w:after="0" w:line="250" w:lineRule="auto"/>
        <w:tabs>
          <w:tab w:leader="none" w:pos="15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 additional $8 million and $41 million of costs related to the separation of Valvoline during the nine months ended June 30, 2018 and 2017, respectively (which included $1 million of accelerated depreciation during the nine months ended June 30, 2017);</w:t>
      </w:r>
    </w:p>
    <w:p>
      <w:pPr>
        <w:spacing w:after="0" w:line="7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$8 million of accelerated depreciation related to the planned closure of an office building during the nine months ended June 30, 2018;</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 additional $6 million of integration costs related to the acquisition of Pharmachem for the nine months ended June 30, 2018;</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an additional $4 million of accelerated depreciation for the termination of a contract at a manufacturing facility during the nine months ended June 30, 2018; and</w:t>
      </w:r>
    </w:p>
    <w:p>
      <w:pPr>
        <w:spacing w:after="0" w:line="68" w:lineRule="exact"/>
        <w:rPr>
          <w:rFonts w:ascii="Arial" w:cs="Arial" w:eastAsia="Arial" w:hAnsi="Arial"/>
          <w:sz w:val="20"/>
          <w:szCs w:val="20"/>
          <w:color w:val="auto"/>
        </w:rPr>
      </w:pPr>
    </w:p>
    <w:p>
      <w:pPr>
        <w:ind w:left="1580" w:hanging="383"/>
        <w:spacing w:after="0" w:line="260" w:lineRule="auto"/>
        <w:tabs>
          <w:tab w:leader="none" w:pos="1580" w:val="left"/>
        </w:tabs>
        <w:numPr>
          <w:ilvl w:val="1"/>
          <w:numId w:val="23"/>
        </w:numPr>
        <w:rPr>
          <w:rFonts w:ascii="Arial" w:cs="Arial" w:eastAsia="Arial" w:hAnsi="Arial"/>
          <w:sz w:val="20"/>
          <w:szCs w:val="20"/>
          <w:color w:val="auto"/>
        </w:rPr>
      </w:pPr>
      <w:r>
        <w:rPr>
          <w:rFonts w:ascii="Arial" w:cs="Arial" w:eastAsia="Arial" w:hAnsi="Arial"/>
          <w:sz w:val="20"/>
          <w:szCs w:val="20"/>
          <w:color w:val="auto"/>
        </w:rPr>
        <w:t>$1 million of severance and other restructuring charges for the closure of a manufacturing plant during the nine months ended June 30, 2018;</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 additional $11 million of environmental reserve charges during the nine months ended June 30, 2018;</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$5 million of income related to proceeds from a legal settlement during the nine months ended June 30, 2018;</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$5 million charge for a legal reserve during the nine months ended June 30, 2017; and</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remeasurement gain of $2 million associated with the discontinuation of certain post-employment health and life insurance benefits during the nine months ended June 30, 2017.</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for the nine months ended June 30, 2018 and 2017 included depreciation and amortization of $222 million and $206 million, respectively (which excluded accelerated depreciation of $14 million and $12 million for the nine months ended June 30, 2018 and 2017, respectively).</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Adjusted EBITDA and Key Items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EBITDA totaled $138 million and $89 million for the three months ended June 30, 2018 and 2017, respectively, and $429 million and $445 million for the nine months ended June 30, 2018 and 2017, respectively. EBITDA and Adjusted EBITDA results in the table below have been prepared to illustrate the ongoing effects of Ashland’s operations, which exclude certain key items and the impact of Ashland's previous noncontrolling interest in Valvoline Inc.</w:t>
      </w: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1" w:name="page42"/>
    <w:bookmarkEnd w:id="41"/>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5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5"/>
          </w:tcPr>
          <w:p>
            <w:pPr>
              <w:ind w:left="40"/>
              <w:spacing w:after="0"/>
              <w:rPr>
                <w:sz w:val="20"/>
                <w:szCs w:val="20"/>
                <w:color w:val="auto"/>
              </w:rPr>
            </w:pPr>
            <w:r>
              <w:rPr>
                <w:rFonts w:ascii="Arial" w:cs="Arial" w:eastAsia="Arial" w:hAnsi="Arial"/>
                <w:sz w:val="18"/>
                <w:szCs w:val="18"/>
                <w:color w:val="auto"/>
              </w:rPr>
              <w:t>Three months ended</w:t>
            </w:r>
          </w:p>
        </w:tc>
        <w:tc>
          <w:tcPr>
            <w:tcW w:w="1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gridSpan w:val="5"/>
          </w:tcPr>
          <w:p>
            <w:pPr>
              <w:jc w:val="right"/>
              <w:ind w:right="27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6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20"/>
                <w:szCs w:val="20"/>
                <w:color w:val="auto"/>
              </w:rPr>
            </w:pPr>
          </w:p>
        </w:tc>
      </w:tr>
      <w:tr>
        <w:trPr>
          <w:trHeight w:val="223"/>
        </w:trPr>
        <w:tc>
          <w:tcPr>
            <w:tcW w:w="6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w:t>
            </w:r>
          </w:p>
        </w:tc>
        <w:tc>
          <w:tcPr>
            <w:tcW w:w="4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r>
      <w:tr>
        <w:trPr>
          <w:trHeight w:val="230"/>
        </w:trPr>
        <w:tc>
          <w:tcPr>
            <w:tcW w:w="658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financing expense</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w:t>
            </w:r>
          </w:p>
        </w:tc>
      </w:tr>
      <w:tr>
        <w:trPr>
          <w:trHeight w:val="230"/>
        </w:trPr>
        <w:tc>
          <w:tcPr>
            <w:tcW w:w="6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445</w:t>
            </w:r>
          </w:p>
        </w:tc>
      </w:tr>
      <w:tr>
        <w:trPr>
          <w:trHeight w:val="230"/>
        </w:trPr>
        <w:tc>
          <w:tcPr>
            <w:tcW w:w="6580" w:type="dxa"/>
            <w:vAlign w:val="bottom"/>
          </w:tcPr>
          <w:p>
            <w:pPr>
              <w:ind w:left="240"/>
              <w:spacing w:after="0"/>
              <w:rPr>
                <w:sz w:val="20"/>
                <w:szCs w:val="20"/>
                <w:color w:val="auto"/>
              </w:rPr>
            </w:pPr>
            <w:r>
              <w:rPr>
                <w:rFonts w:ascii="Arial" w:cs="Arial" w:eastAsia="Arial" w:hAnsi="Arial"/>
                <w:sz w:val="18"/>
                <w:szCs w:val="18"/>
                <w:color w:val="auto"/>
              </w:rPr>
              <w:t>Loss (income) from discontinued operations (net of tax)</w:t>
            </w:r>
          </w:p>
        </w:tc>
        <w:tc>
          <w:tcPr>
            <w:tcW w:w="1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Key items included in EBITDA:</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Separation, restructuring and other costs</w:t>
            </w:r>
          </w:p>
        </w:tc>
        <w:tc>
          <w:tcPr>
            <w:tcW w:w="1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71</w:t>
            </w:r>
          </w:p>
        </w:tc>
      </w:tr>
      <w:tr>
        <w:trPr>
          <w:trHeight w:val="230"/>
        </w:trPr>
        <w:tc>
          <w:tcPr>
            <w:tcW w:w="6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Accelerated depreciation</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Environmental reserve adjustments</w:t>
            </w:r>
          </w:p>
        </w:tc>
        <w:tc>
          <w:tcPr>
            <w:tcW w:w="1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30"/>
        </w:trPr>
        <w:tc>
          <w:tcPr>
            <w:tcW w:w="6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loss on acquisitions and divestitures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Inventory fair value adjustment</w:t>
            </w:r>
          </w:p>
        </w:tc>
        <w:tc>
          <w:tcPr>
            <w:tcW w:w="1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6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Legal settlement/reserve</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6580" w:type="dxa"/>
            <w:vAlign w:val="bottom"/>
          </w:tcPr>
          <w:p>
            <w:pPr>
              <w:ind w:left="360"/>
              <w:spacing w:after="0"/>
              <w:rPr>
                <w:sz w:val="20"/>
                <w:szCs w:val="20"/>
                <w:color w:val="auto"/>
              </w:rPr>
            </w:pPr>
            <w:r>
              <w:rPr>
                <w:rFonts w:ascii="Arial" w:cs="Arial" w:eastAsia="Arial" w:hAnsi="Arial"/>
                <w:sz w:val="18"/>
                <w:szCs w:val="18"/>
                <w:color w:val="auto"/>
              </w:rPr>
              <w:t>Gain on post-employment plan remeasurement</w:t>
            </w:r>
          </w:p>
        </w:tc>
        <w:tc>
          <w:tcPr>
            <w:tcW w:w="12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key items included in EBITDA</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1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r>
      <w:tr>
        <w:trPr>
          <w:trHeight w:val="26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w:t>
            </w:r>
          </w:p>
        </w:tc>
      </w:tr>
      <w:tr>
        <w:trPr>
          <w:trHeight w:val="210"/>
        </w:trPr>
        <w:tc>
          <w:tcPr>
            <w:tcW w:w="6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Total key items included in EBITDA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Debt refinancing costs </w:t>
            </w:r>
            <w:r>
              <w:rPr>
                <w:rFonts w:ascii="Arial" w:cs="Arial" w:eastAsia="Arial" w:hAnsi="Arial"/>
                <w:sz w:val="14"/>
                <w:szCs w:val="14"/>
                <w:color w:val="auto"/>
              </w:rPr>
              <w:t>(b)</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 key items, before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w:t>
            </w: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hanging="260"/>
        <w:spacing w:after="0" w:line="230"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$2 million and $11 million of accelerated depreciation for the three months ended June 30, 2018 and 2017, respectively, and $14 million and $12 million of accelerated depreciation for the nine months ended June 30, 2018 and 2017, respectively.</w:t>
      </w:r>
    </w:p>
    <w:p>
      <w:pPr>
        <w:jc w:val="both"/>
        <w:ind w:left="660" w:hanging="260"/>
        <w:spacing w:after="0" w:line="227"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Debt refinancing costs during the three and nine months ended June 30, 2018 primarily included a $1 million charge for new debt issuance costs incurred with the re-pricing of the 2017 TLB Facility. Debt refinancing costs during the three months ended June 30, 2017 included an $11 million charge for early redemption premium payments for the 2018 notes and a $9 million charge for debt issuance costs resulting from financing activity for the 2017 Credit Agreement. Additional debt refinancing costs during the nine months ended June 30, 2017 primarily included $92 million of accelerated accretion from the tender offer of the 2029 notes. All debt refinancing costs were recorded within the net interest and other financing expense caption on the Statement of Consolidated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-675640</wp:posOffset>
            </wp:positionV>
            <wp:extent cx="67322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2" w:name="page43"/>
    <w:bookmarkEnd w:id="42"/>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5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89"/>
              </w:rPr>
              <w:t>Three months ended</w:t>
            </w: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5"/>
          </w:tcPr>
          <w:p>
            <w:pPr>
              <w:jc w:val="right"/>
              <w:ind w:right="270"/>
              <w:spacing w:after="0"/>
              <w:rPr>
                <w:sz w:val="20"/>
                <w:szCs w:val="20"/>
                <w:color w:val="auto"/>
              </w:rPr>
            </w:pPr>
            <w:r>
              <w:rPr>
                <w:rFonts w:ascii="Arial" w:cs="Arial" w:eastAsia="Arial" w:hAnsi="Arial"/>
                <w:sz w:val="18"/>
                <w:szCs w:val="18"/>
                <w:color w:val="auto"/>
                <w:w w:val="93"/>
              </w:rPr>
              <w:t>Nine months ended</w:t>
            </w:r>
          </w:p>
        </w:tc>
      </w:tr>
      <w:tr>
        <w:trPr>
          <w:trHeight w:val="230"/>
        </w:trPr>
        <w:tc>
          <w:tcPr>
            <w:tcW w:w="5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(0.85)</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Key items, before tax:</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Separation, restructuring and other costs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0.67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Environmental reserve adjustments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0.15</w:t>
            </w: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Legal settlement/reserve</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0.07</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Inventory fair value adjustment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0.02</w:t>
            </w: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refinancing costs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Gain on post-employment plan remeasurement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on acquisitions and divestitures</w:t>
            </w:r>
          </w:p>
        </w:tc>
        <w:tc>
          <w:tcPr>
            <w:tcW w:w="10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0.09</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Key items, before tax</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0.83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3.42</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10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Key items, after tax</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2.31</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Tax specific key items: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Deferred tax rate changes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One-time transition tax</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Valvoline separation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0.20</w:t>
            </w: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10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Total key items</w:t>
            </w:r>
          </w:p>
        </w:tc>
        <w:tc>
          <w:tcPr>
            <w:tcW w:w="10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0.57</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2.51</w:t>
            </w: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1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0.83</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r>
      <w:tr>
        <w:trPr>
          <w:trHeight w:val="20"/>
        </w:trPr>
        <w:tc>
          <w:tcPr>
            <w:tcW w:w="5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660" w:hanging="260"/>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previously identified above.</w:t>
      </w:r>
    </w:p>
    <w:p>
      <w:pPr>
        <w:ind w:left="660" w:hanging="260"/>
        <w:spacing w:after="0" w:line="237"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following caption review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-299720</wp:posOffset>
            </wp:positionV>
            <wp:extent cx="67322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and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272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6"/>
          </w:tcPr>
          <w:p>
            <w:pPr>
              <w:ind w:left="140"/>
              <w:spacing w:after="0"/>
              <w:rPr>
                <w:sz w:val="20"/>
                <w:szCs w:val="20"/>
                <w:color w:val="auto"/>
              </w:rPr>
            </w:pPr>
            <w:r>
              <w:rPr>
                <w:rFonts w:ascii="Arial" w:cs="Arial" w:eastAsia="Arial" w:hAnsi="Arial"/>
                <w:sz w:val="18"/>
                <w:szCs w:val="18"/>
                <w:color w:val="auto"/>
              </w:rPr>
              <w:t>Three months ended June 30</w:t>
            </w:r>
          </w:p>
        </w:tc>
        <w:tc>
          <w:tcPr>
            <w:tcW w:w="22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5"/>
          </w:tcPr>
          <w:p>
            <w:pPr>
              <w:jc w:val="right"/>
              <w:ind w:right="450"/>
              <w:spacing w:after="0"/>
              <w:rPr>
                <w:sz w:val="20"/>
                <w:szCs w:val="20"/>
                <w:color w:val="auto"/>
              </w:rPr>
            </w:pPr>
            <w:r>
              <w:rPr>
                <w:rFonts w:ascii="Arial" w:cs="Arial" w:eastAsia="Arial" w:hAnsi="Arial"/>
                <w:sz w:val="18"/>
                <w:szCs w:val="18"/>
                <w:color w:val="auto"/>
                <w:w w:val="96"/>
              </w:rPr>
              <w:t>Nine months ended June 30</w:t>
            </w:r>
          </w:p>
        </w:tc>
      </w:tr>
      <w:tr>
        <w:trPr>
          <w:trHeight w:val="223"/>
        </w:trPr>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2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971</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2,787</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2,380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407</w:t>
            </w:r>
          </w:p>
        </w:tc>
      </w:tr>
    </w:tbl>
    <w:p>
      <w:pPr>
        <w:spacing w:after="0" w:line="19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table provides a reconciliation of the change in sales between the three and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96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Three months ended</w:t>
            </w:r>
          </w:p>
        </w:tc>
        <w:tc>
          <w:tcPr>
            <w:tcW w:w="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Nine months ended</w:t>
            </w:r>
          </w:p>
        </w:tc>
      </w:tr>
      <w:tr>
        <w:trPr>
          <w:trHeight w:val="230"/>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June 30, 2018</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30, 2018</w:t>
            </w: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Pricing</w:t>
            </w:r>
          </w:p>
        </w:tc>
        <w:tc>
          <w:tcPr>
            <w:tcW w:w="22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90"/>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Volume</w:t>
            </w:r>
          </w:p>
        </w:tc>
        <w:tc>
          <w:tcPr>
            <w:tcW w:w="1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Acquisitions and divestitures</w:t>
            </w:r>
          </w:p>
        </w:tc>
        <w:tc>
          <w:tcPr>
            <w:tcW w:w="1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Currency exchange</w:t>
            </w:r>
          </w:p>
        </w:tc>
        <w:tc>
          <w:tcPr>
            <w:tcW w:w="1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84</w:t>
            </w: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Product mix</w:t>
            </w:r>
          </w:p>
        </w:tc>
        <w:tc>
          <w:tcPr>
            <w:tcW w:w="18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Change in sales</w:t>
            </w:r>
          </w:p>
        </w:tc>
        <w:tc>
          <w:tcPr>
            <w:tcW w:w="18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407</w:t>
            </w:r>
          </w:p>
        </w:tc>
      </w:tr>
      <w:tr>
        <w:trPr>
          <w:trHeight w:val="20"/>
        </w:trPr>
        <w:tc>
          <w:tcPr>
            <w:tcW w:w="3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Sales for the current quarter increased $101 million compared to the prior year quarter. Improvements in pricing increased sales by $27 million, or 3%, while higher volumes increased sales by $25 million. The acquisition of Pharmachem within the Specialty Ingredients reportable segment increased</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3" w:name="page44"/>
    <w:bookmarkEnd w:id="43"/>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sales by $20 million, while the net impact of other acquisitions and divestitures increased sales by $4 million. Favorable foreign currency exchange increased sales by $22 million and changes in product mix increased sales by $3 million.</w:t>
      </w:r>
    </w:p>
    <w:p>
      <w:pPr>
        <w:spacing w:after="0" w:line="69"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Sales for the current period increased $407 million compared to the prior year period. The acquisition of Pharmachem within the Specialty Ingredients reportable segment increased sales by $140 million, or 6%, while the net impact of other acquisitions and divestitures increased sales by $18 million. Improvements in pricing increased sales by $91 million, or 4%, while favorable foreign currency exchange increased sales by $84 million. Higher volumes and changes in product mix increased sales by $60 million and $14 million, respectively.</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3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6"/>
              </w:rPr>
              <w:t>Three months ended June 30</w:t>
            </w:r>
          </w:p>
        </w:tc>
        <w:tc>
          <w:tcPr>
            <w:tcW w:w="160" w:type="dxa"/>
            <w:vAlign w:val="bottom"/>
            <w:tcBorders>
              <w:top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Nine months ended June 30</w:t>
            </w:r>
          </w:p>
        </w:tc>
      </w:tr>
      <w:tr>
        <w:trPr>
          <w:trHeight w:val="22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681</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   1,993</w:t>
            </w:r>
          </w:p>
        </w:tc>
        <w:tc>
          <w:tcPr>
            <w:tcW w:w="11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   1,729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r>
      <w:tr>
        <w:trPr>
          <w:trHeight w:val="243"/>
        </w:trPr>
        <w:tc>
          <w:tcPr>
            <w:tcW w:w="338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19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 The following table provides a quantified reconciliation of the changes in cost of sales between the three and nine months ended June 30, 2018 and 2017.</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57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Three months ended</w:t>
            </w:r>
          </w:p>
        </w:tc>
        <w:tc>
          <w:tcPr>
            <w:tcW w:w="2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Nine months ended</w:t>
            </w:r>
          </w:p>
        </w:tc>
      </w:tr>
      <w:tr>
        <w:trPr>
          <w:trHeight w:val="230"/>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June 30, 2018</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June 30, 2018</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Changes in:</w:t>
            </w: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Acquisitions and divestitures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Currency exchange</w:t>
            </w:r>
          </w:p>
        </w:tc>
        <w:tc>
          <w:tcPr>
            <w:tcW w:w="40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Volume</w:t>
            </w:r>
          </w:p>
        </w:tc>
        <w:tc>
          <w:tcPr>
            <w:tcW w:w="40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30"/>
        </w:trPr>
        <w:tc>
          <w:tcPr>
            <w:tcW w:w="5780" w:type="dxa"/>
            <w:vAlign w:val="bottom"/>
          </w:tcPr>
          <w:p>
            <w:pPr>
              <w:ind w:left="240"/>
              <w:spacing w:after="0"/>
              <w:rPr>
                <w:sz w:val="20"/>
                <w:szCs w:val="20"/>
                <w:color w:val="auto"/>
              </w:rPr>
            </w:pPr>
            <w:r>
              <w:rPr>
                <w:rFonts w:ascii="Arial" w:cs="Arial" w:eastAsia="Arial" w:hAnsi="Arial"/>
                <w:sz w:val="18"/>
                <w:szCs w:val="18"/>
                <w:color w:val="auto"/>
              </w:rPr>
              <w:t>Production and raw material costs</w:t>
            </w:r>
          </w:p>
        </w:tc>
        <w:tc>
          <w:tcPr>
            <w:tcW w:w="40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30"/>
        </w:trPr>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mix</w:t>
            </w:r>
          </w:p>
        </w:tc>
        <w:tc>
          <w:tcPr>
            <w:tcW w:w="40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30"/>
        </w:trPr>
        <w:tc>
          <w:tcPr>
            <w:tcW w:w="5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Restructuring activities</w:t>
            </w:r>
          </w:p>
        </w:tc>
        <w:tc>
          <w:tcPr>
            <w:tcW w:w="4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cost of sales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r>
      <w:tr>
        <w:trPr>
          <w:trHeight w:val="20"/>
        </w:trPr>
        <w:tc>
          <w:tcPr>
            <w:tcW w:w="5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Cost of sales for the current quarter increased $46 million compared to the prior year quarter. The Pharmachem acquisition increased cost of sales by $12 million, or 2%, while the net impact of other acquisitions and divestitures increased cost of sales by $4 million. Unfavorable foreign currency exchange and higher volumes increased cost of sales by $16 million and $12 million, respectively. Unfavorable production costs and changes in product mix increased cost of sales by $9 million and $6 million, respectively.</w:t>
      </w:r>
    </w:p>
    <w:p>
      <w:pPr>
        <w:spacing w:after="0" w:line="87"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prior year quarter included $13 million of restructuring charges related to a plant closure (including $11 million of accelerated depreciation and $2 million of severance and other costs).</w:t>
      </w:r>
    </w:p>
    <w:p>
      <w:pPr>
        <w:spacing w:after="0" w:line="82"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Cost of sales for the current period increased $264 million compared to the prior year period. The Pharmachem acquisition increased cost of sales by $101 million, or 6%, while the net impact of other acquisitions and divestitures increased cost of sales by $18 million. Unfavorable production costs and foreign currency exchange increased cost of sales by $61 million, or 4%, and $57 million, or 3%, respectively. Higher volumes and changes in product mix increased cost of sales by $26 million and $13 million, respectively.</w:t>
      </w:r>
    </w:p>
    <w:p>
      <w:pPr>
        <w:spacing w:after="0" w:line="87"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The current period also included $1 million of severance and other restructuring charges related to a plant closure while the prior year period included $13 million of restructuring charges related to a plant closure (including $11 million of accelerated depreciation and $2 million of severance and other costs).</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4" w:name="page45"/>
    <w:bookmarkEnd w:id="44"/>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3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5"/>
              </w:rPr>
              <w:t>Three months ended June 30</w:t>
            </w: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510"/>
              <w:spacing w:after="0"/>
              <w:rPr>
                <w:sz w:val="20"/>
                <w:szCs w:val="20"/>
                <w:color w:val="auto"/>
              </w:rPr>
            </w:pPr>
            <w:r>
              <w:rPr>
                <w:rFonts w:ascii="Arial" w:cs="Arial" w:eastAsia="Arial" w:hAnsi="Arial"/>
                <w:sz w:val="18"/>
                <w:szCs w:val="18"/>
                <w:color w:val="auto"/>
                <w:w w:val="98"/>
              </w:rPr>
              <w:t>Nine months ended June 30</w:t>
            </w:r>
          </w:p>
        </w:tc>
      </w:tr>
      <w:tr>
        <w:trPr>
          <w:trHeight w:val="22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537</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r>
      <w:tr>
        <w:trPr>
          <w:trHeight w:val="243"/>
        </w:trPr>
        <w:tc>
          <w:tcPr>
            <w:tcW w:w="430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19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Selling, general and administrative expense for the current quarter increased $21 million compared to the prior year quarter with expenses as a percent of sales remaining consistent. Key drivers of the fluctuation in selling, general and administrative expense compared to the prior year quarter were:</w:t>
      </w:r>
    </w:p>
    <w:p>
      <w:pPr>
        <w:spacing w:after="0" w:line="78" w:lineRule="exact"/>
        <w:rPr>
          <w:sz w:val="20"/>
          <w:szCs w:val="20"/>
          <w:color w:val="auto"/>
        </w:rPr>
      </w:pPr>
    </w:p>
    <w:p>
      <w:pPr>
        <w:ind w:left="800" w:hanging="400"/>
        <w:spacing w:after="0" w:line="260" w:lineRule="auto"/>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$34 million and $11 million in net environmental-related expenses during the current and prior year quarters, respectively (see Note K for more information);</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lease abandonment charge of $7 million related to the exit from an office building during the current quarter;</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$5 million of costs related to the potential sale of the Composites segment and Marl facility during the current quarter;</w:t>
      </w:r>
    </w:p>
    <w:p>
      <w:pPr>
        <w:spacing w:after="0" w:line="119" w:lineRule="exact"/>
        <w:rPr>
          <w:rFonts w:ascii="Arial" w:cs="Arial" w:eastAsia="Arial" w:hAnsi="Arial"/>
          <w:sz w:val="19"/>
          <w:szCs w:val="19"/>
          <w:color w:val="auto"/>
        </w:rPr>
      </w:pPr>
    </w:p>
    <w:p>
      <w:pPr>
        <w:ind w:left="800" w:hanging="400"/>
        <w:spacing w:after="0"/>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$3 million of incremental costs related to the acquisition of Pharmachem’s operations;</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 increase of $2 million due to foreign currency exchange in the current quarter; and</w:t>
      </w:r>
    </w:p>
    <w:p>
      <w:pPr>
        <w:spacing w:after="0" w:line="215"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$1 million of costs related to the separation of Valvoline during the current quarter compared to $28 million in the prior year quarter.</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Selling, general and administrative expense for the current period increased $43 million compared to the prior year period with expenses as a percent of sales decreasing 1.5 percentage points. Key drivers of the fluctuation in selling, general and administrative expense compared to the prior year period were:</w:t>
      </w:r>
    </w:p>
    <w:p>
      <w:pPr>
        <w:spacing w:after="0" w:line="78" w:lineRule="exact"/>
        <w:rPr>
          <w:sz w:val="20"/>
          <w:szCs w:val="20"/>
          <w:color w:val="auto"/>
        </w:rPr>
      </w:pPr>
    </w:p>
    <w:p>
      <w:pPr>
        <w:ind w:left="800" w:hanging="400"/>
        <w:spacing w:after="0"/>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$23 million of incremental costs related to the acquisition of Pharmachem’s operations;</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$53 million and $19 million in net environmental-related expenses during the current and prior year periods, respectively (see Note K for more information);</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 increase of $13 million due to foreign currency exchange in the current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$8 million of accelerated depreciation related to the planned closure of an office building during the current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lease abandonment charge of $7 million related to the exit from an office building during the current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$7 million of Pharmachem integration costs during the current period compared to $1 million in the prior year period;</w:t>
      </w:r>
    </w:p>
    <w:p>
      <w:pPr>
        <w:spacing w:after="0" w:line="119" w:lineRule="exact"/>
        <w:rPr>
          <w:rFonts w:ascii="Arial" w:cs="Arial" w:eastAsia="Arial" w:hAnsi="Arial"/>
          <w:sz w:val="19"/>
          <w:szCs w:val="19"/>
          <w:color w:val="auto"/>
        </w:rPr>
      </w:pPr>
    </w:p>
    <w:p>
      <w:pPr>
        <w:ind w:left="800" w:hanging="400"/>
        <w:spacing w:after="0" w:line="260" w:lineRule="auto"/>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$9 million of costs related to the separation of Valvoline during the current period compared to $69 million in the prior year period; and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$5 million charge for a legal reserve during the prior year period.</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w w:val="93"/>
              </w:rPr>
              <w:t>Three months ended June 30</w:t>
            </w: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5"/>
          </w:tcPr>
          <w:p>
            <w:pPr>
              <w:jc w:val="right"/>
              <w:ind w:right="45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bl>
    <w:p>
      <w:pPr>
        <w:spacing w:after="0" w:line="199" w:lineRule="exact"/>
        <w:rPr>
          <w:sz w:val="20"/>
          <w:szCs w:val="20"/>
          <w:color w:val="auto"/>
        </w:rPr>
      </w:pPr>
    </w:p>
    <w:p>
      <w:pPr>
        <w:ind w:left="5620" w:right="1780" w:hanging="5214"/>
        <w:spacing w:after="0" w:line="468"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Research and development expense remained relatively consistent with the prior year quarter. </w:t>
      </w: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5" w:name="page46"/>
    <w:bookmarkEnd w:id="45"/>
    <w:p>
      <w:pPr>
        <w:ind w:right="442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Research and development expense remained relatively consistent with the prior year period.</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gridSpan w:val="8"/>
          </w:tcPr>
          <w:p>
            <w:pPr>
              <w:ind w:left="140"/>
              <w:spacing w:after="0"/>
              <w:rPr>
                <w:sz w:val="20"/>
                <w:szCs w:val="20"/>
                <w:color w:val="auto"/>
              </w:rPr>
            </w:pPr>
            <w:r>
              <w:rPr>
                <w:rFonts w:ascii="Arial" w:cs="Arial" w:eastAsia="Arial" w:hAnsi="Arial"/>
                <w:sz w:val="18"/>
                <w:szCs w:val="18"/>
                <w:color w:val="auto"/>
              </w:rPr>
              <w:t>Three months ended June 30</w:t>
            </w:r>
          </w:p>
        </w:tc>
        <w:tc>
          <w:tcPr>
            <w:tcW w:w="240" w:type="dxa"/>
            <w:vAlign w:val="bottom"/>
            <w:tcBorders>
              <w:top w:val="single" w:sz="8" w:color="auto"/>
            </w:tcBorders>
          </w:tcPr>
          <w:p>
            <w:pPr>
              <w:spacing w:after="0"/>
              <w:rPr>
                <w:sz w:val="21"/>
                <w:szCs w:val="21"/>
                <w:color w:val="auto"/>
              </w:rPr>
            </w:pPr>
          </w:p>
        </w:tc>
        <w:tc>
          <w:tcPr>
            <w:tcW w:w="2740" w:type="dxa"/>
            <w:vAlign w:val="bottom"/>
            <w:tcBorders>
              <w:top w:val="single" w:sz="8" w:color="auto"/>
            </w:tcBorders>
            <w:gridSpan w:val="7"/>
          </w:tcPr>
          <w:p>
            <w:pPr>
              <w:jc w:val="right"/>
              <w:ind w:right="47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Equity and other income</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Equity income </w:t>
            </w:r>
            <w:r>
              <w:rPr>
                <w:rFonts w:ascii="Arial" w:cs="Arial" w:eastAsia="Arial" w:hAnsi="Arial"/>
                <w:sz w:val="14"/>
                <w:szCs w:val="14"/>
                <w:color w:val="auto"/>
              </w:rPr>
              <w:t>(a)</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5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Activity of $0 denotes value less than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7" w:lineRule="exact"/>
        <w:rPr>
          <w:sz w:val="20"/>
          <w:szCs w:val="20"/>
          <w:color w:val="auto"/>
        </w:rPr>
      </w:pPr>
    </w:p>
    <w:p>
      <w:pPr>
        <w:jc w:val="both"/>
        <w:ind w:left="400" w:right="420"/>
        <w:spacing w:after="0" w:line="25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Other income decreased compared to the prior year quarter primarily due to a $2 million charge for the termination of a contract at a manufacturing facility during the current quarter and a $2 million gain on the sale of property during the prior year quarter.</w:t>
      </w:r>
    </w:p>
    <w:p>
      <w:pPr>
        <w:spacing w:after="0" w:line="78" w:lineRule="exact"/>
        <w:rPr>
          <w:sz w:val="20"/>
          <w:szCs w:val="20"/>
          <w:color w:val="auto"/>
        </w:rPr>
      </w:pPr>
    </w:p>
    <w:p>
      <w:pPr>
        <w:jc w:val="both"/>
        <w:ind w:left="400" w:right="420"/>
        <w:spacing w:after="0" w:line="269" w:lineRule="auto"/>
        <w:rPr>
          <w:sz w:val="20"/>
          <w:szCs w:val="20"/>
          <w:color w:val="auto"/>
        </w:rPr>
      </w:pPr>
      <w:r>
        <w:rPr>
          <w:rFonts w:ascii="Arial" w:cs="Arial" w:eastAsia="Arial" w:hAnsi="Arial"/>
          <w:sz w:val="19"/>
          <w:szCs w:val="19"/>
          <w:u w:val="single" w:color="auto"/>
          <w:color w:val="auto"/>
        </w:rPr>
        <w:t>Year-to-Date</w:t>
      </w:r>
      <w:r>
        <w:rPr>
          <w:rFonts w:ascii="Arial" w:cs="Arial" w:eastAsia="Arial" w:hAnsi="Arial"/>
          <w:sz w:val="19"/>
          <w:szCs w:val="19"/>
          <w:color w:val="auto"/>
        </w:rPr>
        <w:t xml:space="preserve"> – Other income decreased compared to the prior year period primarily due to a $6 million charge for the termination of a contract at a manufacturing facility during the current period and a $2 million gain on the sale of property during the prior year period, partially offset by $5 million of proceeds from a legal settlement during the current period.</w:t>
      </w:r>
    </w:p>
    <w:p>
      <w:pPr>
        <w:spacing w:after="0" w:line="181"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7"/>
          </w:tcPr>
          <w:p>
            <w:pPr>
              <w:jc w:val="right"/>
              <w:ind w:right="390"/>
              <w:spacing w:after="0"/>
              <w:rPr>
                <w:sz w:val="20"/>
                <w:szCs w:val="20"/>
                <w:color w:val="auto"/>
              </w:rPr>
            </w:pPr>
            <w:r>
              <w:rPr>
                <w:rFonts w:ascii="Arial" w:cs="Arial" w:eastAsia="Arial" w:hAnsi="Arial"/>
                <w:sz w:val="18"/>
                <w:szCs w:val="18"/>
                <w:color w:val="auto"/>
                <w:w w:val="93"/>
              </w:rPr>
              <w:t>Three months ended June 30</w:t>
            </w: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7"/>
          </w:tcPr>
          <w:p>
            <w:pPr>
              <w:jc w:val="right"/>
              <w:ind w:right="45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18"/>
        </w:trPr>
        <w:tc>
          <w:tcPr>
            <w:tcW w:w="4540" w:type="dxa"/>
            <w:vAlign w:val="bottom"/>
          </w:tcPr>
          <w:p>
            <w:pPr>
              <w:spacing w:after="0"/>
              <w:rPr>
                <w:sz w:val="20"/>
                <w:szCs w:val="20"/>
                <w:color w:val="auto"/>
              </w:rPr>
            </w:pPr>
            <w:r>
              <w:rPr>
                <w:rFonts w:ascii="Arial" w:cs="Arial" w:eastAsia="Arial" w:hAnsi="Arial"/>
                <w:sz w:val="18"/>
                <w:szCs w:val="18"/>
                <w:b w:val="1"/>
                <w:bCs w:val="1"/>
                <w:color w:val="auto"/>
              </w:rPr>
              <w:t>Net interest and other financing</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8"/>
                <w:szCs w:val="18"/>
                <w:b w:val="1"/>
                <w:bCs w:val="1"/>
                <w:color w:val="auto"/>
              </w:rPr>
              <w:t>expense (income)</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45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securities income</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financing costs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4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93</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203</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right="420"/>
        <w:spacing w:after="0" w:line="256" w:lineRule="auto"/>
        <w:rPr>
          <w:sz w:val="20"/>
          <w:szCs w:val="20"/>
          <w:color w:val="auto"/>
        </w:rPr>
      </w:pPr>
      <w:r>
        <w:rPr>
          <w:rFonts w:ascii="Arial" w:cs="Arial" w:eastAsia="Arial" w:hAnsi="Arial"/>
          <w:sz w:val="19"/>
          <w:szCs w:val="19"/>
          <w:u w:val="single" w:color="auto"/>
          <w:color w:val="auto"/>
        </w:rPr>
        <w:t>Current Quarter</w:t>
      </w:r>
      <w:r>
        <w:rPr>
          <w:rFonts w:ascii="Arial" w:cs="Arial" w:eastAsia="Arial" w:hAnsi="Arial"/>
          <w:sz w:val="19"/>
          <w:szCs w:val="19"/>
          <w:color w:val="auto"/>
        </w:rPr>
        <w:t xml:space="preserve"> - Net interest and other financing expense decreased by $18 million during the current quarter compared to the prior year quarter. Interest expense decreased primarily due to debt issuance cost charges in the prior year quarter related to financing activity for the 2017 Credit Agreement, which included $7 million of accelerated amortization of previously capitalized debt issuance costs along with $2 million of new debt issuance costs immediately recognized. Interest expense in the current quarter included $1 million of charges for new debt issuance costs incurred with the re-pricing of the 2017 TLB Facility. The decrease in other financing costs was primarily due to an $11 million charge for early redemption premium payments for the 2018 notes during the prior year quarter. Available-for-sale securities income of $2 million during both the current and the prior year quarters represents investment income and realized gains related to restricted investments discussed in Note E of the Notes to Condensed Consolidated Financial Statements.</w:t>
      </w:r>
    </w:p>
    <w:p>
      <w:pPr>
        <w:spacing w:after="0" w:line="77" w:lineRule="exact"/>
        <w:rPr>
          <w:sz w:val="20"/>
          <w:szCs w:val="20"/>
          <w:color w:val="auto"/>
        </w:rPr>
      </w:pPr>
    </w:p>
    <w:p>
      <w:pPr>
        <w:jc w:val="both"/>
        <w:ind w:left="400" w:right="420"/>
        <w:spacing w:after="0" w:line="259" w:lineRule="auto"/>
        <w:rPr>
          <w:sz w:val="20"/>
          <w:szCs w:val="20"/>
          <w:color w:val="auto"/>
        </w:rPr>
      </w:pPr>
      <w:r>
        <w:rPr>
          <w:rFonts w:ascii="Arial" w:cs="Arial" w:eastAsia="Arial" w:hAnsi="Arial"/>
          <w:sz w:val="19"/>
          <w:szCs w:val="19"/>
          <w:u w:val="single" w:color="auto"/>
          <w:color w:val="auto"/>
        </w:rPr>
        <w:t>Year-to-Date</w:t>
      </w:r>
      <w:r>
        <w:rPr>
          <w:rFonts w:ascii="Arial" w:cs="Arial" w:eastAsia="Arial" w:hAnsi="Arial"/>
          <w:sz w:val="19"/>
          <w:szCs w:val="19"/>
          <w:color w:val="auto"/>
        </w:rPr>
        <w:t xml:space="preserve"> - Net interest and other financing expense decreased by $110 million during the current period compared to the prior year period. The current period decrease in interest expense was primarily due to the prior year period including $92 million of accelerated accretion related to the December 2016 tender offer of the 2029 notes as well as charges for debt issuance costs in the prior year quarter as previously discussed. Available-for-sale securities income of $10 million and $9 million during the current and the prior year periods, respectively, represents investment income and realized gains related to restricted investments discussed in Note E of the Notes to Condensed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5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7"/>
          </w:tcPr>
          <w:p>
            <w:pPr>
              <w:ind w:left="140"/>
              <w:spacing w:after="0"/>
              <w:rPr>
                <w:sz w:val="20"/>
                <w:szCs w:val="20"/>
                <w:color w:val="auto"/>
              </w:rPr>
            </w:pPr>
            <w:r>
              <w:rPr>
                <w:rFonts w:ascii="Arial" w:cs="Arial" w:eastAsia="Arial" w:hAnsi="Arial"/>
                <w:sz w:val="18"/>
                <w:szCs w:val="18"/>
                <w:color w:val="auto"/>
              </w:rPr>
              <w:t>Three months ended June 30</w:t>
            </w:r>
          </w:p>
        </w:tc>
        <w:tc>
          <w:tcPr>
            <w:tcW w:w="2720" w:type="dxa"/>
            <w:vAlign w:val="bottom"/>
            <w:tcBorders>
              <w:top w:val="single" w:sz="8" w:color="auto"/>
            </w:tcBorders>
            <w:gridSpan w:val="5"/>
          </w:tcPr>
          <w:p>
            <w:pPr>
              <w:jc w:val="right"/>
              <w:ind w:right="450"/>
              <w:spacing w:after="0"/>
              <w:rPr>
                <w:sz w:val="20"/>
                <w:szCs w:val="20"/>
                <w:color w:val="auto"/>
              </w:rPr>
            </w:pPr>
            <w:r>
              <w:rPr>
                <w:rFonts w:ascii="Arial" w:cs="Arial" w:eastAsia="Arial" w:hAnsi="Arial"/>
                <w:sz w:val="18"/>
                <w:szCs w:val="18"/>
                <w:color w:val="auto"/>
                <w:w w:val="95"/>
              </w:rPr>
              <w:t>Nine months ended June 30</w:t>
            </w:r>
          </w:p>
        </w:tc>
        <w:tc>
          <w:tcPr>
            <w:tcW w:w="420" w:type="dxa"/>
            <w:vAlign w:val="bottom"/>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Change</w:t>
            </w:r>
          </w:p>
        </w:tc>
        <w:tc>
          <w:tcPr>
            <w:tcW w:w="1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c>
          <w:tcPr>
            <w:tcW w:w="42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FF0FC"/>
          </w:tcPr>
          <w:p>
            <w:pPr>
              <w:ind w:left="44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r>
      <w:tr>
        <w:trPr>
          <w:trHeight w:val="432"/>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370"/>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84" w:right="219" w:bottom="1440" w:gutter="0" w:footer="0" w:header="0"/>
        </w:sectPr>
      </w:pPr>
    </w:p>
    <w:bookmarkStart w:id="46" w:name="page47"/>
    <w:bookmarkEnd w:id="46"/>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Other net periodic benefit income remained consistent with the prior year quarter.</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decrease in other net periodic benefit income compared to the prior year period was primarily related to a $2 million gain on the remeasurement of certain post-employment health and life insurance benefit plans that were discontinued during the prior year period.</w:t>
      </w:r>
    </w:p>
    <w:p>
      <w:pPr>
        <w:spacing w:after="0" w:line="197"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8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w w:val="93"/>
              </w:rPr>
              <w:t>Three months ended June 30</w:t>
            </w:r>
          </w:p>
        </w:tc>
        <w:tc>
          <w:tcPr>
            <w:tcW w:w="38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5"/>
          </w:tcPr>
          <w:p>
            <w:pPr>
              <w:jc w:val="right"/>
              <w:ind w:right="45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on acquisitions and divestitures</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bl>
    <w:p>
      <w:pPr>
        <w:spacing w:after="0" w:line="199"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u w:val="single" w:color="auto"/>
          <w:color w:val="auto"/>
        </w:rPr>
        <w:t>Current Quarter</w:t>
      </w:r>
      <w:r>
        <w:rPr>
          <w:rFonts w:ascii="Arial" w:cs="Arial" w:eastAsia="Arial" w:hAnsi="Arial"/>
          <w:sz w:val="18"/>
          <w:szCs w:val="18"/>
          <w:color w:val="auto"/>
        </w:rPr>
        <w:t xml:space="preserve"> - The activity in the current quarter related to a charge from a previous manufacturing facility. The activity in the prior year quarter primarily included a net charge of $5 million from the acquisition of Pharmachem, a loss of $4 million recognized for the Specialty Ingredients joint venture divestiture in China and a loss of $1 million due to post-closing adjustments for other divestitures, partially offset by a net gain of $4 million from the acquisition of a Composites manufacturing facility.</w:t>
      </w:r>
    </w:p>
    <w:p>
      <w:pPr>
        <w:spacing w:after="0" w:line="54"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In addition to the items noted in the current quarter discussion, the activity in the current and prior year periods primarily related to post-closing adjustments for certain divestitures.</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40" w:type="dxa"/>
            <w:vAlign w:val="bottom"/>
            <w:tcBorders>
              <w:top w:val="single" w:sz="8" w:color="auto"/>
              <w:bottom w:val="single" w:sz="8" w:color="auto"/>
            </w:tcBorders>
            <w:gridSpan w:val="5"/>
          </w:tcPr>
          <w:p>
            <w:pPr>
              <w:jc w:val="right"/>
              <w:ind w:right="470"/>
              <w:spacing w:after="0"/>
              <w:rPr>
                <w:sz w:val="20"/>
                <w:szCs w:val="20"/>
                <w:color w:val="auto"/>
              </w:rPr>
            </w:pPr>
            <w:r>
              <w:rPr>
                <w:rFonts w:ascii="Arial" w:cs="Arial" w:eastAsia="Arial" w:hAnsi="Arial"/>
                <w:sz w:val="18"/>
                <w:szCs w:val="18"/>
                <w:color w:val="auto"/>
                <w:w w:val="96"/>
              </w:rPr>
              <w:t>Three months ended June 30</w:t>
            </w: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2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w w:val="98"/>
              </w:rPr>
              <w:t>Nine months ended June 30</w:t>
            </w:r>
          </w:p>
        </w:tc>
      </w:tr>
      <w:tr>
        <w:trPr>
          <w:trHeight w:val="223"/>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r>
      <w:tr>
        <w:trPr>
          <w:trHeight w:val="223"/>
        </w:trPr>
        <w:tc>
          <w:tcPr>
            <w:tcW w:w="3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302"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Ashland’s effective tax rate in any interim period is subject to adjustments related to discrete items and the mix of domestic and foreign operating results. The overall effective tax rate was a benefit of 16% for the three months ended June 30, 2018 and was primarily impacted by income mix as well as $8 million from favorable tax discrete items including a valuation allowance release related to a foreign entity and a domestic tax rate change.</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overall effective tax rate was 20% for the three months ended June 30, 2017 and was impacted by income mix and net unfavorable tax discrete adjustments primarily related to changes in the realization of certain historic tax attributes due to the Valvoline distribution and the Pharmachem acquisition as well as tax on certain restructuring items.</w:t>
      </w:r>
    </w:p>
    <w:p>
      <w:pPr>
        <w:spacing w:after="0" w:line="78"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u w:val="single" w:color="auto"/>
          <w:color w:val="auto"/>
        </w:rPr>
        <w:t>Year-to-Date</w:t>
      </w:r>
      <w:r>
        <w:rPr>
          <w:rFonts w:ascii="Arial" w:cs="Arial" w:eastAsia="Arial" w:hAnsi="Arial"/>
          <w:sz w:val="19"/>
          <w:szCs w:val="19"/>
          <w:color w:val="auto"/>
        </w:rPr>
        <w:t xml:space="preserve"> - The overall effective tax rate was 10% for the nine months ended June 30, 2018. In addition to income mix, the current period tax rate was impacted by net unfavorable tax discrete adjustments of $16 million primarily related to the Tax Act, partially offset by a favorable tax discrete adjustment of $4 million related to a deferred tax rate change for a foreign entity and the current quarter favorable discrete items of $8 million previously noted in the current quarter discussion.</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overall effective tax rate was 48% for the nine months ended June 30, 2017 and was impacted by net unfavorable tax discrete adjustments primarily related to items previously noted in the current quarter discussion, partially offset by a reversal of unrecognized tax benefits due to lapse of the statute of limitations.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7" w:name="page48"/>
    <w:bookmarkEnd w:id="47"/>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3"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effective tax rate during the three and nine months ended June 30, 2018 and 2017 was significantly impacted by the following tax specific key items:</w:t>
      </w:r>
    </w:p>
    <w:p>
      <w:pPr>
        <w:spacing w:after="0" w:line="177" w:lineRule="exact"/>
        <w:rPr>
          <w:sz w:val="20"/>
          <w:szCs w:val="20"/>
          <w:color w:val="auto"/>
        </w:rPr>
      </w:pPr>
    </w:p>
    <w:p>
      <w:pPr>
        <w:ind w:left="800" w:hanging="400"/>
        <w:spacing w:after="0" w:line="260" w:lineRule="auto"/>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favorable adjustment of $4 million related to the release of a valuation allowance for a foreign entity during the three and nine months ended June 30, 2018;</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 unfavorable adjustment of $142 million for a one-time transition tax resulting from the enactment of the Tax Act during the nine months ended June 30, 2018;</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favorable adjustment of $126 million for the remeasurement of the domestic deferred tax balances resulting from the enactment of the Tax Act during the nine months ended June 30, 2018;</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favorable adjustment of $4 million related to a deferred tax rate change for a foreign entity during the nine months ended June 30, 2018; and</w:t>
      </w:r>
    </w:p>
    <w:p>
      <w:pPr>
        <w:spacing w:after="0" w:line="68" w:lineRule="exact"/>
        <w:rPr>
          <w:rFonts w:ascii="Arial" w:cs="Arial" w:eastAsia="Arial" w:hAnsi="Arial"/>
          <w:sz w:val="20"/>
          <w:szCs w:val="20"/>
          <w:color w:val="auto"/>
        </w:rPr>
      </w:pPr>
    </w:p>
    <w:p>
      <w:pPr>
        <w:jc w:val="both"/>
        <w:ind w:left="800" w:hanging="400"/>
        <w:spacing w:after="0" w:line="269" w:lineRule="auto"/>
        <w:tabs>
          <w:tab w:leader="none" w:pos="8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favorable adjustments of $11 million and $12 million related to the Valvoline separation during the three and nine months ended June 30, 2017, respectively. These adjustments relate to various tax impacts of the Valvoline separation including state tax costs, foreign tax costs and other tax account adjustments and are not related to Ashland’s underlying business.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9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80" w:type="dxa"/>
            <w:vAlign w:val="bottom"/>
            <w:tcBorders>
              <w:top w:val="single" w:sz="8" w:color="auto"/>
            </w:tcBorders>
            <w:gridSpan w:val="5"/>
          </w:tcPr>
          <w:p>
            <w:pPr>
              <w:ind w:left="120"/>
              <w:spacing w:after="0"/>
              <w:rPr>
                <w:sz w:val="20"/>
                <w:szCs w:val="20"/>
                <w:color w:val="auto"/>
              </w:rPr>
            </w:pPr>
            <w:r>
              <w:rPr>
                <w:rFonts w:ascii="Arial" w:cs="Arial" w:eastAsia="Arial" w:hAnsi="Arial"/>
                <w:sz w:val="18"/>
                <w:szCs w:val="18"/>
                <w:color w:val="auto"/>
              </w:rPr>
              <w:t>Three months ended</w:t>
            </w:r>
          </w:p>
        </w:tc>
        <w:tc>
          <w:tcPr>
            <w:tcW w:w="2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Nine months ended</w:t>
            </w:r>
          </w:p>
        </w:tc>
        <w:tc>
          <w:tcPr>
            <w:tcW w:w="560" w:type="dxa"/>
            <w:vAlign w:val="bottom"/>
            <w:tcBorders>
              <w:top w:val="single" w:sz="8" w:color="auto"/>
            </w:tcBorders>
          </w:tcPr>
          <w:p>
            <w:pPr>
              <w:spacing w:after="0"/>
              <w:rPr>
                <w:sz w:val="21"/>
                <w:szCs w:val="21"/>
                <w:color w:val="auto"/>
              </w:rPr>
            </w:pPr>
          </w:p>
        </w:tc>
      </w:tr>
      <w:tr>
        <w:trPr>
          <w:trHeight w:val="230"/>
        </w:trPr>
        <w:tc>
          <w:tcPr>
            <w:tcW w:w="4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June 30</w:t>
            </w:r>
          </w:p>
        </w:tc>
        <w:tc>
          <w:tcPr>
            <w:tcW w:w="56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4"/>
              </w:rPr>
              <w:t>2017</w:t>
            </w: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before income taxes</w:t>
            </w:r>
          </w:p>
        </w:tc>
        <w:tc>
          <w:tcPr>
            <w:tcW w:w="1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9"/>
              </w:rPr>
              <w:t>(102)</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214</w:t>
            </w: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49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before income taxes</w:t>
            </w: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112</w:t>
            </w: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Income tax rate adjustments:</w:t>
            </w:r>
          </w:p>
        </w:tc>
        <w:tc>
          <w:tcPr>
            <w:tcW w:w="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r>
      <w:tr>
        <w:trPr>
          <w:trHeight w:val="230"/>
        </w:trPr>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Tax effect of key items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70</w:t>
            </w:r>
          </w:p>
        </w:tc>
      </w:tr>
      <w:tr>
        <w:trPr>
          <w:trHeight w:val="230"/>
        </w:trPr>
        <w:tc>
          <w:tcPr>
            <w:tcW w:w="4960" w:type="dxa"/>
            <w:vAlign w:val="bottom"/>
          </w:tcPr>
          <w:p>
            <w:pPr>
              <w:ind w:left="12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4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Deferred tax rate changes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ind w:left="360"/>
              <w:spacing w:after="0"/>
              <w:rPr>
                <w:sz w:val="20"/>
                <w:szCs w:val="20"/>
                <w:color w:val="auto"/>
              </w:rPr>
            </w:pPr>
            <w:r>
              <w:rPr>
                <w:rFonts w:ascii="Arial" w:cs="Arial" w:eastAsia="Arial" w:hAnsi="Arial"/>
                <w:sz w:val="18"/>
                <w:szCs w:val="18"/>
                <w:color w:val="auto"/>
              </w:rPr>
              <w:t>One-time transition tax</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Valuation allowance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ind w:left="360"/>
              <w:spacing w:after="0"/>
              <w:rPr>
                <w:sz w:val="20"/>
                <w:szCs w:val="20"/>
                <w:color w:val="auto"/>
              </w:rPr>
            </w:pPr>
            <w:r>
              <w:rPr>
                <w:rFonts w:ascii="Arial" w:cs="Arial" w:eastAsia="Arial" w:hAnsi="Arial"/>
                <w:sz w:val="18"/>
                <w:szCs w:val="18"/>
                <w:color w:val="auto"/>
              </w:rPr>
              <w:t>Valvoline separation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2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rate adjustments</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58</w:t>
            </w:r>
          </w:p>
        </w:tc>
      </w:tr>
      <w:tr>
        <w:trPr>
          <w:trHeight w:val="263"/>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Adjusted income tax expense</w:t>
            </w:r>
          </w:p>
        </w:tc>
        <w:tc>
          <w:tcPr>
            <w:tcW w:w="7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FF0FC"/>
            </w:tcBorders>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w:t>
            </w:r>
          </w:p>
        </w:tc>
      </w:tr>
      <w:tr>
        <w:trPr>
          <w:trHeight w:val="210"/>
        </w:trPr>
        <w:tc>
          <w:tcPr>
            <w:tcW w:w="49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r>
      <w:tr>
        <w:trPr>
          <w:trHeight w:val="234"/>
        </w:trPr>
        <w:tc>
          <w:tcPr>
            <w:tcW w:w="4960" w:type="dxa"/>
            <w:vAlign w:val="bottom"/>
          </w:tcPr>
          <w:p>
            <w:pPr>
              <w:spacing w:after="0"/>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19" w:lineRule="exact"/>
        <w:rPr>
          <w:sz w:val="20"/>
          <w:szCs w:val="20"/>
          <w:color w:val="auto"/>
        </w:rPr>
      </w:pPr>
    </w:p>
    <w:p>
      <w:pPr>
        <w:ind w:left="660" w:hanging="260"/>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See Adjusted EBITDA reconciliation table previously disclosed in this Management, Discussion and Analysis for a summary of the key items, before tax.</w:t>
      </w:r>
    </w:p>
    <w:p>
      <w:pPr>
        <w:ind w:left="660" w:hanging="260"/>
        <w:spacing w:after="0" w:line="22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previously disclosed in this Management, Discussion and Analysis.</w:t>
      </w:r>
    </w:p>
    <w:p>
      <w:pPr>
        <w:ind w:left="660" w:hanging="260"/>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-388620</wp:posOffset>
            </wp:positionV>
            <wp:extent cx="67322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8" w:name="page49"/>
    <w:bookmarkEnd w:id="48"/>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9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8"/>
          </w:tcPr>
          <w:p>
            <w:pPr>
              <w:ind w:left="140"/>
              <w:spacing w:after="0"/>
              <w:rPr>
                <w:sz w:val="20"/>
                <w:szCs w:val="20"/>
                <w:color w:val="auto"/>
              </w:rPr>
            </w:pPr>
            <w:r>
              <w:rPr>
                <w:rFonts w:ascii="Arial" w:cs="Arial" w:eastAsia="Arial" w:hAnsi="Arial"/>
                <w:sz w:val="18"/>
                <w:szCs w:val="18"/>
                <w:color w:val="auto"/>
              </w:rPr>
              <w:t>Three months ended June 30</w:t>
            </w:r>
          </w:p>
        </w:tc>
        <w:tc>
          <w:tcPr>
            <w:tcW w:w="24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gridSpan w:val="7"/>
          </w:tcPr>
          <w:p>
            <w:pPr>
              <w:jc w:val="right"/>
              <w:ind w:right="45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Change</w:t>
            </w:r>
          </w:p>
        </w:tc>
      </w:tr>
      <w:tr>
        <w:trPr>
          <w:trHeight w:val="205"/>
        </w:trPr>
        <w:tc>
          <w:tcPr>
            <w:tcW w:w="3940" w:type="dxa"/>
            <w:vAlign w:val="bottom"/>
          </w:tcPr>
          <w:p>
            <w:pPr>
              <w:spacing w:after="0" w:line="205" w:lineRule="exact"/>
              <w:rPr>
                <w:sz w:val="20"/>
                <w:szCs w:val="20"/>
                <w:color w:val="auto"/>
              </w:rPr>
            </w:pPr>
            <w:r>
              <w:rPr>
                <w:rFonts w:ascii="Arial" w:cs="Arial" w:eastAsia="Arial" w:hAnsi="Arial"/>
                <w:sz w:val="18"/>
                <w:szCs w:val="18"/>
                <w:b w:val="1"/>
                <w:bCs w:val="1"/>
                <w:color w:val="auto"/>
              </w:rPr>
              <w:t>Income (loss) from discontinued operations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4"/>
        </w:trPr>
        <w:tc>
          <w:tcPr>
            <w:tcW w:w="3940" w:type="dxa"/>
            <w:vAlign w:val="bottom"/>
          </w:tcPr>
          <w:p>
            <w:pPr>
              <w:ind w:left="220"/>
              <w:spacing w:after="0"/>
              <w:rPr>
                <w:sz w:val="20"/>
                <w:szCs w:val="20"/>
                <w:color w:val="auto"/>
              </w:rPr>
            </w:pPr>
            <w:r>
              <w:rPr>
                <w:rFonts w:ascii="Arial" w:cs="Arial" w:eastAsia="Arial" w:hAnsi="Arial"/>
                <w:sz w:val="18"/>
                <w:szCs w:val="18"/>
                <w:b w:val="1"/>
                <w:bCs w:val="1"/>
                <w:color w:val="auto"/>
              </w:rPr>
              <w:t>(net of taxes)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3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Valvoline</w:t>
            </w:r>
          </w:p>
        </w:tc>
        <w:tc>
          <w:tcPr>
            <w:tcW w:w="8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3940" w:type="dxa"/>
            <w:vAlign w:val="bottom"/>
          </w:tcPr>
          <w:p>
            <w:pPr>
              <w:ind w:left="360"/>
              <w:spacing w:after="0"/>
              <w:rPr>
                <w:sz w:val="20"/>
                <w:szCs w:val="20"/>
                <w:color w:val="auto"/>
              </w:rPr>
            </w:pPr>
            <w:r>
              <w:rPr>
                <w:rFonts w:ascii="Arial" w:cs="Arial" w:eastAsia="Arial" w:hAnsi="Arial"/>
                <w:sz w:val="18"/>
                <w:szCs w:val="18"/>
                <w:color w:val="auto"/>
              </w:rPr>
              <w:t>Asbestos-related litigation</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39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Distribution</w:t>
            </w: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940" w:type="dxa"/>
            <w:vAlign w:val="bottom"/>
          </w:tcPr>
          <w:p>
            <w:pPr>
              <w:ind w:left="360"/>
              <w:spacing w:after="0"/>
              <w:rPr>
                <w:sz w:val="20"/>
                <w:szCs w:val="20"/>
                <w:color w:val="auto"/>
              </w:rPr>
            </w:pPr>
            <w:r>
              <w:rPr>
                <w:rFonts w:ascii="Arial" w:cs="Arial" w:eastAsia="Arial" w:hAnsi="Arial"/>
                <w:sz w:val="18"/>
                <w:szCs w:val="18"/>
                <w:color w:val="auto"/>
              </w:rPr>
              <w:t>Water Technologies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394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3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As a result of the full separation of Valvoline Inc. on May 12, 2017, the operating results related to Valvoline Inc., including the operating results of the former Valvoline reportable segment, have been reflected as discontinued operations (net of tax) within the Statement of Consolidated Comprehensive Income (Loss). The activity within the current quarter primarily represents subsequent adjustments that were made in conjunction with the Tax Matters Agreement. See Note B for more information on the Tax Matters Agreement. During the prior year quarter, Valvoline's sales and pre-tax operating income included in discontinued operations were $234 million and $38 million, respectively (reflective of Valvoline’s operating activity until the final separation on May 12, 2017).</w:t>
      </w:r>
    </w:p>
    <w:p>
      <w:pPr>
        <w:spacing w:after="0" w:line="85"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The current and prior year quarter included after-tax net adjustments to the asbestos reserves and receivables of $9 million of income and $25 million of expense, respectively, including the adjustments for the annual update. Additionally, the current and prior year quarters included post-closing adjustments related to the sale of Ashland Distribution and Ashland Water Technologies.</w:t>
      </w:r>
    </w:p>
    <w:p>
      <w:pPr>
        <w:spacing w:after="0" w:line="4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The Valvoline activity within the current period represents subsequent adjustments that were made in conjunction with the Tax Matters Agreement. During the prior year period, Valvoline's sales and pre-tax operating income included in discontinued operations were $1,237 million and $274 million, respectively. The remaining activity during both the current and prior year periods included adjustments for asbestos and previous divestitures.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5"/>
          </w:tcPr>
          <w:p>
            <w:pPr>
              <w:jc w:val="right"/>
              <w:ind w:right="390"/>
              <w:spacing w:after="0"/>
              <w:rPr>
                <w:sz w:val="20"/>
                <w:szCs w:val="20"/>
                <w:color w:val="auto"/>
              </w:rPr>
            </w:pPr>
            <w:r>
              <w:rPr>
                <w:rFonts w:ascii="Arial" w:cs="Arial" w:eastAsia="Arial" w:hAnsi="Arial"/>
                <w:sz w:val="18"/>
                <w:szCs w:val="18"/>
                <w:color w:val="auto"/>
                <w:w w:val="93"/>
              </w:rPr>
              <w:t>Three months ended June 30</w:t>
            </w:r>
          </w:p>
        </w:tc>
        <w:tc>
          <w:tcPr>
            <w:tcW w:w="16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540" w:type="dxa"/>
            <w:vAlign w:val="bottom"/>
          </w:tcPr>
          <w:p>
            <w:pPr>
              <w:spacing w:after="0"/>
              <w:rPr>
                <w:sz w:val="20"/>
                <w:szCs w:val="20"/>
                <w:color w:val="auto"/>
              </w:rPr>
            </w:pPr>
            <w:r>
              <w:rPr>
                <w:rFonts w:ascii="Arial" w:cs="Arial" w:eastAsia="Arial" w:hAnsi="Arial"/>
                <w:sz w:val="18"/>
                <w:szCs w:val="18"/>
                <w:b w:val="1"/>
                <w:bCs w:val="1"/>
                <w:color w:val="auto"/>
              </w:rPr>
              <w:t>Net income attributable to</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5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noncontrolling interest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(27   )</w:t>
            </w:r>
          </w:p>
        </w:tc>
      </w:tr>
    </w:tbl>
    <w:p>
      <w:pPr>
        <w:spacing w:after="0" w:line="19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Since Ashland's ownership interest in Valvoline Inc. was approximately 83% until the final separation on May 12, 2017, the amount of net income attributable to the outside stockholders of approximately 17% noncontrolling interest in Valvoline Inc. is presented within this caption on the Statement of Consolidated Comprehensive Income (Loss) for the three and nine months ended June 30, 2017.</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49" w:name="page50"/>
    <w:bookmarkEnd w:id="49"/>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A comparative analysis of the components of other comprehensive income (loss) is provided below for the three and nine months ended June 30, 2018 and 2017.</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39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3"/>
              </w:rPr>
              <w:t>Three months ended June 30</w:t>
            </w:r>
          </w:p>
        </w:tc>
        <w:tc>
          <w:tcPr>
            <w:tcW w:w="16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7"/>
          </w:tcPr>
          <w:p>
            <w:pPr>
              <w:jc w:val="right"/>
              <w:ind w:right="430"/>
              <w:spacing w:after="0"/>
              <w:rPr>
                <w:sz w:val="20"/>
                <w:szCs w:val="20"/>
                <w:color w:val="auto"/>
              </w:rPr>
            </w:pPr>
            <w:r>
              <w:rPr>
                <w:rFonts w:ascii="Arial" w:cs="Arial" w:eastAsia="Arial" w:hAnsi="Arial"/>
                <w:sz w:val="18"/>
                <w:szCs w:val="18"/>
                <w:color w:val="auto"/>
                <w:w w:val="95"/>
              </w:rPr>
              <w:t>Nine months ended June 30</w:t>
            </w:r>
          </w:p>
        </w:tc>
      </w:tr>
      <w:tr>
        <w:trPr>
          <w:trHeight w:val="22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Change</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Change</w:t>
            </w:r>
          </w:p>
        </w:tc>
      </w:tr>
      <w:tr>
        <w:trPr>
          <w:trHeight w:val="218"/>
        </w:trPr>
        <w:tc>
          <w:tcPr>
            <w:tcW w:w="39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900" w:type="dxa"/>
            <w:vAlign w:val="bottom"/>
          </w:tcPr>
          <w:p>
            <w:pPr>
              <w:ind w:left="140"/>
              <w:spacing w:after="0"/>
              <w:rPr>
                <w:sz w:val="20"/>
                <w:szCs w:val="20"/>
                <w:color w:val="auto"/>
              </w:rPr>
            </w:pPr>
            <w:r>
              <w:rPr>
                <w:rFonts w:ascii="Arial" w:cs="Arial" w:eastAsia="Arial" w:hAnsi="Arial"/>
                <w:sz w:val="18"/>
                <w:szCs w:val="18"/>
                <w:b w:val="1"/>
                <w:bCs w:val="1"/>
                <w:color w:val="auto"/>
              </w:rPr>
              <w:t>(loss) (net of taxes)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translation gain (loss)</w:t>
            </w:r>
          </w:p>
        </w:tc>
        <w:tc>
          <w:tcPr>
            <w:tcW w:w="8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4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color w:val="auto"/>
              </w:rPr>
              <w:t>Pension and postretirement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obligation adjustment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change in available-for-sale securities</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right="20"/>
        <w:spacing w:after="0" w:line="260" w:lineRule="auto"/>
        <w:rPr>
          <w:sz w:val="20"/>
          <w:szCs w:val="20"/>
          <w:color w:val="auto"/>
        </w:rPr>
      </w:pPr>
      <w:r>
        <w:rPr>
          <w:rFonts w:ascii="Arial" w:cs="Arial" w:eastAsia="Arial" w:hAnsi="Arial"/>
          <w:sz w:val="20"/>
          <w:szCs w:val="20"/>
          <w:u w:val="single" w:color="auto"/>
          <w:color w:val="auto"/>
        </w:rPr>
        <w:t>Current Quarter</w:t>
      </w:r>
      <w:r>
        <w:rPr>
          <w:rFonts w:ascii="Arial" w:cs="Arial" w:eastAsia="Arial" w:hAnsi="Arial"/>
          <w:sz w:val="20"/>
          <w:szCs w:val="20"/>
          <w:color w:val="auto"/>
        </w:rPr>
        <w:t xml:space="preserve"> - Total other comprehensive income, net of tax, for the current quarter decreased $247 million compared to the prior year quarter as a result of the following components:</w:t>
      </w:r>
    </w:p>
    <w:p>
      <w:pPr>
        <w:spacing w:after="0" w:line="69" w:lineRule="exact"/>
        <w:rPr>
          <w:sz w:val="20"/>
          <w:szCs w:val="20"/>
          <w:color w:val="auto"/>
        </w:rPr>
      </w:pPr>
    </w:p>
    <w:p>
      <w:pPr>
        <w:jc w:val="both"/>
        <w:ind w:left="800" w:hanging="400"/>
        <w:spacing w:after="0" w:line="246" w:lineRule="auto"/>
        <w:tabs>
          <w:tab w:leader="none" w:pos="8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For the three months ended June 30, 2018, the change in unrealized gain from foreign currency translation adjustments resulted in a loss of $140 million compared to a gain of $105 million for the three months ended June 30, 2017.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net change in available-for-sale securities related to restricted investments amounted to gains of $2 million and $4 million during the three months ended June 30, 2018 and 2017, respectively.</w:t>
      </w:r>
    </w:p>
    <w:p>
      <w:pPr>
        <w:spacing w:after="0" w:line="69"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u w:val="single" w:color="auto"/>
          <w:color w:val="auto"/>
        </w:rPr>
        <w:t>Year-to-Date</w:t>
      </w:r>
      <w:r>
        <w:rPr>
          <w:rFonts w:ascii="Arial" w:cs="Arial" w:eastAsia="Arial" w:hAnsi="Arial"/>
          <w:sz w:val="20"/>
          <w:szCs w:val="20"/>
          <w:color w:val="auto"/>
        </w:rPr>
        <w:t xml:space="preserve"> - Total other comprehensive income, net of tax, for the current period decreased $103 million compared to the prior year period as a result of the following components:</w:t>
      </w:r>
    </w:p>
    <w:p>
      <w:pPr>
        <w:spacing w:after="0" w:line="69" w:lineRule="exact"/>
        <w:rPr>
          <w:sz w:val="20"/>
          <w:szCs w:val="20"/>
          <w:color w:val="auto"/>
        </w:rPr>
      </w:pPr>
    </w:p>
    <w:p>
      <w:pPr>
        <w:jc w:val="both"/>
        <w:ind w:left="800" w:hanging="400"/>
        <w:spacing w:after="0" w:line="246" w:lineRule="auto"/>
        <w:tabs>
          <w:tab w:leader="none" w:pos="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For the nine months ended June 30, 2018, the change in unrealized gain from foreign currency translation adjustments resulted in a loss of $82 million compared to a gain of $19 million for the nine months ended June 30, 2017.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net change in available-for-sale securities related to restricted investments amounted to gains of $4 million and $10 million during the nine months ended June 30, 2018 and 2017, respectively.</w:t>
      </w:r>
    </w:p>
    <w:p>
      <w:pPr>
        <w:spacing w:after="0" w:line="6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pension and postretirement obligation adjustment was $4 million for the nine months ended June 30, 2017. This amount related to amortization of unrecognized prior services credits for pension and other postretirement benefit plans and was reclassified into net income during the prior year period.</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Ashland's operations are managed within the following three reportable segments: Specialty Ingredients, Composites and Intermediates and Solvents.</w:t>
      </w:r>
    </w:p>
    <w:p>
      <w:pPr>
        <w:spacing w:after="0" w:line="69"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w:t>
      </w:r>
    </w:p>
    <w:p>
      <w:pPr>
        <w:spacing w:after="0" w:line="18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0" w:name="page51"/>
    <w:bookmarkEnd w:id="50"/>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44" w:lineRule="exact"/>
        <w:rPr>
          <w:sz w:val="20"/>
          <w:szCs w:val="20"/>
          <w:color w:val="auto"/>
        </w:rPr>
      </w:pPr>
    </w:p>
    <w:p>
      <w:pPr>
        <w:jc w:val="both"/>
        <w:ind w:left="400"/>
        <w:spacing w:after="0" w:line="273" w:lineRule="auto"/>
        <w:rPr>
          <w:sz w:val="20"/>
          <w:szCs w:val="20"/>
          <w:color w:val="auto"/>
        </w:rPr>
      </w:pPr>
      <w:r>
        <w:rPr>
          <w:rFonts w:ascii="Arial" w:cs="Arial" w:eastAsia="Arial" w:hAnsi="Arial"/>
          <w:sz w:val="18"/>
          <w:szCs w:val="18"/>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(loss)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caption to the Statements of Consolidated Comprehensive Income (Loss).</w:t>
      </w:r>
    </w:p>
    <w:p>
      <w:pPr>
        <w:spacing w:after="0" w:line="17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1" w:name="page52"/>
    <w:bookmarkEnd w:id="51"/>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The following table discloses sales, operating income, depreciation and amortization and statistical operating information by reportable segment for the three and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4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Nine months ended</w:t>
            </w:r>
          </w:p>
        </w:tc>
        <w:tc>
          <w:tcPr>
            <w:tcW w:w="820" w:type="dxa"/>
            <w:vAlign w:val="bottom"/>
            <w:tcBorders>
              <w:top w:val="single" w:sz="8" w:color="auto"/>
            </w:tcBorders>
          </w:tcPr>
          <w:p>
            <w:pPr>
              <w:spacing w:after="0"/>
              <w:rPr>
                <w:sz w:val="21"/>
                <w:szCs w:val="21"/>
                <w:color w:val="auto"/>
              </w:rPr>
            </w:pPr>
          </w:p>
        </w:tc>
      </w:tr>
      <w:tr>
        <w:trPr>
          <w:trHeight w:val="230"/>
        </w:trPr>
        <w:tc>
          <w:tcPr>
            <w:tcW w:w="3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June 30</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2017</w:t>
            </w:r>
          </w:p>
        </w:tc>
      </w:tr>
      <w:tr>
        <w:trPr>
          <w:trHeight w:val="223"/>
        </w:trPr>
        <w:tc>
          <w:tcPr>
            <w:tcW w:w="3400" w:type="dxa"/>
            <w:vAlign w:val="bottom"/>
          </w:tcPr>
          <w:p>
            <w:pPr>
              <w:spacing w:after="0"/>
              <w:rPr>
                <w:sz w:val="20"/>
                <w:szCs w:val="20"/>
                <w:color w:val="auto"/>
              </w:rPr>
            </w:pPr>
            <w:r>
              <w:rPr>
                <w:rFonts w:ascii="Arial" w:cs="Arial" w:eastAsia="Arial" w:hAnsi="Arial"/>
                <w:sz w:val="18"/>
                <w:szCs w:val="18"/>
                <w:b w:val="1"/>
                <w:bCs w:val="1"/>
                <w:color w:val="auto"/>
              </w:rPr>
              <w:t>Sales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9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638</w:t>
            </w:r>
          </w:p>
        </w:tc>
        <w:tc>
          <w:tcPr>
            <w:tcW w:w="9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1,834</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1,617</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Composites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706</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561</w:t>
            </w: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5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202</w:t>
            </w:r>
          </w:p>
        </w:tc>
      </w:tr>
      <w:tr>
        <w:trPr>
          <w:trHeight w:val="263"/>
        </w:trPr>
        <w:tc>
          <w:tcPr>
            <w:tcW w:w="34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971</w:t>
            </w:r>
          </w:p>
        </w:tc>
        <w:tc>
          <w:tcPr>
            <w:tcW w:w="1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870</w:t>
            </w:r>
          </w:p>
        </w:tc>
        <w:tc>
          <w:tcPr>
            <w:tcW w:w="16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2,787</w:t>
            </w:r>
          </w:p>
        </w:tc>
        <w:tc>
          <w:tcPr>
            <w:tcW w:w="16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2,380</w:t>
            </w:r>
          </w:p>
        </w:tc>
      </w:tr>
      <w:tr>
        <w:trPr>
          <w:trHeight w:val="21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Specialty Ingredients</w:t>
            </w:r>
          </w:p>
        </w:tc>
        <w:tc>
          <w:tcPr>
            <w:tcW w:w="9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94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172</w:t>
            </w: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Composites</w:t>
            </w: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50</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5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r>
      <w:tr>
        <w:trPr>
          <w:trHeight w:val="263"/>
        </w:trPr>
        <w:tc>
          <w:tcPr>
            <w:tcW w:w="34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FF0FC"/>
            </w:tcBorders>
          </w:tcPr>
          <w:p>
            <w:pPr>
              <w:spacing w:after="0"/>
              <w:rPr>
                <w:sz w:val="22"/>
                <w:szCs w:val="22"/>
                <w:color w:val="auto"/>
              </w:rPr>
            </w:pPr>
          </w:p>
        </w:tc>
        <w:tc>
          <w:tcPr>
            <w:tcW w:w="780" w:type="dxa"/>
            <w:vAlign w:val="bottom"/>
            <w:tcBorders>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105</w:t>
            </w:r>
          </w:p>
        </w:tc>
      </w:tr>
      <w:tr>
        <w:trPr>
          <w:trHeight w:val="21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Specialty Ingredients</w:t>
            </w:r>
          </w:p>
        </w:tc>
        <w:tc>
          <w:tcPr>
            <w:tcW w:w="9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94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178</w:t>
            </w: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Composites</w:t>
            </w: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23</w:t>
            </w: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r>
      <w:tr>
        <w:trPr>
          <w:trHeight w:val="263"/>
        </w:trPr>
        <w:tc>
          <w:tcPr>
            <w:tcW w:w="34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FF0FC"/>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218</w:t>
            </w:r>
          </w:p>
        </w:tc>
      </w:tr>
      <w:tr>
        <w:trPr>
          <w:trHeight w:val="210"/>
        </w:trPr>
        <w:tc>
          <w:tcPr>
            <w:tcW w:w="3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information</w:t>
            </w:r>
          </w:p>
        </w:tc>
        <w:tc>
          <w:tcPr>
            <w:tcW w:w="5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Specialty Ingredients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9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8.6</w:t>
            </w:r>
          </w:p>
        </w:tc>
      </w:tr>
      <w:tr>
        <w:trPr>
          <w:trHeight w:val="230"/>
        </w:trPr>
        <w:tc>
          <w:tcPr>
            <w:tcW w:w="340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240.1</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237.0</w:t>
            </w:r>
          </w:p>
        </w:tc>
      </w:tr>
      <w:tr>
        <w:trPr>
          <w:trHeight w:val="230"/>
        </w:trPr>
        <w:tc>
          <w:tcPr>
            <w:tcW w:w="3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Gross profit as a percent of sales </w:t>
            </w:r>
            <w:r>
              <w:rPr>
                <w:rFonts w:ascii="Arial" w:cs="Arial" w:eastAsia="Arial" w:hAnsi="Arial"/>
                <w:sz w:val="14"/>
                <w:szCs w:val="14"/>
                <w:color w:val="auto"/>
              </w:rPr>
              <w:t>(a)</w:t>
            </w: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Composites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9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3.9</w:t>
            </w:r>
          </w:p>
        </w:tc>
        <w:tc>
          <w:tcPr>
            <w:tcW w:w="9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3.0</w:t>
            </w:r>
          </w:p>
        </w:tc>
      </w:tr>
      <w:tr>
        <w:trPr>
          <w:trHeight w:val="230"/>
        </w:trPr>
        <w:tc>
          <w:tcPr>
            <w:tcW w:w="340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287.5</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251.6</w:t>
            </w:r>
          </w:p>
        </w:tc>
      </w:tr>
      <w:tr>
        <w:trPr>
          <w:trHeight w:val="230"/>
        </w:trPr>
        <w:tc>
          <w:tcPr>
            <w:tcW w:w="3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Gross profit as a percent of sales </w:t>
            </w:r>
            <w:r>
              <w:rPr>
                <w:rFonts w:ascii="Arial" w:cs="Arial" w:eastAsia="Arial" w:hAnsi="Arial"/>
                <w:sz w:val="14"/>
                <w:szCs w:val="14"/>
                <w:color w:val="auto"/>
              </w:rPr>
              <w:t>(a)</w:t>
            </w: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94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1.1</w:t>
            </w:r>
          </w:p>
        </w:tc>
      </w:tr>
      <w:tr>
        <w:trPr>
          <w:trHeight w:val="230"/>
        </w:trPr>
        <w:tc>
          <w:tcPr>
            <w:tcW w:w="340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105.5</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109.8</w:t>
            </w:r>
          </w:p>
        </w:tc>
      </w:tr>
      <w:tr>
        <w:trPr>
          <w:trHeight w:val="230"/>
        </w:trPr>
        <w:tc>
          <w:tcPr>
            <w:tcW w:w="3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Gross profit as a percent of sales </w:t>
            </w:r>
            <w:r>
              <w:rPr>
                <w:rFonts w:ascii="Arial" w:cs="Arial" w:eastAsia="Arial" w:hAnsi="Arial"/>
                <w:sz w:val="14"/>
                <w:szCs w:val="14"/>
                <w:color w:val="auto"/>
              </w:rPr>
              <w:t>(a)</w:t>
            </w:r>
          </w:p>
        </w:tc>
        <w:tc>
          <w:tcPr>
            <w:tcW w:w="5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Gross profit is defined as sales, less cost of sales divided by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7"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Sales by region expressed as a percentage of reportable segment sales for the three and nine months ended June 30, 2018 and 2017 were as follows. Ashland includes only U.S. and Canada in its North American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131445</wp:posOffset>
            </wp:positionV>
            <wp:extent cx="6663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10"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1920" w:type="dxa"/>
            <w:vAlign w:val="bottom"/>
          </w:tcPr>
          <w:p>
            <w:pPr>
              <w:spacing w:after="0"/>
              <w:rPr>
                <w:sz w:val="18"/>
                <w:szCs w:val="18"/>
                <w:color w:val="auto"/>
              </w:rPr>
            </w:pPr>
          </w:p>
        </w:tc>
        <w:tc>
          <w:tcPr>
            <w:tcW w:w="4340" w:type="dxa"/>
            <w:vAlign w:val="bottom"/>
            <w:gridSpan w:val="6"/>
          </w:tcPr>
          <w:p>
            <w:pPr>
              <w:ind w:left="820"/>
              <w:spacing w:after="0"/>
              <w:rPr>
                <w:sz w:val="20"/>
                <w:szCs w:val="20"/>
                <w:color w:val="auto"/>
              </w:rPr>
            </w:pPr>
            <w:r>
              <w:rPr>
                <w:rFonts w:ascii="Arial" w:cs="Arial" w:eastAsia="Arial" w:hAnsi="Arial"/>
                <w:sz w:val="17"/>
                <w:szCs w:val="17"/>
                <w:color w:val="auto"/>
              </w:rPr>
              <w:t>Three months ended June 30, 2018</w:t>
            </w:r>
          </w:p>
        </w:tc>
        <w:tc>
          <w:tcPr>
            <w:tcW w:w="4240" w:type="dxa"/>
            <w:vAlign w:val="bottom"/>
            <w:gridSpan w:val="5"/>
          </w:tcPr>
          <w:p>
            <w:pPr>
              <w:jc w:val="right"/>
              <w:ind w:right="955"/>
              <w:spacing w:after="0"/>
              <w:rPr>
                <w:sz w:val="20"/>
                <w:szCs w:val="20"/>
                <w:color w:val="auto"/>
              </w:rPr>
            </w:pPr>
            <w:r>
              <w:rPr>
                <w:rFonts w:ascii="Arial" w:cs="Arial" w:eastAsia="Arial" w:hAnsi="Arial"/>
                <w:sz w:val="17"/>
                <w:szCs w:val="17"/>
                <w:color w:val="auto"/>
              </w:rPr>
              <w:t>Nine months ended June 30, 2018</w:t>
            </w:r>
          </w:p>
        </w:tc>
      </w:tr>
      <w:tr>
        <w:trPr>
          <w:trHeight w:val="207"/>
        </w:trPr>
        <w:tc>
          <w:tcPr>
            <w:tcW w:w="19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Specialty</w:t>
            </w: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Intermediates</w:t>
            </w:r>
          </w:p>
        </w:tc>
        <w:tc>
          <w:tcPr>
            <w:tcW w:w="14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Specialty</w:t>
            </w: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Intermediates</w:t>
            </w:r>
          </w:p>
        </w:tc>
      </w:tr>
      <w:tr>
        <w:trPr>
          <w:trHeight w:val="218"/>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1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Ingredients</w:t>
            </w: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7"/>
                <w:szCs w:val="17"/>
                <w:color w:val="auto"/>
              </w:rPr>
              <w:t>Composites</w:t>
            </w:r>
          </w:p>
        </w:tc>
        <w:tc>
          <w:tcPr>
            <w:tcW w:w="1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and Solvents</w:t>
            </w:r>
          </w:p>
        </w:tc>
        <w:tc>
          <w:tcPr>
            <w:tcW w:w="14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Ingredients</w:t>
            </w:r>
          </w:p>
        </w:tc>
        <w:tc>
          <w:tcPr>
            <w:tcW w:w="148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color w:val="auto"/>
              </w:rPr>
              <w:t>Composites</w:t>
            </w:r>
          </w:p>
        </w:tc>
        <w:tc>
          <w:tcPr>
            <w:tcW w:w="13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and Solvents</w:t>
            </w:r>
          </w:p>
        </w:tc>
      </w:tr>
      <w:tr>
        <w:trPr>
          <w:trHeight w:val="212"/>
        </w:trPr>
        <w:tc>
          <w:tcPr>
            <w:tcW w:w="192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Europe</w:t>
            </w:r>
          </w:p>
        </w:tc>
        <w:tc>
          <w:tcPr>
            <w:tcW w:w="1300" w:type="dxa"/>
            <w:vAlign w:val="bottom"/>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16"/>
        </w:trPr>
        <w:tc>
          <w:tcPr>
            <w:tcW w:w="192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1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6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19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1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2" w:name="page53"/>
    <w:bookmarkEnd w:id="52"/>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92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gridSpan w:val="6"/>
          </w:tcPr>
          <w:p>
            <w:pPr>
              <w:ind w:left="840"/>
              <w:spacing w:after="0"/>
              <w:rPr>
                <w:sz w:val="20"/>
                <w:szCs w:val="20"/>
                <w:color w:val="auto"/>
              </w:rPr>
            </w:pPr>
            <w:r>
              <w:rPr>
                <w:rFonts w:ascii="Arial" w:cs="Arial" w:eastAsia="Arial" w:hAnsi="Arial"/>
                <w:sz w:val="17"/>
                <w:szCs w:val="17"/>
                <w:color w:val="auto"/>
              </w:rPr>
              <w:t>Three months ended June 30, 2017</w:t>
            </w:r>
          </w:p>
        </w:tc>
        <w:tc>
          <w:tcPr>
            <w:tcW w:w="4280" w:type="dxa"/>
            <w:vAlign w:val="bottom"/>
            <w:tcBorders>
              <w:top w:val="single" w:sz="8" w:color="auto"/>
            </w:tcBorders>
            <w:gridSpan w:val="5"/>
          </w:tcPr>
          <w:p>
            <w:pPr>
              <w:jc w:val="right"/>
              <w:ind w:right="995"/>
              <w:spacing w:after="0"/>
              <w:rPr>
                <w:sz w:val="20"/>
                <w:szCs w:val="20"/>
                <w:color w:val="auto"/>
              </w:rPr>
            </w:pPr>
            <w:r>
              <w:rPr>
                <w:rFonts w:ascii="Arial" w:cs="Arial" w:eastAsia="Arial" w:hAnsi="Arial"/>
                <w:sz w:val="17"/>
                <w:szCs w:val="17"/>
                <w:color w:val="auto"/>
              </w:rPr>
              <w:t>Nine months ended June 30, 2017</w:t>
            </w:r>
          </w:p>
        </w:tc>
      </w:tr>
      <w:tr>
        <w:trPr>
          <w:trHeight w:val="205"/>
        </w:trPr>
        <w:tc>
          <w:tcPr>
            <w:tcW w:w="1920" w:type="dxa"/>
            <w:vAlign w:val="bottom"/>
          </w:tcPr>
          <w:p>
            <w:pPr>
              <w:spacing w:after="0"/>
              <w:rPr>
                <w:sz w:val="17"/>
                <w:szCs w:val="17"/>
                <w:color w:val="auto"/>
              </w:rPr>
            </w:pPr>
          </w:p>
        </w:tc>
        <w:tc>
          <w:tcPr>
            <w:tcW w:w="14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Specialty</w:t>
            </w: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Intermediates</w:t>
            </w:r>
          </w:p>
        </w:tc>
        <w:tc>
          <w:tcPr>
            <w:tcW w:w="140" w:type="dxa"/>
            <w:vAlign w:val="bottom"/>
          </w:tcPr>
          <w:p>
            <w:pPr>
              <w:spacing w:after="0"/>
              <w:rPr>
                <w:sz w:val="17"/>
                <w:szCs w:val="17"/>
                <w:color w:val="auto"/>
              </w:rPr>
            </w:pPr>
          </w:p>
        </w:tc>
        <w:tc>
          <w:tcPr>
            <w:tcW w:w="14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Specialty</w:t>
            </w: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Intermediates</w:t>
            </w:r>
          </w:p>
        </w:tc>
      </w:tr>
      <w:tr>
        <w:trPr>
          <w:trHeight w:val="218"/>
        </w:trPr>
        <w:tc>
          <w:tcPr>
            <w:tcW w:w="1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14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Ingredients</w:t>
            </w:r>
          </w:p>
        </w:tc>
        <w:tc>
          <w:tcPr>
            <w:tcW w:w="146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color w:val="auto"/>
              </w:rPr>
              <w:t>Composites</w:t>
            </w:r>
          </w:p>
        </w:tc>
        <w:tc>
          <w:tcPr>
            <w:tcW w:w="14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and Solvents</w:t>
            </w:r>
          </w:p>
        </w:tc>
        <w:tc>
          <w:tcPr>
            <w:tcW w:w="14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Ingredients</w:t>
            </w:r>
          </w:p>
        </w:tc>
        <w:tc>
          <w:tcPr>
            <w:tcW w:w="148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color w:val="auto"/>
              </w:rPr>
              <w:t>Composites</w:t>
            </w:r>
          </w:p>
        </w:tc>
        <w:tc>
          <w:tcPr>
            <w:tcW w:w="13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and Solvents</w:t>
            </w:r>
          </w:p>
        </w:tc>
      </w:tr>
      <w:tr>
        <w:trPr>
          <w:trHeight w:val="212"/>
        </w:trPr>
        <w:tc>
          <w:tcPr>
            <w:tcW w:w="192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1920" w:type="dxa"/>
            <w:vAlign w:val="bottom"/>
          </w:tcPr>
          <w:p>
            <w:pPr>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6"/>
        </w:trPr>
        <w:tc>
          <w:tcPr>
            <w:tcW w:w="192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19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6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19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1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Specialty Ingredients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Specialty Ingredients is a global leader in cellulose ethers, vinyl pyrrolidones and biofunctionals. It offers industry-leading products, technologies and resources for solving formulation and product-performance challenges. Specialty Ingredients uses natural, synthetic and semisynthetic polymers derived from cellulose ethers, vinyl pyrrolidones, acrylic polymers, polyester and polyurethane-based adhesives, and plant and seed extract. Specialty Ingredients’ end markets offer comprehensive and innovative solutions for today’s demanding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71"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On May 17, 2017, Ashland completed its acquisition of the stock of Pharmachem, a leading provider of quality ingredients to the global health and wellness industries and high-value differentiated products to fragrance and flavor houses. At the acquisition date, Pharmachem had approximately $300 million in annual revenues and 14 manufacturing facilities located in the United States and Mexico. New Jersey-based Pharmachem develops, manufactures and supplies custom and branded nutritional and fragrance products. See Note C within the Notes to Condensed Consolidated Financial Statements for more information.</w:t>
      </w:r>
    </w:p>
    <w:p>
      <w:pPr>
        <w:spacing w:after="0" w:line="57"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Additionally, Ashland completed the transfer of its ownership interest in a consolidated joint venture during the third quarter of fiscal 2017.</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June 2018 quarter compared to June 2017 quarter</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Specialty Ingredients’ sales increased $47 million to $638 million in the current quarter. The acquisition of Pharmachem increased sales by $20 million, or 3%. Volume and mix combined to increase sales by $19 million, while favorable foreign currency exchange increased sales by $13 million. In addition, improved product pricing increased sales by $6 million. These increases were partially offset by a decrease of $11 million related to the transfer of ownership interest in a consolidated joint venture during the third quarter of fiscal 2017.</w:t>
      </w:r>
    </w:p>
    <w:p>
      <w:pPr>
        <w:spacing w:after="0" w:line="87" w:lineRule="exact"/>
        <w:rPr>
          <w:sz w:val="20"/>
          <w:szCs w:val="20"/>
          <w:color w:val="auto"/>
        </w:rPr>
      </w:pPr>
    </w:p>
    <w:p>
      <w:pPr>
        <w:jc w:val="both"/>
        <w:ind w:left="400"/>
        <w:spacing w:after="0" w:line="276" w:lineRule="auto"/>
        <w:rPr>
          <w:sz w:val="20"/>
          <w:szCs w:val="20"/>
          <w:color w:val="auto"/>
        </w:rPr>
      </w:pPr>
      <w:r>
        <w:rPr>
          <w:rFonts w:ascii="Arial" w:cs="Arial" w:eastAsia="Arial" w:hAnsi="Arial"/>
          <w:sz w:val="18"/>
          <w:szCs w:val="18"/>
          <w:color w:val="auto"/>
        </w:rPr>
        <w:t>Gross profit during the current quarter increased $41 million compared to the prior year quarter. An increase of $13 million to gross profit was due to restructuring charges for a plant closure in the prior year quarter. The net impact of pricing and costs increased gross profit by $9 million while the acquisition of Pharmachem increased gross profit by $8 million. Volume and mix combined to increase gross profit by $7 million and favorable foreign currency exchange increased gross profit by $5 million. These increases were partially offset by the impact from the joint venture divestiture, which decreased gross profit by $1 million. In total, gross profit margin during the current quarter increased 4.3 percentage points as compared to the prior year quarter to 34.9%.</w:t>
      </w:r>
    </w:p>
    <w:p>
      <w:pPr>
        <w:spacing w:after="0" w:line="57"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Selling, general and administrative expenses (which include research and development expenses throughout the reportable segment discussion and analysis) increased $6 million in the current quarter as compared to the prior year quarter largely due to $3 million of incremental costs related to the acquisition of Pharmachem’s operations. The remaining increase in selling, general and administrative expenses was primarily due to unfavorable foreign currency exchange. Equity and other income decreased $2 million</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3" w:name="page54"/>
    <w:bookmarkEnd w:id="53"/>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compared to the prior year quarter due to accelerated depreciation during the current quarter related to the termination of a contract at a manufacturing facility.</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totaled $91 million for the current quarter compared to $58 million in the prior year quarter. Current quarter EBITDA increased $35 million to $152 million, while Adjusted EBITDA increased $24 million to $155 million. Adjusted EBITDA margin increased 2.1 percentage points in the current quarter to 24.3%.</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2018 year-to-date compared to fiscal 2017 year-to-date</w:t>
      </w:r>
    </w:p>
    <w:p>
      <w:pPr>
        <w:spacing w:after="0" w:line="10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Specialty Ingredients’ sales increased $217 million to $1,834 million in the current period. The acquisition of Pharmachem increased sales by $140 million, or 9%. Volume and mix combined to increase sales by $51 million while favorable foreign currency exchange increased sales by $48 million. In addition, improved product pricing increased sales by $11 million. These increases were partially offset by a decrease of $33 million primarily related to the transfer of ownership interest in a consolidated joint venture.</w:t>
      </w:r>
    </w:p>
    <w:p>
      <w:pPr>
        <w:spacing w:after="0" w:line="54" w:lineRule="exact"/>
        <w:rPr>
          <w:sz w:val="20"/>
          <w:szCs w:val="20"/>
          <w:color w:val="auto"/>
        </w:rPr>
      </w:pPr>
    </w:p>
    <w:p>
      <w:pPr>
        <w:jc w:val="both"/>
        <w:ind w:left="400"/>
        <w:spacing w:after="0" w:line="276" w:lineRule="auto"/>
        <w:rPr>
          <w:sz w:val="20"/>
          <w:szCs w:val="20"/>
          <w:color w:val="auto"/>
        </w:rPr>
      </w:pPr>
      <w:r>
        <w:rPr>
          <w:rFonts w:ascii="Arial" w:cs="Arial" w:eastAsia="Arial" w:hAnsi="Arial"/>
          <w:sz w:val="18"/>
          <w:szCs w:val="18"/>
          <w:color w:val="auto"/>
        </w:rPr>
        <w:t>Gross profit during the current period increased $88 million compared to the prior year period. The acquisition of Pharmachem increased gross profit by $39 million while improved volume and mix combined to increase gross profit by $26 million. Favorable foreign currency exchange increased gross profit by $21 million, and there was an increase of $13 million due to restructuring charges for a plant closure in the prior year period. These increases were partially offset by the net impact of pricing and costs, which decreased gross profit by $7 million, and the joint venture divestiture, which decreased gross profit by $4 million. In total, gross profit margin during the current period increased 1.0 percentage points as compared to the prior year period to 33.4%.</w:t>
      </w:r>
    </w:p>
    <w:p>
      <w:pPr>
        <w:spacing w:after="0" w:line="57"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Selling, general and administrative expenses increased $32 million in the current period as compared to the prior year period largely due to incremental costs of $23 million related to the acquisition of Pharmachem’s operations. The remaining increase in selling, general and administrative expenses was primarily due to unfavorable foreign currency exchange. Equity and other income decreased $6 million compared to the prior year period due to accelerated depreciation during the current period related to the termination of a contract at a manufacturing facility.</w:t>
      </w:r>
    </w:p>
    <w:p>
      <w:pPr>
        <w:spacing w:after="0" w:line="87"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totaled $222 million for the current period compared to $172 million in the prior year period. Current period EBITDA increased $66 million to $405 million, while Adjusted EBITDA increased $60 million to $413 million. Adjusted EBITDA margin increased 0.7 percentage points in the current period to 22.5%.</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The following EBITDA and Adjusted EBITDA presentation for the three and nine months ended June 30, 2018 and 2017 below is provided as a means to enhance the understanding of financial measurements that Ashland has internally determined to be relevant measures of comparison for the results of Specialty Ingredients. Adjusted EBITDA results have been prepared to illustrate the ongoing effects of Ashland's operations, which exclude certain key items. The key items within the current quarter included $2 million accelerated depreciation for the termination of a contract at a manufacturing facility and $1 million of environmental reserve charges. In addition to the current quarter items, the current period reflects $4 million of additional accelerated depreciation and $1 million of severance and other restructuring charges for the closure of a manufacturing plant. The key items within both the prior year quarter and period related to a $13 million restructuring charge for the closure of a manufacturing plant, which included $11 million of accelerated depreciation and $2 million of severance and other restructuring costs, and $1 million for the revaluation of Pharmachem inventory.</w:t>
      </w:r>
    </w:p>
    <w:p>
      <w:pPr>
        <w:spacing w:after="0" w:line="4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4" w:name="page55"/>
    <w:bookmarkEnd w:id="54"/>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4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tcBorders>
          </w:tcPr>
          <w:p>
            <w:pPr>
              <w:spacing w:after="0"/>
              <w:rPr>
                <w:sz w:val="21"/>
                <w:szCs w:val="21"/>
                <w:color w:val="auto"/>
              </w:rPr>
            </w:pPr>
          </w:p>
        </w:tc>
      </w:tr>
      <w:tr>
        <w:trPr>
          <w:trHeight w:val="230"/>
        </w:trPr>
        <w:tc>
          <w:tcPr>
            <w:tcW w:w="3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r>
      <w:tr>
        <w:trPr>
          <w:trHeight w:val="223"/>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w:t>
            </w:r>
          </w:p>
        </w:tc>
        <w:tc>
          <w:tcPr>
            <w:tcW w:w="98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w:t>
            </w:r>
          </w:p>
        </w:tc>
      </w:tr>
      <w:tr>
        <w:trPr>
          <w:trHeight w:val="230"/>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6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339</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Accelerated depreciation</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Environmental reserve adjustments</w:t>
            </w:r>
          </w:p>
        </w:tc>
        <w:tc>
          <w:tcPr>
            <w:tcW w:w="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Severance and other restructuring costs</w:t>
            </w: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Inventory fair value adjustment</w:t>
            </w:r>
          </w:p>
        </w:tc>
        <w:tc>
          <w:tcPr>
            <w:tcW w:w="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Adjusted EBITDA</w:t>
            </w:r>
          </w:p>
        </w:tc>
        <w:tc>
          <w:tcPr>
            <w:tcW w:w="6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353</w:t>
            </w:r>
          </w:p>
        </w:tc>
      </w:tr>
      <w:tr>
        <w:trPr>
          <w:trHeight w:val="20"/>
        </w:trPr>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660" w:hanging="260"/>
        <w:spacing w:after="0" w:line="253"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Excludes $2 million and $6 million of accelerated depreciation for the three and nine months ended June 30, 2018, and $11 million of accelerated depreciation for both the three and nine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-211455</wp:posOffset>
            </wp:positionV>
            <wp:extent cx="67322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4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w:t>
      </w:r>
    </w:p>
    <w:p>
      <w:pPr>
        <w:spacing w:after="0" w:line="114" w:lineRule="exact"/>
        <w:rPr>
          <w:sz w:val="20"/>
          <w:szCs w:val="20"/>
          <w:color w:val="auto"/>
        </w:rPr>
      </w:pPr>
    </w:p>
    <w:p>
      <w:pPr>
        <w:jc w:val="both"/>
        <w:ind w:left="400"/>
        <w:spacing w:after="0" w:line="311" w:lineRule="auto"/>
        <w:rPr>
          <w:sz w:val="20"/>
          <w:szCs w:val="20"/>
          <w:color w:val="auto"/>
        </w:rPr>
      </w:pPr>
      <w:r>
        <w:rPr>
          <w:rFonts w:ascii="Arial" w:cs="Arial" w:eastAsia="Arial" w:hAnsi="Arial"/>
          <w:sz w:val="16"/>
          <w:szCs w:val="16"/>
          <w:color w:val="auto"/>
        </w:rPr>
        <w:t>Composites is a global leader in unsaturated polyester resins, vinyl ester resins and gelcoats. The Composites business manufactures and sells a broad range of general-purpose and high-performance grades of unsaturated polyester and vinyl ester resins, gelcoats and low-profile additives for the reinforced plastics industry. The products in the Composites business provide an array of functional properties including corrosion resistance, fire retardance, ultraviolet resistance, water and chemical resistance, high mechanical strength, impact and scratch resistance and high strength-to-weight ratios. Key end markets include transportation, construction, marine and infrastructure. In addition, the business manufactures and sells molten maleic anhydride for the manufacture of a variety of products such as unsaturated polyester resins, copolymers, lubricating oil additives, alkenyl succinic anhydrides, malic acid, fumaric acid and numerous derivative chemicals. Key markets include composites, personal care, dispersants and paper sizing.</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June 2018 quarter compared to June 2017quarter</w:t>
      </w:r>
    </w:p>
    <w:p>
      <w:pPr>
        <w:spacing w:after="0" w:line="108"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Composites’ sales increased $41 million to $250 million in the current quarter. The acquisition of an unsaturated polyester resins manufacturing facility in May 2017 increased sales by $15 million, or 7%, while improved product pricing increased sales by $12 million, or 6%. Improved volume and mix increased sales by $9 million as metric tons sold increased to 99.2 thousand in the current quarter, while favorable foreign currency exchange increased sales by $5 million</w:t>
      </w:r>
    </w:p>
    <w:p>
      <w:pPr>
        <w:spacing w:after="0" w:line="6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Gross profit increased $7 million in the current quarter compared to the prior year quarter. The net effects of pricing and costs increased gross profit by $3 million. Changes in volume and mix combined to increase gross profit by $2 million while the facility acquisition and favorable foreign currency exchange each increased gross profit by $1 million. In total, gross profit margin decreased 0.7 percentage points as compared to the prior year quarter to 20.3%.</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Selling, general and administrative expenses during the current quarter increased $7 million compared to the prior year quarter primarily due to higher general allocated resource costs as well as employee-related costs. Equity and other income remained consistent with the prior year quarter.</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totaled $22 million and EBITDA totaled $27 million in both the current and prior year quarters. Adjusted EBITDA increased $1 million to $28 million in the current quarter, while Adjusted EBITDA margin decreased 1.7 percentage points in the current quarter to 11.2%.</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2018 year-to-date compared to fiscal 2017 year-to-date</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Composites’ sales increased $145 million to $706 million in the current period. The acquisition of an unsaturated polyester resins manufacturing facility increased sales by $51 million, or 9%, while improved product pricing increased sales by $47 million, or 8%. Improved volume and mix increased sales by $26 million, as metric tons sold increased to 287.5 thousand in the current period, while favorable foreign currency exchange increased sales by $21 million.</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5" w:name="page56"/>
    <w:bookmarkEnd w:id="55"/>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Gross profit increased $23 million in the current period compared to the prior year period. The net effects of pricing and costs increased gross profit by $8 million, while changes in volume and mix combined to increase gross profit by $6 million. Favorable foreign currency exchange increased gross profit by $5 million and the facility acquisition increased gross profit by $4 million. In total, gross profit margin decreased 1.0 percentage points as compared to the prior year period to 19.2%.</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Selling, general and administrative expenses during the current period increased $15 million compared to the prior year period primarily due to higher general allocated resource costs as well as employee-related costs. Equity and other income increased $1 million compared to the prior year period.</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totaled $59 million in the current period compared to $50 million in the prior year period. EBITDA increased $9 million to $75 million in the current period, while Adjusted EBITDA increased $10 million to $76 million in the current period. Adjusted EBITDA margin decreased 1.0 percentage points in the current period to 10.8%.</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The following EBITDA and Adjusted EBITDA presentation for the three and nine months ended June 30, 2018 and 2017 below is provided as a means to enhance the understanding of financial measurements that Ashland has internally determined to be relevant measures of comparison for the results of Composites. Adjusted EBITDA results have been prepared to illustrate the ongoing effects of Ashland's operations, which exclude certain key items. The key item in the current quarter and period related to environmental reserve adjustments of $1 million. There were no unusual or key items that affected comparability for EBITDA during the prior year quarter or period.</w:t>
      </w:r>
    </w:p>
    <w:p>
      <w:pPr>
        <w:spacing w:after="0" w:line="19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tcBorders>
          </w:tcPr>
          <w:p>
            <w:pPr>
              <w:spacing w:after="0"/>
              <w:rPr>
                <w:sz w:val="21"/>
                <w:szCs w:val="21"/>
                <w:color w:val="auto"/>
              </w:rPr>
            </w:pPr>
          </w:p>
        </w:tc>
      </w:tr>
      <w:tr>
        <w:trPr>
          <w:trHeight w:val="230"/>
        </w:trPr>
        <w:tc>
          <w:tcPr>
            <w:tcW w:w="3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r>
      <w:tr>
        <w:trPr>
          <w:trHeight w:val="223"/>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ind w:right="6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30"/>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r>
      <w:tr>
        <w:trPr>
          <w:trHeight w:val="22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Environmental reserve adjustments</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0"/>
        </w:trPr>
        <w:tc>
          <w:tcPr>
            <w:tcW w:w="3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Intermediates and Solvents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Intermediates and Solvents is a leading producer of 1,4 butanediol (BDO)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June 2018 quarter compared to June 2017 quarter</w:t>
      </w:r>
    </w:p>
    <w:p>
      <w:pPr>
        <w:spacing w:after="0" w:line="10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Intermediates and Solvents’ sales increased $13 million to $83 million in the current quarter. Improved product pricing increased sales by $9 million, while favorable foreign currency exchange increased sales by $4 million.</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Gross profit increased $7 million during the current quarter compared to the prior year quarter primarily due to the net impact of pricing and costs resulting from improvements in product pricing. Gross profit margin increased 6.7 percentage points as compared to the prior year quarter to 21.0%.</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Selling, general and administrative expenses remained consistent with the prior year quarter.</w:t>
      </w: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6" w:name="page57"/>
    <w:bookmarkEnd w:id="56"/>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Operating income totaled $9 million in the current quarter as compared to $2 million in the prior year quarter. EBITDA increased $7 million to $17 million in the current quarter, while EBITDA margin increased 6.2 percentage points in the current quarter to 20.5%.</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2018 year-to-date compared to fiscal 2017 year-to-date</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Intermediates and Solvents’ sales increased $45 million to $247 million in the current period. Improved product pricing increased sales by $33 million while favorable foreign currency exchange increased sales by $15 million. The combination of lower volumes and product mix decreased sales by $3 million.</w:t>
      </w:r>
    </w:p>
    <w:p>
      <w:pPr>
        <w:spacing w:after="0" w:line="78"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Gross profit increased $32 million during the current period compared to the prior year period. The net impact of pricing and costs increased gross profit by $24 million primarily due to improvements in product pricing. Lower facility turnaround costs in the current period resulted in a $4 million increase in gross profit. Volume declines were more than offset by product mix improvements to increase gross profit by $3 million while favorable foreign currency exchange increased gross profit by $1 million. In total, gross profit margin increased 11.6 percentage points as compared to the prior year period to 18.3%.</w:t>
      </w:r>
    </w:p>
    <w:p>
      <w:pPr>
        <w:spacing w:after="0" w:line="73"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Selling, general and administrative expenses increased $2 million compared to the prior year period primarily due to higher general allocated resource costs.</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Operating income totaled $22 million in the current period as compared to a loss of $8 million in the prior year period. EBITDA increased $30 million to $45 million in the current period, while EBITDA margin increased 10.8 percentage points in the current period to 18.2%.</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following EBITDA presentation for the three and nine months ended June 30, 2018 and 2017 is provided as a means to enhance the understanding of financial measurements that Ashland has internally determined to be relevant measures of comparison for the results of Intermediates and Solvents. There were no unusual or key items that affected comparability for EBITDA during the current and prior year quarters or periods.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tcBorders>
          </w:tcPr>
          <w:p>
            <w:pPr>
              <w:spacing w:after="0"/>
              <w:rPr>
                <w:sz w:val="21"/>
                <w:szCs w:val="21"/>
                <w:color w:val="auto"/>
              </w:rPr>
            </w:pPr>
          </w:p>
        </w:tc>
      </w:tr>
      <w:tr>
        <w:trPr>
          <w:trHeight w:val="230"/>
        </w:trPr>
        <w:tc>
          <w:tcPr>
            <w:tcW w:w="3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r>
      <w:tr>
        <w:trPr>
          <w:trHeight w:val="223"/>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38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23"/>
        </w:trPr>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9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r>
        <w:trPr>
          <w:trHeight w:val="20"/>
        </w:trPr>
        <w:tc>
          <w:tcPr>
            <w:tcW w:w="3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and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29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6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Nine months ended</w:t>
            </w:r>
          </w:p>
        </w:tc>
        <w:tc>
          <w:tcPr>
            <w:tcW w:w="720" w:type="dxa"/>
            <w:vAlign w:val="bottom"/>
            <w:tcBorders>
              <w:top w:val="single" w:sz="8" w:color="auto"/>
            </w:tcBorders>
          </w:tcPr>
          <w:p>
            <w:pPr>
              <w:spacing w:after="0"/>
              <w:rPr>
                <w:sz w:val="21"/>
                <w:szCs w:val="21"/>
                <w:color w:val="auto"/>
              </w:rPr>
            </w:pPr>
          </w:p>
        </w:tc>
      </w:tr>
      <w:tr>
        <w:trPr>
          <w:trHeight w:val="230"/>
        </w:trPr>
        <w:tc>
          <w:tcPr>
            <w:tcW w:w="2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605"/>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r>
      <w:tr>
        <w:trPr>
          <w:trHeight w:val="223"/>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 xml:space="preserve">Restructuring activities </w:t>
            </w:r>
            <w:r>
              <w:rPr>
                <w:rFonts w:ascii="Arial" w:cs="Arial" w:eastAsia="Arial" w:hAnsi="Arial"/>
                <w:sz w:val="14"/>
                <w:szCs w:val="14"/>
                <w:color w:val="auto"/>
              </w:rPr>
              <w:t>(a)</w:t>
            </w:r>
          </w:p>
        </w:tc>
        <w:tc>
          <w:tcPr>
            <w:tcW w:w="154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980" w:type="dxa"/>
            <w:vAlign w:val="bottom"/>
            <w:gridSpan w:val="2"/>
          </w:tcPr>
          <w:p>
            <w:pPr>
              <w:jc w:val="right"/>
              <w:ind w:right="66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expenses</w:t>
            </w: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Legal settlement/reserve</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1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Total expense</w:t>
            </w:r>
          </w:p>
        </w:tc>
        <w:tc>
          <w:tcPr>
            <w:tcW w:w="110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800" w:hanging="400"/>
        <w:spacing w:after="0"/>
        <w:tabs>
          <w:tab w:leader="none" w:pos="8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separation, severance, integration and stranded divestiture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7" w:name="page58"/>
    <w:bookmarkEnd w:id="57"/>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June 2018 quarter compared to June 2017 quarter</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Unallocated and other recorded expense of $56 million and $45 million for the three months ended June 30, 2018 and 2017, respectively. The current and prior year quarters included charges for restructuring activities of $19 million and $31 million, respectively, which were comprised of the following items:</w:t>
      </w:r>
    </w:p>
    <w:p>
      <w:pPr>
        <w:spacing w:after="0" w:line="78" w:lineRule="exact"/>
        <w:rPr>
          <w:sz w:val="20"/>
          <w:szCs w:val="20"/>
          <w:color w:val="auto"/>
        </w:rPr>
      </w:pPr>
    </w:p>
    <w:p>
      <w:pPr>
        <w:ind w:left="800" w:hanging="400"/>
        <w:spacing w:after="0"/>
        <w:tabs>
          <w:tab w:leader="none" w:pos="8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lease abandonment charge of $7 million related to the exit from an office building during the current quarter;</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$5 million of costs related to the potential sale of the Composites segment and Marl facility during the current quarter;</w:t>
      </w:r>
    </w:p>
    <w:p>
      <w:pPr>
        <w:spacing w:after="0" w:line="119" w:lineRule="exact"/>
        <w:rPr>
          <w:rFonts w:ascii="Arial" w:cs="Arial" w:eastAsia="Arial" w:hAnsi="Arial"/>
          <w:sz w:val="19"/>
          <w:szCs w:val="19"/>
          <w:color w:val="auto"/>
        </w:rPr>
      </w:pPr>
    </w:p>
    <w:p>
      <w:pPr>
        <w:ind w:left="800" w:hanging="400"/>
        <w:spacing w:after="0"/>
        <w:tabs>
          <w:tab w:leader="none" w:pos="8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$1 million of integration costs related to the acquisition of Pharmachem during both the current and prior year quarters;</w:t>
      </w:r>
    </w:p>
    <w:p>
      <w:pPr>
        <w:spacing w:after="0" w:line="119" w:lineRule="exact"/>
        <w:rPr>
          <w:rFonts w:ascii="Arial" w:cs="Arial" w:eastAsia="Arial" w:hAnsi="Arial"/>
          <w:sz w:val="19"/>
          <w:szCs w:val="19"/>
          <w:color w:val="auto"/>
        </w:rPr>
      </w:pPr>
    </w:p>
    <w:p>
      <w:pPr>
        <w:ind w:left="800" w:hanging="400"/>
        <w:spacing w:after="0" w:line="260" w:lineRule="auto"/>
        <w:tabs>
          <w:tab w:leader="none" w:pos="8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$1 million and $28 million of costs related to the separation of Valvoline during the current and prior year quarters, respectively; and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$5 million and $2 million of stranded divestiture costs during the current and prior year quarters, respectively.</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In addition, Unallocated and other included environmental expenses of $32 million during the current year quarter and $9 million during the prior year quarter.</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2018 year-to-date compared to fiscal 2017 year-to-date</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Unallocated and other recorded expense of $103 million and $109 million for the nine months ended June 30, 2018 and 2017, respectively. The current and prior year periods included charges for restructuring activities of $45 million and $79 million, respectively, which were comprised of the following items:</w:t>
      </w:r>
    </w:p>
    <w:p>
      <w:pPr>
        <w:spacing w:after="0" w:line="78" w:lineRule="exact"/>
        <w:rPr>
          <w:sz w:val="20"/>
          <w:szCs w:val="20"/>
          <w:color w:val="auto"/>
        </w:rPr>
      </w:pPr>
    </w:p>
    <w:p>
      <w:pPr>
        <w:ind w:left="800" w:hanging="400"/>
        <w:spacing w:after="0"/>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$8 million of accelerated depreciation related to the planned closure of an office building during the current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lease abandonment charge of $7 million related to the exit from an office building during the current period;</w:t>
      </w:r>
    </w:p>
    <w:p>
      <w:pPr>
        <w:spacing w:after="0" w:line="107" w:lineRule="exact"/>
        <w:rPr>
          <w:rFonts w:ascii="Arial" w:cs="Arial" w:eastAsia="Arial" w:hAnsi="Arial"/>
          <w:sz w:val="20"/>
          <w:szCs w:val="20"/>
          <w:color w:val="auto"/>
        </w:rPr>
      </w:pPr>
    </w:p>
    <w:p>
      <w:pPr>
        <w:ind w:left="800" w:hanging="400"/>
        <w:spacing w:after="0"/>
        <w:tabs>
          <w:tab w:leader="none" w:pos="8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$5 million of costs related to the potential sale of the Composites segment and Marl facility during the current period;</w:t>
      </w:r>
    </w:p>
    <w:p>
      <w:pPr>
        <w:spacing w:after="0" w:line="119" w:lineRule="exact"/>
        <w:rPr>
          <w:rFonts w:ascii="Arial" w:cs="Arial" w:eastAsia="Arial" w:hAnsi="Arial"/>
          <w:sz w:val="19"/>
          <w:szCs w:val="19"/>
          <w:color w:val="auto"/>
        </w:rPr>
      </w:pPr>
    </w:p>
    <w:p>
      <w:pPr>
        <w:ind w:left="800" w:hanging="400"/>
        <w:spacing w:after="0" w:line="260" w:lineRule="auto"/>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$7 million and $1 million of integration costs related to the acquisition of Pharmachem during the current and prior year periods, respectively;</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$9 million and $69 million of costs related to the separation of Valvoline during the current and prior year periods, respectively; and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$9 million of stranded divestiture costs during both the current and prior year periods.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In addition, Unallocated and other during the current period included $51 million for environmental expenses and $5 million of income related to proceeds from a legal settlement while additional items in the prior year period included $17 million for environmental expenses and $5 million of expense for a legal reserve.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 had $182 million in cash and cash equivalents as of June 30, 2018, of which $171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8" w:name="page59"/>
    <w:bookmarkEnd w:id="58"/>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remitted. Ashland currently has no plans to repatriate any amounts for which additional taxes would need to be accrued. However, due to the recent Tax Act, Ashland will be reassessing this position in future quarters.</w:t>
      </w:r>
    </w:p>
    <w:p>
      <w:pPr>
        <w:spacing w:after="0" w:line="69" w:lineRule="exact"/>
        <w:rPr>
          <w:sz w:val="20"/>
          <w:szCs w:val="20"/>
          <w:color w:val="auto"/>
        </w:rPr>
      </w:pPr>
    </w:p>
    <w:p>
      <w:pPr>
        <w:ind w:left="400" w:right="20"/>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4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165"/>
              <w:spacing w:after="0"/>
              <w:rPr>
                <w:sz w:val="20"/>
                <w:szCs w:val="20"/>
                <w:color w:val="auto"/>
              </w:rPr>
            </w:pPr>
            <w:r>
              <w:rPr>
                <w:rFonts w:ascii="Arial" w:cs="Arial" w:eastAsia="Arial" w:hAnsi="Arial"/>
                <w:sz w:val="18"/>
                <w:szCs w:val="18"/>
                <w:color w:val="auto"/>
              </w:rPr>
              <w:t>Nine months ended</w:t>
            </w:r>
          </w:p>
        </w:tc>
        <w:tc>
          <w:tcPr>
            <w:tcW w:w="700" w:type="dxa"/>
            <w:vAlign w:val="bottom"/>
            <w:tcBorders>
              <w:top w:val="single" w:sz="8" w:color="auto"/>
            </w:tcBorders>
          </w:tcPr>
          <w:p>
            <w:pPr>
              <w:spacing w:after="0"/>
              <w:rPr>
                <w:sz w:val="21"/>
                <w:szCs w:val="21"/>
                <w:color w:val="auto"/>
              </w:rPr>
            </w:pPr>
          </w:p>
        </w:tc>
      </w:tr>
      <w:tr>
        <w:trPr>
          <w:trHeight w:val="230"/>
        </w:trPr>
        <w:tc>
          <w:tcPr>
            <w:tcW w:w="74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585"/>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Cash provided (used) by:</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activities from continuing operations</w:t>
            </w: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Investing activities from continuing operations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(779)</w:t>
            </w:r>
          </w:p>
        </w:tc>
      </w:tr>
      <w:tr>
        <w:trPr>
          <w:trHeight w:val="230"/>
        </w:trPr>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activities from continuing operations</w:t>
            </w:r>
          </w:p>
        </w:tc>
        <w:tc>
          <w:tcPr>
            <w:tcW w:w="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r>
      <w:tr>
        <w:trPr>
          <w:trHeight w:val="230"/>
        </w:trPr>
        <w:tc>
          <w:tcPr>
            <w:tcW w:w="744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7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4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discloses the cash flows associated with Ashland’s operating activities for the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5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Nine months ended</w:t>
            </w:r>
          </w:p>
        </w:tc>
        <w:tc>
          <w:tcPr>
            <w:tcW w:w="700" w:type="dxa"/>
            <w:vAlign w:val="bottom"/>
            <w:tcBorders>
              <w:top w:val="single" w:sz="8" w:color="auto"/>
            </w:tcBorders>
          </w:tcPr>
          <w:p>
            <w:pPr>
              <w:spacing w:after="0"/>
              <w:rPr>
                <w:sz w:val="21"/>
                <w:szCs w:val="21"/>
                <w:color w:val="auto"/>
              </w:rPr>
            </w:pPr>
          </w:p>
        </w:tc>
      </w:tr>
      <w:tr>
        <w:trPr>
          <w:trHeight w:val="230"/>
        </w:trPr>
        <w:tc>
          <w:tcPr>
            <w:tcW w:w="6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20"/>
                <w:szCs w:val="20"/>
                <w:color w:val="auto"/>
              </w:rPr>
            </w:pPr>
          </w:p>
        </w:tc>
      </w:tr>
      <w:tr>
        <w:trPr>
          <w:trHeight w:val="223"/>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05"/>
        </w:trPr>
        <w:tc>
          <w:tcPr>
            <w:tcW w:w="656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 provided (used) by operating activities from</w:t>
            </w: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6560" w:type="dxa"/>
            <w:vAlign w:val="bottom"/>
          </w:tcPr>
          <w:p>
            <w:pPr>
              <w:ind w:left="120"/>
              <w:spacing w:after="0"/>
              <w:rPr>
                <w:sz w:val="20"/>
                <w:szCs w:val="20"/>
                <w:color w:val="auto"/>
              </w:rPr>
            </w:pPr>
            <w:r>
              <w:rPr>
                <w:rFonts w:ascii="Arial" w:cs="Arial" w:eastAsia="Arial" w:hAnsi="Arial"/>
                <w:sz w:val="18"/>
                <w:szCs w:val="18"/>
                <w:b w:val="1"/>
                <w:bCs w:val="1"/>
                <w:color w:val="auto"/>
              </w:rPr>
              <w:t>continuing operations</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FF0FC"/>
          </w:tcPr>
          <w:p>
            <w:pPr>
              <w:jc w:val="right"/>
              <w:ind w:right="28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w:t>
            </w:r>
          </w:p>
        </w:tc>
        <w:tc>
          <w:tcPr>
            <w:tcW w:w="96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r>
      <w:tr>
        <w:trPr>
          <w:trHeight w:val="230"/>
        </w:trPr>
        <w:tc>
          <w:tcPr>
            <w:tcW w:w="6560" w:type="dxa"/>
            <w:vAlign w:val="bottom"/>
          </w:tcPr>
          <w:p>
            <w:pPr>
              <w:ind w:left="240"/>
              <w:spacing w:after="0"/>
              <w:rPr>
                <w:sz w:val="20"/>
                <w:szCs w:val="20"/>
                <w:color w:val="auto"/>
              </w:rPr>
            </w:pPr>
            <w:r>
              <w:rPr>
                <w:rFonts w:ascii="Arial" w:cs="Arial" w:eastAsia="Arial" w:hAnsi="Arial"/>
                <w:sz w:val="18"/>
                <w:szCs w:val="18"/>
                <w:color w:val="auto"/>
              </w:rPr>
              <w:t>Income from discontinued operations (net of income taxes)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r>
      <w:tr>
        <w:trPr>
          <w:trHeight w:val="230"/>
        </w:trPr>
        <w:tc>
          <w:tcPr>
            <w:tcW w:w="6560" w:type="dxa"/>
            <w:vAlign w:val="bottom"/>
          </w:tcPr>
          <w:p>
            <w:pPr>
              <w:ind w:left="360"/>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5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218</w:t>
            </w:r>
          </w:p>
        </w:tc>
      </w:tr>
      <w:tr>
        <w:trPr>
          <w:trHeight w:val="230"/>
        </w:trPr>
        <w:tc>
          <w:tcPr>
            <w:tcW w:w="6560" w:type="dxa"/>
            <w:vAlign w:val="bottom"/>
          </w:tcPr>
          <w:p>
            <w:pPr>
              <w:ind w:left="600"/>
              <w:spacing w:after="0"/>
              <w:rPr>
                <w:sz w:val="20"/>
                <w:szCs w:val="20"/>
                <w:color w:val="auto"/>
              </w:rPr>
            </w:pPr>
            <w:r>
              <w:rPr>
                <w:rFonts w:ascii="Arial" w:cs="Arial" w:eastAsia="Arial" w:hAnsi="Arial"/>
                <w:sz w:val="18"/>
                <w:szCs w:val="18"/>
                <w:color w:val="auto"/>
              </w:rPr>
              <w:t>Original issue discount and debt issuance costs amortization</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108</w:t>
            </w:r>
          </w:p>
        </w:tc>
      </w:tr>
      <w:tr>
        <w:trPr>
          <w:trHeight w:val="230"/>
        </w:trPr>
        <w:tc>
          <w:tcPr>
            <w:tcW w:w="65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560" w:type="dxa"/>
            <w:vAlign w:val="bottom"/>
          </w:tcPr>
          <w:p>
            <w:pPr>
              <w:ind w:left="600"/>
              <w:spacing w:after="0"/>
              <w:rPr>
                <w:sz w:val="20"/>
                <w:szCs w:val="20"/>
                <w:color w:val="auto"/>
              </w:rPr>
            </w:pPr>
            <w:r>
              <w:rPr>
                <w:rFonts w:ascii="Arial" w:cs="Arial" w:eastAsia="Arial" w:hAnsi="Arial"/>
                <w:sz w:val="18"/>
                <w:szCs w:val="18"/>
                <w:color w:val="auto"/>
              </w:rPr>
              <w:t>Distributions from affiliates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65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Stock based compensation expense</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r>
      <w:tr>
        <w:trPr>
          <w:trHeight w:val="230"/>
        </w:trPr>
        <w:tc>
          <w:tcPr>
            <w:tcW w:w="6560" w:type="dxa"/>
            <w:vAlign w:val="bottom"/>
          </w:tcPr>
          <w:p>
            <w:pPr>
              <w:ind w:left="600"/>
              <w:spacing w:after="0"/>
              <w:rPr>
                <w:sz w:val="20"/>
                <w:szCs w:val="20"/>
                <w:color w:val="auto"/>
              </w:rPr>
            </w:pPr>
            <w:r>
              <w:rPr>
                <w:rFonts w:ascii="Arial" w:cs="Arial" w:eastAsia="Arial" w:hAnsi="Arial"/>
                <w:sz w:val="18"/>
                <w:szCs w:val="18"/>
                <w:color w:val="auto"/>
              </w:rPr>
              <w:t>Excess tax benefit on stock based compensation</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65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Loss on early retirement of debt</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30"/>
        </w:trPr>
        <w:tc>
          <w:tcPr>
            <w:tcW w:w="6560" w:type="dxa"/>
            <w:vAlign w:val="bottom"/>
          </w:tcPr>
          <w:p>
            <w:pPr>
              <w:ind w:left="600"/>
              <w:spacing w:after="0"/>
              <w:rPr>
                <w:sz w:val="20"/>
                <w:szCs w:val="20"/>
                <w:color w:val="auto"/>
              </w:rPr>
            </w:pPr>
            <w:r>
              <w:rPr>
                <w:rFonts w:ascii="Arial" w:cs="Arial" w:eastAsia="Arial" w:hAnsi="Arial"/>
                <w:sz w:val="18"/>
                <w:szCs w:val="18"/>
                <w:color w:val="auto"/>
              </w:rPr>
              <w:t>Realized gains and investment income on available-for-sale securities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5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Net loss on acquisitions and divestitures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6560" w:type="dxa"/>
            <w:vAlign w:val="bottom"/>
          </w:tcPr>
          <w:p>
            <w:pPr>
              <w:ind w:left="600"/>
              <w:spacing w:after="0"/>
              <w:rPr>
                <w:sz w:val="20"/>
                <w:szCs w:val="20"/>
                <w:color w:val="auto"/>
              </w:rPr>
            </w:pPr>
            <w:r>
              <w:rPr>
                <w:rFonts w:ascii="Arial" w:cs="Arial" w:eastAsia="Arial" w:hAnsi="Arial"/>
                <w:sz w:val="18"/>
                <w:szCs w:val="18"/>
                <w:color w:val="auto"/>
              </w:rPr>
              <w:t>Pension contributions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560" w:type="dxa"/>
            <w:vAlign w:val="bottom"/>
            <w:shd w:val="clear" w:color="auto" w:fill="CFF0FC"/>
          </w:tcPr>
          <w:p>
            <w:pPr>
              <w:ind w:left="600"/>
              <w:spacing w:after="0"/>
              <w:rPr>
                <w:sz w:val="20"/>
                <w:szCs w:val="20"/>
                <w:color w:val="auto"/>
              </w:rPr>
            </w:pPr>
            <w:r>
              <w:rPr>
                <w:rFonts w:ascii="Arial" w:cs="Arial" w:eastAsia="Arial" w:hAnsi="Arial"/>
                <w:sz w:val="18"/>
                <w:szCs w:val="18"/>
                <w:color w:val="auto"/>
              </w:rPr>
              <w:t>Gain on post-employment plan remeasurement</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560" w:type="dxa"/>
            <w:vAlign w:val="bottom"/>
            <w:tcBorders>
              <w:bottom w:val="single" w:sz="8" w:color="CFF0FC"/>
            </w:tcBorders>
          </w:tcPr>
          <w:p>
            <w:pPr>
              <w:ind w:left="600"/>
              <w:spacing w:after="0"/>
              <w:rPr>
                <w:sz w:val="20"/>
                <w:szCs w:val="20"/>
                <w:color w:val="auto"/>
              </w:rPr>
            </w:pPr>
            <w:r>
              <w:rPr>
                <w:rFonts w:ascii="Arial" w:cs="Arial" w:eastAsia="Arial" w:hAnsi="Arial"/>
                <w:sz w:val="18"/>
                <w:szCs w:val="18"/>
                <w:color w:val="auto"/>
              </w:rPr>
              <w:t>Change in operating assets and liabilities (a)</w:t>
            </w:r>
          </w:p>
        </w:tc>
        <w:tc>
          <w:tcPr>
            <w:tcW w:w="9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9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w:t>
            </w:r>
          </w:p>
        </w:tc>
        <w:tc>
          <w:tcPr>
            <w:tcW w:w="1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w:t>
            </w:r>
          </w:p>
        </w:tc>
      </w:tr>
      <w:tr>
        <w:trPr>
          <w:trHeight w:val="20"/>
        </w:trPr>
        <w:tc>
          <w:tcPr>
            <w:tcW w:w="6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Excludes changes resulting from operations acquired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91"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Cash flows provided from operating activities from continuing operations, a major source of Ashland’s liquidity, amounted to cash inflows of $129 million and $130 million in the current and prior year periods, respectively.</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59" w:name="page60"/>
    <w:bookmarkEnd w:id="59"/>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0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The cash results during each period are primarily driven by net income (loss),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5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Changes in net working capital accounted for outflows of $156 million and $88 million for the nine months ended June 30, 2018 and 2017, respectively, and were driven by the following:</w:t>
      </w:r>
    </w:p>
    <w:p>
      <w:pPr>
        <w:spacing w:after="0" w:line="69" w:lineRule="exact"/>
        <w:rPr>
          <w:sz w:val="20"/>
          <w:szCs w:val="20"/>
          <w:color w:val="auto"/>
        </w:rPr>
      </w:pPr>
    </w:p>
    <w:p>
      <w:pPr>
        <w:ind w:left="800" w:hanging="400"/>
        <w:spacing w:after="0" w:line="260" w:lineRule="auto"/>
        <w:tabs>
          <w:tab w:leader="none" w:pos="8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Accounts receivable - There were cash outflows of $80 million and $76 million during the current and prior year periods, respectively.</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Inventory – There were cash outflows of $24 million and $16 million during the current and prior year periods, respectively, which were primarily due to sales volumes and inventory management strategies.</w:t>
      </w:r>
    </w:p>
    <w:p>
      <w:pPr>
        <w:spacing w:after="0" w:line="6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Trade and other payables - There was a cash outflow of $52 million and cash inflow of $4 million during the current and prior year periods, respectively.</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remaining outflows within changes in operating assets and liabilities of $57 million and $64 million in the current and prior year periods, respectively, relate primarily to adjustments to certain accruals and long-term assets and liabilities as well as income taxes received and paid.</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Operating Activities - Summary</w:t>
      </w:r>
    </w:p>
    <w:p>
      <w:pPr>
        <w:spacing w:after="0" w:line="10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Operating cash flows for the current period included income from continuing operations of $95 million, noncash adjustments of $236 million for depreciation and amortization and $7 million for debt issuance cost amortization.</w:t>
      </w:r>
    </w:p>
    <w:p>
      <w:pPr>
        <w:spacing w:after="0" w:line="69"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Operating cash flows for the prior year period included a loss from continuing operations of $53 million. Operating cash flows also included noncash adjustments of $218 million for depreciation and amortization and $108 million for original issue discount and debt issuance cost amortization, including $92 million of accelerated accretion related to the tender offer of the 2029 notes and $7 million of accelerated amortization of previously capitalized debt issuance costs related to financing activity for the 2017 Credit Agreement.</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discloses the cash flows associated with Ashland’s investing activities for the nine months ended June 30, 2018 and 2017.</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0" w:name="page61"/>
    <w:bookmarkEnd w:id="60"/>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3"/>
          </w:tcPr>
          <w:p>
            <w:pPr>
              <w:jc w:val="right"/>
              <w:ind w:right="5"/>
              <w:spacing w:after="0"/>
              <w:rPr>
                <w:sz w:val="20"/>
                <w:szCs w:val="20"/>
                <w:color w:val="auto"/>
              </w:rPr>
            </w:pPr>
            <w:r>
              <w:rPr>
                <w:rFonts w:ascii="Arial" w:cs="Arial" w:eastAsia="Arial" w:hAnsi="Arial"/>
                <w:sz w:val="18"/>
                <w:szCs w:val="18"/>
                <w:color w:val="auto"/>
              </w:rPr>
              <w:t>Nine months ended</w:t>
            </w:r>
          </w:p>
        </w:tc>
        <w:tc>
          <w:tcPr>
            <w:tcW w:w="580" w:type="dxa"/>
            <w:vAlign w:val="bottom"/>
            <w:tcBorders>
              <w:top w:val="single" w:sz="8" w:color="auto"/>
            </w:tcBorders>
          </w:tcPr>
          <w:p>
            <w:pPr>
              <w:spacing w:after="0"/>
              <w:rPr>
                <w:sz w:val="21"/>
                <w:szCs w:val="21"/>
                <w:color w:val="auto"/>
              </w:rPr>
            </w:pPr>
          </w:p>
        </w:tc>
      </w:tr>
      <w:tr>
        <w:trPr>
          <w:trHeight w:val="230"/>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05"/>
        </w:trPr>
        <w:tc>
          <w:tcPr>
            <w:tcW w:w="798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 provided (used) by investing activities from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4"/>
        </w:trPr>
        <w:tc>
          <w:tcPr>
            <w:tcW w:w="7980" w:type="dxa"/>
            <w:vAlign w:val="bottom"/>
          </w:tcPr>
          <w:p>
            <w:pPr>
              <w:ind w:left="120"/>
              <w:spacing w:after="0"/>
              <w:rPr>
                <w:sz w:val="20"/>
                <w:szCs w:val="20"/>
                <w:color w:val="auto"/>
              </w:rPr>
            </w:pPr>
            <w:r>
              <w:rPr>
                <w:rFonts w:ascii="Arial" w:cs="Arial" w:eastAsia="Arial" w:hAnsi="Arial"/>
                <w:sz w:val="18"/>
                <w:szCs w:val="18"/>
                <w:b w:val="1"/>
                <w:bCs w:val="1"/>
                <w:color w:val="auto"/>
              </w:rPr>
              <w:t>continuing operations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operations - net of cash acquired</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sale of operations</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Life insurance payments</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Net purchase of funds restricted for specific transactions</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Reimbursement from restricted investments</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sales of available-for-sale securities</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available-for-sale securities</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the settlement of derivative instruments</w:t>
            </w:r>
          </w:p>
        </w:tc>
        <w:tc>
          <w:tcPr>
            <w:tcW w:w="3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for the settlement of derivative instruments</w:t>
            </w: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Cash used by investing activities was $135 million and $779 million for the current and prior year periods, respectively.</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significant cash investing activities for the current period primarily related to cash outflows of $102 million for property additions. The current period also included cash outflows of $37 million related to payments for a corporate-owned life insurance policy loan and $11 million for the purchase of Vornia Limited. Additionally, there was a cash inflow of $25 million for reimbursements from the restrictive renewable annual trust.</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significant cash investing activities for the prior year period primarily related to cash outflows of $680 million for the acquisition of Pharmachem and $126 million for property additions. The prior year period also included a $19 million cash inflow for reimbursements from the restrictive renewable annual trust.</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following discloses the cash flows associated with Ashland’s financing activities for the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Nine months ended</w:t>
            </w:r>
          </w:p>
        </w:tc>
        <w:tc>
          <w:tcPr>
            <w:tcW w:w="600" w:type="dxa"/>
            <w:vAlign w:val="bottom"/>
            <w:tcBorders>
              <w:top w:val="single" w:sz="8" w:color="auto"/>
            </w:tcBorders>
          </w:tcPr>
          <w:p>
            <w:pPr>
              <w:spacing w:after="0"/>
              <w:rPr>
                <w:sz w:val="21"/>
                <w:szCs w:val="21"/>
                <w:color w:val="auto"/>
              </w:rPr>
            </w:pPr>
          </w:p>
        </w:tc>
      </w:tr>
      <w:tr>
        <w:trPr>
          <w:trHeight w:val="230"/>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June 30</w:t>
            </w:r>
          </w:p>
        </w:tc>
        <w:tc>
          <w:tcPr>
            <w:tcW w:w="60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05"/>
        </w:trPr>
        <w:tc>
          <w:tcPr>
            <w:tcW w:w="7980" w:type="dxa"/>
            <w:vAlign w:val="bottom"/>
          </w:tcPr>
          <w:p>
            <w:pPr>
              <w:spacing w:after="0" w:line="205" w:lineRule="exact"/>
              <w:rPr>
                <w:sz w:val="20"/>
                <w:szCs w:val="20"/>
                <w:color w:val="auto"/>
              </w:rPr>
            </w:pPr>
            <w:r>
              <w:rPr>
                <w:rFonts w:ascii="Arial" w:cs="Arial" w:eastAsia="Arial" w:hAnsi="Arial"/>
                <w:sz w:val="18"/>
                <w:szCs w:val="18"/>
                <w:b w:val="1"/>
                <w:bCs w:val="1"/>
                <w:color w:val="auto"/>
              </w:rPr>
              <w:t>Cash flows provided (used) by financing activities from</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4"/>
        </w:trPr>
        <w:tc>
          <w:tcPr>
            <w:tcW w:w="7980" w:type="dxa"/>
            <w:vAlign w:val="bottom"/>
          </w:tcPr>
          <w:p>
            <w:pPr>
              <w:ind w:left="120"/>
              <w:spacing w:after="0"/>
              <w:rPr>
                <w:sz w:val="20"/>
                <w:szCs w:val="20"/>
                <w:color w:val="auto"/>
              </w:rPr>
            </w:pPr>
            <w:r>
              <w:rPr>
                <w:rFonts w:ascii="Arial" w:cs="Arial" w:eastAsia="Arial" w:hAnsi="Arial"/>
                <w:sz w:val="18"/>
                <w:szCs w:val="18"/>
                <w:b w:val="1"/>
                <w:bCs w:val="1"/>
                <w:color w:val="auto"/>
              </w:rPr>
              <w:t>continuing operations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1,100</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Repayment of long-term debt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Premium on long-term debt</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Proceeds from (repayment of) short-term debt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69</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 employee withholding taxes paid in cash</w:t>
            </w: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cash flows provided (used) by financing activities from continuing operations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Cash flows provided (used) by financing activities resulted in an outflow $346 million for the current period as compared to a cash inflow of $148 million for the prior year period.</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1" w:name="page62"/>
    <w:bookmarkEnd w:id="61"/>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Significant cash financing activities for the current period included a cash outflow $135 million for repayments of long-term debt, including $130 million for early repayments of the Three-Year TLA Facility and $5 million for repayments of the 2017 TLB Facility. The current period also included short-term debt net repayments of $158 million related to the 2017 Revolving Credit Facility and the accounts receivable securitization. The outstanding balance of the 2017 Revolving Credit Facility and a portion of the Three-Year TLA Facility were repaid primarily using cash from repatriations. The current period included cash dividends paid of $0.70 per share, for a total of $44 million.</w:t>
      </w:r>
    </w:p>
    <w:p>
      <w:pPr>
        <w:spacing w:after="0" w:line="8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Significant cash financing activities for the prior year period included cash inflows of $1,100 million from the issuance of the TLA Facilities and the 2017 TLB Facility. The prior year period also included cash outflows of $913 million related to the full repayment of the 2018 notes and partial repayments of the 2029 notes and 2022 notes. Additionally, the prior year included short-term debt net cash inflows of $69 million primarily related to debt outstanding on the 2017 Revolving Credit Facility and the accounts receivable securitization, partially offset by the repayment of the term loan due 2017. The prior year period included cash dividends paid of $1.005 per share, for a total of $62 million.</w:t>
      </w:r>
    </w:p>
    <w:p>
      <w:pPr>
        <w:spacing w:after="0" w:line="8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discloses the cash flows associated with Ashland’s discontinued operations for the nine months ended June 30, 2018 and 2017.</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3"/>
          </w:tcPr>
          <w:p>
            <w:pPr>
              <w:jc w:val="right"/>
              <w:ind w:right="5"/>
              <w:spacing w:after="0"/>
              <w:rPr>
                <w:sz w:val="20"/>
                <w:szCs w:val="20"/>
                <w:color w:val="auto"/>
              </w:rPr>
            </w:pPr>
            <w:r>
              <w:rPr>
                <w:rFonts w:ascii="Arial" w:cs="Arial" w:eastAsia="Arial" w:hAnsi="Arial"/>
                <w:sz w:val="18"/>
                <w:szCs w:val="18"/>
                <w:color w:val="auto"/>
              </w:rPr>
              <w:t>Nine months ended</w:t>
            </w:r>
          </w:p>
        </w:tc>
        <w:tc>
          <w:tcPr>
            <w:tcW w:w="580" w:type="dxa"/>
            <w:vAlign w:val="bottom"/>
            <w:tcBorders>
              <w:top w:val="single" w:sz="8" w:color="auto"/>
            </w:tcBorders>
          </w:tcPr>
          <w:p>
            <w:pPr>
              <w:spacing w:after="0"/>
              <w:rPr>
                <w:sz w:val="21"/>
                <w:szCs w:val="21"/>
                <w:color w:val="auto"/>
              </w:rPr>
            </w:pPr>
          </w:p>
        </w:tc>
      </w:tr>
      <w:tr>
        <w:trPr>
          <w:trHeight w:val="230"/>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Investing cash flows</w:t>
            </w:r>
          </w:p>
        </w:tc>
        <w:tc>
          <w:tcPr>
            <w:tcW w:w="3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Financing cash flows</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cash used by discontinued operations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Cash flows for discontinued operations in the current period primarily related to previously divested businesses, including net payments of asbestos and environmental liabilities.</w:t>
      </w:r>
    </w:p>
    <w:p>
      <w:pPr>
        <w:spacing w:after="0" w:line="69"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Cash flows for discontinued operations in the prior year period primarily relate to net cash outflows of $157 million related to the activity of Valvoline Inc. The remaining cash flows in the prior year period related to other previously divested businesses, including net payments of asbestos and environmental liabilities.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represents Ashland’s calculation of free cash flow for the disclosed periods. Free cash flow does not reflect adjustments for certain non-discretionary cash flows such as mandatory debt repayments.</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9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gridSpan w:val="3"/>
          </w:tcPr>
          <w:p>
            <w:pPr>
              <w:jc w:val="right"/>
              <w:ind w:right="5"/>
              <w:spacing w:after="0"/>
              <w:rPr>
                <w:sz w:val="20"/>
                <w:szCs w:val="20"/>
                <w:color w:val="auto"/>
              </w:rPr>
            </w:pPr>
            <w:r>
              <w:rPr>
                <w:rFonts w:ascii="Arial" w:cs="Arial" w:eastAsia="Arial" w:hAnsi="Arial"/>
                <w:sz w:val="18"/>
                <w:szCs w:val="18"/>
                <w:color w:val="auto"/>
              </w:rPr>
              <w:t>Nine months ended</w:t>
            </w:r>
          </w:p>
        </w:tc>
        <w:tc>
          <w:tcPr>
            <w:tcW w:w="580" w:type="dxa"/>
            <w:vAlign w:val="bottom"/>
            <w:tcBorders>
              <w:top w:val="single" w:sz="8" w:color="auto"/>
            </w:tcBorders>
          </w:tcPr>
          <w:p>
            <w:pPr>
              <w:spacing w:after="0"/>
              <w:rPr>
                <w:sz w:val="21"/>
                <w:szCs w:val="21"/>
                <w:color w:val="auto"/>
              </w:rPr>
            </w:pPr>
          </w:p>
        </w:tc>
      </w:tr>
      <w:tr>
        <w:trPr>
          <w:trHeight w:val="230"/>
        </w:trPr>
        <w:tc>
          <w:tcPr>
            <w:tcW w:w="7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45"/>
              <w:spacing w:after="0"/>
              <w:rPr>
                <w:sz w:val="20"/>
                <w:szCs w:val="20"/>
                <w:color w:val="auto"/>
              </w:rPr>
            </w:pPr>
            <w:r>
              <w:rPr>
                <w:rFonts w:ascii="Arial" w:cs="Arial" w:eastAsia="Arial" w:hAnsi="Arial"/>
                <w:sz w:val="18"/>
                <w:szCs w:val="18"/>
                <w:color w:val="auto"/>
              </w:rPr>
              <w:t>June 30</w:t>
            </w:r>
          </w:p>
        </w:tc>
        <w:tc>
          <w:tcPr>
            <w:tcW w:w="58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Total cash flows provided by operating activities from continuing operations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Adjustments:</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7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Includes $37 million and $61 million of separation and restructuring-related payments for the nine months ended June 30,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86"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Working capital (current assets minus current liabilities, excluding long-term debt due within one year) amounted to $941 million at both June 30, 2018 and September 30, 2017. Liquid assets (cash, cash</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2" w:name="page63"/>
    <w:bookmarkEnd w:id="62"/>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equivalents and accounts receivable) amounted to 118% and 122% of current liabilities at June 30, 2018 and September 30, 2017, respectively.</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summary reflects Ashland’s cash and unused borrowing capacity as of June 30, 2018 and September 30, 2017.</w:t>
      </w:r>
    </w:p>
    <w:p>
      <w:pPr>
        <w:spacing w:after="0" w:line="23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5140" w:type="dxa"/>
            <w:vAlign w:val="bottom"/>
            <w:tcBorders>
              <w:top w:val="single" w:sz="8" w:color="auto"/>
            </w:tcBorders>
          </w:tcPr>
          <w:p>
            <w:pPr>
              <w:spacing w:after="0"/>
              <w:rPr>
                <w:sz w:val="19"/>
                <w:szCs w:val="19"/>
                <w:color w:val="auto"/>
              </w:rPr>
            </w:pPr>
          </w:p>
        </w:tc>
        <w:tc>
          <w:tcPr>
            <w:tcW w:w="26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June 30</w:t>
            </w: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5140" w:type="dxa"/>
            <w:vAlign w:val="bottom"/>
          </w:tcPr>
          <w:p>
            <w:pPr>
              <w:spacing w:after="0"/>
              <w:rPr>
                <w:sz w:val="20"/>
                <w:szCs w:val="20"/>
                <w:color w:val="auto"/>
              </w:rPr>
            </w:pPr>
            <w:r>
              <w:rPr>
                <w:rFonts w:ascii="Arial" w:cs="Arial" w:eastAsia="Arial" w:hAnsi="Arial"/>
                <w:sz w:val="18"/>
                <w:szCs w:val="18"/>
                <w:b w:val="1"/>
                <w:bCs w:val="1"/>
                <w:color w:val="auto"/>
              </w:rPr>
              <w:t>Cash and investment securities</w:t>
            </w:r>
          </w:p>
        </w:tc>
        <w:tc>
          <w:tcPr>
            <w:tcW w:w="2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6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w:t>
            </w:r>
          </w:p>
        </w:tc>
        <w:tc>
          <w:tcPr>
            <w:tcW w:w="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566</w:t>
            </w:r>
          </w:p>
        </w:tc>
      </w:tr>
      <w:tr>
        <w:trPr>
          <w:trHeight w:val="230"/>
        </w:trPr>
        <w:tc>
          <w:tcPr>
            <w:tcW w:w="5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Unused borrowing capacity</w:t>
            </w:r>
          </w:p>
        </w:tc>
        <w:tc>
          <w:tcPr>
            <w:tcW w:w="26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2017 Revolving credit facility</w:t>
            </w:r>
          </w:p>
        </w:tc>
        <w:tc>
          <w:tcPr>
            <w:tcW w:w="26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579</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 facility</w:t>
            </w:r>
          </w:p>
        </w:tc>
        <w:tc>
          <w:tcPr>
            <w:tcW w:w="2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r>
    </w:tbl>
    <w:p>
      <w:pPr>
        <w:spacing w:after="0" w:line="199"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The borrowing capacity remaining under the 2017 Revolving Credit Facility was $750 million due to a reduction of $50 million for letters of credit outstanding at June 30, 2018. In total, Ashland’s available liquidity position, which includes cash, the revolving credit facility and the accounts receivable securitization facility, was $976 million at June 30, 2018, compared to $1,180 million at September 30, 2017.</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summary reflects Ashland’s debt as of June 30, 2018 and September 30, 2017.</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6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color w:val="auto"/>
              </w:rPr>
              <w:t>June 30</w:t>
            </w:r>
          </w:p>
        </w:tc>
        <w:tc>
          <w:tcPr>
            <w:tcW w:w="2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6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150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r>
      <w:tr>
        <w:trPr>
          <w:trHeight w:val="230"/>
        </w:trPr>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Long-term debt (less current portion and debt issuance cost discounts) </w:t>
            </w:r>
            <w:r>
              <w:rPr>
                <w:rFonts w:ascii="Arial" w:cs="Arial" w:eastAsia="Arial" w:hAnsi="Arial"/>
                <w:sz w:val="14"/>
                <w:szCs w:val="14"/>
                <w:color w:val="auto"/>
              </w:rPr>
              <w:t>(a)</w:t>
            </w:r>
          </w:p>
        </w:tc>
        <w:tc>
          <w:tcPr>
            <w:tcW w:w="10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2,584</w:t>
            </w:r>
          </w:p>
        </w:tc>
      </w:tr>
      <w:tr>
        <w:trPr>
          <w:trHeight w:val="223"/>
        </w:trPr>
        <w:tc>
          <w:tcPr>
            <w:tcW w:w="6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debt</w:t>
            </w:r>
          </w:p>
        </w:tc>
        <w:tc>
          <w:tcPr>
            <w:tcW w:w="10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2,532</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2,819</w:t>
            </w:r>
          </w:p>
        </w:tc>
      </w:tr>
      <w:tr>
        <w:trPr>
          <w:trHeight w:val="20"/>
        </w:trPr>
        <w:tc>
          <w:tcPr>
            <w:tcW w:w="6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  Includes $22 million and $25 million of debt issuance cost discounts as of June 30, 2018 and September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-98425</wp:posOffset>
            </wp:positionV>
            <wp:extent cx="67322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7"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The current portion of long-term debt was $11 million at June 30, 2018. Debt as a percent of capital employed was 43% at June 30, 2018 and 45% at September 30, 2017. At June 30, 2018, Ashland’s total debt had an outstanding principal balance of $2,604 million, discounts of $50 million, and debt issuance costs of $22 million. The scheduled aggregate maturities of long-term debt by year (including the current portion and excluding debt issuance costs) are as follows: $2 million remaining in 2018, $11 million in 2019, $139 million in 2020, $56 million in 2021 and $1,279 million in 2022.</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Accounts receivable securitization</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During March 2018, the termination date of the accounts receivable securitization facility was extended from March 2018 to March 2020. The available funding for qualified receivables under the accounts receivable securitization facility increased from $100 million to $115 million. No other changes are expected to have a significant impact to Ashland's results of operations and financial position.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2017 Credit Agreement</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On May 17, 2017, in conjunction with the closing of the Pharmachem acquisition, Ashland entered into a secured credit agreement (the 2017 Credit Agreement) with a group of lenders. The 2017 Credit Agreement provided for (i) a $250 million three-year term loan A facility (the Three-Year TLA Facility), (ii) a $250</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3" w:name="page64"/>
    <w:bookmarkEnd w:id="63"/>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million five-year term loan A facility (the Five-Year TLA Facility and together with the Three-Year TLA Facility, the TLA Facilities) and (iii) a $680 million five-year revolving credit facility (including a $125 million letter of credit sublimit) (the 2017 Revolving Credit Facility). Proceeds of borrowings under the TLA Facilities were used solely to finance the acquisition of Pharmachem, while the proceeds of the 2017 Revolving Credit Facility were used to finance, in part, the acquisition of Pharmachem, to refinance the 2015 Senior Credit Agreement and for general corporate purposes. On May 19, 2017, Ashland entered into Amendment No. 1 to the 2017 Credit Agreement, which increased the aggregate commitments under the 2017 Revolving Credit Facility from $680 million to $800 million.</w:t>
      </w:r>
    </w:p>
    <w:p>
      <w:pPr>
        <w:spacing w:after="0" w:line="85" w:lineRule="exact"/>
        <w:rPr>
          <w:sz w:val="20"/>
          <w:szCs w:val="20"/>
          <w:color w:val="auto"/>
        </w:rPr>
      </w:pPr>
    </w:p>
    <w:p>
      <w:pPr>
        <w:jc w:val="both"/>
        <w:ind w:left="400"/>
        <w:spacing w:after="0" w:line="270" w:lineRule="auto"/>
        <w:rPr>
          <w:sz w:val="20"/>
          <w:szCs w:val="20"/>
          <w:color w:val="auto"/>
        </w:rPr>
      </w:pPr>
      <w:r>
        <w:rPr>
          <w:rFonts w:ascii="Arial" w:cs="Arial" w:eastAsia="Arial" w:hAnsi="Arial"/>
          <w:sz w:val="18"/>
          <w:szCs w:val="18"/>
          <w:color w:val="auto"/>
        </w:rPr>
        <w:t>At Ashland’s option, loans issued under the 2017 Credit Agreement bear interest at either LIBOR or an alternate base rate, in each case plus the applicable interest rate margin. Loans bear interest at LIBOR plus 1.75% per annum, in the case of LIBOR borrowings, or at the alternate base rate plus 0.75%, in the alternative, through and including the date of delivery of a quarterly compliance certificate and thereafter the interest rate will fluctuate between LIBOR plus 1.375% per annum and LIBOR plus 2.500% per annum (or between the alternate base rate plus 0.375% per annum and the alternate base rate plus 1.500% per annum), based upon Ashland’s secured facilities ratings or the consolidated net leverage ratio (as defined in the 2017 Credit Agreement) (whichever yields a lower applicable interest rate margin) at such time. In addition, Ashland was required to pay fees of 0.25% per annum on the daily unused amount of the 2017 Revolving Credit Facility through and including the date of delivery of a compliance certificate, and thereafter the fee rate will fluctuate between 0.175% and 0.40% per annum, based upon Ashland’s secured facilities rating or the consolidated net leverage ratio (whichever yields a lower applicable rate). The TLA Facilities may be prepaid at any time without premium. The Three-Year TLA Facility will not amortize and will be due on May 17, 2020. The Five-Year TLA Facility will not amortize in each of the first, second and third years and will amortize at a rate of 20% per annum in each of the fourth and fifth years (payable in equal quarterly installments), with the outstanding balance of the Five-Year TLA Facility to be paid on May 17, 2022.</w:t>
      </w:r>
    </w:p>
    <w:p>
      <w:pPr>
        <w:spacing w:after="0" w:line="66"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On June 14, 2017, Ashland entered into Amendment No. 2 to the 2017 Credit Agreement, which provided for a new $600 million seven-year senior secured term loan B facility (the 2017 TLB Facility). At Ashland’s option, loans issued under the 2017 TLB Facility bear interest at either (x) LIBOR plus 2.00% per annum or (y) an alternate base rate plus 1.00% per annum. The 2017 TLB Facility may be prepaid at any time. The 2017 TLB Facility amortizes at a rate of 1.00% per annum (payable in equal quarterly installments) with the outstanding balance to be paid on May 17, 2024.</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2018 financing activity related to the 2017 Credit Agreement</w:t>
      </w:r>
    </w:p>
    <w:p>
      <w:pPr>
        <w:spacing w:after="0" w:line="108" w:lineRule="exact"/>
        <w:rPr>
          <w:sz w:val="20"/>
          <w:szCs w:val="20"/>
          <w:color w:val="auto"/>
        </w:rPr>
      </w:pPr>
    </w:p>
    <w:p>
      <w:pPr>
        <w:jc w:val="both"/>
        <w:ind w:left="400"/>
        <w:spacing w:after="0" w:line="257" w:lineRule="auto"/>
        <w:rPr>
          <w:sz w:val="20"/>
          <w:szCs w:val="20"/>
          <w:color w:val="auto"/>
        </w:rPr>
      </w:pPr>
      <w:r>
        <w:rPr>
          <w:rFonts w:ascii="Arial" w:cs="Arial" w:eastAsia="Arial" w:hAnsi="Arial"/>
          <w:sz w:val="19"/>
          <w:szCs w:val="19"/>
          <w:color w:val="auto"/>
        </w:rPr>
        <w:t>On May 22, 2018, Ashland entered into Amendment No. 3 to the 2017 Credit Agreement which provided for the re-pricing of the 2017 TLB facility. Due to this amendment, loans issued under the 2017 TLB facility bear interest at LIBOR plus 1.75% per annum (previously LIBOR plus 2.00% per annum). In addition, Amendment No. 3 permits Ashland to distribute or otherwise use the net proceeds from the anticipated divestiture of its Composites segment and the Intermediates and Solvents manufacturing facility in Marl, Germany, so long as certain pro forma gross consolidated leverage ratio requirements are met. All other significant terms of the agreement remained unchanged. Ashland incurred $1 million of new debt issuance costs in connection with the re-pricing, which was expensed during the three and nine months ended June 30, 2018 within the net interest and other financing expense caption of the Statements of Consolidated Comprehensive Income (Loss)</w:t>
      </w:r>
    </w:p>
    <w:p>
      <w:pPr>
        <w:spacing w:after="0" w:line="73"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During the three months ended June 30, 2018, Ashland primarily utilized cash from repatriations and borrowings from the accounts receivable securitization facility to repay $130 million of the outstanding balance of the Three-Year TLA facility. As a result of these repayments, Ashland recognized accelerated amortization of previously capitalized debt issuance costs of less than $1 million during the three and nine months ended June 30, 2018, which was included in the net interest and other financing expense caption of the Statements of Consolidated Comprehensive Income (Loss).</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4" w:name="page65"/>
    <w:bookmarkEnd w:id="64"/>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Redemption of 3.875% notes due 2018</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During the third quarter of 2017 in connection with the issuance of the 2017 TLB Facility, Ashland redeemed all of its outstanding 3.875% Senior Notes due 2018 (2018 notes), of which approximately $659 million were outstanding. Proceeds of borrowings under the 2017 TLB Facility, together with cash on hand, were used to pay for the redemption. Ashland recognized a $13 million charge related to premiums paid and accelerated amortization of previously capitalized debt issuance costs, which is included in the net interest and other financing expense caption of the Statements of Consolidated Comprehensive Income for the three and nine months ended June 30, 2017.</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6.50% junior subordinated notes due 2029</w:t>
      </w:r>
    </w:p>
    <w:p>
      <w:pPr>
        <w:spacing w:after="0" w:line="10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In December 2016, Hercules LLC (Hercules) (formerly Hercules Incorporated), an indirect wholly-owned subsidiary of Ashland, repurchased, through a cash tender offer (the Tender Offer), $182 million of the aggregate principal par value amount of its 6.50% junior subordinated notes due 2029 (2029 notes) for an aggregate purchase price of $177 million. As a result of the Tender Offer, the carrying value of the 2029 notes was reduced by $90 million and Ashland recognized a $92 million charge related to accelerated accretion of the recorded debt discount (compared to the total par value) and $5 million of a net gain related to the repayment of the debt. The charge and net gain are included in the net interest and other financing expense caption of the Statements of Consolidated Comprehensive Income (Loss) for the nine months ended June 30, 2017.</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Open market repurchases of 4.750% notes due 2022 and 3.875% notes due 2018</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During the nine months ended June 30, 2017, Ashland executed open market repurchases of its 4.750% notes due 2022 (2022 notes) and its 3.875% notes due 2018 (2018 notes). As a result of these repurchases, the carrying values of the 2022 notes and 2018 notes were reduced by $39 million and $41 million, respectively. Ashland recognized a $3 million charge related to premiums paid in the open market repurchases and accelerated amortization of previously capitalized debt issuance costs, which is included in the net interest and other financing expense caption of the Statements of Consolidated Comprehensive Income (Loss) for the nine months ended June 30, 2017.</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credit ratings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Ashland’s corporate credit rating with Standard &amp; Poor’s is BB, while Moody’s Investor Services is Ba2. Moody’s Investor Services and Standard &amp; Poor's outlooks both remained at stable. Subsequent changes to these ratings may have an effect on Ashland’s borrowing rate or ability to access capital markets in the future.</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Ashland's most recent credit agreement (the 2017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June 30, 2018, Ashland is in compliance with all debt agreement covenant restrictions under the 2017 Credit Agreement.</w:t>
      </w:r>
    </w:p>
    <w:p>
      <w:pPr>
        <w:spacing w:after="0" w:line="87"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The maximum consolidated net leverage ratio permitted under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w:t>
      </w:r>
    </w:p>
    <w:p>
      <w:pPr>
        <w:spacing w:after="0" w:line="18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5" w:name="page66"/>
    <w:bookmarkEnd w:id="65"/>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any noncash gains or other items increasing net income. The computation of Covenant Adjusted EBITDA differs from the calculation of EBITDA and Adjusted EBITDA, which have been reconciled on page 42. In general, consolidated indebtedness includes debt plus all purchase money indebtedness, banker’s acceptances and bank guaranties, deferred purchase price of property or services, attributable indebtedness and guarantees.</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minimum required consolidated interest coverage ratio under the 2017 Credit Agreement is 3.0. The 2017 Credit Agreement defines the consolidated interest coverage ratio as the ratio of Covenant Adjusted EBITDA to consolidated interest charges for any measurement period.</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At June 30, 2018, Ashland’s calculation of the consolidated net leverage ratio was 3.7, which is below the maximum consolidated ratio permitted under the 2017 Credit Agreement of 4.5. At June 30, 2018, Ashland’s calculation of the consolidated interest coverage ratio was 4.9, which exceeds the minimum required consolidated ratio of 3.0.</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The average change in Covenant Adjusted EBITDA of $100 million would have an approximate 0.6x effect on the consolidated net leverage ratio and a 0.8x effect on the consolidated interest coverage ratio. The average change in consolidated indebtedness of $100 million would affect the consolidated leverage ratio by approximately 0.2x.</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 projection</w:t>
      </w:r>
    </w:p>
    <w:p>
      <w:pPr>
        <w:spacing w:after="0" w:line="108"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 projects that cash flow from operations and other available financial resources such as cash on hand and revolving credit should be sufficient to meet investing and financing requirements to enable Ashland to comply with the covenants and other terms of its financing obligations. These projections are based on various assumptions that include, but are not limited to: operational results, capital expenditures, working capital needs and tax payments and receipts.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Total equity decreased $7 million since September 30, 2017 to $3,339 million at June 30, 2018. The decrease of $7 million was due to deferred translation losses of $82 million and cash dividends of $44 million, partially offset by net income of $104 million, $11 million for common shares issued under stock incentive and other plans and a $4 million net increase in available-for-sale securities.</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 repurchase program</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April 2015, Ashland's Board of Directors approved a $1 billion share repurchase authorization that was set to expire on December 31, 2017 (the 2015 stock repurchase program). During September 2017, Ashland's Board of Directors extended the 2015 stock repurchase program indefinitely, at which point $500 million of share repurchase authorization remained under the 2015 stock repurchase program.</w:t>
      </w:r>
    </w:p>
    <w:p>
      <w:pPr>
        <w:spacing w:after="0" w:line="83"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During March 2018, Ashland’s Board of Directors approved a new $1 billion stock repurchase program, which replaced the 2015 stock repurchase program. Under the new program, Ashland’s common shares may be repurchased in open market transactions, privately negotiated transactions or pursuant to one or more accelerated stock repurchase programs or Rule 10b5-1 plans. As of June 30, 2018, $1 billion remained available for repurchase under this authorization.</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In May 2018, the Board of Directors of Ashland announced a quarterly cash dividend of 25 cents per share to eligible stockholders at record, which represented an increase from the previous quarterly cash dividend of 22.5 cents per share. This dividend was paid in the third quarter of fiscal 2018.</w:t>
      </w:r>
    </w:p>
    <w:p>
      <w:pPr>
        <w:spacing w:after="0" w:line="7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In May 2017, subsequent to the final distribution of Valvoline Inc.'s common stock, the Board of Directors of Ashland announced a quarterly cash dividend of 22.5 cents per share to eligible stockholders at record</w:t>
      </w:r>
    </w:p>
    <w:p>
      <w:pPr>
        <w:spacing w:after="0" w:line="1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6" w:name="page67"/>
    <w:bookmarkEnd w:id="66"/>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which was paid for quarterly dividends in the first and second quarters of fiscal 2018 and the third and fourth quarters of fiscal 2017. This represented a reduction from the previous quarterly dividend of 39 cents per share which was paid for quarterly dividends in the first and second quarters of fiscal 2017.</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Capital expenditures were $102 million for the nine months ended June 30, 2018 and averaged approximately $217 million during the last three fiscal years.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Contractual obligations and commitments</w:t>
      </w:r>
    </w:p>
    <w:p>
      <w:pPr>
        <w:spacing w:after="0" w:line="108"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 a result of the Tax Act that was enacted during December 2017, Ashland has currently estimated and identified that the one-time transition tax related to the new law is estimated to be approximately $160 million payable over eight years, with the first payment of approximately $13 million due during the first quarter of fiscal year 2019. Ashland will continue to reassess this estimate in future periods.</w:t>
      </w:r>
    </w:p>
    <w:p>
      <w:pPr>
        <w:spacing w:after="0" w:line="83"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In addition, during the nine months ended June 30, 2018, Ashland repatriated approximately $470 million in cash that was primarily used to repay existing debt. There were no other significant changes to the contractual obligations table as presented at September 30, 2017.</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2017.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nine months ended June 30, 2018.</w:t>
      </w:r>
    </w:p>
    <w:p>
      <w:pPr>
        <w:spacing w:after="0" w:line="200" w:lineRule="exact"/>
        <w:rPr>
          <w:sz w:val="20"/>
          <w:szCs w:val="20"/>
          <w:color w:val="auto"/>
        </w:rPr>
      </w:pPr>
    </w:p>
    <w:p>
      <w:pPr>
        <w:spacing w:after="0" w:line="20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7" w:name="page68"/>
    <w:bookmarkEnd w:id="67"/>
    <w:p>
      <w:pPr>
        <w:ind w:right="4000"/>
        <w:spacing w:after="0" w:line="267"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Fiscal Year 2018</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Ashland updated its financial outlook for fiscal 2018 as shown in the table below.</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780" w:type="dxa"/>
            <w:vAlign w:val="bottom"/>
            <w:tcBorders>
              <w:top w:val="single" w:sz="8" w:color="auto"/>
              <w:bottom w:val="single" w:sz="8" w:color="auto"/>
            </w:tcBorders>
          </w:tcPr>
          <w:p>
            <w:pPr>
              <w:spacing w:after="0"/>
              <w:rPr>
                <w:sz w:val="21"/>
                <w:szCs w:val="21"/>
                <w:color w:val="auto"/>
              </w:rPr>
            </w:pPr>
          </w:p>
        </w:tc>
        <w:tc>
          <w:tcPr>
            <w:tcW w:w="3980" w:type="dxa"/>
            <w:vAlign w:val="bottom"/>
            <w:tcBorders>
              <w:top w:val="single" w:sz="8" w:color="auto"/>
              <w:bottom w:val="single" w:sz="8" w:color="auto"/>
            </w:tcBorders>
            <w:gridSpan w:val="2"/>
          </w:tcPr>
          <w:p>
            <w:pPr>
              <w:jc w:val="center"/>
              <w:ind w:left="1150"/>
              <w:spacing w:after="0"/>
              <w:rPr>
                <w:sz w:val="20"/>
                <w:szCs w:val="20"/>
                <w:color w:val="auto"/>
              </w:rPr>
            </w:pPr>
            <w:r>
              <w:rPr>
                <w:rFonts w:ascii="Arial" w:cs="Arial" w:eastAsia="Arial" w:hAnsi="Arial"/>
                <w:sz w:val="18"/>
                <w:szCs w:val="18"/>
                <w:b w:val="1"/>
                <w:bCs w:val="1"/>
                <w:color w:val="auto"/>
                <w:w w:val="94"/>
              </w:rPr>
              <w:t>Prior FY 2018 Outlook</w:t>
            </w:r>
          </w:p>
        </w:tc>
        <w:tc>
          <w:tcPr>
            <w:tcW w:w="2620" w:type="dxa"/>
            <w:vAlign w:val="bottom"/>
            <w:tcBorders>
              <w:top w:val="single" w:sz="8" w:color="auto"/>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3"/>
              </w:rPr>
              <w:t>Updated FY 2018 Outlook</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2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1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$585 million</w:t>
            </w:r>
          </w:p>
        </w:tc>
        <w:tc>
          <w:tcPr>
            <w:tcW w:w="2620" w:type="dxa"/>
            <w:vAlign w:val="bottom"/>
            <w:shd w:val="clear" w:color="auto" w:fill="CFF0FC"/>
          </w:tcPr>
          <w:p>
            <w:pPr>
              <w:jc w:val="center"/>
              <w:ind w:left="250"/>
              <w:spacing w:after="0"/>
              <w:rPr>
                <w:sz w:val="20"/>
                <w:szCs w:val="20"/>
                <w:color w:val="auto"/>
              </w:rPr>
            </w:pPr>
            <w:r>
              <w:rPr>
                <w:rFonts w:ascii="Arial" w:cs="Arial" w:eastAsia="Arial" w:hAnsi="Arial"/>
                <w:sz w:val="18"/>
                <w:szCs w:val="18"/>
                <w:color w:val="auto"/>
                <w:w w:val="94"/>
              </w:rPr>
              <w:t>$570 - $580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Composites</w:t>
            </w:r>
          </w:p>
        </w:tc>
        <w:tc>
          <w:tcPr>
            <w:tcW w:w="3980" w:type="dxa"/>
            <w:vAlign w:val="bottom"/>
            <w:gridSpan w:val="2"/>
          </w:tcPr>
          <w:p>
            <w:pPr>
              <w:jc w:val="center"/>
              <w:ind w:left="1150"/>
              <w:spacing w:after="0"/>
              <w:rPr>
                <w:sz w:val="20"/>
                <w:szCs w:val="20"/>
                <w:color w:val="auto"/>
              </w:rPr>
            </w:pPr>
            <w:r>
              <w:rPr>
                <w:rFonts w:ascii="Arial" w:cs="Arial" w:eastAsia="Arial" w:hAnsi="Arial"/>
                <w:sz w:val="18"/>
                <w:szCs w:val="18"/>
                <w:color w:val="auto"/>
                <w:w w:val="94"/>
              </w:rPr>
              <w:t>$90 - $100 million</w:t>
            </w:r>
          </w:p>
        </w:tc>
        <w:tc>
          <w:tcPr>
            <w:tcW w:w="2620" w:type="dxa"/>
            <w:vAlign w:val="bottom"/>
          </w:tcPr>
          <w:p>
            <w:pPr>
              <w:jc w:val="center"/>
              <w:ind w:left="250"/>
              <w:spacing w:after="0"/>
              <w:rPr>
                <w:sz w:val="20"/>
                <w:szCs w:val="20"/>
                <w:color w:val="auto"/>
              </w:rPr>
            </w:pPr>
            <w:r>
              <w:rPr>
                <w:rFonts w:ascii="Arial" w:cs="Arial" w:eastAsia="Arial" w:hAnsi="Arial"/>
                <w:sz w:val="18"/>
                <w:szCs w:val="18"/>
                <w:color w:val="auto"/>
                <w:w w:val="95"/>
              </w:rPr>
              <w:t>$95 - $100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&amp; Solvents</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7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$60 million</w:t>
            </w:r>
          </w:p>
        </w:tc>
        <w:tc>
          <w:tcPr>
            <w:tcW w:w="2620" w:type="dxa"/>
            <w:vAlign w:val="bottom"/>
            <w:shd w:val="clear" w:color="auto" w:fill="CFF0FC"/>
          </w:tcPr>
          <w:p>
            <w:pPr>
              <w:jc w:val="center"/>
              <w:ind w:left="250"/>
              <w:spacing w:after="0"/>
              <w:rPr>
                <w:sz w:val="20"/>
                <w:szCs w:val="20"/>
                <w:color w:val="auto"/>
              </w:rPr>
            </w:pPr>
            <w:r>
              <w:rPr>
                <w:rFonts w:ascii="Arial" w:cs="Arial" w:eastAsia="Arial" w:hAnsi="Arial"/>
                <w:sz w:val="18"/>
                <w:szCs w:val="18"/>
                <w:color w:val="auto"/>
                <w:w w:val="93"/>
              </w:rPr>
              <w:t>$55 - $60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Unallocated and other</w:t>
            </w:r>
          </w:p>
        </w:tc>
        <w:tc>
          <w:tcPr>
            <w:tcW w:w="2260" w:type="dxa"/>
            <w:vAlign w:val="bottom"/>
          </w:tcPr>
          <w:p>
            <w:pPr>
              <w:jc w:val="right"/>
              <w:spacing w:after="0"/>
              <w:rPr>
                <w:sz w:val="20"/>
                <w:szCs w:val="20"/>
                <w:color w:val="auto"/>
              </w:rPr>
            </w:pPr>
            <w:r>
              <w:rPr>
                <w:rFonts w:ascii="Arial" w:cs="Arial" w:eastAsia="Arial" w:hAnsi="Arial"/>
                <w:sz w:val="18"/>
                <w:szCs w:val="18"/>
                <w:color w:val="auto"/>
              </w:rPr>
              <w:t>($35</w:t>
            </w:r>
          </w:p>
        </w:tc>
        <w:tc>
          <w:tcPr>
            <w:tcW w:w="1720" w:type="dxa"/>
            <w:vAlign w:val="bottom"/>
          </w:tcPr>
          <w:p>
            <w:pPr>
              <w:ind w:left="40"/>
              <w:spacing w:after="0"/>
              <w:rPr>
                <w:sz w:val="20"/>
                <w:szCs w:val="20"/>
                <w:color w:val="auto"/>
              </w:rPr>
            </w:pPr>
            <w:r>
              <w:rPr>
                <w:rFonts w:ascii="Arial" w:cs="Arial" w:eastAsia="Arial" w:hAnsi="Arial"/>
                <w:sz w:val="18"/>
                <w:szCs w:val="18"/>
                <w:color w:val="auto"/>
              </w:rPr>
              <w:t>- $45 million)</w:t>
            </w:r>
          </w:p>
        </w:tc>
        <w:tc>
          <w:tcPr>
            <w:tcW w:w="2620" w:type="dxa"/>
            <w:vAlign w:val="bottom"/>
          </w:tcPr>
          <w:p>
            <w:pPr>
              <w:jc w:val="center"/>
              <w:ind w:left="250"/>
              <w:spacing w:after="0"/>
              <w:rPr>
                <w:sz w:val="20"/>
                <w:szCs w:val="20"/>
                <w:color w:val="auto"/>
              </w:rPr>
            </w:pPr>
            <w:r>
              <w:rPr>
                <w:rFonts w:ascii="Arial" w:cs="Arial" w:eastAsia="Arial" w:hAnsi="Arial"/>
                <w:sz w:val="18"/>
                <w:szCs w:val="18"/>
                <w:color w:val="auto"/>
                <w:w w:val="87"/>
              </w:rPr>
              <w:t>No change</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Key Operating Metrics</w:t>
            </w:r>
          </w:p>
        </w:tc>
        <w:tc>
          <w:tcPr>
            <w:tcW w:w="2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3980" w:type="dxa"/>
            <w:vAlign w:val="bottom"/>
            <w:gridSpan w:val="2"/>
            <w:shd w:val="clear" w:color="auto" w:fill="CFF0FC"/>
          </w:tcPr>
          <w:p>
            <w:pPr>
              <w:jc w:val="center"/>
              <w:ind w:left="1130"/>
              <w:spacing w:after="0"/>
              <w:rPr>
                <w:sz w:val="20"/>
                <w:szCs w:val="20"/>
                <w:color w:val="auto"/>
              </w:rPr>
            </w:pPr>
            <w:r>
              <w:rPr>
                <w:rFonts w:ascii="Arial" w:cs="Arial" w:eastAsia="Arial" w:hAnsi="Arial"/>
                <w:sz w:val="18"/>
                <w:szCs w:val="18"/>
                <w:color w:val="auto"/>
                <w:w w:val="97"/>
              </w:rPr>
              <w:t>&gt; $170 million*</w:t>
            </w:r>
          </w:p>
        </w:tc>
        <w:tc>
          <w:tcPr>
            <w:tcW w:w="2620" w:type="dxa"/>
            <w:vAlign w:val="bottom"/>
            <w:shd w:val="clear" w:color="auto" w:fill="CFF0FC"/>
          </w:tcPr>
          <w:p>
            <w:pPr>
              <w:jc w:val="center"/>
              <w:ind w:left="250"/>
              <w:spacing w:after="0"/>
              <w:rPr>
                <w:sz w:val="20"/>
                <w:szCs w:val="20"/>
                <w:color w:val="auto"/>
              </w:rPr>
            </w:pPr>
            <w:r>
              <w:rPr>
                <w:rFonts w:ascii="Arial" w:cs="Arial" w:eastAsia="Arial" w:hAnsi="Arial"/>
                <w:sz w:val="18"/>
                <w:szCs w:val="18"/>
                <w:color w:val="auto"/>
                <w:w w:val="93"/>
              </w:rPr>
              <w:t>No 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Adjusted diluted EPS</w:t>
            </w:r>
          </w:p>
        </w:tc>
        <w:tc>
          <w:tcPr>
            <w:tcW w:w="3980" w:type="dxa"/>
            <w:vAlign w:val="bottom"/>
            <w:gridSpan w:val="2"/>
          </w:tcPr>
          <w:p>
            <w:pPr>
              <w:jc w:val="right"/>
              <w:ind w:right="810"/>
              <w:spacing w:after="0"/>
              <w:rPr>
                <w:sz w:val="20"/>
                <w:szCs w:val="20"/>
                <w:color w:val="auto"/>
              </w:rPr>
            </w:pPr>
            <w:r>
              <w:rPr>
                <w:rFonts w:ascii="Arial" w:cs="Arial" w:eastAsia="Arial" w:hAnsi="Arial"/>
                <w:sz w:val="18"/>
                <w:szCs w:val="18"/>
                <w:color w:val="auto"/>
              </w:rPr>
              <w:t>$3.30 - $3.50</w:t>
            </w:r>
          </w:p>
        </w:tc>
        <w:tc>
          <w:tcPr>
            <w:tcW w:w="2620" w:type="dxa"/>
            <w:vAlign w:val="bottom"/>
          </w:tcPr>
          <w:p>
            <w:pPr>
              <w:jc w:val="center"/>
              <w:ind w:left="250"/>
              <w:spacing w:after="0"/>
              <w:rPr>
                <w:sz w:val="20"/>
                <w:szCs w:val="20"/>
                <w:color w:val="auto"/>
              </w:rPr>
            </w:pPr>
            <w:r>
              <w:rPr>
                <w:rFonts w:ascii="Arial" w:cs="Arial" w:eastAsia="Arial" w:hAnsi="Arial"/>
                <w:sz w:val="18"/>
                <w:szCs w:val="18"/>
                <w:color w:val="auto"/>
                <w:w w:val="90"/>
              </w:rPr>
              <w:t>$3.50 - $3.60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Corporate Items</w:t>
            </w:r>
          </w:p>
        </w:tc>
        <w:tc>
          <w:tcPr>
            <w:tcW w:w="2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&amp; amortization</w:t>
            </w:r>
          </w:p>
        </w:tc>
        <w:tc>
          <w:tcPr>
            <w:tcW w:w="3980" w:type="dxa"/>
            <w:vAlign w:val="bottom"/>
            <w:gridSpan w:val="2"/>
            <w:shd w:val="clear" w:color="auto" w:fill="CFF0FC"/>
          </w:tcPr>
          <w:p>
            <w:pPr>
              <w:jc w:val="center"/>
              <w:ind w:left="1150"/>
              <w:spacing w:after="0"/>
              <w:rPr>
                <w:sz w:val="20"/>
                <w:szCs w:val="20"/>
                <w:color w:val="auto"/>
              </w:rPr>
            </w:pPr>
            <w:r>
              <w:rPr>
                <w:rFonts w:ascii="Arial" w:cs="Arial" w:eastAsia="Arial" w:hAnsi="Arial"/>
                <w:sz w:val="18"/>
                <w:szCs w:val="18"/>
                <w:color w:val="auto"/>
                <w:w w:val="95"/>
              </w:rPr>
              <w:t>~$300 million</w:t>
            </w:r>
          </w:p>
        </w:tc>
        <w:tc>
          <w:tcPr>
            <w:tcW w:w="2620" w:type="dxa"/>
            <w:vAlign w:val="bottom"/>
            <w:shd w:val="clear" w:color="auto" w:fill="CFF0FC"/>
          </w:tcPr>
          <w:p>
            <w:pPr>
              <w:jc w:val="center"/>
              <w:ind w:left="250"/>
              <w:spacing w:after="0"/>
              <w:rPr>
                <w:sz w:val="20"/>
                <w:szCs w:val="20"/>
                <w:color w:val="auto"/>
              </w:rPr>
            </w:pPr>
            <w:r>
              <w:rPr>
                <w:rFonts w:ascii="Arial" w:cs="Arial" w:eastAsia="Arial" w:hAnsi="Arial"/>
                <w:sz w:val="18"/>
                <w:szCs w:val="18"/>
                <w:color w:val="auto"/>
                <w:w w:val="87"/>
              </w:rPr>
              <w:t>No 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Interest expense</w:t>
            </w:r>
          </w:p>
        </w:tc>
        <w:tc>
          <w:tcPr>
            <w:tcW w:w="2260" w:type="dxa"/>
            <w:vAlign w:val="bottom"/>
          </w:tcPr>
          <w:p>
            <w:pPr>
              <w:jc w:val="right"/>
              <w:spacing w:after="0"/>
              <w:rPr>
                <w:sz w:val="20"/>
                <w:szCs w:val="20"/>
                <w:color w:val="auto"/>
              </w:rPr>
            </w:pPr>
            <w:r>
              <w:rPr>
                <w:rFonts w:ascii="Arial" w:cs="Arial" w:eastAsia="Arial" w:hAnsi="Arial"/>
                <w:sz w:val="18"/>
                <w:szCs w:val="18"/>
                <w:color w:val="auto"/>
              </w:rPr>
              <w:t>$123</w:t>
            </w:r>
          </w:p>
        </w:tc>
        <w:tc>
          <w:tcPr>
            <w:tcW w:w="1720" w:type="dxa"/>
            <w:vAlign w:val="bottom"/>
          </w:tcPr>
          <w:p>
            <w:pPr>
              <w:ind w:left="40"/>
              <w:spacing w:after="0"/>
              <w:rPr>
                <w:sz w:val="20"/>
                <w:szCs w:val="20"/>
                <w:color w:val="auto"/>
              </w:rPr>
            </w:pPr>
            <w:r>
              <w:rPr>
                <w:rFonts w:ascii="Arial" w:cs="Arial" w:eastAsia="Arial" w:hAnsi="Arial"/>
                <w:sz w:val="18"/>
                <w:szCs w:val="18"/>
                <w:color w:val="auto"/>
              </w:rPr>
              <w:t>- $128 million</w:t>
            </w:r>
          </w:p>
        </w:tc>
        <w:tc>
          <w:tcPr>
            <w:tcW w:w="2620" w:type="dxa"/>
            <w:vAlign w:val="bottom"/>
          </w:tcPr>
          <w:p>
            <w:pPr>
              <w:jc w:val="center"/>
              <w:ind w:left="250"/>
              <w:spacing w:after="0"/>
              <w:rPr>
                <w:sz w:val="20"/>
                <w:szCs w:val="20"/>
                <w:color w:val="auto"/>
              </w:rPr>
            </w:pPr>
            <w:r>
              <w:rPr>
                <w:rFonts w:ascii="Arial" w:cs="Arial" w:eastAsia="Arial" w:hAnsi="Arial"/>
                <w:sz w:val="18"/>
                <w:szCs w:val="18"/>
                <w:color w:val="auto"/>
                <w:w w:val="94"/>
              </w:rPr>
              <w:t>$123 - $125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226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91"/>
              </w:rPr>
              <w:t>13 - 17%</w:t>
            </w:r>
          </w:p>
        </w:tc>
        <w:tc>
          <w:tcPr>
            <w:tcW w:w="2620" w:type="dxa"/>
            <w:vAlign w:val="bottom"/>
            <w:shd w:val="clear" w:color="auto" w:fill="CFF0FC"/>
          </w:tcPr>
          <w:p>
            <w:pPr>
              <w:jc w:val="center"/>
              <w:ind w:left="250"/>
              <w:spacing w:after="0"/>
              <w:rPr>
                <w:sz w:val="20"/>
                <w:szCs w:val="20"/>
                <w:color w:val="auto"/>
              </w:rPr>
            </w:pPr>
            <w:r>
              <w:rPr>
                <w:rFonts w:ascii="Arial" w:cs="Arial" w:eastAsia="Arial" w:hAnsi="Arial"/>
                <w:sz w:val="18"/>
                <w:szCs w:val="18"/>
                <w:color w:val="auto"/>
                <w:w w:val="87"/>
              </w:rPr>
              <w:t>No 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Capital expenditures</w:t>
            </w:r>
          </w:p>
        </w:tc>
        <w:tc>
          <w:tcPr>
            <w:tcW w:w="2260" w:type="dxa"/>
            <w:vAlign w:val="bottom"/>
          </w:tcPr>
          <w:p>
            <w:pPr>
              <w:jc w:val="right"/>
              <w:spacing w:after="0"/>
              <w:rPr>
                <w:sz w:val="20"/>
                <w:szCs w:val="20"/>
                <w:color w:val="auto"/>
              </w:rPr>
            </w:pPr>
            <w:r>
              <w:rPr>
                <w:rFonts w:ascii="Arial" w:cs="Arial" w:eastAsia="Arial" w:hAnsi="Arial"/>
                <w:sz w:val="18"/>
                <w:szCs w:val="18"/>
                <w:color w:val="auto"/>
              </w:rPr>
              <w:t>$195</w:t>
            </w:r>
          </w:p>
        </w:tc>
        <w:tc>
          <w:tcPr>
            <w:tcW w:w="1720" w:type="dxa"/>
            <w:vAlign w:val="bottom"/>
          </w:tcPr>
          <w:p>
            <w:pPr>
              <w:ind w:left="40"/>
              <w:spacing w:after="0"/>
              <w:rPr>
                <w:sz w:val="20"/>
                <w:szCs w:val="20"/>
                <w:color w:val="auto"/>
              </w:rPr>
            </w:pPr>
            <w:r>
              <w:rPr>
                <w:rFonts w:ascii="Arial" w:cs="Arial" w:eastAsia="Arial" w:hAnsi="Arial"/>
                <w:sz w:val="18"/>
                <w:szCs w:val="18"/>
                <w:color w:val="auto"/>
              </w:rPr>
              <w:t>- $205 million</w:t>
            </w:r>
          </w:p>
        </w:tc>
        <w:tc>
          <w:tcPr>
            <w:tcW w:w="2620" w:type="dxa"/>
            <w:vAlign w:val="bottom"/>
          </w:tcPr>
          <w:p>
            <w:pPr>
              <w:jc w:val="center"/>
              <w:ind w:left="250"/>
              <w:spacing w:after="0"/>
              <w:rPr>
                <w:sz w:val="20"/>
                <w:szCs w:val="20"/>
                <w:color w:val="auto"/>
              </w:rPr>
            </w:pPr>
            <w:r>
              <w:rPr>
                <w:rFonts w:ascii="Arial" w:cs="Arial" w:eastAsia="Arial" w:hAnsi="Arial"/>
                <w:sz w:val="18"/>
                <w:szCs w:val="18"/>
                <w:color w:val="auto"/>
                <w:w w:val="94"/>
              </w:rPr>
              <w:t>$195 - $200 million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Diluted share count</w:t>
            </w:r>
          </w:p>
        </w:tc>
        <w:tc>
          <w:tcPr>
            <w:tcW w:w="3980" w:type="dxa"/>
            <w:vAlign w:val="bottom"/>
            <w:gridSpan w:val="2"/>
            <w:shd w:val="clear" w:color="auto" w:fill="CFF0FC"/>
          </w:tcPr>
          <w:p>
            <w:pPr>
              <w:jc w:val="center"/>
              <w:ind w:left="1150"/>
              <w:spacing w:after="0"/>
              <w:rPr>
                <w:sz w:val="20"/>
                <w:szCs w:val="20"/>
                <w:color w:val="auto"/>
              </w:rPr>
            </w:pPr>
            <w:r>
              <w:rPr>
                <w:rFonts w:ascii="Arial" w:cs="Arial" w:eastAsia="Arial" w:hAnsi="Arial"/>
                <w:sz w:val="18"/>
                <w:szCs w:val="18"/>
                <w:color w:val="auto"/>
                <w:w w:val="98"/>
              </w:rPr>
              <w:t>~ 64 million</w:t>
            </w:r>
          </w:p>
        </w:tc>
        <w:tc>
          <w:tcPr>
            <w:tcW w:w="2620" w:type="dxa"/>
            <w:vAlign w:val="bottom"/>
            <w:shd w:val="clear" w:color="auto" w:fill="CFF0FC"/>
          </w:tcPr>
          <w:p>
            <w:pPr>
              <w:jc w:val="center"/>
              <w:ind w:left="250"/>
              <w:spacing w:after="0"/>
              <w:rPr>
                <w:sz w:val="20"/>
                <w:szCs w:val="20"/>
                <w:color w:val="auto"/>
              </w:rPr>
            </w:pPr>
            <w:r>
              <w:rPr>
                <w:rFonts w:ascii="Arial" w:cs="Arial" w:eastAsia="Arial" w:hAnsi="Arial"/>
                <w:sz w:val="18"/>
                <w:szCs w:val="18"/>
                <w:color w:val="auto"/>
                <w:w w:val="87"/>
              </w:rPr>
              <w:t>No change</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These figures include approximately $50 million of separation and restructuring-related payments.</w:t>
      </w:r>
    </w:p>
    <w:p>
      <w:pPr>
        <w:spacing w:after="0" w:line="97"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For the fourth quarter of fiscal 2018, Ashland expects adjusted diluted earnings per share in the range of $0.90-$1.00, compared to $0.78 in the prior-year period. This estimate assumes an effective tax rate of 19 percent for the fourth quarter.</w:t>
      </w:r>
    </w:p>
    <w:p>
      <w:pPr>
        <w:spacing w:after="0" w:line="45"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For the full 2018 fiscal year, Ashland now expects adjusted diluted earnings per share in the range of $3.50 to $3.60, which would represent growth of 43 – 48 percent compared to the previous year. Ashland expects free cash flow of $170 million in fiscal 2018. This figure includes approximately $50 million of separation and restructuring-related payments.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Ashland’s market risk exposure at June 30, 2018 is generally consistent with the types of market risk exposures presented in Ashland’s Annual Report on Form 10-K for the fiscal year ended September 30, 2017.</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i w:val="1"/>
          <w:iCs w:val="1"/>
          <w:color w:val="auto"/>
        </w:rPr>
        <w:t xml:space="preserve">Disclosure Controls and Procedures </w:t>
      </w:r>
      <w:r>
        <w:rPr>
          <w:rFonts w:ascii="Arial" w:cs="Arial" w:eastAsia="Arial" w:hAnsi="Arial"/>
          <w:sz w:val="19"/>
          <w:szCs w:val="19"/>
          <w:color w:val="auto"/>
        </w:rPr>
        <w:t>- As of the end of the period covered by this quarterly report, Ashland, under the supervision and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June 30, 2018.</w:t>
      </w:r>
    </w:p>
    <w:p>
      <w:pPr>
        <w:spacing w:after="0" w:line="73"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nine months ended June 30, 2018, there were no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684" w:right="6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description of Ashland’s material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firstLine="401"/>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9"/>
          <w:szCs w:val="19"/>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2"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K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firstLine="409"/>
        <w:spacing w:after="0" w:line="256" w:lineRule="auto"/>
        <w:tabs>
          <w:tab w:leader="none" w:pos="740" w:val="left"/>
        </w:tabs>
        <w:numPr>
          <w:ilvl w:val="0"/>
          <w:numId w:val="37"/>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CERCLA and Similar State Law Sites - </w:t>
      </w:r>
      <w:r>
        <w:rPr>
          <w:rFonts w:ascii="Arial" w:cs="Arial" w:eastAsia="Arial" w:hAnsi="Arial"/>
          <w:sz w:val="19"/>
          <w:szCs w:val="19"/>
          <w:color w:val="auto"/>
        </w:rPr>
        <w:t>Under the Comprehensive Environmental Response, Compensation and Liability Act of 1980</w:t>
      </w:r>
      <w:r>
        <w:rPr>
          <w:rFonts w:ascii="Arial" w:cs="Arial" w:eastAsia="Arial" w:hAnsi="Arial"/>
          <w:sz w:val="19"/>
          <w:szCs w:val="19"/>
          <w:i w:val="1"/>
          <w:iCs w:val="1"/>
          <w:color w:val="auto"/>
        </w:rPr>
        <w:t xml:space="preserve"> </w:t>
      </w:r>
      <w:r>
        <w:rPr>
          <w:rFonts w:ascii="Arial" w:cs="Arial" w:eastAsia="Arial" w:hAnsi="Arial"/>
          <w:sz w:val="19"/>
          <w:szCs w:val="19"/>
          <w:color w:val="auto"/>
        </w:rPr>
        <w:t>and similar state laws, Ashland and its subsidiaries may be subject to joint and several liability for cleanup costs in connection with alleged releases of hazardous substances at sites where it has been identified as a “potentially responsible party” (PRP). As of June 30, 2018, Ashland and its subsidiaries have been identified as a PRP by U.S. federal and state authorities, or by private parties seeking contribution, for the cost of environmental investigation and/or cleanup at 82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76" w:lineRule="exact"/>
        <w:rPr>
          <w:rFonts w:ascii="Arial" w:cs="Arial" w:eastAsia="Arial" w:hAnsi="Arial"/>
          <w:sz w:val="19"/>
          <w:szCs w:val="19"/>
          <w:i w:val="1"/>
          <w:iCs w:val="1"/>
          <w:color w:val="auto"/>
        </w:rPr>
      </w:pPr>
    </w:p>
    <w:p>
      <w:pPr>
        <w:jc w:val="both"/>
        <w:ind w:firstLine="409"/>
        <w:spacing w:after="0" w:line="278" w:lineRule="auto"/>
        <w:tabs>
          <w:tab w:leader="none" w:pos="838"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Philadelphia, Pennsylvania Matters </w:t>
      </w:r>
      <w:r>
        <w:rPr>
          <w:rFonts w:ascii="Arial" w:cs="Arial" w:eastAsia="Arial" w:hAnsi="Arial"/>
          <w:sz w:val="18"/>
          <w:szCs w:val="18"/>
          <w:color w:val="auto"/>
        </w:rPr>
        <w:t>- On May 3, 2018, Ashland received a Consent Assessment of Civil Penalty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Pennsylvania Department of Environmental Protection (“PADEP”), seeking a penalty of $445,000 alleging violations under the Pennsylvania Storage Tank and Spill Prevention Act in connection with the October 2017 release at Ashland’s Philadelphia, Pennsylvania Composites site. Ashland disputes the factual allegations and legal interpretations of PADEP and is working with PADEP to resolve the matter. While this matter could result in a penalty from PADEP in excess of $100,000, the potential penalty is not expected to be material to Ashland.</w:t>
      </w:r>
    </w:p>
    <w:p>
      <w:pPr>
        <w:spacing w:after="0" w:line="57" w:lineRule="exact"/>
        <w:rPr>
          <w:rFonts w:ascii="Arial" w:cs="Arial" w:eastAsia="Arial" w:hAnsi="Arial"/>
          <w:sz w:val="18"/>
          <w:szCs w:val="18"/>
          <w:i w:val="1"/>
          <w:iCs w:val="1"/>
          <w:color w:val="auto"/>
        </w:rPr>
      </w:pPr>
    </w:p>
    <w:p>
      <w:pPr>
        <w:jc w:val="both"/>
        <w:ind w:firstLine="409"/>
        <w:spacing w:after="0" w:line="273" w:lineRule="auto"/>
        <w:tabs>
          <w:tab w:leader="none" w:pos="798"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Hattiesburg, Mississippi Resource Conservation and Recovery Act Matter - </w:t>
      </w:r>
      <w:r>
        <w:rPr>
          <w:rFonts w:ascii="Arial" w:cs="Arial" w:eastAsia="Arial" w:hAnsi="Arial"/>
          <w:sz w:val="18"/>
          <w:szCs w:val="18"/>
          <w:color w:val="auto"/>
        </w:rPr>
        <w:t>In November 2008, the Mississippi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61" w:lineRule="exact"/>
        <w:rPr>
          <w:rFonts w:ascii="Arial" w:cs="Arial" w:eastAsia="Arial" w:hAnsi="Arial"/>
          <w:sz w:val="18"/>
          <w:szCs w:val="18"/>
          <w:i w:val="1"/>
          <w:iCs w:val="1"/>
          <w:color w:val="auto"/>
        </w:rPr>
      </w:pPr>
    </w:p>
    <w:p>
      <w:pPr>
        <w:jc w:val="both"/>
        <w:ind w:firstLine="409"/>
        <w:spacing w:after="0" w:line="244" w:lineRule="auto"/>
        <w:tabs>
          <w:tab w:leader="none" w:pos="757" w:val="left"/>
        </w:tabs>
        <w:numPr>
          <w:ilvl w:val="0"/>
          <w:numId w:val="37"/>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Lower Passaic River, New Jersey Matters - </w:t>
      </w:r>
      <w:r>
        <w:rPr>
          <w:rFonts w:ascii="Arial" w:cs="Arial" w:eastAsia="Arial" w:hAnsi="Arial"/>
          <w:sz w:val="20"/>
          <w:szCs w:val="20"/>
          <w:color w:val="auto"/>
        </w:rPr>
        <w:t>Ashland, through two formerly owned facilities, and ISP, through a now-closed facility,</w:t>
      </w:r>
      <w:r>
        <w:rPr>
          <w:rFonts w:ascii="Arial" w:cs="Arial" w:eastAsia="Arial" w:hAnsi="Arial"/>
          <w:sz w:val="20"/>
          <w:szCs w:val="20"/>
          <w:i w:val="1"/>
          <w:iCs w:val="1"/>
          <w:color w:val="auto"/>
        </w:rPr>
        <w:t xml:space="preserve"> </w:t>
      </w:r>
      <w:r>
        <w:rPr>
          <w:rFonts w:ascii="Arial" w:cs="Arial" w:eastAsia="Arial" w:hAnsi="Arial"/>
          <w:sz w:val="20"/>
          <w:szCs w:val="20"/>
          <w:color w:val="auto"/>
        </w:rPr>
        <w:t>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jc w:val="both"/>
        <w:spacing w:after="0" w:line="242" w:lineRule="auto"/>
        <w:rPr>
          <w:sz w:val="20"/>
          <w:szCs w:val="20"/>
          <w:color w:val="auto"/>
        </w:rPr>
      </w:pPr>
      <w:r>
        <w:rPr>
          <w:rFonts w:ascii="Arial" w:cs="Arial" w:eastAsia="Arial" w:hAnsi="Arial"/>
          <w:sz w:val="20"/>
          <w:szCs w:val="20"/>
          <w:color w:val="auto"/>
        </w:rPr>
        <w:t>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Occidental to conduct and pay for the remedial design. The USEPA has advised that it will be working to secure similar agreements with other PRPs. The release of the FFS Record of Decision did not have a material adverse impact on Ashland’s business and financial operations; however, there are a number of contingencies in the future that could possibly have a material impact including adverse rulings or verdicts, allocation proceedings and related orders.</w:t>
      </w:r>
    </w:p>
    <w:p>
      <w:pPr>
        <w:spacing w:after="0" w:line="90"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K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ind w:firstLine="401"/>
        <w:spacing w:after="0" w:line="276"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June 30, 2018. There is a reasonable possibility that a loss exceeding amounts already recognized may be incurred related to these actions; however, Ashland believes that such potential losses were immaterial as of June 30, 2018.</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jc w:val="both"/>
        <w:ind w:right="20" w:firstLine="401"/>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There was no share repurchase activity during the three months ended June 30,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4020" w:type="dxa"/>
            <w:vAlign w:val="bottom"/>
            <w:gridSpan w:val="3"/>
          </w:tcPr>
          <w:p>
            <w:pPr>
              <w:jc w:val="right"/>
              <w:ind w:right="910"/>
              <w:spacing w:after="0"/>
              <w:rPr>
                <w:sz w:val="20"/>
                <w:szCs w:val="20"/>
                <w:color w:val="auto"/>
              </w:rPr>
            </w:pPr>
            <w:r>
              <w:rPr>
                <w:rFonts w:ascii="Arial" w:cs="Arial" w:eastAsia="Arial" w:hAnsi="Arial"/>
                <w:sz w:val="18"/>
                <w:szCs w:val="18"/>
                <w:color w:val="auto"/>
              </w:rPr>
              <w:t>Issuer Purchases of Equity Securities</w:t>
            </w: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color w:val="auto"/>
              </w:rPr>
              <w:t>Dollar Value of</w:t>
            </w:r>
          </w:p>
        </w:tc>
        <w:tc>
          <w:tcPr>
            <w:tcW w:w="0" w:type="dxa"/>
            <w:vAlign w:val="bottom"/>
          </w:tcPr>
          <w:p>
            <w:pPr>
              <w:spacing w:after="0"/>
              <w:rPr>
                <w:sz w:val="1"/>
                <w:szCs w:val="1"/>
                <w:color w:val="auto"/>
              </w:rPr>
            </w:pPr>
          </w:p>
        </w:tc>
      </w:tr>
      <w:tr>
        <w:trPr>
          <w:trHeight w:val="215"/>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Total Number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Shares that May</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Average Price</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Shares Purchased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0"/>
              </w:rPr>
              <w:t>Yet Be Purchased</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w w:val="97"/>
              </w:rPr>
              <w:t>Paid Per Share,</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as Part of Publicly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Under the Plans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Total Number of</w:t>
            </w:r>
          </w:p>
        </w:tc>
        <w:tc>
          <w:tcPr>
            <w:tcW w:w="820" w:type="dxa"/>
            <w:vAlign w:val="bottom"/>
          </w:tcPr>
          <w:p>
            <w:pPr>
              <w:spacing w:after="0"/>
              <w:rPr>
                <w:sz w:val="18"/>
                <w:szCs w:val="18"/>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including</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Announced Plans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or Programs</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FF0FC"/>
            </w:tcBorders>
          </w:tcPr>
          <w:p>
            <w:pPr>
              <w:ind w:left="1240"/>
              <w:spacing w:after="0"/>
              <w:rPr>
                <w:sz w:val="20"/>
                <w:szCs w:val="20"/>
                <w:color w:val="auto"/>
              </w:rPr>
            </w:pPr>
            <w:r>
              <w:rPr>
                <w:rFonts w:ascii="Arial" w:cs="Arial" w:eastAsia="Arial" w:hAnsi="Arial"/>
                <w:sz w:val="18"/>
                <w:szCs w:val="18"/>
                <w:color w:val="auto"/>
              </w:rPr>
              <w:t>Q3 Fiscal Periods</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Shares Purchased</w:t>
            </w: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commission</w:t>
            </w:r>
          </w:p>
        </w:tc>
        <w:tc>
          <w:tcPr>
            <w:tcW w:w="1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or Programs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 millions)(a)</w:t>
            </w: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April 1, 2018 to April 30, 2018</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May 1, 2018 to May 31, 2018</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June 1, 2018 to June 30, 2018</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960" w:type="dxa"/>
            <w:vAlign w:val="bottom"/>
          </w:tcPr>
          <w:p>
            <w:pPr>
              <w:ind w:left="50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409"/>
        <w:spacing w:after="0" w:line="282" w:lineRule="auto"/>
        <w:tabs>
          <w:tab w:leader="none" w:pos="7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As of June 30, 2018, $1 billion remains available for repurchase under this authorization.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ITEM 6.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80" w:type="dxa"/>
            <w:vAlign w:val="bottom"/>
          </w:tcPr>
          <w:p>
            <w:pPr>
              <w:spacing w:after="0"/>
              <w:rPr>
                <w:sz w:val="20"/>
                <w:szCs w:val="20"/>
                <w:color w:val="auto"/>
              </w:rPr>
            </w:pPr>
            <w:r>
              <w:rPr>
                <w:rFonts w:ascii="Arial" w:cs="Arial" w:eastAsia="Arial" w:hAnsi="Arial"/>
                <w:sz w:val="20"/>
                <w:szCs w:val="20"/>
                <w:color w:val="auto"/>
              </w:rPr>
              <w:t>(a) Exhibits</w:t>
            </w:r>
          </w:p>
        </w:tc>
        <w:tc>
          <w:tcPr>
            <w:tcW w:w="6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34"/>
        </w:trPr>
        <w:tc>
          <w:tcPr>
            <w:tcW w:w="1380" w:type="dxa"/>
            <w:vAlign w:val="bottom"/>
          </w:tcPr>
          <w:p>
            <w:pPr>
              <w:jc w:val="right"/>
              <w:ind w:right="921"/>
              <w:spacing w:after="0"/>
              <w:rPr>
                <w:sz w:val="20"/>
                <w:szCs w:val="20"/>
                <w:color w:val="auto"/>
              </w:rPr>
            </w:pPr>
            <w:r>
              <w:rPr>
                <w:rFonts w:ascii="Arial" w:cs="Arial" w:eastAsia="Arial" w:hAnsi="Arial"/>
                <w:sz w:val="20"/>
                <w:szCs w:val="20"/>
                <w:color w:val="auto"/>
                <w:w w:val="87"/>
              </w:rPr>
              <w:t>10.1</w:t>
            </w:r>
          </w:p>
        </w:tc>
        <w:tc>
          <w:tcPr>
            <w:tcW w:w="9980" w:type="dxa"/>
            <w:vAlign w:val="bottom"/>
            <w:tcBorders>
              <w:bottom w:val="single" w:sz="8" w:color="0000EE"/>
            </w:tcBorders>
            <w:gridSpan w:val="7"/>
          </w:tcPr>
          <w:p>
            <w:pPr>
              <w:spacing w:after="0"/>
              <w:rPr>
                <w:rFonts w:ascii="Arial" w:cs="Arial" w:eastAsia="Arial" w:hAnsi="Arial"/>
                <w:sz w:val="20"/>
                <w:szCs w:val="20"/>
                <w:color w:val="0000EE"/>
                <w:w w:val="92"/>
              </w:rPr>
            </w:pPr>
            <w:hyperlink r:id="rId252">
              <w:r>
                <w:rPr>
                  <w:rFonts w:ascii="Arial" w:cs="Arial" w:eastAsia="Arial" w:hAnsi="Arial"/>
                  <w:sz w:val="20"/>
                  <w:szCs w:val="20"/>
                  <w:color w:val="0000EE"/>
                  <w:w w:val="92"/>
                </w:rPr>
                <w:t>Amendment No. 3 to the Credit Agreement dated as of May 17, 2017, dated as of May 22, 2018, among Ashland LLC, as</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6"/>
              </w:rPr>
            </w:pPr>
            <w:hyperlink r:id="rId252">
              <w:r>
                <w:rPr>
                  <w:rFonts w:ascii="Arial" w:cs="Arial" w:eastAsia="Arial" w:hAnsi="Arial"/>
                  <w:sz w:val="20"/>
                  <w:szCs w:val="20"/>
                  <w:color w:val="0000EE"/>
                  <w:w w:val="96"/>
                </w:rPr>
                <w:t>Borrower, the Lenders from time to time party thereto, The Bank of Nova Scotia, as Administrative Agent, Swing Line</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2"/>
              </w:rPr>
            </w:pPr>
            <w:hyperlink r:id="rId252">
              <w:r>
                <w:rPr>
                  <w:rFonts w:ascii="Arial" w:cs="Arial" w:eastAsia="Arial" w:hAnsi="Arial"/>
                  <w:sz w:val="20"/>
                  <w:szCs w:val="20"/>
                  <w:color w:val="0000EE"/>
                  <w:w w:val="92"/>
                </w:rPr>
                <w:t>Lender and an L/C Issuer, each other L/C Issuer from time to time party thereto and Citibank, N.A., as Syndication Agent,</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0"/>
              </w:rPr>
            </w:pPr>
            <w:hyperlink r:id="rId252">
              <w:r>
                <w:rPr>
                  <w:rFonts w:ascii="Arial" w:cs="Arial" w:eastAsia="Arial" w:hAnsi="Arial"/>
                  <w:sz w:val="20"/>
                  <w:szCs w:val="20"/>
                  <w:color w:val="0000EE"/>
                  <w:w w:val="90"/>
                </w:rPr>
                <w:t>and the various other parties thereto (as amended by Amendment No. 1 to the Credit Agreement, dated as of May 19, 2017,</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4"/>
              </w:rPr>
            </w:pPr>
            <w:hyperlink r:id="rId252">
              <w:r>
                <w:rPr>
                  <w:rFonts w:ascii="Arial" w:cs="Arial" w:eastAsia="Arial" w:hAnsi="Arial"/>
                  <w:sz w:val="20"/>
                  <w:szCs w:val="20"/>
                  <w:color w:val="0000EE"/>
                  <w:w w:val="94"/>
                </w:rPr>
                <w:t>as further amended by Amendment No. 2 to the Credit Agreement, dated as of June 14, 2017, and as further amended,</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2"/>
              </w:rPr>
            </w:pPr>
            <w:hyperlink r:id="rId252">
              <w:r>
                <w:rPr>
                  <w:rFonts w:ascii="Arial" w:cs="Arial" w:eastAsia="Arial" w:hAnsi="Arial"/>
                  <w:sz w:val="20"/>
                  <w:szCs w:val="20"/>
                  <w:color w:val="0000EE"/>
                  <w:w w:val="92"/>
                </w:rPr>
                <w:t>restated, modified and supplemented from time to time) (filed as Exhibit 10.1 to Ashland’s Form 8-K filed on May 23, 2018</w:t>
              </w:r>
            </w:hyperlink>
          </w:p>
        </w:tc>
      </w:tr>
      <w:tr>
        <w:trPr>
          <w:trHeight w:val="210"/>
        </w:trPr>
        <w:tc>
          <w:tcPr>
            <w:tcW w:w="1380" w:type="dxa"/>
            <w:vAlign w:val="bottom"/>
          </w:tcPr>
          <w:p>
            <w:pPr>
              <w:spacing w:after="0"/>
              <w:rPr>
                <w:sz w:val="18"/>
                <w:szCs w:val="18"/>
                <w:color w:val="auto"/>
              </w:rPr>
            </w:pPr>
          </w:p>
        </w:tc>
        <w:tc>
          <w:tcPr>
            <w:tcW w:w="9980" w:type="dxa"/>
            <w:vAlign w:val="bottom"/>
            <w:gridSpan w:val="7"/>
          </w:tcPr>
          <w:p>
            <w:pPr>
              <w:spacing w:after="0" w:line="209" w:lineRule="exact"/>
              <w:rPr>
                <w:rFonts w:ascii="Arial" w:cs="Arial" w:eastAsia="Arial" w:hAnsi="Arial"/>
                <w:sz w:val="20"/>
                <w:szCs w:val="20"/>
                <w:color w:val="0000EE"/>
              </w:rPr>
            </w:pPr>
            <w:hyperlink r:id="rId252">
              <w:r>
                <w:rPr>
                  <w:rFonts w:ascii="Arial" w:cs="Arial" w:eastAsia="Arial" w:hAnsi="Arial"/>
                  <w:sz w:val="20"/>
                  <w:szCs w:val="20"/>
                  <w:color w:val="0000EE"/>
                </w:rPr>
                <w:t>(SEC File No. 333-211719), and incorporated herein by reference).</w:t>
              </w:r>
            </w:hyperlink>
          </w:p>
        </w:tc>
      </w:tr>
      <w:tr>
        <w:trPr>
          <w:trHeight w:val="20"/>
        </w:trPr>
        <w:tc>
          <w:tcPr>
            <w:tcW w:w="13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380" w:type="dxa"/>
            <w:vAlign w:val="bottom"/>
          </w:tcPr>
          <w:p>
            <w:pPr>
              <w:jc w:val="right"/>
              <w:ind w:right="921"/>
              <w:spacing w:after="0"/>
              <w:rPr>
                <w:sz w:val="20"/>
                <w:szCs w:val="20"/>
                <w:color w:val="auto"/>
              </w:rPr>
            </w:pPr>
            <w:r>
              <w:rPr>
                <w:rFonts w:ascii="Arial" w:cs="Arial" w:eastAsia="Arial" w:hAnsi="Arial"/>
                <w:sz w:val="20"/>
                <w:szCs w:val="20"/>
                <w:color w:val="auto"/>
                <w:w w:val="87"/>
              </w:rPr>
              <w:t>10.2</w:t>
            </w:r>
          </w:p>
        </w:tc>
        <w:tc>
          <w:tcPr>
            <w:tcW w:w="9980" w:type="dxa"/>
            <w:vAlign w:val="bottom"/>
            <w:tcBorders>
              <w:bottom w:val="single" w:sz="8" w:color="0000EE"/>
            </w:tcBorders>
            <w:gridSpan w:val="7"/>
          </w:tcPr>
          <w:p>
            <w:pPr>
              <w:spacing w:after="0"/>
              <w:rPr>
                <w:rFonts w:ascii="Arial" w:cs="Arial" w:eastAsia="Arial" w:hAnsi="Arial"/>
                <w:sz w:val="20"/>
                <w:szCs w:val="20"/>
                <w:color w:val="0000EE"/>
                <w:w w:val="92"/>
              </w:rPr>
            </w:pPr>
            <w:hyperlink r:id="rId253">
              <w:r>
                <w:rPr>
                  <w:rFonts w:ascii="Arial" w:cs="Arial" w:eastAsia="Arial" w:hAnsi="Arial"/>
                  <w:sz w:val="20"/>
                  <w:szCs w:val="20"/>
                  <w:color w:val="0000EE"/>
                  <w:w w:val="92"/>
                </w:rPr>
                <w:t>Amendment No. 4 to the Credit Agreement dated as of May 17, 2017, dated as of June 29, 2018, among Ashland LLC, as</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rPr>
            </w:pPr>
            <w:hyperlink r:id="rId253">
              <w:r>
                <w:rPr>
                  <w:rFonts w:ascii="Arial" w:cs="Arial" w:eastAsia="Arial" w:hAnsi="Arial"/>
                  <w:sz w:val="20"/>
                  <w:szCs w:val="20"/>
                  <w:color w:val="0000EE"/>
                </w:rPr>
                <w:t>Borrower, The Lenders from time to time party thereto, The Bank of Nova Scotia, as Administrative Agent (the</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4"/>
              </w:rPr>
            </w:pPr>
            <w:hyperlink r:id="rId253">
              <w:r>
                <w:rPr>
                  <w:rFonts w:ascii="Arial" w:cs="Arial" w:eastAsia="Arial" w:hAnsi="Arial"/>
                  <w:sz w:val="20"/>
                  <w:szCs w:val="20"/>
                  <w:color w:val="0000EE"/>
                  <w:w w:val="94"/>
                </w:rPr>
                <w:t>“Administrative Agent”), Swing Line Lender and an L/C Issuer, each other L/C Issuer from time to time party thereto and</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1"/>
              </w:rPr>
            </w:pPr>
            <w:hyperlink r:id="rId253">
              <w:r>
                <w:rPr>
                  <w:rFonts w:ascii="Arial" w:cs="Arial" w:eastAsia="Arial" w:hAnsi="Arial"/>
                  <w:sz w:val="20"/>
                  <w:szCs w:val="20"/>
                  <w:color w:val="0000EE"/>
                  <w:w w:val="91"/>
                </w:rPr>
                <w:t>Citibank, N.A., as Syndication Agent, and the various other parties thereto (as amended by Amendment No. 1 to the Credit</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1"/>
              </w:rPr>
            </w:pPr>
            <w:hyperlink r:id="rId253">
              <w:r>
                <w:rPr>
                  <w:rFonts w:ascii="Arial" w:cs="Arial" w:eastAsia="Arial" w:hAnsi="Arial"/>
                  <w:sz w:val="20"/>
                  <w:szCs w:val="20"/>
                  <w:color w:val="0000EE"/>
                  <w:w w:val="91"/>
                </w:rPr>
                <w:t>Agreement, dated as of May 19, 2017, as further amended by Amendment No. 2 to the Credit Agreement, dated as of June</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4"/>
              </w:rPr>
            </w:pPr>
            <w:hyperlink r:id="rId253">
              <w:r>
                <w:rPr>
                  <w:rFonts w:ascii="Arial" w:cs="Arial" w:eastAsia="Arial" w:hAnsi="Arial"/>
                  <w:sz w:val="20"/>
                  <w:szCs w:val="20"/>
                  <w:color w:val="0000EE"/>
                  <w:w w:val="94"/>
                </w:rPr>
                <w:t>14, 2017 and Amendment No. 3 to the Credit Agreement, dated as of May 22, 2018, and as further amended, restated,</w:t>
              </w:r>
            </w:hyperlink>
          </w:p>
        </w:tc>
      </w:tr>
      <w:tr>
        <w:trPr>
          <w:trHeight w:val="210"/>
        </w:trPr>
        <w:tc>
          <w:tcPr>
            <w:tcW w:w="1380" w:type="dxa"/>
            <w:vAlign w:val="bottom"/>
          </w:tcPr>
          <w:p>
            <w:pPr>
              <w:spacing w:after="0"/>
              <w:rPr>
                <w:sz w:val="18"/>
                <w:szCs w:val="18"/>
                <w:color w:val="auto"/>
              </w:rPr>
            </w:pPr>
          </w:p>
        </w:tc>
        <w:tc>
          <w:tcPr>
            <w:tcW w:w="9980" w:type="dxa"/>
            <w:vAlign w:val="bottom"/>
            <w:tcBorders>
              <w:bottom w:val="single" w:sz="8" w:color="0000EE"/>
            </w:tcBorders>
            <w:gridSpan w:val="7"/>
          </w:tcPr>
          <w:p>
            <w:pPr>
              <w:spacing w:after="0" w:line="209" w:lineRule="exact"/>
              <w:rPr>
                <w:rFonts w:ascii="Arial" w:cs="Arial" w:eastAsia="Arial" w:hAnsi="Arial"/>
                <w:sz w:val="20"/>
                <w:szCs w:val="20"/>
                <w:color w:val="0000EE"/>
                <w:w w:val="93"/>
              </w:rPr>
            </w:pPr>
            <w:hyperlink r:id="rId253">
              <w:r>
                <w:rPr>
                  <w:rFonts w:ascii="Arial" w:cs="Arial" w:eastAsia="Arial" w:hAnsi="Arial"/>
                  <w:sz w:val="20"/>
                  <w:szCs w:val="20"/>
                  <w:color w:val="0000EE"/>
                  <w:w w:val="93"/>
                </w:rPr>
                <w:t>modified and supplemented from time to time) (filed as Exhibit 10.1 to Ashland’s Form 8-K filed on July 2, 2018 (SEC File</w:t>
              </w:r>
            </w:hyperlink>
          </w:p>
        </w:tc>
      </w:tr>
      <w:tr>
        <w:trPr>
          <w:trHeight w:val="210"/>
        </w:trPr>
        <w:tc>
          <w:tcPr>
            <w:tcW w:w="1380" w:type="dxa"/>
            <w:vAlign w:val="bottom"/>
          </w:tcPr>
          <w:p>
            <w:pPr>
              <w:spacing w:after="0"/>
              <w:rPr>
                <w:sz w:val="18"/>
                <w:szCs w:val="18"/>
                <w:color w:val="auto"/>
              </w:rPr>
            </w:pPr>
          </w:p>
        </w:tc>
        <w:tc>
          <w:tcPr>
            <w:tcW w:w="9980" w:type="dxa"/>
            <w:vAlign w:val="bottom"/>
            <w:gridSpan w:val="7"/>
          </w:tcPr>
          <w:p>
            <w:pPr>
              <w:spacing w:after="0" w:line="209" w:lineRule="exact"/>
              <w:rPr>
                <w:rFonts w:ascii="Arial" w:cs="Arial" w:eastAsia="Arial" w:hAnsi="Arial"/>
                <w:sz w:val="20"/>
                <w:szCs w:val="20"/>
                <w:color w:val="0000EE"/>
              </w:rPr>
            </w:pPr>
            <w:hyperlink r:id="rId253">
              <w:r>
                <w:rPr>
                  <w:rFonts w:ascii="Arial" w:cs="Arial" w:eastAsia="Arial" w:hAnsi="Arial"/>
                  <w:sz w:val="20"/>
                  <w:szCs w:val="20"/>
                  <w:color w:val="0000EE"/>
                </w:rPr>
                <w:t>No. 333-211719), and incorporated herein by reference).</w:t>
              </w:r>
            </w:hyperlink>
          </w:p>
        </w:tc>
      </w:tr>
      <w:tr>
        <w:trPr>
          <w:trHeight w:val="331"/>
        </w:trPr>
        <w:tc>
          <w:tcPr>
            <w:tcW w:w="1380" w:type="dxa"/>
            <w:vAlign w:val="bottom"/>
          </w:tcPr>
          <w:p>
            <w:pPr>
              <w:jc w:val="right"/>
              <w:ind w:right="921"/>
              <w:spacing w:after="0"/>
              <w:rPr>
                <w:sz w:val="20"/>
                <w:szCs w:val="20"/>
                <w:color w:val="auto"/>
              </w:rPr>
            </w:pPr>
            <w:r>
              <w:rPr>
                <w:rFonts w:ascii="Arial" w:cs="Arial" w:eastAsia="Arial" w:hAnsi="Arial"/>
                <w:sz w:val="20"/>
                <w:szCs w:val="20"/>
                <w:color w:val="auto"/>
              </w:rPr>
              <w:t>12*</w:t>
            </w:r>
          </w:p>
        </w:tc>
        <w:tc>
          <w:tcPr>
            <w:tcW w:w="4480" w:type="dxa"/>
            <w:vAlign w:val="bottom"/>
            <w:tcBorders>
              <w:top w:val="single" w:sz="8" w:color="0000EE"/>
            </w:tcBorders>
            <w:gridSpan w:val="3"/>
          </w:tcPr>
          <w:p>
            <w:pPr>
              <w:spacing w:after="0"/>
              <w:rPr>
                <w:rFonts w:ascii="Arial" w:cs="Arial" w:eastAsia="Arial" w:hAnsi="Arial"/>
                <w:sz w:val="20"/>
                <w:szCs w:val="20"/>
                <w:color w:val="0000EE"/>
                <w:w w:val="97"/>
              </w:rPr>
            </w:pPr>
            <w:hyperlink w:anchor="page74">
              <w:r>
                <w:rPr>
                  <w:rFonts w:ascii="Arial" w:cs="Arial" w:eastAsia="Arial" w:hAnsi="Arial"/>
                  <w:sz w:val="20"/>
                  <w:szCs w:val="20"/>
                  <w:color w:val="0000EE"/>
                  <w:w w:val="97"/>
                </w:rPr>
                <w:t>Computation of Ratio of Earnings to Fixed Charges.</w:t>
              </w:r>
            </w:hyperlink>
          </w:p>
        </w:tc>
        <w:tc>
          <w:tcPr>
            <w:tcW w:w="5500" w:type="dxa"/>
            <w:vAlign w:val="bottom"/>
            <w:gridSpan w:val="4"/>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80" w:type="dxa"/>
            <w:vAlign w:val="bottom"/>
          </w:tcPr>
          <w:p>
            <w:pPr>
              <w:jc w:val="right"/>
              <w:ind w:right="781"/>
              <w:spacing w:after="0"/>
              <w:rPr>
                <w:sz w:val="20"/>
                <w:szCs w:val="20"/>
                <w:color w:val="auto"/>
              </w:rPr>
            </w:pPr>
            <w:r>
              <w:rPr>
                <w:rFonts w:ascii="Arial" w:cs="Arial" w:eastAsia="Arial" w:hAnsi="Arial"/>
                <w:sz w:val="20"/>
                <w:szCs w:val="20"/>
                <w:color w:val="auto"/>
              </w:rPr>
              <w:t>31.1*</w:t>
            </w:r>
          </w:p>
        </w:tc>
        <w:tc>
          <w:tcPr>
            <w:tcW w:w="9980" w:type="dxa"/>
            <w:vAlign w:val="bottom"/>
            <w:tcBorders>
              <w:bottom w:val="single" w:sz="8" w:color="0000EE"/>
            </w:tcBorders>
            <w:gridSpan w:val="7"/>
          </w:tcPr>
          <w:p>
            <w:pPr>
              <w:spacing w:after="0"/>
              <w:rPr>
                <w:rFonts w:ascii="Arial" w:cs="Arial" w:eastAsia="Arial" w:hAnsi="Arial"/>
                <w:sz w:val="20"/>
                <w:szCs w:val="20"/>
                <w:color w:val="0000EE"/>
                <w:w w:val="93"/>
              </w:rPr>
            </w:pPr>
            <w:hyperlink w:anchor="page75">
              <w:r>
                <w:rPr>
                  <w:rFonts w:ascii="Arial" w:cs="Arial" w:eastAsia="Arial" w:hAnsi="Arial"/>
                  <w:sz w:val="20"/>
                  <w:szCs w:val="20"/>
                  <w:color w:val="0000EE"/>
                  <w:w w:val="93"/>
                </w:rPr>
                <w:t>Certificate of William A. Wulfsohn, Chief Executive Officer of Ashland pursuant to Section 302 of the Sarbanes-Oxley Act</w:t>
              </w:r>
            </w:hyperlink>
          </w:p>
        </w:tc>
      </w:tr>
      <w:tr>
        <w:trPr>
          <w:trHeight w:val="210"/>
        </w:trPr>
        <w:tc>
          <w:tcPr>
            <w:tcW w:w="1380" w:type="dxa"/>
            <w:vAlign w:val="bottom"/>
          </w:tcPr>
          <w:p>
            <w:pPr>
              <w:spacing w:after="0"/>
              <w:rPr>
                <w:sz w:val="18"/>
                <w:szCs w:val="18"/>
                <w:color w:val="auto"/>
              </w:rPr>
            </w:pPr>
          </w:p>
        </w:tc>
        <w:tc>
          <w:tcPr>
            <w:tcW w:w="9980" w:type="dxa"/>
            <w:vAlign w:val="bottom"/>
            <w:gridSpan w:val="7"/>
          </w:tcPr>
          <w:p>
            <w:pPr>
              <w:spacing w:after="0" w:line="209" w:lineRule="exact"/>
              <w:rPr>
                <w:rFonts w:ascii="Arial" w:cs="Arial" w:eastAsia="Arial" w:hAnsi="Arial"/>
                <w:sz w:val="20"/>
                <w:szCs w:val="20"/>
                <w:color w:val="0000EE"/>
              </w:rPr>
            </w:pPr>
            <w:hyperlink w:anchor="page75">
              <w:r>
                <w:rPr>
                  <w:rFonts w:ascii="Arial" w:cs="Arial" w:eastAsia="Arial" w:hAnsi="Arial"/>
                  <w:sz w:val="20"/>
                  <w:szCs w:val="20"/>
                  <w:color w:val="0000EE"/>
                </w:rPr>
                <w:t>of 2002.</w:t>
              </w:r>
            </w:hyperlink>
          </w:p>
        </w:tc>
      </w:tr>
      <w:tr>
        <w:trPr>
          <w:trHeight w:val="20"/>
        </w:trPr>
        <w:tc>
          <w:tcPr>
            <w:tcW w:w="13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80" w:type="dxa"/>
            <w:vAlign w:val="bottom"/>
          </w:tcPr>
          <w:p>
            <w:pPr>
              <w:jc w:val="right"/>
              <w:ind w:right="781"/>
              <w:spacing w:after="0"/>
              <w:rPr>
                <w:sz w:val="20"/>
                <w:szCs w:val="20"/>
                <w:color w:val="auto"/>
              </w:rPr>
            </w:pPr>
            <w:r>
              <w:rPr>
                <w:rFonts w:ascii="Arial" w:cs="Arial" w:eastAsia="Arial" w:hAnsi="Arial"/>
                <w:sz w:val="20"/>
                <w:szCs w:val="20"/>
                <w:color w:val="auto"/>
              </w:rPr>
              <w:t>31.2*</w:t>
            </w:r>
          </w:p>
        </w:tc>
        <w:tc>
          <w:tcPr>
            <w:tcW w:w="9980" w:type="dxa"/>
            <w:vAlign w:val="bottom"/>
            <w:gridSpan w:val="7"/>
          </w:tcPr>
          <w:p>
            <w:pPr>
              <w:spacing w:after="0"/>
              <w:rPr>
                <w:rFonts w:ascii="Arial" w:cs="Arial" w:eastAsia="Arial" w:hAnsi="Arial"/>
                <w:sz w:val="20"/>
                <w:szCs w:val="20"/>
                <w:color w:val="0000EE"/>
                <w:w w:val="91"/>
              </w:rPr>
            </w:pPr>
            <w:hyperlink w:anchor="page76">
              <w:r>
                <w:rPr>
                  <w:rFonts w:ascii="Arial" w:cs="Arial" w:eastAsia="Arial" w:hAnsi="Arial"/>
                  <w:sz w:val="20"/>
                  <w:szCs w:val="20"/>
                  <w:color w:val="0000EE"/>
                  <w:w w:val="91"/>
                </w:rPr>
                <w:t>Certificate of J. Kevin Willis, Chief Financial Officer of Ashland pursuant to Section 302 of the Sarbanes-Oxley Act of 2002.</w:t>
              </w:r>
            </w:hyperlink>
          </w:p>
        </w:tc>
      </w:tr>
      <w:tr>
        <w:trPr>
          <w:trHeight w:val="20"/>
        </w:trPr>
        <w:tc>
          <w:tcPr>
            <w:tcW w:w="1380" w:type="dxa"/>
            <w:vAlign w:val="bottom"/>
          </w:tcPr>
          <w:p>
            <w:pPr>
              <w:spacing w:after="0" w:line="20" w:lineRule="exact"/>
              <w:rPr>
                <w:sz w:val="1"/>
                <w:szCs w:val="1"/>
                <w:color w:val="auto"/>
              </w:rPr>
            </w:pPr>
          </w:p>
        </w:tc>
        <w:tc>
          <w:tcPr>
            <w:tcW w:w="5460" w:type="dxa"/>
            <w:vAlign w:val="bottom"/>
            <w:gridSpan w:val="5"/>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80" w:type="dxa"/>
            <w:vAlign w:val="bottom"/>
          </w:tcPr>
          <w:p>
            <w:pPr>
              <w:jc w:val="right"/>
              <w:ind w:right="921"/>
              <w:spacing w:after="0"/>
              <w:rPr>
                <w:sz w:val="20"/>
                <w:szCs w:val="20"/>
                <w:color w:val="auto"/>
              </w:rPr>
            </w:pPr>
            <w:r>
              <w:rPr>
                <w:rFonts w:ascii="Arial" w:cs="Arial" w:eastAsia="Arial" w:hAnsi="Arial"/>
                <w:sz w:val="20"/>
                <w:szCs w:val="20"/>
                <w:color w:val="auto"/>
              </w:rPr>
              <w:t>32*</w:t>
            </w:r>
          </w:p>
        </w:tc>
        <w:tc>
          <w:tcPr>
            <w:tcW w:w="9980" w:type="dxa"/>
            <w:vAlign w:val="bottom"/>
            <w:tcBorders>
              <w:bottom w:val="single" w:sz="8" w:color="0000EE"/>
            </w:tcBorders>
            <w:gridSpan w:val="7"/>
          </w:tcPr>
          <w:p>
            <w:pPr>
              <w:spacing w:after="0"/>
              <w:rPr>
                <w:rFonts w:ascii="Arial" w:cs="Arial" w:eastAsia="Arial" w:hAnsi="Arial"/>
                <w:sz w:val="20"/>
                <w:szCs w:val="20"/>
                <w:color w:val="0000EE"/>
                <w:w w:val="98"/>
              </w:rPr>
            </w:pPr>
            <w:hyperlink w:anchor="page77">
              <w:r>
                <w:rPr>
                  <w:rFonts w:ascii="Arial" w:cs="Arial" w:eastAsia="Arial" w:hAnsi="Arial"/>
                  <w:sz w:val="20"/>
                  <w:szCs w:val="20"/>
                  <w:color w:val="0000EE"/>
                  <w:w w:val="98"/>
                </w:rPr>
                <w:t>Certificate of William A. Wulfsohn, Chief Executive Officer of Ashland, and J. Kevin Willis, Chief Financial Officer of</w:t>
              </w:r>
            </w:hyperlink>
          </w:p>
        </w:tc>
      </w:tr>
      <w:tr>
        <w:trPr>
          <w:trHeight w:val="210"/>
        </w:trPr>
        <w:tc>
          <w:tcPr>
            <w:tcW w:w="1380" w:type="dxa"/>
            <w:vAlign w:val="bottom"/>
          </w:tcPr>
          <w:p>
            <w:pPr>
              <w:spacing w:after="0"/>
              <w:rPr>
                <w:sz w:val="18"/>
                <w:szCs w:val="18"/>
                <w:color w:val="auto"/>
              </w:rPr>
            </w:pPr>
          </w:p>
        </w:tc>
        <w:tc>
          <w:tcPr>
            <w:tcW w:w="5460" w:type="dxa"/>
            <w:vAlign w:val="bottom"/>
            <w:tcBorders>
              <w:bottom w:val="single" w:sz="8" w:color="0000EE"/>
            </w:tcBorders>
            <w:gridSpan w:val="5"/>
          </w:tcPr>
          <w:p>
            <w:pPr>
              <w:spacing w:after="0" w:line="209" w:lineRule="exact"/>
              <w:rPr>
                <w:rFonts w:ascii="Arial" w:cs="Arial" w:eastAsia="Arial" w:hAnsi="Arial"/>
                <w:sz w:val="20"/>
                <w:szCs w:val="20"/>
                <w:color w:val="0000EE"/>
                <w:w w:val="89"/>
              </w:rPr>
            </w:pPr>
            <w:hyperlink w:anchor="page77">
              <w:r>
                <w:rPr>
                  <w:rFonts w:ascii="Arial" w:cs="Arial" w:eastAsia="Arial" w:hAnsi="Arial"/>
                  <w:sz w:val="20"/>
                  <w:szCs w:val="20"/>
                  <w:color w:val="0000EE"/>
                  <w:w w:val="89"/>
                </w:rPr>
                <w:t>Ashland pursuant to Section 906 of the Sarbanes-Oxley Act of 2002.</w:t>
              </w:r>
            </w:hyperlink>
          </w:p>
        </w:tc>
        <w:tc>
          <w:tcPr>
            <w:tcW w:w="4520" w:type="dxa"/>
            <w:vAlign w:val="bottom"/>
            <w:gridSpan w:val="2"/>
          </w:tcPr>
          <w:p>
            <w:pPr>
              <w:spacing w:after="0"/>
              <w:rPr>
                <w:sz w:val="18"/>
                <w:szCs w:val="18"/>
                <w:color w:val="auto"/>
              </w:rPr>
            </w:pPr>
          </w:p>
        </w:tc>
      </w:tr>
      <w:tr>
        <w:trPr>
          <w:trHeight w:val="376"/>
        </w:trPr>
        <w:tc>
          <w:tcPr>
            <w:tcW w:w="1380" w:type="dxa"/>
            <w:vAlign w:val="bottom"/>
          </w:tcPr>
          <w:p>
            <w:pPr>
              <w:spacing w:after="0"/>
              <w:rPr>
                <w:sz w:val="20"/>
                <w:szCs w:val="20"/>
                <w:color w:val="auto"/>
              </w:rPr>
            </w:pPr>
            <w:r>
              <w:rPr>
                <w:rFonts w:ascii="Arial" w:cs="Arial" w:eastAsia="Arial" w:hAnsi="Arial"/>
                <w:sz w:val="20"/>
                <w:szCs w:val="20"/>
                <w:color w:val="auto"/>
              </w:rPr>
              <w:t>101.INS**</w:t>
            </w:r>
          </w:p>
        </w:tc>
        <w:tc>
          <w:tcPr>
            <w:tcW w:w="9980" w:type="dxa"/>
            <w:vAlign w:val="bottom"/>
            <w:gridSpan w:val="7"/>
          </w:tcPr>
          <w:p>
            <w:pPr>
              <w:spacing w:after="0"/>
              <w:rPr>
                <w:sz w:val="20"/>
                <w:szCs w:val="20"/>
                <w:color w:val="auto"/>
              </w:rPr>
            </w:pPr>
            <w:r>
              <w:rPr>
                <w:rFonts w:ascii="Arial" w:cs="Arial" w:eastAsia="Arial" w:hAnsi="Arial"/>
                <w:sz w:val="20"/>
                <w:szCs w:val="20"/>
                <w:color w:val="auto"/>
              </w:rPr>
              <w:t>XBRL Instance Document.</w:t>
            </w: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101.SCH**</w:t>
            </w:r>
          </w:p>
        </w:tc>
        <w:tc>
          <w:tcPr>
            <w:tcW w:w="9980" w:type="dxa"/>
            <w:vAlign w:val="bottom"/>
            <w:gridSpan w:val="7"/>
          </w:tcPr>
          <w:p>
            <w:pPr>
              <w:spacing w:after="0"/>
              <w:rPr>
                <w:sz w:val="20"/>
                <w:szCs w:val="20"/>
                <w:color w:val="auto"/>
              </w:rPr>
            </w:pPr>
            <w:r>
              <w:rPr>
                <w:rFonts w:ascii="Arial" w:cs="Arial" w:eastAsia="Arial" w:hAnsi="Arial"/>
                <w:sz w:val="20"/>
                <w:szCs w:val="20"/>
                <w:color w:val="auto"/>
              </w:rPr>
              <w:t>XBRL Taxonomy Extension Schema Document.</w:t>
            </w: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101.CAL**</w:t>
            </w:r>
          </w:p>
        </w:tc>
        <w:tc>
          <w:tcPr>
            <w:tcW w:w="9980" w:type="dxa"/>
            <w:vAlign w:val="bottom"/>
            <w:gridSpan w:val="7"/>
          </w:tcPr>
          <w:p>
            <w:pPr>
              <w:spacing w:after="0"/>
              <w:rPr>
                <w:sz w:val="20"/>
                <w:szCs w:val="20"/>
                <w:color w:val="auto"/>
              </w:rPr>
            </w:pPr>
            <w:r>
              <w:rPr>
                <w:rFonts w:ascii="Arial" w:cs="Arial" w:eastAsia="Arial" w:hAnsi="Arial"/>
                <w:sz w:val="20"/>
                <w:szCs w:val="20"/>
                <w:color w:val="auto"/>
              </w:rPr>
              <w:t>XBRL Taxonomy Extension Calculation Linkbase Document.</w:t>
            </w: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101.DEF**</w:t>
            </w:r>
          </w:p>
        </w:tc>
        <w:tc>
          <w:tcPr>
            <w:tcW w:w="9980" w:type="dxa"/>
            <w:vAlign w:val="bottom"/>
            <w:gridSpan w:val="7"/>
          </w:tcPr>
          <w:p>
            <w:pPr>
              <w:spacing w:after="0"/>
              <w:rPr>
                <w:sz w:val="20"/>
                <w:szCs w:val="20"/>
                <w:color w:val="auto"/>
              </w:rPr>
            </w:pPr>
            <w:r>
              <w:rPr>
                <w:rFonts w:ascii="Arial" w:cs="Arial" w:eastAsia="Arial" w:hAnsi="Arial"/>
                <w:sz w:val="20"/>
                <w:szCs w:val="20"/>
                <w:color w:val="auto"/>
              </w:rPr>
              <w:t>XBRL Taxonomy Extension Definition Linkbase Document.</w:t>
            </w: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101.LAB**</w:t>
            </w:r>
          </w:p>
        </w:tc>
        <w:tc>
          <w:tcPr>
            <w:tcW w:w="9980" w:type="dxa"/>
            <w:vAlign w:val="bottom"/>
            <w:gridSpan w:val="7"/>
          </w:tcPr>
          <w:p>
            <w:pPr>
              <w:spacing w:after="0"/>
              <w:rPr>
                <w:sz w:val="20"/>
                <w:szCs w:val="20"/>
                <w:color w:val="auto"/>
              </w:rPr>
            </w:pPr>
            <w:r>
              <w:rPr>
                <w:rFonts w:ascii="Arial" w:cs="Arial" w:eastAsia="Arial" w:hAnsi="Arial"/>
                <w:sz w:val="20"/>
                <w:szCs w:val="20"/>
                <w:color w:val="auto"/>
              </w:rPr>
              <w:t>XBRL Taxonomy Extension Label Linkbase Document.</w:t>
            </w:r>
          </w:p>
        </w:tc>
      </w:tr>
      <w:tr>
        <w:trPr>
          <w:trHeight w:val="351"/>
        </w:trPr>
        <w:tc>
          <w:tcPr>
            <w:tcW w:w="1380" w:type="dxa"/>
            <w:vAlign w:val="bottom"/>
          </w:tcPr>
          <w:p>
            <w:pPr>
              <w:spacing w:after="0"/>
              <w:rPr>
                <w:sz w:val="20"/>
                <w:szCs w:val="20"/>
                <w:color w:val="auto"/>
              </w:rPr>
            </w:pPr>
            <w:r>
              <w:rPr>
                <w:rFonts w:ascii="Arial" w:cs="Arial" w:eastAsia="Arial" w:hAnsi="Arial"/>
                <w:sz w:val="20"/>
                <w:szCs w:val="20"/>
                <w:color w:val="auto"/>
              </w:rPr>
              <w:t>101.PRE**</w:t>
            </w:r>
          </w:p>
        </w:tc>
        <w:tc>
          <w:tcPr>
            <w:tcW w:w="9980" w:type="dxa"/>
            <w:vAlign w:val="bottom"/>
            <w:gridSpan w:val="7"/>
          </w:tcPr>
          <w:p>
            <w:pPr>
              <w:spacing w:after="0"/>
              <w:rPr>
                <w:sz w:val="20"/>
                <w:szCs w:val="20"/>
                <w:color w:val="auto"/>
              </w:rPr>
            </w:pPr>
            <w:r>
              <w:rPr>
                <w:rFonts w:ascii="Arial" w:cs="Arial" w:eastAsia="Arial" w:hAnsi="Arial"/>
                <w:sz w:val="20"/>
                <w:szCs w:val="20"/>
                <w:color w:val="auto"/>
              </w:rPr>
              <w:t>XBRL Taxonomy Extension Presentation Linkbase Document.</w:t>
            </w:r>
          </w:p>
        </w:tc>
      </w:tr>
    </w:tbl>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*Filed herewith.</w:t>
      </w:r>
    </w:p>
    <w:p>
      <w:pPr>
        <w:spacing w:after="0" w:line="108" w:lineRule="exact"/>
        <w:rPr>
          <w:sz w:val="20"/>
          <w:szCs w:val="20"/>
          <w:color w:val="auto"/>
        </w:rPr>
      </w:pPr>
    </w:p>
    <w:p>
      <w:pPr>
        <w:jc w:val="both"/>
        <w:ind w:firstLine="401"/>
        <w:spacing w:after="0" w:line="272" w:lineRule="auto"/>
        <w:rPr>
          <w:sz w:val="20"/>
          <w:szCs w:val="20"/>
          <w:color w:val="auto"/>
        </w:rPr>
      </w:pPr>
      <w:r>
        <w:rPr>
          <w:rFonts w:ascii="Arial" w:cs="Arial" w:eastAsia="Arial" w:hAnsi="Arial"/>
          <w:sz w:val="18"/>
          <w:szCs w:val="18"/>
          <w:color w:val="auto"/>
        </w:rPr>
        <w:t>**Attached as Exhibit 101 to this report are the following documents formatted in XBRL (Extensible Business Reporting Language): (i) Statements of Consolidated Comprehensive Income (Loss) for the three and nine months ended June 30, 2018 and June 30, 2017; (ii) Condensed Consolidated Balance Sheets at June 30, 2018 and September 30, 2017; (iii) Statements of Consolidated Equity at June 30, 2018;</w:t>
      </w:r>
    </w:p>
    <w:p>
      <w:pPr>
        <w:spacing w:after="0" w:line="1" w:lineRule="exact"/>
        <w:rPr>
          <w:sz w:val="20"/>
          <w:szCs w:val="20"/>
          <w:color w:val="auto"/>
        </w:rPr>
      </w:pPr>
    </w:p>
    <w:p>
      <w:pPr>
        <w:ind w:firstLine="8"/>
        <w:spacing w:after="0" w:line="244" w:lineRule="auto"/>
        <w:tabs>
          <w:tab w:leader="none" w:pos="373" w:val="left"/>
        </w:tabs>
        <w:numPr>
          <w:ilvl w:val="0"/>
          <w:numId w:val="39"/>
        </w:numPr>
        <w:rPr>
          <w:rFonts w:ascii="Arial" w:cs="Arial" w:eastAsia="Arial" w:hAnsi="Arial"/>
          <w:sz w:val="20"/>
          <w:szCs w:val="20"/>
          <w:color w:val="auto"/>
        </w:rPr>
      </w:pPr>
      <w:r>
        <w:rPr>
          <w:rFonts w:ascii="Arial" w:cs="Arial" w:eastAsia="Arial" w:hAnsi="Arial"/>
          <w:sz w:val="20"/>
          <w:szCs w:val="20"/>
          <w:color w:val="auto"/>
        </w:rPr>
        <w:t>Statements of Condensed Consolidated Cash Flows for the nine months ended June 30, 2018 and June 30, 2017; and (v) Notes to Condensed Consolidated Financial Statements.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xml:space="preserve">SM </w:t>
      </w:r>
      <w:r>
        <w:rPr>
          <w:rFonts w:ascii="Arial" w:cs="Arial" w:eastAsia="Arial" w:hAnsi="Arial"/>
          <w:sz w:val="19"/>
          <w:szCs w:val="19"/>
          <w:color w:val="auto"/>
        </w:rPr>
        <w:t>Service mark, Ashland or its subsidiaries, registered in various countries.</w:t>
      </w:r>
    </w:p>
    <w:p>
      <w:pPr>
        <w:spacing w:after="0" w:line="119" w:lineRule="exact"/>
        <w:rPr>
          <w:sz w:val="20"/>
          <w:szCs w:val="20"/>
          <w:color w:val="auto"/>
        </w:rPr>
      </w:pPr>
    </w:p>
    <w:p>
      <w:pPr>
        <w:ind w:left="660" w:hanging="251"/>
        <w:spacing w:after="0"/>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Trademark, Ashland or its subsidiaries, registered in various countries.</w:t>
      </w:r>
    </w:p>
    <w:p>
      <w:pPr>
        <w:spacing w:after="0" w:line="218" w:lineRule="exact"/>
        <w:rPr>
          <w:rFonts w:ascii="Arial" w:cs="Arial" w:eastAsia="Arial" w:hAnsi="Arial"/>
          <w:sz w:val="20"/>
          <w:szCs w:val="20"/>
          <w:color w:val="auto"/>
        </w:rPr>
      </w:pPr>
    </w:p>
    <w:p>
      <w:pPr>
        <w:ind w:left="5620"/>
        <w:spacing w:after="0"/>
        <w:rPr>
          <w:rFonts w:ascii="Arial" w:cs="Arial" w:eastAsia="Arial" w:hAnsi="Arial"/>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401"/>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Ashland Global Holdings Inc.</w:t>
            </w:r>
          </w:p>
        </w:tc>
      </w:tr>
      <w:tr>
        <w:trPr>
          <w:trHeight w:val="195"/>
        </w:trPr>
        <w:tc>
          <w:tcPr>
            <w:tcW w:w="3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600" w:type="dxa"/>
            <w:vAlign w:val="bottom"/>
          </w:tcPr>
          <w:p>
            <w:pPr>
              <w:ind w:left="2380"/>
              <w:spacing w:after="0" w:line="195" w:lineRule="exact"/>
              <w:rPr>
                <w:sz w:val="20"/>
                <w:szCs w:val="20"/>
                <w:color w:val="auto"/>
              </w:rPr>
            </w:pPr>
            <w:r>
              <w:rPr>
                <w:rFonts w:ascii="Arial" w:cs="Arial" w:eastAsia="Arial" w:hAnsi="Arial"/>
                <w:sz w:val="18"/>
                <w:szCs w:val="18"/>
                <w:color w:val="auto"/>
              </w:rPr>
              <w:t>(Registrant)</w:t>
            </w: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August 1, 2018</w:t>
            </w:r>
          </w:p>
        </w:tc>
        <w:tc>
          <w:tcPr>
            <w:tcW w:w="246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Kevin Willis</w:t>
            </w:r>
          </w:p>
        </w:tc>
      </w:tr>
      <w:tr>
        <w:trPr>
          <w:trHeight w:val="195"/>
        </w:trPr>
        <w:tc>
          <w:tcPr>
            <w:tcW w:w="3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 Kevin Willis</w:t>
            </w:r>
          </w:p>
        </w:tc>
      </w:tr>
      <w:tr>
        <w:trPr>
          <w:trHeight w:val="216"/>
        </w:trPr>
        <w:tc>
          <w:tcPr>
            <w:tcW w:w="3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3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(on behalf of the Registrant and as principal</w:t>
            </w:r>
          </w:p>
        </w:tc>
      </w:tr>
      <w:tr>
        <w:trPr>
          <w:trHeight w:val="230"/>
        </w:trPr>
        <w:tc>
          <w:tcPr>
            <w:tcW w:w="3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648"/>
        </w:trPr>
        <w:tc>
          <w:tcPr>
            <w:tcW w:w="33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73</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ASHLAND GLOBAL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4"/>
          </w:tcPr>
          <w:p>
            <w:pPr>
              <w:jc w:val="right"/>
              <w:ind w:right="190"/>
              <w:spacing w:after="0"/>
              <w:rPr>
                <w:sz w:val="20"/>
                <w:szCs w:val="20"/>
                <w:color w:val="auto"/>
              </w:rPr>
            </w:pPr>
            <w:r>
              <w:rPr>
                <w:rFonts w:ascii="Arial" w:cs="Arial" w:eastAsia="Arial" w:hAnsi="Arial"/>
                <w:sz w:val="18"/>
                <w:szCs w:val="18"/>
                <w:color w:val="auto"/>
                <w:w w:val="89"/>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jc w:val="right"/>
              <w:ind w:right="370"/>
              <w:spacing w:after="0"/>
              <w:rPr>
                <w:sz w:val="20"/>
                <w:szCs w:val="20"/>
                <w:color w:val="auto"/>
              </w:rPr>
            </w:pPr>
            <w:r>
              <w:rPr>
                <w:rFonts w:ascii="Arial" w:cs="Arial" w:eastAsia="Arial" w:hAnsi="Arial"/>
                <w:sz w:val="18"/>
                <w:szCs w:val="18"/>
                <w:color w:val="auto"/>
                <w:w w:val="95"/>
              </w:rPr>
              <w:t>Years ended September 30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2015</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2017</w:t>
            </w:r>
          </w:p>
        </w:tc>
        <w:tc>
          <w:tcPr>
            <w:tcW w:w="0" w:type="dxa"/>
            <w:vAlign w:val="bottom"/>
          </w:tcPr>
          <w:p>
            <w:pPr>
              <w:spacing w:after="0"/>
              <w:rPr>
                <w:sz w:val="1"/>
                <w:szCs w:val="1"/>
                <w:color w:val="auto"/>
              </w:rPr>
            </w:pPr>
          </w:p>
        </w:tc>
      </w:tr>
      <w:tr>
        <w:trPr>
          <w:trHeight w:val="183"/>
        </w:trPr>
        <w:tc>
          <w:tcPr>
            <w:tcW w:w="4180" w:type="dxa"/>
            <w:vAlign w:val="bottom"/>
            <w:gridSpan w:val="4"/>
          </w:tcPr>
          <w:p>
            <w:pPr>
              <w:spacing w:after="0" w:line="182" w:lineRule="exact"/>
              <w:rPr>
                <w:sz w:val="20"/>
                <w:szCs w:val="20"/>
                <w:color w:val="auto"/>
              </w:rPr>
            </w:pPr>
            <w:r>
              <w:rPr>
                <w:rFonts w:ascii="Arial" w:cs="Arial" w:eastAsia="Arial" w:hAnsi="Arial"/>
                <w:sz w:val="18"/>
                <w:szCs w:val="18"/>
                <w:color w:val="auto"/>
              </w:rPr>
              <w:t>EARNINGS</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Interest portion of rental expense</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deferred debt expense</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Distributions in excess of (less than) earnings of</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unconsolidated affiliates</w:t>
            </w:r>
          </w:p>
        </w:tc>
        <w:tc>
          <w:tcPr>
            <w:tcW w:w="6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 w:type="dxa"/>
            <w:vAlign w:val="bottom"/>
            <w:tcBorders>
              <w:bottom w:val="single" w:sz="8" w:color="CFF0FC"/>
            </w:tcBorders>
          </w:tcPr>
          <w:p>
            <w:pPr>
              <w:spacing w:after="0"/>
              <w:rPr>
                <w:sz w:val="22"/>
                <w:szCs w:val="22"/>
                <w:color w:val="auto"/>
              </w:rPr>
            </w:pPr>
          </w:p>
        </w:tc>
        <w:tc>
          <w:tcPr>
            <w:tcW w:w="500" w:type="dxa"/>
            <w:vAlign w:val="bottom"/>
            <w:tcBorders>
              <w:bottom w:val="single" w:sz="8" w:color="CFF0FC"/>
            </w:tcBorders>
          </w:tcPr>
          <w:p>
            <w:pPr>
              <w:spacing w:after="0"/>
              <w:rPr>
                <w:sz w:val="22"/>
                <w:szCs w:val="22"/>
                <w:color w:val="auto"/>
              </w:rPr>
            </w:pPr>
          </w:p>
        </w:tc>
        <w:tc>
          <w:tcPr>
            <w:tcW w:w="2760" w:type="dxa"/>
            <w:vAlign w:val="bottom"/>
            <w:tcBorders>
              <w:bottom w:val="single" w:sz="8" w:color="CFF0FC"/>
            </w:tcBorders>
          </w:tcPr>
          <w:p>
            <w:pPr>
              <w:spacing w:after="0"/>
              <w:rPr>
                <w:sz w:val="22"/>
                <w:szCs w:val="22"/>
                <w:color w:val="auto"/>
              </w:rPr>
            </w:pPr>
          </w:p>
        </w:tc>
        <w:tc>
          <w:tcPr>
            <w:tcW w:w="6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7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gridSpan w:val="3"/>
          </w:tcPr>
          <w:p>
            <w:pPr>
              <w:spacing w:after="0" w:line="189" w:lineRule="exact"/>
              <w:rPr>
                <w:sz w:val="20"/>
                <w:szCs w:val="20"/>
                <w:color w:val="auto"/>
              </w:rPr>
            </w:pPr>
            <w:r>
              <w:rPr>
                <w:rFonts w:ascii="Arial" w:cs="Arial" w:eastAsia="Arial" w:hAnsi="Arial"/>
                <w:sz w:val="18"/>
                <w:szCs w:val="18"/>
                <w:color w:val="auto"/>
              </w:rPr>
              <w:t>FIXED CHARGES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Interest portion of rental expense</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deferred debt expense</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Capitalized interest</w:t>
            </w:r>
          </w:p>
        </w:tc>
        <w:tc>
          <w:tcPr>
            <w:tcW w:w="6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shd w:val="clear" w:color="auto" w:fill="CFF0FC"/>
          </w:tcPr>
          <w:p>
            <w:pPr>
              <w:spacing w:after="0"/>
              <w:rPr>
                <w:sz w:val="19"/>
                <w:szCs w:val="19"/>
                <w:color w:val="auto"/>
              </w:rPr>
            </w:pPr>
          </w:p>
        </w:tc>
        <w:tc>
          <w:tcPr>
            <w:tcW w:w="27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RATIO OF EARNINGS TO FIXED CHARGES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(A)</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(B)</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(C)</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(D)</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8"/>
        <w:spacing w:after="0" w:line="277"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$98 million would have been required for the year ended September 30, 2017.</w:t>
      </w:r>
    </w:p>
    <w:p>
      <w:pPr>
        <w:spacing w:after="0" w:line="62" w:lineRule="exact"/>
        <w:rPr>
          <w:rFonts w:ascii="Arial" w:cs="Arial" w:eastAsia="Arial" w:hAnsi="Arial"/>
          <w:sz w:val="18"/>
          <w:szCs w:val="18"/>
          <w:color w:val="auto"/>
        </w:rPr>
      </w:pPr>
    </w:p>
    <w:p>
      <w:pPr>
        <w:ind w:right="340" w:firstLine="8"/>
        <w:spacing w:after="0" w:line="277" w:lineRule="auto"/>
        <w:tabs>
          <w:tab w:leader="none" w:pos="2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$308 million would have been required for the year ended September 30, 2016.</w:t>
      </w:r>
    </w:p>
    <w:p>
      <w:pPr>
        <w:spacing w:after="0" w:line="62" w:lineRule="exact"/>
        <w:rPr>
          <w:rFonts w:ascii="Arial" w:cs="Arial" w:eastAsia="Arial" w:hAnsi="Arial"/>
          <w:sz w:val="18"/>
          <w:szCs w:val="18"/>
          <w:color w:val="auto"/>
        </w:rPr>
      </w:pPr>
    </w:p>
    <w:p>
      <w:pPr>
        <w:ind w:right="340" w:firstLine="8"/>
        <w:spacing w:after="0" w:line="277" w:lineRule="auto"/>
        <w:tabs>
          <w:tab w:leader="none" w:pos="2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$152 million would have been required for the year ended September 30, 2015.</w:t>
      </w:r>
    </w:p>
    <w:p>
      <w:pPr>
        <w:spacing w:after="0" w:line="62" w:lineRule="exact"/>
        <w:rPr>
          <w:rFonts w:ascii="Arial" w:cs="Arial" w:eastAsia="Arial" w:hAnsi="Arial"/>
          <w:sz w:val="18"/>
          <w:szCs w:val="18"/>
          <w:color w:val="auto"/>
        </w:rPr>
      </w:pPr>
    </w:p>
    <w:p>
      <w:pPr>
        <w:ind w:right="340" w:firstLine="8"/>
        <w:spacing w:after="0" w:line="277" w:lineRule="auto"/>
        <w:tabs>
          <w:tab w:leader="none" w:pos="2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$421 million would have been required for the year ended September 30, 2014.</w:t>
      </w:r>
    </w:p>
    <w:p>
      <w:pPr>
        <w:spacing w:after="0" w:line="62" w:lineRule="exact"/>
        <w:rPr>
          <w:rFonts w:ascii="Arial" w:cs="Arial" w:eastAsia="Arial" w:hAnsi="Arial"/>
          <w:sz w:val="18"/>
          <w:szCs w:val="18"/>
          <w:color w:val="auto"/>
        </w:rPr>
      </w:pPr>
    </w:p>
    <w:p>
      <w:pPr>
        <w:ind w:right="360" w:firstLine="8"/>
        <w:spacing w:after="0" w:line="277" w:lineRule="auto"/>
        <w:tabs>
          <w:tab w:leader="none" w:pos="2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Deficiency Ratio - The Ratio of Earnings to Fixed Charges was less than 1x. To achieve a ratio of 1x, additional total earnings of $102 million would have been required for the nine months ended June 30, 2017.</w:t>
      </w:r>
    </w:p>
    <w:p>
      <w:pPr>
        <w:sectPr>
          <w:pgSz w:w="11900" w:h="16838" w:orient="portrait"/>
          <w:cols w:equalWidth="0" w:num="1">
            <w:col w:w="11420"/>
          </w:cols>
          <w:pgMar w:left="240" w:top="34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William A. Wulfsohn, certify that:</w:t>
      </w:r>
    </w:p>
    <w:p>
      <w:pPr>
        <w:spacing w:after="0" w:line="108" w:lineRule="exact"/>
        <w:rPr>
          <w:sz w:val="20"/>
          <w:szCs w:val="20"/>
          <w:color w:val="auto"/>
        </w:rPr>
      </w:pPr>
    </w:p>
    <w:p>
      <w:pPr>
        <w:ind w:left="800" w:hanging="400"/>
        <w:spacing w:after="0"/>
        <w:tabs>
          <w:tab w:leader="none" w:pos="8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4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August 1, 2018</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Chairman and Chief Executive Officer</w:t>
      </w:r>
    </w:p>
    <w:p>
      <w:pPr>
        <w:ind w:left="63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39"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800" w:hanging="400"/>
        <w:spacing w:after="0"/>
        <w:tabs>
          <w:tab w:leader="none" w:pos="8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August 1, 2018</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Chief Financial Officer</w:t>
      </w:r>
    </w:p>
    <w:p>
      <w:pPr>
        <w:ind w:left="634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339"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June 30, 2018, as filed with the Securities and Exchange Commission on the date hereof (the “Report”), each of the undersigned, William A. Wulfsohn, Chief Executive Officer of the Company, and J. Kevin Willis,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400"/>
        <w:spacing w:after="0"/>
        <w:tabs>
          <w:tab w:leader="none" w:pos="8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800" w:hanging="400"/>
        <w:spacing w:after="0" w:line="244" w:lineRule="auto"/>
        <w:tabs>
          <w:tab w:leader="none" w:pos="8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/s/ William A. Wulfsohn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William A. Wulfsohn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August 1, 2018</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August 1, 2018</w:t>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lvl w:ilvl="1">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lvl w:ilvl="1">
      <w:lvlJc w:val="left"/>
      <w:lvlText w:val="◦"/>
      <w:numFmt w:val="bullet"/>
      <w:start w:val="1"/>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Roman"/>
      <w:start w:val="4"/>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upp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2" Type="http://schemas.openxmlformats.org/officeDocument/2006/relationships/hyperlink" Target="http://www.sec.gov/Archives/edgar/data/1674862/000156459018014214/ash-ex101_6.htm" TargetMode="External"/><Relationship Id="rId253" Type="http://schemas.openxmlformats.org/officeDocument/2006/relationships/hyperlink" Target="http://www.sec.gov/Archives/edgar/data/1674862/000156459018016506/ash-ex101_5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2019-12-28T20:53:59Z</dcterms:created>
  <dcterms:modified xsi:type="dcterms:W3CDTF">2019-12-28T20:53:59Z</dcterms:modified>
</cp:coreProperties>
</file>